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2090649"/>
        <w:docPartObj>
          <w:docPartGallery w:val="Cover Pages"/>
          <w:docPartUnique/>
        </w:docPartObj>
      </w:sdtPr>
      <w:sdtContent>
        <w:p w14:paraId="51BB980F" w14:textId="0FFE4690" w:rsidR="00D8150C" w:rsidRDefault="00D8150C">
          <w:r>
            <w:rPr>
              <w:noProof/>
            </w:rPr>
            <mc:AlternateContent>
              <mc:Choice Requires="wps">
                <w:drawing>
                  <wp:anchor distT="0" distB="0" distL="114300" distR="114300" simplePos="0" relativeHeight="251664384" behindDoc="0" locked="0" layoutInCell="1" allowOverlap="1" wp14:anchorId="24C54B12" wp14:editId="3FDDC04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E22BEF" w14:textId="6EB3AEF0" w:rsidR="00D8150C" w:rsidRDefault="00D8150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4C54B12"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25E22BEF" w14:textId="6EB3AEF0" w:rsidR="00D8150C" w:rsidRDefault="00D8150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(2103530)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926AD0D" wp14:editId="1BC9A138">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E917C66" w14:textId="77777777" w:rsidR="00D8150C" w:rsidRDefault="00D8150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26AD0D"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E917C66" w14:textId="77777777" w:rsidR="00D8150C" w:rsidRDefault="00D8150C"/>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0DBCBA7" wp14:editId="28E5C39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9D1D9E3"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D54D2BE" wp14:editId="1A25AA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9F91F6D"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20504AE" wp14:editId="6BA948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C68D18" w14:textId="17EBE52F" w:rsidR="00D8150C" w:rsidRDefault="00D8150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Vulnerability</w:t>
                                    </w:r>
                                  </w:p>
                                </w:sdtContent>
                              </w:sdt>
                              <w:p w14:paraId="29A87CA3" w14:textId="77777777" w:rsidR="00CF57F2" w:rsidRPr="00CF57F2" w:rsidRDefault="00CF57F2" w:rsidP="00CF57F2">
                                <w:pPr>
                                  <w:pStyle w:val="paragraph"/>
                                  <w:spacing w:before="0" w:beforeAutospacing="0" w:after="0" w:afterAutospacing="0"/>
                                  <w:rPr>
                                    <w:rStyle w:val="normaltextrun"/>
                                    <w:rFonts w:ascii="Arial" w:eastAsia="Arial" w:hAnsi="Arial" w:cs="Arial"/>
                                    <w:b/>
                                    <w:bCs/>
                                    <w:color w:val="0070C0"/>
                                    <w:sz w:val="22"/>
                                    <w:szCs w:val="22"/>
                                  </w:rPr>
                                </w:pPr>
                                <w:r w:rsidRPr="00CF57F2">
                                  <w:rPr>
                                    <w:rStyle w:val="normaltextrun"/>
                                    <w:rFonts w:ascii="Arial" w:hAnsi="Arial" w:cs="Arial"/>
                                    <w:b/>
                                    <w:bCs/>
                                    <w:color w:val="0070C0"/>
                                    <w:sz w:val="22"/>
                                    <w:szCs w:val="22"/>
                                  </w:rPr>
                                  <w:t>Examine and discuss the factors that can contribute to the causes of vulnerability.</w:t>
                                </w:r>
                              </w:p>
                              <w:p w14:paraId="731F7588" w14:textId="2ED20565" w:rsidR="00D8150C" w:rsidRDefault="00D8150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20504AE" id="Text Box 7"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C68D18" w14:textId="17EBE52F" w:rsidR="00D8150C" w:rsidRDefault="00D8150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Vulnerability</w:t>
                              </w:r>
                            </w:p>
                          </w:sdtContent>
                        </w:sdt>
                        <w:p w14:paraId="29A87CA3" w14:textId="77777777" w:rsidR="00CF57F2" w:rsidRPr="00CF57F2" w:rsidRDefault="00CF57F2" w:rsidP="00CF57F2">
                          <w:pPr>
                            <w:pStyle w:val="paragraph"/>
                            <w:spacing w:before="0" w:beforeAutospacing="0" w:after="0" w:afterAutospacing="0"/>
                            <w:rPr>
                              <w:rStyle w:val="normaltextrun"/>
                              <w:rFonts w:ascii="Arial" w:eastAsia="Arial" w:hAnsi="Arial" w:cs="Arial"/>
                              <w:b/>
                              <w:bCs/>
                              <w:color w:val="0070C0"/>
                              <w:sz w:val="22"/>
                              <w:szCs w:val="22"/>
                            </w:rPr>
                          </w:pPr>
                          <w:r w:rsidRPr="00CF57F2">
                            <w:rPr>
                              <w:rStyle w:val="normaltextrun"/>
                              <w:rFonts w:ascii="Arial" w:hAnsi="Arial" w:cs="Arial"/>
                              <w:b/>
                              <w:bCs/>
                              <w:color w:val="0070C0"/>
                              <w:sz w:val="22"/>
                              <w:szCs w:val="22"/>
                            </w:rPr>
                            <w:t>Examine and discuss the factors that can contribute to the causes of vulnerability.</w:t>
                          </w:r>
                        </w:p>
                        <w:p w14:paraId="731F7588" w14:textId="2ED20565" w:rsidR="00D8150C" w:rsidRDefault="00D8150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4E888225" w14:textId="2145364B" w:rsidR="00B54B68" w:rsidRDefault="00D8150C" w:rsidP="002A3581">
          <w:r>
            <w:br w:type="page"/>
          </w:r>
        </w:p>
      </w:sdtContent>
    </w:sdt>
    <w:p w14:paraId="1A82039E" w14:textId="77777777" w:rsidR="00B54B68" w:rsidRDefault="00B54B68" w:rsidP="002A3581"/>
    <w:p w14:paraId="68DD737A"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Individual, political, environmental, and social variables interact in diverse ways to create vulnerability in all its manifestations (Prevention Web, 2021). It is a complex idea that has a strong connection to both risk and resilience. It may appear in a variety of situations, from larger global socioeconomic frameworks to individual mental health issues (Kuran et al., 2020). Fundamentally, vulnerability is a condition of being vulnerable to injury or exploitation, which can be caused by a variety of external and internal circumstances. A comprehensive analysis of the complex processes at work is necessary to comprehend susceptibility, considering the intersections of cultural norms, human traits, the environment, and economic inequality. Vulnerability penetrates all aspects of human existence, from marginalised populations experiencing systematic oppression to individuals overcoming personal hardships. As such, comprehensive measures are required to address and lessen its effects.</w:t>
      </w:r>
    </w:p>
    <w:p w14:paraId="12A3F108" w14:textId="77777777" w:rsidR="00B54B68" w:rsidRPr="00AA1FF1" w:rsidRDefault="00B54B68" w:rsidP="00B54B68">
      <w:pPr>
        <w:spacing w:line="360" w:lineRule="auto"/>
        <w:rPr>
          <w:rFonts w:ascii="Arial" w:hAnsi="Arial" w:cs="Arial"/>
          <w:sz w:val="22"/>
          <w:szCs w:val="22"/>
        </w:rPr>
      </w:pPr>
    </w:p>
    <w:p w14:paraId="79225195" w14:textId="77777777" w:rsidR="00B54B68" w:rsidRPr="00AA1FF1" w:rsidRDefault="00B54B68" w:rsidP="00B54B68">
      <w:pPr>
        <w:spacing w:line="360" w:lineRule="auto"/>
        <w:rPr>
          <w:rFonts w:ascii="Arial" w:hAnsi="Arial" w:cs="Arial"/>
          <w:sz w:val="22"/>
          <w:szCs w:val="22"/>
        </w:rPr>
      </w:pPr>
    </w:p>
    <w:p w14:paraId="13273D03" w14:textId="00468756"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For instance, socioeconomic factors play a crucial role in vulnerable people. According to Esposito et al (2017), there are three socioeconomic factors including poverty, inequality, and unemployment or underemployment all combined to create a triangle that increases social vulnerability. Economic hardship increases vulnerability to several risks and hazards by limiting access to essential resources including food, water, healthcare, and education.</w:t>
      </w:r>
      <w:r w:rsidR="00F627AC" w:rsidRPr="00AA1FF1">
        <w:rPr>
          <w:rFonts w:ascii="Arial" w:hAnsi="Arial" w:cs="Arial"/>
          <w:sz w:val="22"/>
          <w:szCs w:val="22"/>
        </w:rPr>
        <w:t xml:space="preserve"> </w:t>
      </w:r>
      <w:r w:rsidRPr="00AA1FF1">
        <w:rPr>
          <w:rFonts w:ascii="Arial" w:hAnsi="Arial" w:cs="Arial"/>
          <w:sz w:val="22"/>
          <w:szCs w:val="22"/>
        </w:rPr>
        <w:t xml:space="preserve">The financial instability caused by insufficient income from insecure or inadequate work makes people and families more susceptible to economic shocks and disasters. </w:t>
      </w:r>
    </w:p>
    <w:p w14:paraId="635C575B"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Furthermore, inequality in wealth, income, and opportunity exacerbates vulnerability, particularly for marginalised groups whose access to resources and services is further impeded. These elements emphasise the complex processes that shape vulnerable people and it draws attention to the pressing need for all-encompassing interventions that are aimed at addressing socioeconomic disparities and fostering community resilience.</w:t>
      </w:r>
    </w:p>
    <w:p w14:paraId="689031E5" w14:textId="77777777" w:rsidR="00B54B68" w:rsidRPr="00AA1FF1" w:rsidRDefault="00B54B68" w:rsidP="00B54B68">
      <w:pPr>
        <w:spacing w:line="360" w:lineRule="auto"/>
        <w:rPr>
          <w:rFonts w:ascii="Arial" w:hAnsi="Arial" w:cs="Arial"/>
          <w:sz w:val="22"/>
          <w:szCs w:val="22"/>
        </w:rPr>
      </w:pPr>
    </w:p>
    <w:p w14:paraId="7ED71759" w14:textId="77777777" w:rsidR="00B54B68" w:rsidRPr="00AA1FF1" w:rsidRDefault="00B54B68" w:rsidP="00B54B68">
      <w:pPr>
        <w:spacing w:line="360" w:lineRule="auto"/>
        <w:rPr>
          <w:rFonts w:ascii="Arial" w:hAnsi="Arial" w:cs="Arial"/>
          <w:sz w:val="22"/>
          <w:szCs w:val="22"/>
        </w:rPr>
      </w:pPr>
    </w:p>
    <w:p w14:paraId="1CA7A686" w14:textId="77777777" w:rsidR="00B54B68" w:rsidRPr="00AA1FF1" w:rsidRDefault="00B54B68" w:rsidP="00B54B68">
      <w:pPr>
        <w:spacing w:line="360" w:lineRule="auto"/>
        <w:rPr>
          <w:rFonts w:ascii="Arial" w:hAnsi="Arial" w:cs="Arial"/>
          <w:sz w:val="22"/>
          <w:szCs w:val="22"/>
        </w:rPr>
      </w:pPr>
    </w:p>
    <w:p w14:paraId="66AC1973" w14:textId="77777777" w:rsidR="00B54B68" w:rsidRPr="00AA1FF1" w:rsidRDefault="00B54B68" w:rsidP="00B54B68">
      <w:pPr>
        <w:spacing w:line="360" w:lineRule="auto"/>
        <w:rPr>
          <w:rFonts w:ascii="Arial" w:hAnsi="Arial" w:cs="Arial"/>
          <w:sz w:val="22"/>
          <w:szCs w:val="22"/>
        </w:rPr>
      </w:pPr>
    </w:p>
    <w:p w14:paraId="73594883" w14:textId="77777777" w:rsidR="00B54B68" w:rsidRPr="00AA1FF1" w:rsidRDefault="00B54B68" w:rsidP="00B54B68">
      <w:pPr>
        <w:spacing w:line="360" w:lineRule="auto"/>
        <w:rPr>
          <w:rFonts w:ascii="Arial" w:hAnsi="Arial" w:cs="Arial"/>
          <w:sz w:val="22"/>
          <w:szCs w:val="22"/>
        </w:rPr>
      </w:pPr>
    </w:p>
    <w:p w14:paraId="59688B00" w14:textId="77777777" w:rsidR="00B43E22" w:rsidRDefault="00B43E22" w:rsidP="00B54B68">
      <w:pPr>
        <w:spacing w:line="360" w:lineRule="auto"/>
        <w:rPr>
          <w:rFonts w:ascii="Arial" w:hAnsi="Arial" w:cs="Arial"/>
          <w:sz w:val="22"/>
          <w:szCs w:val="22"/>
        </w:rPr>
      </w:pPr>
    </w:p>
    <w:p w14:paraId="142EB70D" w14:textId="77777777" w:rsidR="008E593C" w:rsidRDefault="008E593C" w:rsidP="00B54B68">
      <w:pPr>
        <w:spacing w:line="360" w:lineRule="auto"/>
        <w:rPr>
          <w:rFonts w:ascii="Arial" w:hAnsi="Arial" w:cs="Arial"/>
          <w:sz w:val="22"/>
          <w:szCs w:val="22"/>
        </w:rPr>
      </w:pPr>
    </w:p>
    <w:p w14:paraId="1B6DD202" w14:textId="77777777" w:rsidR="00F716FA" w:rsidRPr="00AA1FF1" w:rsidRDefault="00F716FA" w:rsidP="00B54B68">
      <w:pPr>
        <w:spacing w:line="360" w:lineRule="auto"/>
        <w:rPr>
          <w:rFonts w:ascii="Arial" w:hAnsi="Arial" w:cs="Arial"/>
          <w:sz w:val="22"/>
          <w:szCs w:val="22"/>
        </w:rPr>
      </w:pPr>
    </w:p>
    <w:p w14:paraId="61FBC1CF" w14:textId="77777777" w:rsidR="00B54B68" w:rsidRPr="00AA1FF1" w:rsidRDefault="00B54B68" w:rsidP="00B54B68">
      <w:pPr>
        <w:spacing w:line="360" w:lineRule="auto"/>
        <w:rPr>
          <w:rFonts w:ascii="Arial" w:hAnsi="Arial" w:cs="Arial"/>
          <w:sz w:val="22"/>
          <w:szCs w:val="22"/>
        </w:rPr>
      </w:pPr>
    </w:p>
    <w:p w14:paraId="4A39C68B" w14:textId="375310F8" w:rsidR="00B54B68" w:rsidRPr="00AA1FF1" w:rsidRDefault="00B54B68" w:rsidP="00B54B68">
      <w:pPr>
        <w:spacing w:line="360" w:lineRule="auto"/>
        <w:rPr>
          <w:rFonts w:ascii="Arial" w:hAnsi="Arial" w:cs="Arial"/>
          <w:sz w:val="22"/>
          <w:szCs w:val="22"/>
        </w:rPr>
      </w:pPr>
    </w:p>
    <w:p w14:paraId="25829F7C"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A case study of financial vulnerability is Edith Negus, a 102-year-old woman whose carer Julie Sayles, 59, took advantage of her position of trust to start extracting money from Negus's bank account, believed to be worth £290,000, instead of doing her job (BBC News, 2017). Over time, Sayles was able to steal money from Negus' bank account by using her weakness in her advanced age. This financial scandal shows the various ways in which one can take advantage of someone's weakness. First, Sayles's use of manipulation had been made easier by her betrayal of her caretaker's trust and dependency when she was in a position of trust and loyalty. Second, Sayles may have helped Negus by taking advantage of her isolation, which would have made her more vulnerable to exploitation and manipulation. Finally, Sayles may have profited from Negus's 102 years of age, cognitive deterioration, and financial ignorance in situations where Negus would not have been able to handle her financial affairs. </w:t>
      </w:r>
    </w:p>
    <w:p w14:paraId="1F2D1B7C" w14:textId="77777777" w:rsidR="00B54B68" w:rsidRPr="00AA1FF1" w:rsidRDefault="00B54B68" w:rsidP="00B54B68">
      <w:pPr>
        <w:spacing w:line="360" w:lineRule="auto"/>
        <w:rPr>
          <w:rFonts w:ascii="Arial" w:hAnsi="Arial" w:cs="Arial"/>
          <w:sz w:val="22"/>
          <w:szCs w:val="22"/>
        </w:rPr>
      </w:pPr>
    </w:p>
    <w:p w14:paraId="208429CF" w14:textId="77777777" w:rsidR="00B54B68" w:rsidRPr="00AA1FF1" w:rsidRDefault="00B54B68" w:rsidP="00B54B68">
      <w:pPr>
        <w:spacing w:line="360" w:lineRule="auto"/>
        <w:rPr>
          <w:rFonts w:ascii="Arial" w:hAnsi="Arial" w:cs="Arial"/>
          <w:sz w:val="22"/>
          <w:szCs w:val="22"/>
        </w:rPr>
      </w:pPr>
    </w:p>
    <w:p w14:paraId="78DB233A" w14:textId="51E8656E"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Another vulnerability factor could be cuckooing. The term "cuckooing" is the exploitation strategy used by criminal groups to take over a vulnerable person's home and use it as a base for their illegal drug operations or other criminal activity (StopAdultAbuse, 2024). According to Lee (2022), predators especially target those who are vulnerable due to things like substance abuse, mental illness, intellectual difficulties, or social isolation. By promising drugs or making friends, they entice or threaten these helpless people, then use a vulnerable person’s home as a base from which to distribute narcotics. Furthermore, gangs may use adults and children who are weaker than others from their networks to occupy these homes; to keep control, they frequently use intimidation techniques.</w:t>
      </w:r>
      <w:r w:rsidR="00944183" w:rsidRPr="00AA1FF1">
        <w:rPr>
          <w:rFonts w:ascii="Arial" w:hAnsi="Arial" w:cs="Arial"/>
          <w:sz w:val="22"/>
          <w:szCs w:val="22"/>
        </w:rPr>
        <w:t xml:space="preserve"> </w:t>
      </w:r>
      <w:r w:rsidRPr="00AA1FF1">
        <w:rPr>
          <w:rFonts w:ascii="Arial" w:hAnsi="Arial" w:cs="Arial"/>
          <w:sz w:val="22"/>
          <w:szCs w:val="22"/>
        </w:rPr>
        <w:t xml:space="preserve">An example of economic hardship would be cuckooing, where Sarah was a prisoner in her own house which was overrun by drug dealers, she states, "I thought they were being kind, then slowly, but surely, they would turn up and they would come in at all hours of the night, in the morning without warning, sometimes with five or six people at a time,” (Cotterill, 2022). Although it also says that Sarah used crack cocaine and heroin for personal use which is also a vulnerable factor, it shows Sarah's lack of resources caused her to become a victim of cuckooing and her response may be an indication of her weaknesses as it mentions Sarah's usage of heroin and crack cocaine draws the attention to several weak points. First, it appears that she may be struggling with addiction, as her reliance on these drugs hinders her judgement and increases her vulnerability to exploitation, this refers to Esposito et al (2017) in economic hardship of the lack of resources of support, healthcare, and the lack of social interactions she had. </w:t>
      </w:r>
    </w:p>
    <w:p w14:paraId="09E35DA3" w14:textId="77777777" w:rsidR="00B54B68" w:rsidRPr="00AA1FF1" w:rsidRDefault="00B54B68" w:rsidP="00B54B68">
      <w:pPr>
        <w:spacing w:line="360" w:lineRule="auto"/>
        <w:rPr>
          <w:rFonts w:ascii="Arial" w:hAnsi="Arial" w:cs="Arial"/>
          <w:sz w:val="22"/>
          <w:szCs w:val="22"/>
        </w:rPr>
      </w:pPr>
    </w:p>
    <w:p w14:paraId="728BE98A"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Furthermore, drug usage harms physical health, which makes people more susceptible to manipulation. Substance use has a massive impact on the well-being and physical health of a person, where a study has shown around 1 in 20 adults worldwide who are 15 years and older suffer from an alcohol use problem, and 1 in 100 have a psychoactive substance use disorder (University of Cambridge, 2022). In addition, associated mental health conditions and drug addiction exacerbate vulnerabilities and it can make people more vulnerable to exploitation. Drug addictions can also result in social isolation, which erodes support systems and increases vulnerability to abuse. Finally, Sarah's drug usage exacerbates economic instability by depleting her finances and leaving her more vulnerable to abuse by drug dealers. Her circumstance serves as an example of how people might find themselves in extremely vulnerable circumstances, like cuckooing, due to a lack of resources and assistance her addiction makes her more vulnerable, but it also highlights the larger social problems associated with addiction and how it affects people's health, relationships with others, and financial security. </w:t>
      </w:r>
    </w:p>
    <w:p w14:paraId="7C8B3D3A" w14:textId="5B8805C0" w:rsidR="00B54B68" w:rsidRPr="00AA1FF1" w:rsidRDefault="00B54B68" w:rsidP="00B54B68">
      <w:pPr>
        <w:spacing w:line="360" w:lineRule="auto"/>
        <w:rPr>
          <w:rFonts w:ascii="Arial" w:hAnsi="Arial" w:cs="Arial"/>
          <w:sz w:val="22"/>
          <w:szCs w:val="22"/>
        </w:rPr>
      </w:pPr>
    </w:p>
    <w:p w14:paraId="04B8E212" w14:textId="77777777" w:rsidR="00B54B68" w:rsidRPr="00AA1FF1" w:rsidRDefault="00B54B68" w:rsidP="00B54B68">
      <w:pPr>
        <w:spacing w:line="360" w:lineRule="auto"/>
        <w:rPr>
          <w:rFonts w:ascii="Arial" w:hAnsi="Arial" w:cs="Arial"/>
          <w:sz w:val="22"/>
          <w:szCs w:val="22"/>
        </w:rPr>
      </w:pPr>
    </w:p>
    <w:p w14:paraId="38250C4C" w14:textId="77777777" w:rsidR="00B54B68" w:rsidRPr="00AA1FF1" w:rsidRDefault="00B54B68" w:rsidP="00B54B68">
      <w:pPr>
        <w:spacing w:line="360" w:lineRule="auto"/>
        <w:rPr>
          <w:rFonts w:ascii="Arial" w:hAnsi="Arial" w:cs="Arial"/>
          <w:sz w:val="22"/>
          <w:szCs w:val="22"/>
        </w:rPr>
      </w:pPr>
    </w:p>
    <w:p w14:paraId="0A319A89" w14:textId="77777777" w:rsidR="005C544F" w:rsidRPr="00AA1FF1" w:rsidRDefault="005C544F" w:rsidP="00B54B68">
      <w:pPr>
        <w:spacing w:line="360" w:lineRule="auto"/>
        <w:rPr>
          <w:rFonts w:ascii="Arial" w:hAnsi="Arial" w:cs="Arial"/>
          <w:sz w:val="22"/>
          <w:szCs w:val="22"/>
        </w:rPr>
      </w:pPr>
    </w:p>
    <w:p w14:paraId="611787C5" w14:textId="719CD202"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Vulnerability exploitation and abuse can be caused by several individual factors, such as mental health conditions, substance misuse, social distancing, unstable finances, a history of trauma or abuse, cultural and societal influences, intellectual or developmental disabilities, and life transitions or events (NIDirect, 2019).</w:t>
      </w:r>
      <w:r w:rsidR="008E593C" w:rsidRPr="00AA1FF1">
        <w:rPr>
          <w:rFonts w:ascii="Arial" w:hAnsi="Arial" w:cs="Arial"/>
          <w:sz w:val="22"/>
          <w:szCs w:val="22"/>
        </w:rPr>
        <w:t xml:space="preserve"> </w:t>
      </w:r>
      <w:r w:rsidRPr="00AA1FF1">
        <w:rPr>
          <w:rFonts w:ascii="Arial" w:hAnsi="Arial" w:cs="Arial"/>
          <w:sz w:val="22"/>
          <w:szCs w:val="22"/>
        </w:rPr>
        <w:t>These characteristics may be used to explain how legal safeguards lessen vulnerability resulting from discrimination and unfair treatment by looking at them and applying them to the Equality Act 2010. The Equality Act 2010 is a critical tool in reducing vulnerability since it provides legal protection against discriminatory behaviours based on a range of factors, such as health, equality, economic status, personal traits, and family dynamics (GOV.UK, 2015). The Act promotes diversity and adaptability in society by eliminating discriminatory behaviours and advancing equality. Individuals can become prone to health problems including mental illness, substance abuse, and disability, and social exclusion can also be caused by economic causes unemployment, and low educational attainment. Vulnerability is also increased by individual situations such as social isolation and criminal histories. The Equality Act 2010 guarantees equal treatment and opportunity for every person, irrespective of their circumstances, by outlawing discrimination in all these scenarios. Furthermore, it ensures that vulnerable persons within families receive equal care and support by extending legal safeguards to family settings.</w:t>
      </w:r>
    </w:p>
    <w:p w14:paraId="5EC0683B" w14:textId="77777777" w:rsidR="00B54B68" w:rsidRPr="00AA1FF1" w:rsidRDefault="00B54B68" w:rsidP="00B54B68">
      <w:pPr>
        <w:spacing w:line="360" w:lineRule="auto"/>
        <w:rPr>
          <w:rFonts w:ascii="Arial" w:hAnsi="Arial" w:cs="Arial"/>
          <w:sz w:val="22"/>
          <w:szCs w:val="22"/>
        </w:rPr>
      </w:pPr>
    </w:p>
    <w:p w14:paraId="67029FE7" w14:textId="442CB9E2"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Emmanuel Levinas's "The Three Faces of Vulnerability" theory emphasises how crucial it is to comprehend the idea of vulnerability in human relationships (Levinas, 2020). It highlights vulnerability as a fundamental aspect of human existence that affects relationships in ways that go beyond sentimentality. He points out that societal norms value independence and self-interest and contend that developing moral relationships requires acknowledging the vulnerability of others. It demands a more just society that prioritises respect, protection of vulnerable people, and a feeling of mutual accountability.</w:t>
      </w:r>
      <w:r w:rsidR="008E593C" w:rsidRPr="00AA1FF1">
        <w:rPr>
          <w:rFonts w:ascii="Arial" w:hAnsi="Arial" w:cs="Arial"/>
          <w:sz w:val="22"/>
          <w:szCs w:val="22"/>
        </w:rPr>
        <w:t xml:space="preserve"> </w:t>
      </w:r>
      <w:r w:rsidRPr="00AA1FF1">
        <w:rPr>
          <w:rFonts w:ascii="Arial" w:hAnsi="Arial" w:cs="Arial"/>
          <w:sz w:val="22"/>
          <w:szCs w:val="22"/>
        </w:rPr>
        <w:t xml:space="preserve">Using Levinas's theory, vulnerable people, such as those suffering from mental illness or drug misuse problems, are the focus of being vulnerable in the circumstances such as cuckooing, which takes advantage of their vulnerabilities to utilise their houses for illegal activities. Referring Levinas's theory to Sarah's story (Cotterill, 2022), serves as a reminder of financial hardship and exploitation on how important it is to identify and address vulnerability to promote moral relationships, fight for value respect, protect the weak, and encourage mutual accountability. </w:t>
      </w:r>
    </w:p>
    <w:p w14:paraId="6EA947B0" w14:textId="77777777" w:rsidR="002B6241" w:rsidRPr="00AA1FF1" w:rsidRDefault="002B6241" w:rsidP="00B54B68">
      <w:pPr>
        <w:spacing w:line="360" w:lineRule="auto"/>
        <w:rPr>
          <w:rFonts w:ascii="Arial" w:hAnsi="Arial" w:cs="Arial"/>
          <w:sz w:val="22"/>
          <w:szCs w:val="22"/>
        </w:rPr>
      </w:pPr>
    </w:p>
    <w:p w14:paraId="38EAE774" w14:textId="77777777" w:rsidR="005C544F" w:rsidRPr="00AA1FF1" w:rsidRDefault="005C544F" w:rsidP="00B54B68">
      <w:pPr>
        <w:spacing w:line="360" w:lineRule="auto"/>
        <w:rPr>
          <w:rFonts w:ascii="Arial" w:hAnsi="Arial" w:cs="Arial"/>
          <w:sz w:val="22"/>
          <w:szCs w:val="22"/>
        </w:rPr>
      </w:pPr>
    </w:p>
    <w:p w14:paraId="79C027EB"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Another major factor of vulnerability is shown in the Financial Conduct Authority (FCA) survey that suggested 47% of UK adults exhibited one or more of the following characteristics, these include low financial resilience, limited financial capability, poor mental health, and the impact of negative life events (Omidvar, 2023). Statistics demonstrating a substantial overlap between debt and mental health concerns, impacting over 1.5 million people, suggest that those who are facing financial instability tend to be more vulnerable (Money and Mental Health, 2020). Furthermore, the reality that nearly fifty percent of UK individuals (45%) lack confidence in their capacity to manage their finances (Money &amp; Pensions Service, 2021) indicates that financial instability is widespread and underlines the connection between unstable finances and vulnerability to a range of problems.</w:t>
      </w:r>
    </w:p>
    <w:p w14:paraId="5BC8692A" w14:textId="77777777" w:rsidR="00B54B68" w:rsidRPr="00AA1FF1" w:rsidRDefault="00B54B68" w:rsidP="00B54B68">
      <w:pPr>
        <w:spacing w:line="360" w:lineRule="auto"/>
        <w:rPr>
          <w:rFonts w:ascii="Arial" w:hAnsi="Arial" w:cs="Arial"/>
          <w:sz w:val="22"/>
          <w:szCs w:val="22"/>
        </w:rPr>
      </w:pPr>
    </w:p>
    <w:p w14:paraId="712FA738" w14:textId="77777777" w:rsidR="00B54B68" w:rsidRPr="00AA1FF1" w:rsidRDefault="00B54B68" w:rsidP="00B54B68">
      <w:pPr>
        <w:spacing w:line="360" w:lineRule="auto"/>
        <w:rPr>
          <w:rFonts w:ascii="Arial" w:hAnsi="Arial" w:cs="Arial"/>
          <w:sz w:val="22"/>
          <w:szCs w:val="22"/>
        </w:rPr>
      </w:pPr>
    </w:p>
    <w:p w14:paraId="1FB84D95"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Another factor of vulnerability protected under the Equality Act is disability. Under the Equality Act, disability is defined as “if you have a physical or mental impairment that has a substantial and long-term negative effect on your ability to do normal daily activities” (GOV.UK, “Definition of Disability under the Equality Act 2010”). The case of </w:t>
      </w:r>
    </w:p>
    <w:p w14:paraId="2E116786" w14:textId="3DB8AB33"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Fiona Pilkington serves as a reminder of vulnerability in terms of equality. Fiona Pilkington tragically killed herself and her handicapped daughter Francesca Hardwick in 2007 when she endured years of abuse, harassment, and antisocial behaviour due to her daughter’s disability from the local kids (Hampshire Safeguarding Adults Board, 2009). Over a decade, the abuse was reported to the authorities on multiple occasions, however not much was done to safeguard the matter where institutional flaws were revealed in preventing antisocial behaviour and safeguarding those who are vulnerable, which sparked calls for improvements to how they are handled as well as greater support for those who have been harassed and bullied (Walker, 2009). Fiona Pilkington's story shows the serious implications of systemic failures in controlling antisocial behaviour and protecting the vulnerable, further to this, the protected characteristic under the law. For over a decade, Fiona reported the bullying and harassment to the authorities, but support wasn't provided. The failures highlight an essential factor that makes people vulnerable. There were insufficient systems of support and protection for those who are being harassed and abused which is a major factor of neglect. When people are ignored after pleading for help, it makes vulnerable people like Fiona and her daughter Francesca who may already be dealing with difficulties brought on by her disability are further ignored and put in danger.</w:t>
      </w:r>
    </w:p>
    <w:p w14:paraId="6CBD5D30" w14:textId="77777777" w:rsidR="00B54B68" w:rsidRPr="00AA1FF1" w:rsidRDefault="00B54B68" w:rsidP="00B54B68">
      <w:pPr>
        <w:spacing w:line="360" w:lineRule="auto"/>
        <w:rPr>
          <w:rFonts w:ascii="Arial" w:hAnsi="Arial" w:cs="Arial"/>
          <w:sz w:val="22"/>
          <w:szCs w:val="22"/>
        </w:rPr>
      </w:pPr>
    </w:p>
    <w:p w14:paraId="69DD0196" w14:textId="77777777" w:rsidR="004D7FE2" w:rsidRPr="00AA1FF1" w:rsidRDefault="004D7FE2" w:rsidP="00B54B68">
      <w:pPr>
        <w:spacing w:line="360" w:lineRule="auto"/>
        <w:rPr>
          <w:rFonts w:ascii="Arial" w:hAnsi="Arial" w:cs="Arial"/>
          <w:sz w:val="22"/>
          <w:szCs w:val="22"/>
        </w:rPr>
      </w:pPr>
    </w:p>
    <w:p w14:paraId="37ACEEA7"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Statistics suggest that some people with disabilities die up to 20 years earlier than those without disabilities and may face many health inequities with the development of other health risk factors (World Health Organisation, 2023). Health-related conditions include obesity, diabetes, asthma, depression, stroke, and poor dental health. Stigma, discrimination, poverty, and exclusion from jobs and education are a few examples of health disparities. </w:t>
      </w:r>
    </w:p>
    <w:p w14:paraId="12AAAE22" w14:textId="07A3D6B8"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This increases her vulnerability because of her impairment, it increases her vulnerability in mental health issues, the loss of freedom and independence, and likely experiencing domestic abuse where they are less able to protect themselves (Living Without Abuse, 2024).</w:t>
      </w:r>
      <w:r w:rsidR="005C544F" w:rsidRPr="00AA1FF1">
        <w:rPr>
          <w:rFonts w:ascii="Arial" w:hAnsi="Arial" w:cs="Arial"/>
          <w:sz w:val="22"/>
          <w:szCs w:val="22"/>
        </w:rPr>
        <w:t xml:space="preserve"> </w:t>
      </w:r>
      <w:r w:rsidRPr="00AA1FF1">
        <w:rPr>
          <w:rFonts w:ascii="Arial" w:hAnsi="Arial" w:cs="Arial"/>
          <w:sz w:val="22"/>
          <w:szCs w:val="22"/>
        </w:rPr>
        <w:t xml:space="preserve">Fiona Pilkington and Francesca Hardwick are vulnerable in a variety of ways, this includes health-related limitations, environmental difficulties, financial restrictions, social isolation, service accessibility, and legal safeguards. All </w:t>
      </w:r>
      <w:r w:rsidRPr="00AA1FF1">
        <w:rPr>
          <w:rFonts w:ascii="Arial" w:hAnsi="Arial" w:cs="Arial"/>
          <w:sz w:val="22"/>
          <w:szCs w:val="22"/>
        </w:rPr>
        <w:t>these displays</w:t>
      </w:r>
      <w:r w:rsidRPr="00AA1FF1">
        <w:rPr>
          <w:rFonts w:ascii="Arial" w:hAnsi="Arial" w:cs="Arial"/>
          <w:sz w:val="22"/>
          <w:szCs w:val="22"/>
        </w:rPr>
        <w:t xml:space="preserve"> the major contributions to her vulnerability and tragically her death. If there was the support provided, it would minimise the vulnerability factor to Fiona and Francesa where services can further provide support to minimise the remaining vulnerability factors. </w:t>
      </w:r>
    </w:p>
    <w:p w14:paraId="2A5D6F80" w14:textId="77777777" w:rsidR="00B54B68" w:rsidRPr="00AA1FF1" w:rsidRDefault="00B54B68" w:rsidP="00B54B68">
      <w:pPr>
        <w:spacing w:line="360" w:lineRule="auto"/>
        <w:rPr>
          <w:rFonts w:ascii="Arial" w:hAnsi="Arial" w:cs="Arial"/>
          <w:sz w:val="22"/>
          <w:szCs w:val="22"/>
        </w:rPr>
      </w:pPr>
    </w:p>
    <w:p w14:paraId="118908EA" w14:textId="77777777" w:rsidR="005C544F" w:rsidRPr="00AA1FF1" w:rsidRDefault="005C544F" w:rsidP="00B54B68">
      <w:pPr>
        <w:spacing w:line="360" w:lineRule="auto"/>
        <w:rPr>
          <w:rFonts w:ascii="Arial" w:hAnsi="Arial" w:cs="Arial"/>
          <w:sz w:val="22"/>
          <w:szCs w:val="22"/>
        </w:rPr>
      </w:pPr>
    </w:p>
    <w:p w14:paraId="7C56F887" w14:textId="77777777" w:rsidR="005C544F" w:rsidRPr="00AA1FF1" w:rsidRDefault="005C544F" w:rsidP="00B54B68">
      <w:pPr>
        <w:spacing w:line="360" w:lineRule="auto"/>
        <w:rPr>
          <w:rFonts w:ascii="Arial" w:hAnsi="Arial" w:cs="Arial"/>
          <w:sz w:val="22"/>
          <w:szCs w:val="22"/>
        </w:rPr>
      </w:pPr>
    </w:p>
    <w:p w14:paraId="40C75B05" w14:textId="77777777" w:rsidR="005C544F" w:rsidRPr="00AA1FF1" w:rsidRDefault="005C544F" w:rsidP="00B54B68">
      <w:pPr>
        <w:spacing w:line="360" w:lineRule="auto"/>
        <w:rPr>
          <w:rFonts w:ascii="Arial" w:hAnsi="Arial" w:cs="Arial"/>
          <w:sz w:val="22"/>
          <w:szCs w:val="22"/>
        </w:rPr>
      </w:pPr>
    </w:p>
    <w:p w14:paraId="6093C875" w14:textId="77777777" w:rsidR="005C544F" w:rsidRPr="00AA1FF1" w:rsidRDefault="005C544F" w:rsidP="00B54B68">
      <w:pPr>
        <w:spacing w:line="360" w:lineRule="auto"/>
        <w:rPr>
          <w:rFonts w:ascii="Arial" w:hAnsi="Arial" w:cs="Arial"/>
          <w:sz w:val="22"/>
          <w:szCs w:val="22"/>
        </w:rPr>
      </w:pPr>
    </w:p>
    <w:p w14:paraId="1E8501F6" w14:textId="77777777" w:rsidR="005C544F" w:rsidRPr="00AA1FF1" w:rsidRDefault="005C544F" w:rsidP="00B54B68">
      <w:pPr>
        <w:spacing w:line="360" w:lineRule="auto"/>
        <w:rPr>
          <w:rFonts w:ascii="Arial" w:hAnsi="Arial" w:cs="Arial"/>
          <w:sz w:val="22"/>
          <w:szCs w:val="22"/>
        </w:rPr>
      </w:pPr>
    </w:p>
    <w:p w14:paraId="422041F4" w14:textId="77777777" w:rsidR="005C544F" w:rsidRPr="00AA1FF1" w:rsidRDefault="005C544F" w:rsidP="00B54B68">
      <w:pPr>
        <w:spacing w:line="360" w:lineRule="auto"/>
        <w:rPr>
          <w:rFonts w:ascii="Arial" w:hAnsi="Arial" w:cs="Arial"/>
          <w:sz w:val="22"/>
          <w:szCs w:val="22"/>
        </w:rPr>
      </w:pPr>
    </w:p>
    <w:p w14:paraId="0EA86E22" w14:textId="77777777" w:rsidR="005C544F" w:rsidRPr="00AA1FF1" w:rsidRDefault="005C544F" w:rsidP="00B54B68">
      <w:pPr>
        <w:spacing w:line="360" w:lineRule="auto"/>
        <w:rPr>
          <w:rFonts w:ascii="Arial" w:hAnsi="Arial" w:cs="Arial"/>
          <w:sz w:val="22"/>
          <w:szCs w:val="22"/>
        </w:rPr>
      </w:pPr>
    </w:p>
    <w:p w14:paraId="009046D5" w14:textId="77777777" w:rsidR="005C544F" w:rsidRPr="00AA1FF1" w:rsidRDefault="005C544F" w:rsidP="00B54B68">
      <w:pPr>
        <w:spacing w:line="360" w:lineRule="auto"/>
        <w:rPr>
          <w:rFonts w:ascii="Arial" w:hAnsi="Arial" w:cs="Arial"/>
          <w:sz w:val="22"/>
          <w:szCs w:val="22"/>
        </w:rPr>
      </w:pPr>
    </w:p>
    <w:p w14:paraId="426F41EB"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Vulnerability from a cultural perspective can happen in a wide range of ways. One prime example of vulnerability within religion and culture is Female Genital Mutilation (FGM) which is practiced among some of the following religions, Christianity, Islam, and Judaism (Forward UK, 2024). Girls and young women are subjected to the destructive non-medical practice of female genital mutilation (FGM), which is prohibited in the UK and is categorised as child abuse, culture (NHS, 2019). Approximately 137,000 women and girls are impacted by the 60,000 under-15 girls who are thought to be at risk in England and Wales each year (Public Health England, 2021). The NHS FGM annual report for 2020–2021 listed 5,395 instances in England (NHS England, 2021).</w:t>
      </w:r>
    </w:p>
    <w:p w14:paraId="689648BA" w14:textId="606D623D" w:rsidR="00B54B68" w:rsidRPr="00AA1FF1" w:rsidRDefault="00B54B68" w:rsidP="00B54B68">
      <w:pPr>
        <w:spacing w:line="360" w:lineRule="auto"/>
        <w:rPr>
          <w:rFonts w:ascii="Arial" w:hAnsi="Arial" w:cs="Arial"/>
          <w:sz w:val="22"/>
          <w:szCs w:val="22"/>
        </w:rPr>
      </w:pPr>
    </w:p>
    <w:p w14:paraId="666241D8" w14:textId="77777777" w:rsidR="005C544F" w:rsidRPr="00AA1FF1" w:rsidRDefault="005C544F" w:rsidP="00B54B68">
      <w:pPr>
        <w:spacing w:line="360" w:lineRule="auto"/>
        <w:rPr>
          <w:rFonts w:ascii="Arial" w:hAnsi="Arial" w:cs="Arial"/>
          <w:sz w:val="22"/>
          <w:szCs w:val="22"/>
        </w:rPr>
      </w:pPr>
    </w:p>
    <w:p w14:paraId="5F6B2B92" w14:textId="77777777" w:rsidR="006547D7"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At the age of seven, Asseta, a mother of three, was subjected to female genital mutilation (FGM). She says, "I will never forget the experience of getting cut” (GOV.UK Department for International Development, 2014). Asseta chose to accept assistance from UNICED and UNFPA Joint Programmes in defiance of custom and to save her daughters from suffering. It's essential to consider how this scenario may put a young child at risk given their lifestyle. For instance, it could be uncomfortable for Asseta's daughters to attend a UK school where some students may not be aware of the existence of FGM in the UK. As they age, they may also start to question possible physical abnormalities as they become more aware of their bodies. This can have long-term effects on individuals who are affected since the injury is irreversible, can lead to issues during pregnancy and childbirth, mental health issues such as depression, self-harm, and flashbacks, and in extreme cases, can result in death from infections and blood loss (NSPCC, 2018). Furthermore, as some religions consider FGM a cultural, religious practice if refuse to adhere to the practice, some people are disowned by families, excommunicated, and mocked by the community (Ngozi Odo et al, 2020). Not only are they submitted to being vulnerable after having the procedure done and it is affecting the physical abnormalities and confidence in a person, but it can be significantly exacerbated by the pressure to comply with FGM. </w:t>
      </w:r>
    </w:p>
    <w:p w14:paraId="3DE7176D" w14:textId="77777777" w:rsidR="006547D7" w:rsidRPr="00AA1FF1" w:rsidRDefault="006547D7" w:rsidP="00B54B68">
      <w:pPr>
        <w:spacing w:line="360" w:lineRule="auto"/>
        <w:rPr>
          <w:rFonts w:ascii="Arial" w:hAnsi="Arial" w:cs="Arial"/>
          <w:sz w:val="22"/>
          <w:szCs w:val="22"/>
        </w:rPr>
      </w:pPr>
    </w:p>
    <w:p w14:paraId="5370AAEF" w14:textId="77777777" w:rsidR="005C544F" w:rsidRPr="00AA1FF1" w:rsidRDefault="005C544F" w:rsidP="00B54B68">
      <w:pPr>
        <w:spacing w:line="360" w:lineRule="auto"/>
        <w:rPr>
          <w:rFonts w:ascii="Arial" w:hAnsi="Arial" w:cs="Arial"/>
          <w:sz w:val="22"/>
          <w:szCs w:val="22"/>
        </w:rPr>
      </w:pPr>
    </w:p>
    <w:p w14:paraId="3F999E4E" w14:textId="77777777" w:rsidR="005C544F" w:rsidRPr="00AA1FF1" w:rsidRDefault="005C544F" w:rsidP="00B54B68">
      <w:pPr>
        <w:spacing w:line="360" w:lineRule="auto"/>
        <w:rPr>
          <w:rFonts w:ascii="Arial" w:hAnsi="Arial" w:cs="Arial"/>
          <w:sz w:val="22"/>
          <w:szCs w:val="22"/>
        </w:rPr>
      </w:pPr>
    </w:p>
    <w:p w14:paraId="51BFCB66" w14:textId="77777777" w:rsidR="005C544F" w:rsidRPr="00AA1FF1" w:rsidRDefault="005C544F" w:rsidP="00B54B68">
      <w:pPr>
        <w:spacing w:line="360" w:lineRule="auto"/>
        <w:rPr>
          <w:rFonts w:ascii="Arial" w:hAnsi="Arial" w:cs="Arial"/>
          <w:sz w:val="22"/>
          <w:szCs w:val="22"/>
        </w:rPr>
      </w:pPr>
    </w:p>
    <w:p w14:paraId="617282A2" w14:textId="77777777" w:rsidR="005C544F" w:rsidRPr="00AA1FF1" w:rsidRDefault="005C544F" w:rsidP="00B54B68">
      <w:pPr>
        <w:spacing w:line="360" w:lineRule="auto"/>
        <w:rPr>
          <w:rFonts w:ascii="Arial" w:hAnsi="Arial" w:cs="Arial"/>
          <w:sz w:val="22"/>
          <w:szCs w:val="22"/>
        </w:rPr>
      </w:pPr>
    </w:p>
    <w:p w14:paraId="095C5AE7" w14:textId="77777777" w:rsidR="005C544F" w:rsidRPr="00AA1FF1" w:rsidRDefault="005C544F" w:rsidP="00B54B68">
      <w:pPr>
        <w:spacing w:line="360" w:lineRule="auto"/>
        <w:rPr>
          <w:rFonts w:ascii="Arial" w:hAnsi="Arial" w:cs="Arial"/>
          <w:sz w:val="22"/>
          <w:szCs w:val="22"/>
        </w:rPr>
      </w:pPr>
    </w:p>
    <w:p w14:paraId="2EA05E5E" w14:textId="77777777" w:rsidR="005C544F" w:rsidRPr="00AA1FF1" w:rsidRDefault="005C544F" w:rsidP="00B54B68">
      <w:pPr>
        <w:spacing w:line="360" w:lineRule="auto"/>
        <w:rPr>
          <w:rFonts w:ascii="Arial" w:hAnsi="Arial" w:cs="Arial"/>
          <w:sz w:val="22"/>
          <w:szCs w:val="22"/>
        </w:rPr>
      </w:pPr>
    </w:p>
    <w:p w14:paraId="147AF6F8" w14:textId="77777777" w:rsidR="005C544F" w:rsidRPr="00AA1FF1" w:rsidRDefault="005C544F" w:rsidP="00B54B68">
      <w:pPr>
        <w:spacing w:line="360" w:lineRule="auto"/>
        <w:rPr>
          <w:rFonts w:ascii="Arial" w:hAnsi="Arial" w:cs="Arial"/>
          <w:sz w:val="22"/>
          <w:szCs w:val="22"/>
        </w:rPr>
      </w:pPr>
    </w:p>
    <w:p w14:paraId="48A7682D" w14:textId="77777777" w:rsidR="005C544F" w:rsidRPr="00AA1FF1" w:rsidRDefault="005C544F" w:rsidP="00B54B68">
      <w:pPr>
        <w:spacing w:line="360" w:lineRule="auto"/>
        <w:rPr>
          <w:rFonts w:ascii="Arial" w:hAnsi="Arial" w:cs="Arial"/>
          <w:sz w:val="22"/>
          <w:szCs w:val="22"/>
        </w:rPr>
      </w:pPr>
    </w:p>
    <w:p w14:paraId="170BCB51" w14:textId="77777777" w:rsidR="005C544F" w:rsidRPr="00AA1FF1" w:rsidRDefault="005C544F" w:rsidP="00B54B68">
      <w:pPr>
        <w:spacing w:line="360" w:lineRule="auto"/>
        <w:rPr>
          <w:rFonts w:ascii="Arial" w:hAnsi="Arial" w:cs="Arial"/>
          <w:sz w:val="22"/>
          <w:szCs w:val="22"/>
        </w:rPr>
      </w:pPr>
    </w:p>
    <w:p w14:paraId="7A1CD8D8" w14:textId="7BF175B5"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This also refers to GOV.UK Department for International Development (2014) from FGM being an environmental vulnerability factor as she is in Burkina Faso. Her environment displays multiple environmental factors including it being considered a norm in the culture in that part of the world and societal pressures are high in these circumstances. Also, to consider, FGM practiced in Burkina Faso also suggests there is limited legal protection as the procedure often prevails, lack of education to suggest the endless harms it can cause, and Burkina Faso is a poverty factor suggesting economic pressures are prioritised over well-being (UNICEF, 2023).</w:t>
      </w:r>
      <w:r w:rsidR="006547D7" w:rsidRPr="00AA1FF1">
        <w:rPr>
          <w:rFonts w:ascii="Arial" w:hAnsi="Arial" w:cs="Arial"/>
          <w:sz w:val="22"/>
          <w:szCs w:val="22"/>
        </w:rPr>
        <w:t xml:space="preserve"> </w:t>
      </w:r>
      <w:r w:rsidRPr="00AA1FF1">
        <w:rPr>
          <w:rFonts w:ascii="Arial" w:hAnsi="Arial" w:cs="Arial"/>
          <w:sz w:val="22"/>
          <w:szCs w:val="22"/>
        </w:rPr>
        <w:t>Should they choose to refuse the practice, they may face social, family, and psychological consequences which emphasises how crucial it is to make all efforts met to address the underlying social and cultural reasons that support and empower those who choose to refuse FGM. FGM is a major contributing factor to vulnerability as it is encountered in a few areas, one being abandoned by family and communities and the repercussions of refusing and secondly by dealing with the fallout and aftermath of FGM's damage it has on an individual's mental health including Post Traumatic Stress Disorder, Anxiety, depression, and it being a long-term disability due to poor psychosocial functioning (Tammary and Manasi, 2023).</w:t>
      </w:r>
    </w:p>
    <w:p w14:paraId="3FB7D0D4" w14:textId="77777777" w:rsidR="00B54B68" w:rsidRPr="00AA1FF1" w:rsidRDefault="00B54B68" w:rsidP="00B54B68">
      <w:pPr>
        <w:spacing w:line="360" w:lineRule="auto"/>
        <w:rPr>
          <w:rFonts w:ascii="Arial" w:hAnsi="Arial" w:cs="Arial"/>
          <w:sz w:val="22"/>
          <w:szCs w:val="22"/>
        </w:rPr>
      </w:pPr>
    </w:p>
    <w:p w14:paraId="4B96F149" w14:textId="77777777" w:rsidR="006547D7" w:rsidRPr="00AA1FF1" w:rsidRDefault="006547D7" w:rsidP="00B54B68">
      <w:pPr>
        <w:spacing w:line="360" w:lineRule="auto"/>
        <w:rPr>
          <w:rFonts w:ascii="Arial" w:hAnsi="Arial" w:cs="Arial"/>
          <w:sz w:val="22"/>
          <w:szCs w:val="22"/>
        </w:rPr>
      </w:pPr>
    </w:p>
    <w:p w14:paraId="14AC64C4" w14:textId="77777777" w:rsidR="006547D7" w:rsidRPr="00AA1FF1" w:rsidRDefault="006547D7" w:rsidP="00B54B68">
      <w:pPr>
        <w:spacing w:line="360" w:lineRule="auto"/>
        <w:rPr>
          <w:rFonts w:ascii="Arial" w:hAnsi="Arial" w:cs="Arial"/>
          <w:sz w:val="22"/>
          <w:szCs w:val="22"/>
        </w:rPr>
      </w:pPr>
    </w:p>
    <w:p w14:paraId="2144C709" w14:textId="77777777"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Another horrific vulnerability and selflessness factor that distributes itself from the above cases is the case of Sharon Beshenivsky. Police officer Sharon Beshenivsky worked in West Yorkshire, England where she answered a regular call for help at a Bradford travel firm in November 2005 when Sharon and her colleague found themselves facing armed robbers.</w:t>
      </w:r>
    </w:p>
    <w:p w14:paraId="2885761A" w14:textId="3C4F1A27" w:rsidR="008E593C" w:rsidRPr="00AA1FF1" w:rsidRDefault="00B54B68" w:rsidP="00B54B68">
      <w:pPr>
        <w:spacing w:line="360" w:lineRule="auto"/>
        <w:rPr>
          <w:rFonts w:ascii="Arial" w:hAnsi="Arial" w:cs="Arial"/>
          <w:sz w:val="22"/>
          <w:szCs w:val="22"/>
        </w:rPr>
      </w:pPr>
      <w:r w:rsidRPr="00AA1FF1">
        <w:rPr>
          <w:rFonts w:ascii="Arial" w:hAnsi="Arial" w:cs="Arial"/>
          <w:sz w:val="22"/>
          <w:szCs w:val="22"/>
        </w:rPr>
        <w:t>(BBC News, “Sharon Beshenivsky: Robbery Ringleader Guilty of PC’s 2005 Murder”, 2024). Sharon Beshenivsky was shot and killed in the confrontation, and her colleague was injured. The range of vulnerability factors that Sharon had to deal with started with the possible dangers that came with her line of work. Her passing not only raises awareness of her suspect's widespread acts, but also highlights the threat it poses to her family, her co-workers, and society. After the event, it is also critical to consider the personal sacrifice she made. From the perspective of a police officer's security, this kind of incident may be viewed as a weakness since it may highlight the absence of safety equipment meant to handle situations like armed robberies.</w:t>
      </w:r>
    </w:p>
    <w:p w14:paraId="1AFEEFD3" w14:textId="77777777" w:rsidR="009D22BA" w:rsidRPr="00AA1FF1" w:rsidRDefault="009D22BA" w:rsidP="00B54B68">
      <w:pPr>
        <w:spacing w:line="360" w:lineRule="auto"/>
        <w:rPr>
          <w:rFonts w:ascii="Arial" w:hAnsi="Arial" w:cs="Arial"/>
          <w:sz w:val="22"/>
          <w:szCs w:val="22"/>
        </w:rPr>
      </w:pPr>
    </w:p>
    <w:p w14:paraId="213C583B" w14:textId="77777777" w:rsidR="005C544F" w:rsidRPr="00AA1FF1" w:rsidRDefault="005C544F" w:rsidP="00B54B68">
      <w:pPr>
        <w:spacing w:line="360" w:lineRule="auto"/>
        <w:rPr>
          <w:rFonts w:ascii="Arial" w:hAnsi="Arial" w:cs="Arial"/>
          <w:sz w:val="22"/>
          <w:szCs w:val="22"/>
        </w:rPr>
      </w:pPr>
    </w:p>
    <w:p w14:paraId="474AA7CB" w14:textId="77777777" w:rsidR="009D22BA" w:rsidRPr="00AA1FF1" w:rsidRDefault="009D22BA" w:rsidP="00B54B68">
      <w:pPr>
        <w:spacing w:line="360" w:lineRule="auto"/>
        <w:rPr>
          <w:rFonts w:ascii="Arial" w:hAnsi="Arial" w:cs="Arial"/>
          <w:sz w:val="22"/>
          <w:szCs w:val="22"/>
        </w:rPr>
      </w:pPr>
    </w:p>
    <w:p w14:paraId="36E19F20" w14:textId="0C6F6514" w:rsidR="00B54B68" w:rsidRPr="00AA1FF1" w:rsidRDefault="00B54B68" w:rsidP="00B54B68">
      <w:pPr>
        <w:spacing w:line="360" w:lineRule="auto"/>
        <w:rPr>
          <w:rFonts w:ascii="Arial" w:hAnsi="Arial" w:cs="Arial"/>
          <w:sz w:val="22"/>
          <w:szCs w:val="22"/>
        </w:rPr>
      </w:pPr>
      <w:r w:rsidRPr="00AA1FF1">
        <w:rPr>
          <w:rFonts w:ascii="Arial" w:hAnsi="Arial" w:cs="Arial"/>
          <w:sz w:val="22"/>
          <w:szCs w:val="22"/>
        </w:rPr>
        <w:t xml:space="preserve">Vulnerability is influenced by societal, political, environmental, and individual factors which may have an impact on everything from personal issues to the world's socioeconomic institutions (UNDRR, 2017). It involves vulnerability to injury or exploitation because of both internal and external factors, which requires extensive reduction strategies. Individual vulnerabilities like drug abuse and mental health disorders, along with socioeconomic problems like poverty and inequality, increase vulnerability and require the protection of legal protections like the Equality Act 2010. The case studies provided serve as a reminder that there is the need to address underlying norms and environmental dangers, which are made clear by cultural traditions such as female genital mutilation, financial scandalous gain, and criminal activities like cuckooing, which further exploits vulnerabilities. Considering the case of Sharon Beshenisvky, her occupation, and lack of protection had an impact on her vulnerability displays that vulnerability can happen in short-term situations, not just long-term. A comprehensive strategy must be in place to tackle inequality in society, by fostering equality and enhancing community resilience to reduce vulnerability and ensure the welfare of every person. Because of its comprehensive understanding of vulnerability in every aspect of human existence, Levinas's theory of "The Three Faces of Vulnerability" has significant implications for social justice, ethics, and real-world interventions that improve the welfare of both people and communities. It is beneficial to apply his theory to the cases as it gives a broader understanding of the different types of vulnerability and the contributing factors of its nature.  </w:t>
      </w:r>
    </w:p>
    <w:p w14:paraId="10671262" w14:textId="77777777" w:rsidR="006E5E0E" w:rsidRDefault="006E5E0E" w:rsidP="002A3581"/>
    <w:p w14:paraId="6E10F13C" w14:textId="77777777" w:rsidR="006E5E0E" w:rsidRDefault="006E5E0E" w:rsidP="002A3581"/>
    <w:p w14:paraId="6EED53B7" w14:textId="77777777" w:rsidR="006E5E0E" w:rsidRDefault="006E5E0E" w:rsidP="002A3581"/>
    <w:p w14:paraId="350E0BA7" w14:textId="77777777" w:rsidR="006E5E0E" w:rsidRDefault="006E5E0E" w:rsidP="002A3581"/>
    <w:p w14:paraId="4F76D05C" w14:textId="77777777" w:rsidR="006E5E0E" w:rsidRDefault="006E5E0E" w:rsidP="002A3581"/>
    <w:p w14:paraId="338A661E" w14:textId="77777777" w:rsidR="006E5E0E" w:rsidRDefault="006E5E0E" w:rsidP="002A3581"/>
    <w:p w14:paraId="40000F0B" w14:textId="77777777" w:rsidR="006E5E0E" w:rsidRDefault="006E5E0E" w:rsidP="002A3581"/>
    <w:p w14:paraId="11785848" w14:textId="77777777" w:rsidR="006E5E0E" w:rsidRDefault="006E5E0E" w:rsidP="002A3581"/>
    <w:p w14:paraId="27C1D8C0" w14:textId="77777777" w:rsidR="006E5E0E" w:rsidRDefault="006E5E0E" w:rsidP="002A3581"/>
    <w:p w14:paraId="1EC0F8FC" w14:textId="77777777" w:rsidR="006E5E0E" w:rsidRDefault="006E5E0E" w:rsidP="002A3581"/>
    <w:p w14:paraId="6F424602" w14:textId="77777777" w:rsidR="00675F07" w:rsidRDefault="00675F07" w:rsidP="002A3581"/>
    <w:p w14:paraId="69889F47" w14:textId="77777777" w:rsidR="00675F07" w:rsidRDefault="00675F07" w:rsidP="002A3581"/>
    <w:p w14:paraId="4BE5E160" w14:textId="77777777" w:rsidR="00675F07" w:rsidRDefault="00675F07" w:rsidP="002A3581"/>
    <w:p w14:paraId="2B2E2310" w14:textId="77777777" w:rsidR="00675F07" w:rsidRDefault="00675F07" w:rsidP="002A3581"/>
    <w:p w14:paraId="42828B3C" w14:textId="77777777" w:rsidR="00675F07" w:rsidRDefault="00675F07" w:rsidP="002A3581"/>
    <w:p w14:paraId="7DAC61ED" w14:textId="77777777" w:rsidR="00675F07" w:rsidRDefault="00675F07" w:rsidP="002A3581"/>
    <w:p w14:paraId="7F4B0CDF" w14:textId="77777777" w:rsidR="00675F07" w:rsidRDefault="00675F07" w:rsidP="002A3581"/>
    <w:p w14:paraId="2DD5AC8F" w14:textId="77777777" w:rsidR="00675F07" w:rsidRDefault="00675F07" w:rsidP="002A3581"/>
    <w:p w14:paraId="19C71DA6" w14:textId="77777777" w:rsidR="00675F07" w:rsidRDefault="00675F07" w:rsidP="002A3581"/>
    <w:p w14:paraId="6F5E93ED" w14:textId="77777777" w:rsidR="00675F07" w:rsidRDefault="00675F07" w:rsidP="002A3581"/>
    <w:p w14:paraId="1CBA6185" w14:textId="77777777" w:rsidR="00675F07" w:rsidRDefault="00675F07" w:rsidP="002A3581"/>
    <w:p w14:paraId="7E64E7D3" w14:textId="2D8CCB79" w:rsidR="00675F07" w:rsidRPr="00675F07" w:rsidRDefault="00675F07" w:rsidP="00675F07">
      <w:pPr>
        <w:spacing w:line="360" w:lineRule="auto"/>
        <w:jc w:val="center"/>
        <w:outlineLvl w:val="0"/>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t>Reference List</w:t>
      </w:r>
    </w:p>
    <w:p w14:paraId="001E813E"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BBC News. “Carer Jailed for Stealing £290,000 from 102-Year-Old Woman.” </w:t>
      </w:r>
      <w:r w:rsidRPr="00675F07">
        <w:rPr>
          <w:rFonts w:ascii="Arial" w:eastAsia="Times New Roman" w:hAnsi="Arial" w:cs="Arial"/>
          <w:i/>
          <w:iCs/>
          <w:color w:val="000000"/>
          <w:kern w:val="0"/>
          <w:sz w:val="22"/>
          <w:szCs w:val="22"/>
          <w:lang w:eastAsia="en-GB"/>
          <w14:ligatures w14:val="none"/>
        </w:rPr>
        <w:t>BBC News</w:t>
      </w:r>
      <w:r w:rsidRPr="00675F07">
        <w:rPr>
          <w:rFonts w:ascii="Arial" w:eastAsia="Times New Roman" w:hAnsi="Arial" w:cs="Arial"/>
          <w:color w:val="000000"/>
          <w:kern w:val="0"/>
          <w:sz w:val="22"/>
          <w:szCs w:val="22"/>
          <w:lang w:eastAsia="en-GB"/>
          <w14:ligatures w14:val="none"/>
        </w:rPr>
        <w:t>, 26 June 2017, www.bbc.co.uk/news/uk-england-humber-40405248. Accessed 1 Apr. 2024.</w:t>
      </w:r>
    </w:p>
    <w:p w14:paraId="2D50D71B"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 “Sharon Beshenivsky: Robbery Ringleader Guilty of PC’s 2005 Murder.” </w:t>
      </w:r>
      <w:r w:rsidRPr="00675F07">
        <w:rPr>
          <w:rFonts w:ascii="Arial" w:eastAsia="Times New Roman" w:hAnsi="Arial" w:cs="Arial"/>
          <w:i/>
          <w:iCs/>
          <w:color w:val="000000"/>
          <w:kern w:val="0"/>
          <w:sz w:val="22"/>
          <w:szCs w:val="22"/>
          <w:lang w:eastAsia="en-GB"/>
          <w14:ligatures w14:val="none"/>
        </w:rPr>
        <w:t>BBC News</w:t>
      </w:r>
      <w:r w:rsidRPr="00675F07">
        <w:rPr>
          <w:rFonts w:ascii="Arial" w:eastAsia="Times New Roman" w:hAnsi="Arial" w:cs="Arial"/>
          <w:color w:val="000000"/>
          <w:kern w:val="0"/>
          <w:sz w:val="22"/>
          <w:szCs w:val="22"/>
          <w:lang w:eastAsia="en-GB"/>
          <w14:ligatures w14:val="none"/>
        </w:rPr>
        <w:t>, 4 Apr. 2024, www.bbc.co.uk/news/uk-england-bradford-west-yorkshire-68685046. Accessed 5 Apr. 2024.</w:t>
      </w:r>
    </w:p>
    <w:p w14:paraId="1158E767"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Cotterill, Becky. ““I Thought They Were Being Kind”: “Cuckooing” Victim Reveals How Drug Dealers Took over Her Flat.” </w:t>
      </w:r>
      <w:r w:rsidRPr="00675F07">
        <w:rPr>
          <w:rFonts w:ascii="Arial" w:eastAsia="Times New Roman" w:hAnsi="Arial" w:cs="Arial"/>
          <w:i/>
          <w:iCs/>
          <w:color w:val="000000"/>
          <w:kern w:val="0"/>
          <w:sz w:val="22"/>
          <w:szCs w:val="22"/>
          <w:lang w:eastAsia="en-GB"/>
          <w14:ligatures w14:val="none"/>
        </w:rPr>
        <w:t>Sky News</w:t>
      </w:r>
      <w:r w:rsidRPr="00675F07">
        <w:rPr>
          <w:rFonts w:ascii="Arial" w:eastAsia="Times New Roman" w:hAnsi="Arial" w:cs="Arial"/>
          <w:color w:val="000000"/>
          <w:kern w:val="0"/>
          <w:sz w:val="22"/>
          <w:szCs w:val="22"/>
          <w:lang w:eastAsia="en-GB"/>
          <w14:ligatures w14:val="none"/>
        </w:rPr>
        <w:t>, 3 Apr. 2022, news.sky.com/story/i-thought-they-were-being-kind-cuckooing-victim-reveals-how-drug-dealers-took-over-her-flat-12580191. Accessed 27 Mar. 2024.</w:t>
      </w:r>
    </w:p>
    <w:p w14:paraId="1AB20BF3"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Esposito, Tonino, et al. “The Effects of Socioeconomic Vulnerability, Psychosocial Services, and Social Service Spending on Family Reunification: A Multilevel Longitudinal Analysis.” </w:t>
      </w:r>
      <w:r w:rsidRPr="00675F07">
        <w:rPr>
          <w:rFonts w:ascii="Arial" w:eastAsia="Times New Roman" w:hAnsi="Arial" w:cs="Arial"/>
          <w:i/>
          <w:iCs/>
          <w:color w:val="000000"/>
          <w:kern w:val="0"/>
          <w:sz w:val="22"/>
          <w:szCs w:val="22"/>
          <w:lang w:eastAsia="en-GB"/>
          <w14:ligatures w14:val="none"/>
        </w:rPr>
        <w:t>International Journal of Environmental Research and Public Health</w:t>
      </w:r>
      <w:r w:rsidRPr="00675F07">
        <w:rPr>
          <w:rFonts w:ascii="Arial" w:eastAsia="Times New Roman" w:hAnsi="Arial" w:cs="Arial"/>
          <w:color w:val="000000"/>
          <w:kern w:val="0"/>
          <w:sz w:val="22"/>
          <w:szCs w:val="22"/>
          <w:lang w:eastAsia="en-GB"/>
          <w14:ligatures w14:val="none"/>
        </w:rPr>
        <w:t>, vol. 14, no. 9, 9 Sept. 2017, p. 1040, www.ncbi.nlm.nih.gov/pmc/articles/PMC5615577/, https://doi.org/10.3390/ijerph14091040. Accessed 27 Mar. 2024.</w:t>
      </w:r>
    </w:p>
    <w:p w14:paraId="3B811F3A"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Forward UK. “FGM and Religion.” </w:t>
      </w:r>
      <w:r w:rsidRPr="00675F07">
        <w:rPr>
          <w:rFonts w:ascii="Arial" w:eastAsia="Times New Roman" w:hAnsi="Arial" w:cs="Arial"/>
          <w:i/>
          <w:iCs/>
          <w:color w:val="000000"/>
          <w:kern w:val="0"/>
          <w:sz w:val="22"/>
          <w:szCs w:val="22"/>
          <w:lang w:eastAsia="en-GB"/>
          <w14:ligatures w14:val="none"/>
        </w:rPr>
        <w:t>FORWARD</w:t>
      </w:r>
      <w:r w:rsidRPr="00675F07">
        <w:rPr>
          <w:rFonts w:ascii="Arial" w:eastAsia="Times New Roman" w:hAnsi="Arial" w:cs="Arial"/>
          <w:color w:val="000000"/>
          <w:kern w:val="0"/>
          <w:sz w:val="22"/>
          <w:szCs w:val="22"/>
          <w:lang w:eastAsia="en-GB"/>
          <w14:ligatures w14:val="none"/>
        </w:rPr>
        <w:t>, 2024, www.forwarduk.org.uk/who-we-work-with/faith-community-leaders/fgm-and-religion/. Accessed 2 Apr. 2024.</w:t>
      </w:r>
    </w:p>
    <w:p w14:paraId="6397C584"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GOV.UK. “Definition of Disability under the Equality Act 2010.” </w:t>
      </w:r>
      <w:r w:rsidRPr="00675F07">
        <w:rPr>
          <w:rFonts w:ascii="Arial" w:eastAsia="Times New Roman" w:hAnsi="Arial" w:cs="Arial"/>
          <w:i/>
          <w:iCs/>
          <w:color w:val="000000"/>
          <w:kern w:val="0"/>
          <w:sz w:val="22"/>
          <w:szCs w:val="22"/>
          <w:lang w:eastAsia="en-GB"/>
          <w14:ligatures w14:val="none"/>
        </w:rPr>
        <w:t>GOV.UK</w:t>
      </w:r>
      <w:r w:rsidRPr="00675F07">
        <w:rPr>
          <w:rFonts w:ascii="Arial" w:eastAsia="Times New Roman" w:hAnsi="Arial" w:cs="Arial"/>
          <w:color w:val="000000"/>
          <w:kern w:val="0"/>
          <w:sz w:val="22"/>
          <w:szCs w:val="22"/>
          <w:lang w:eastAsia="en-GB"/>
          <w14:ligatures w14:val="none"/>
        </w:rPr>
        <w:t>, 2010, www.gov.uk/definition-of-disability-under-equality-act-2010. Accessed 1 Apr. 2024.</w:t>
      </w:r>
    </w:p>
    <w:p w14:paraId="508143CD"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 “Equality Act 2010.” </w:t>
      </w:r>
      <w:r w:rsidRPr="00675F07">
        <w:rPr>
          <w:rFonts w:ascii="Arial" w:eastAsia="Times New Roman" w:hAnsi="Arial" w:cs="Arial"/>
          <w:i/>
          <w:iCs/>
          <w:color w:val="000000"/>
          <w:kern w:val="0"/>
          <w:sz w:val="22"/>
          <w:szCs w:val="22"/>
          <w:lang w:eastAsia="en-GB"/>
          <w14:ligatures w14:val="none"/>
        </w:rPr>
        <w:t>GOV.UK</w:t>
      </w:r>
      <w:r w:rsidRPr="00675F07">
        <w:rPr>
          <w:rFonts w:ascii="Arial" w:eastAsia="Times New Roman" w:hAnsi="Arial" w:cs="Arial"/>
          <w:color w:val="000000"/>
          <w:kern w:val="0"/>
          <w:sz w:val="22"/>
          <w:szCs w:val="22"/>
          <w:lang w:eastAsia="en-GB"/>
          <w14:ligatures w14:val="none"/>
        </w:rPr>
        <w:t>, Gov.uk, 16 June 2015, www.gov.uk/guidance/equality-act-2010-guidance. Accessed 28 Mar. 2024.</w:t>
      </w:r>
    </w:p>
    <w:p w14:paraId="0A12EA11" w14:textId="3672944E"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 xml:space="preserve">GOV.UK Department for International </w:t>
      </w:r>
      <w:r w:rsidRPr="00675F07">
        <w:rPr>
          <w:rFonts w:ascii="Arial" w:eastAsia="Times New Roman" w:hAnsi="Arial" w:cs="Arial"/>
          <w:color w:val="000000"/>
          <w:kern w:val="0"/>
          <w:sz w:val="22"/>
          <w:szCs w:val="22"/>
          <w:lang w:eastAsia="en-GB"/>
          <w14:ligatures w14:val="none"/>
        </w:rPr>
        <w:t>Development.</w:t>
      </w:r>
      <w:r w:rsidRPr="00675F07">
        <w:rPr>
          <w:rFonts w:ascii="Arial" w:eastAsia="Times New Roman" w:hAnsi="Arial" w:cs="Arial"/>
          <w:color w:val="000000"/>
          <w:kern w:val="0"/>
          <w:sz w:val="22"/>
          <w:szCs w:val="22"/>
          <w:lang w:eastAsia="en-GB"/>
          <w14:ligatures w14:val="none"/>
        </w:rPr>
        <w:t xml:space="preserve"> “Female Genital Mutilation: “My Courageous Decision to Go against Tradition.”” </w:t>
      </w:r>
      <w:r w:rsidRPr="00675F07">
        <w:rPr>
          <w:rFonts w:ascii="Arial" w:eastAsia="Times New Roman" w:hAnsi="Arial" w:cs="Arial"/>
          <w:i/>
          <w:iCs/>
          <w:color w:val="000000"/>
          <w:kern w:val="0"/>
          <w:sz w:val="22"/>
          <w:szCs w:val="22"/>
          <w:lang w:eastAsia="en-GB"/>
          <w14:ligatures w14:val="none"/>
        </w:rPr>
        <w:t>GOV.UK</w:t>
      </w:r>
      <w:r w:rsidRPr="00675F07">
        <w:rPr>
          <w:rFonts w:ascii="Arial" w:eastAsia="Times New Roman" w:hAnsi="Arial" w:cs="Arial"/>
          <w:color w:val="000000"/>
          <w:kern w:val="0"/>
          <w:sz w:val="22"/>
          <w:szCs w:val="22"/>
          <w:lang w:eastAsia="en-GB"/>
          <w14:ligatures w14:val="none"/>
        </w:rPr>
        <w:t>, 27 Mar. 2014, www.gov.uk/government/case-studies/female-genital-mutilation-my-courageous-decision-to-go-against-tradition. Accessed 3 Apr. 2024.</w:t>
      </w:r>
    </w:p>
    <w:p w14:paraId="12AA3272"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Hampshire Safeguarding Adults Board. “Fiona Pilkington (Leicestershire) | Hampshire Safeguarding Adults Board.” </w:t>
      </w:r>
      <w:r w:rsidRPr="00675F07">
        <w:rPr>
          <w:rFonts w:ascii="Arial" w:eastAsia="Times New Roman" w:hAnsi="Arial" w:cs="Arial"/>
          <w:i/>
          <w:iCs/>
          <w:color w:val="000000"/>
          <w:kern w:val="0"/>
          <w:sz w:val="22"/>
          <w:szCs w:val="22"/>
          <w:lang w:eastAsia="en-GB"/>
          <w14:ligatures w14:val="none"/>
        </w:rPr>
        <w:t>Hampshire Safeguarding Adults Board</w:t>
      </w:r>
      <w:r w:rsidRPr="00675F07">
        <w:rPr>
          <w:rFonts w:ascii="Arial" w:eastAsia="Times New Roman" w:hAnsi="Arial" w:cs="Arial"/>
          <w:color w:val="000000"/>
          <w:kern w:val="0"/>
          <w:sz w:val="22"/>
          <w:szCs w:val="22"/>
          <w:lang w:eastAsia="en-GB"/>
          <w14:ligatures w14:val="none"/>
        </w:rPr>
        <w:t>, 2009, www.hampshiresab.org.uk/learning-from-experience-database/serious-case-reviews/fiona-pilkington-leicestershire/. Accessed 1 Apr. 2024.</w:t>
      </w:r>
    </w:p>
    <w:p w14:paraId="265DEF98"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Kuran, Christian Henrik Alexander, et al. “Vulnerability and Vulnerable Groups from an Intersectionality Perspective.” </w:t>
      </w:r>
      <w:r w:rsidRPr="00675F07">
        <w:rPr>
          <w:rFonts w:ascii="Arial" w:eastAsia="Times New Roman" w:hAnsi="Arial" w:cs="Arial"/>
          <w:i/>
          <w:iCs/>
          <w:color w:val="000000"/>
          <w:kern w:val="0"/>
          <w:sz w:val="22"/>
          <w:szCs w:val="22"/>
          <w:lang w:eastAsia="en-GB"/>
          <w14:ligatures w14:val="none"/>
        </w:rPr>
        <w:t>International Journal of Disaster Risk Reduction</w:t>
      </w:r>
      <w:r w:rsidRPr="00675F07">
        <w:rPr>
          <w:rFonts w:ascii="Arial" w:eastAsia="Times New Roman" w:hAnsi="Arial" w:cs="Arial"/>
          <w:color w:val="000000"/>
          <w:kern w:val="0"/>
          <w:sz w:val="22"/>
          <w:szCs w:val="22"/>
          <w:lang w:eastAsia="en-GB"/>
          <w14:ligatures w14:val="none"/>
        </w:rPr>
        <w:t>, vol. 50, Nov. 2020, p. 101826, www.sciencedirect.com/science/article/pii/S2212420920313285, https://doi.org/10.1016/j.ijdrr.2020.101826. Accessed 27 Mar. 2024.</w:t>
      </w:r>
    </w:p>
    <w:p w14:paraId="7CBD6C30" w14:textId="56E851BB"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Lee, Evie. “What Is Cuckooing?” </w:t>
      </w:r>
      <w:r w:rsidRPr="00675F07">
        <w:rPr>
          <w:rFonts w:ascii="Arial" w:eastAsia="Times New Roman" w:hAnsi="Arial" w:cs="Arial"/>
          <w:i/>
          <w:iCs/>
          <w:color w:val="000000"/>
          <w:kern w:val="0"/>
          <w:sz w:val="22"/>
          <w:szCs w:val="22"/>
          <w:lang w:eastAsia="en-GB"/>
          <w14:ligatures w14:val="none"/>
        </w:rPr>
        <w:t>CPD Online College</w:t>
      </w:r>
      <w:r w:rsidRPr="00675F07">
        <w:rPr>
          <w:rFonts w:ascii="Arial" w:eastAsia="Times New Roman" w:hAnsi="Arial" w:cs="Arial"/>
          <w:color w:val="000000"/>
          <w:kern w:val="0"/>
          <w:sz w:val="22"/>
          <w:szCs w:val="22"/>
          <w:lang w:eastAsia="en-GB"/>
          <w14:ligatures w14:val="none"/>
        </w:rPr>
        <w:t>, 10 Aug. 2022, cpdonline.co.uk/</w:t>
      </w:r>
      <w:r w:rsidRPr="00675F07">
        <w:rPr>
          <w:rFonts w:ascii="Arial" w:eastAsia="Times New Roman" w:hAnsi="Arial" w:cs="Arial"/>
          <w:color w:val="000000"/>
          <w:kern w:val="0"/>
          <w:sz w:val="22"/>
          <w:szCs w:val="22"/>
          <w:lang w:eastAsia="en-GB"/>
          <w14:ligatures w14:val="none"/>
        </w:rPr>
        <w:t>knowledgebase</w:t>
      </w:r>
      <w:r w:rsidRPr="00675F07">
        <w:rPr>
          <w:rFonts w:ascii="Arial" w:eastAsia="Times New Roman" w:hAnsi="Arial" w:cs="Arial"/>
          <w:color w:val="000000"/>
          <w:kern w:val="0"/>
          <w:sz w:val="22"/>
          <w:szCs w:val="22"/>
          <w:lang w:eastAsia="en-GB"/>
          <w14:ligatures w14:val="none"/>
        </w:rPr>
        <w:t>/safeguarding/cuckooing/. Accessed 28 Mar. 2024.</w:t>
      </w:r>
    </w:p>
    <w:p w14:paraId="09EC62B4"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Levinas, Emmanuel. “THE THREE FACES of VULNERABILITY.” </w:t>
      </w:r>
      <w:r w:rsidRPr="00675F07">
        <w:rPr>
          <w:rFonts w:ascii="Arial" w:eastAsia="Times New Roman" w:hAnsi="Arial" w:cs="Arial"/>
          <w:i/>
          <w:iCs/>
          <w:color w:val="000000"/>
          <w:kern w:val="0"/>
          <w:sz w:val="22"/>
          <w:szCs w:val="22"/>
          <w:lang w:eastAsia="en-GB"/>
          <w14:ligatures w14:val="none"/>
        </w:rPr>
        <w:t>Angelaki</w:t>
      </w:r>
      <w:r w:rsidRPr="00675F07">
        <w:rPr>
          <w:rFonts w:ascii="Arial" w:eastAsia="Times New Roman" w:hAnsi="Arial" w:cs="Arial"/>
          <w:color w:val="000000"/>
          <w:kern w:val="0"/>
          <w:sz w:val="22"/>
          <w:szCs w:val="22"/>
          <w:lang w:eastAsia="en-GB"/>
          <w14:ligatures w14:val="none"/>
        </w:rPr>
        <w:t>, vol. 25, no. 1-2, 26 Feb. 2020, pp. 209–221, www-tandfonline-com.ezproxy.uwtsd.ac.uk/doi/full/10.1080/0969725X.2020.1717807, https://doi.org/10.1080/0969725x.2020.1717807. Accessed 29 Mar. 2024.</w:t>
      </w:r>
    </w:p>
    <w:p w14:paraId="4C935135"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Living Without Abuse. “Disability Abuse | Lwa.org.uk.” </w:t>
      </w:r>
      <w:r w:rsidRPr="00675F07">
        <w:rPr>
          <w:rFonts w:ascii="Arial" w:eastAsia="Times New Roman" w:hAnsi="Arial" w:cs="Arial"/>
          <w:i/>
          <w:iCs/>
          <w:color w:val="000000"/>
          <w:kern w:val="0"/>
          <w:sz w:val="22"/>
          <w:szCs w:val="22"/>
          <w:lang w:eastAsia="en-GB"/>
          <w14:ligatures w14:val="none"/>
        </w:rPr>
        <w:t>LWA</w:t>
      </w:r>
      <w:r w:rsidRPr="00675F07">
        <w:rPr>
          <w:rFonts w:ascii="Arial" w:eastAsia="Times New Roman" w:hAnsi="Arial" w:cs="Arial"/>
          <w:color w:val="000000"/>
          <w:kern w:val="0"/>
          <w:sz w:val="22"/>
          <w:szCs w:val="22"/>
          <w:lang w:eastAsia="en-GB"/>
          <w14:ligatures w14:val="none"/>
        </w:rPr>
        <w:t>, 2024, lwa.org.uk/understanding-abuse/who-is-affected-by-abuse/disability-abuse/#:~:text=A%20disabled%20person%20is%20more. Accessed 4 Apr. 2024.</w:t>
      </w:r>
    </w:p>
    <w:p w14:paraId="4A9F3279"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Money &amp; Pensions Service. “24 Million UK Adults Don’t Feel Confident Managing Their Money, Talk Money Week Is Here to Help | Money and Pensions Service.” </w:t>
      </w:r>
      <w:r w:rsidRPr="00675F07">
        <w:rPr>
          <w:rFonts w:ascii="Arial" w:eastAsia="Times New Roman" w:hAnsi="Arial" w:cs="Arial"/>
          <w:i/>
          <w:iCs/>
          <w:color w:val="000000"/>
          <w:kern w:val="0"/>
          <w:sz w:val="22"/>
          <w:szCs w:val="22"/>
          <w:lang w:eastAsia="en-GB"/>
          <w14:ligatures w14:val="none"/>
        </w:rPr>
        <w:t>MaPS</w:t>
      </w:r>
      <w:r w:rsidRPr="00675F07">
        <w:rPr>
          <w:rFonts w:ascii="Arial" w:eastAsia="Times New Roman" w:hAnsi="Arial" w:cs="Arial"/>
          <w:color w:val="000000"/>
          <w:kern w:val="0"/>
          <w:sz w:val="22"/>
          <w:szCs w:val="22"/>
          <w:lang w:eastAsia="en-GB"/>
          <w14:ligatures w14:val="none"/>
        </w:rPr>
        <w:t>, 10 Nov. 2021, maps.org.uk/en/media-centre/press-releases/2021/24-million-uk-adults-dont-feel-confident-managing-their-money-talk-money-week-is-here-to-help#. Accessed 29 Mar. 2024.</w:t>
      </w:r>
    </w:p>
    <w:p w14:paraId="58602C17"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Money and Mental Health. “Money and Mental Health Facts and Statistics - a Money and Mental Health Policy Institute Factsheet.” </w:t>
      </w:r>
      <w:r w:rsidRPr="00675F07">
        <w:rPr>
          <w:rFonts w:ascii="Arial" w:eastAsia="Times New Roman" w:hAnsi="Arial" w:cs="Arial"/>
          <w:i/>
          <w:iCs/>
          <w:color w:val="000000"/>
          <w:kern w:val="0"/>
          <w:sz w:val="22"/>
          <w:szCs w:val="22"/>
          <w:lang w:eastAsia="en-GB"/>
          <w14:ligatures w14:val="none"/>
        </w:rPr>
        <w:t>Money and Mental Health Policy Institute</w:t>
      </w:r>
      <w:r w:rsidRPr="00675F07">
        <w:rPr>
          <w:rFonts w:ascii="Arial" w:eastAsia="Times New Roman" w:hAnsi="Arial" w:cs="Arial"/>
          <w:color w:val="000000"/>
          <w:kern w:val="0"/>
          <w:sz w:val="22"/>
          <w:szCs w:val="22"/>
          <w:lang w:eastAsia="en-GB"/>
          <w14:ligatures w14:val="none"/>
        </w:rPr>
        <w:t>, 2020, www.moneyandmentalhealth.org/money-and-mental-health-facts/. Accessed 29 Mar. 2024.</w:t>
      </w:r>
    </w:p>
    <w:p w14:paraId="7C8849EA"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Ngozi Odo, Amelia, et al. “Towards Characterization of Female Genital Mutilation (FGM) in Rural Nigeria.” </w:t>
      </w:r>
      <w:r w:rsidRPr="00675F07">
        <w:rPr>
          <w:rFonts w:ascii="Arial" w:eastAsia="Times New Roman" w:hAnsi="Arial" w:cs="Arial"/>
          <w:i/>
          <w:iCs/>
          <w:color w:val="000000"/>
          <w:kern w:val="0"/>
          <w:sz w:val="22"/>
          <w:szCs w:val="22"/>
          <w:lang w:eastAsia="en-GB"/>
          <w14:ligatures w14:val="none"/>
        </w:rPr>
        <w:t>African Health Sciences</w:t>
      </w:r>
      <w:r w:rsidRPr="00675F07">
        <w:rPr>
          <w:rFonts w:ascii="Arial" w:eastAsia="Times New Roman" w:hAnsi="Arial" w:cs="Arial"/>
          <w:color w:val="000000"/>
          <w:kern w:val="0"/>
          <w:sz w:val="22"/>
          <w:szCs w:val="22"/>
          <w:lang w:eastAsia="en-GB"/>
          <w14:ligatures w14:val="none"/>
        </w:rPr>
        <w:t>, vol. 20, no. 4, 16 Dec. 2020, pp. 1968–78, www.ncbi.nlm.nih.gov/pmc/articles/PMC8351817/#:~:text=Consequences%20for%20refusing%20FGM&amp;text=The%20person%20could%20be%20excommunicated,she%20accepts%20to%20be%20circumcised., https://doi.org/10.4314/ahs.v20i4.55. Accessed 3 Apr. 2024.</w:t>
      </w:r>
    </w:p>
    <w:p w14:paraId="138894DD"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NHS . “Female Genital Mutilation (FGM).” </w:t>
      </w:r>
      <w:r w:rsidRPr="00675F07">
        <w:rPr>
          <w:rFonts w:ascii="Arial" w:eastAsia="Times New Roman" w:hAnsi="Arial" w:cs="Arial"/>
          <w:i/>
          <w:iCs/>
          <w:color w:val="000000"/>
          <w:kern w:val="0"/>
          <w:sz w:val="22"/>
          <w:szCs w:val="22"/>
          <w:lang w:eastAsia="en-GB"/>
          <w14:ligatures w14:val="none"/>
        </w:rPr>
        <w:t>NHS Health</w:t>
      </w:r>
      <w:r w:rsidRPr="00675F07">
        <w:rPr>
          <w:rFonts w:ascii="Arial" w:eastAsia="Times New Roman" w:hAnsi="Arial" w:cs="Arial"/>
          <w:color w:val="000000"/>
          <w:kern w:val="0"/>
          <w:sz w:val="22"/>
          <w:szCs w:val="22"/>
          <w:lang w:eastAsia="en-GB"/>
          <w14:ligatures w14:val="none"/>
        </w:rPr>
        <w:t>, NHS Health, 20 May 2019, www.nhs.uk/conditions/female-genital-mutilation-fgm/. Accessed 2 Apr. 2024.</w:t>
      </w:r>
    </w:p>
    <w:p w14:paraId="79C3A9B0"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NHS England. “Female Genital Mutilation (FGM) Annual Report - April 2020 to March 2021 (Experimental Statistics Report).” </w:t>
      </w:r>
      <w:r w:rsidRPr="00675F07">
        <w:rPr>
          <w:rFonts w:ascii="Arial" w:eastAsia="Times New Roman" w:hAnsi="Arial" w:cs="Arial"/>
          <w:i/>
          <w:iCs/>
          <w:color w:val="000000"/>
          <w:kern w:val="0"/>
          <w:sz w:val="22"/>
          <w:szCs w:val="22"/>
          <w:lang w:eastAsia="en-GB"/>
          <w14:ligatures w14:val="none"/>
        </w:rPr>
        <w:t>NHS Digital</w:t>
      </w:r>
      <w:r w:rsidRPr="00675F07">
        <w:rPr>
          <w:rFonts w:ascii="Arial" w:eastAsia="Times New Roman" w:hAnsi="Arial" w:cs="Arial"/>
          <w:color w:val="000000"/>
          <w:kern w:val="0"/>
          <w:sz w:val="22"/>
          <w:szCs w:val="22"/>
          <w:lang w:eastAsia="en-GB"/>
          <w14:ligatures w14:val="none"/>
        </w:rPr>
        <w:t>, 22 July 2021, digital.nhs.uk/data-and-information/publications/statistical/female-genital-mutilation/april-2020-to-march-2021. Accessed 2 Apr. 2024.</w:t>
      </w:r>
    </w:p>
    <w:p w14:paraId="6251C91C"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NIDirect. “Recognising Adult Abuse, Exploitation and Neglect | Nidirect.” </w:t>
      </w:r>
      <w:r w:rsidRPr="00675F07">
        <w:rPr>
          <w:rFonts w:ascii="Arial" w:eastAsia="Times New Roman" w:hAnsi="Arial" w:cs="Arial"/>
          <w:i/>
          <w:iCs/>
          <w:color w:val="000000"/>
          <w:kern w:val="0"/>
          <w:sz w:val="22"/>
          <w:szCs w:val="22"/>
          <w:lang w:eastAsia="en-GB"/>
          <w14:ligatures w14:val="none"/>
        </w:rPr>
        <w:t>Nidirect</w:t>
      </w:r>
      <w:r w:rsidRPr="00675F07">
        <w:rPr>
          <w:rFonts w:ascii="Arial" w:eastAsia="Times New Roman" w:hAnsi="Arial" w:cs="Arial"/>
          <w:color w:val="000000"/>
          <w:kern w:val="0"/>
          <w:sz w:val="22"/>
          <w:szCs w:val="22"/>
          <w:lang w:eastAsia="en-GB"/>
          <w14:ligatures w14:val="none"/>
        </w:rPr>
        <w:t>, 15 Jan. 2019, www.nidirect.gov.uk/articles/recognising-adult-abuse-exploitation-and-neglect. Accessed 28 Mar. 2024.</w:t>
      </w:r>
    </w:p>
    <w:p w14:paraId="769D20E5"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NSPCC. “Female Genital Mutilation (FGM).” </w:t>
      </w:r>
      <w:r w:rsidRPr="00675F07">
        <w:rPr>
          <w:rFonts w:ascii="Arial" w:eastAsia="Times New Roman" w:hAnsi="Arial" w:cs="Arial"/>
          <w:i/>
          <w:iCs/>
          <w:color w:val="000000"/>
          <w:kern w:val="0"/>
          <w:sz w:val="22"/>
          <w:szCs w:val="22"/>
          <w:lang w:eastAsia="en-GB"/>
          <w14:ligatures w14:val="none"/>
        </w:rPr>
        <w:t>NSPCC</w:t>
      </w:r>
      <w:r w:rsidRPr="00675F07">
        <w:rPr>
          <w:rFonts w:ascii="Arial" w:eastAsia="Times New Roman" w:hAnsi="Arial" w:cs="Arial"/>
          <w:color w:val="000000"/>
          <w:kern w:val="0"/>
          <w:sz w:val="22"/>
          <w:szCs w:val="22"/>
          <w:lang w:eastAsia="en-GB"/>
          <w14:ligatures w14:val="none"/>
        </w:rPr>
        <w:t>, 2018, www.nspcc.org.uk/what-is-child-abuse/types-of-abuse/female-genital-mutilation-fgm/. Accessed 3 Apr. 2024.</w:t>
      </w:r>
    </w:p>
    <w:p w14:paraId="0503D659"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Omidvar, Dr Nabi. “Understanding the Role Technology Can Play in Reducing Financial Vulnerability.” </w:t>
      </w:r>
      <w:r w:rsidRPr="00675F07">
        <w:rPr>
          <w:rFonts w:ascii="Arial" w:eastAsia="Times New Roman" w:hAnsi="Arial" w:cs="Arial"/>
          <w:i/>
          <w:iCs/>
          <w:color w:val="000000"/>
          <w:kern w:val="0"/>
          <w:sz w:val="22"/>
          <w:szCs w:val="22"/>
          <w:lang w:eastAsia="en-GB"/>
          <w14:ligatures w14:val="none"/>
        </w:rPr>
        <w:t>Business.leeds.ac.uk</w:t>
      </w:r>
      <w:r w:rsidRPr="00675F07">
        <w:rPr>
          <w:rFonts w:ascii="Arial" w:eastAsia="Times New Roman" w:hAnsi="Arial" w:cs="Arial"/>
          <w:color w:val="000000"/>
          <w:kern w:val="0"/>
          <w:sz w:val="22"/>
          <w:szCs w:val="22"/>
          <w:lang w:eastAsia="en-GB"/>
          <w14:ligatures w14:val="none"/>
        </w:rPr>
        <w:t>, 7 Sept. 2023, business.leeds.ac.uk/research-fintech/dir-record/research-blog/2183/understanding-the-role-technology-can-play-in-reducing-financial-vulnerability#:~:text=Traits%20of%20financial%20vulnerability%20can. Accessed 29 Mar. 2024.</w:t>
      </w:r>
    </w:p>
    <w:p w14:paraId="7F42D00C"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Prevention Web. “Vulnerability | Understanding Disaster Risk.” </w:t>
      </w:r>
      <w:r w:rsidRPr="00675F07">
        <w:rPr>
          <w:rFonts w:ascii="Arial" w:eastAsia="Times New Roman" w:hAnsi="Arial" w:cs="Arial"/>
          <w:i/>
          <w:iCs/>
          <w:color w:val="000000"/>
          <w:kern w:val="0"/>
          <w:sz w:val="22"/>
          <w:szCs w:val="22"/>
          <w:lang w:eastAsia="en-GB"/>
          <w14:ligatures w14:val="none"/>
        </w:rPr>
        <w:t>Www.preventionweb.net</w:t>
      </w:r>
      <w:r w:rsidRPr="00675F07">
        <w:rPr>
          <w:rFonts w:ascii="Arial" w:eastAsia="Times New Roman" w:hAnsi="Arial" w:cs="Arial"/>
          <w:color w:val="000000"/>
          <w:kern w:val="0"/>
          <w:sz w:val="22"/>
          <w:szCs w:val="22"/>
          <w:lang w:eastAsia="en-GB"/>
          <w14:ligatures w14:val="none"/>
        </w:rPr>
        <w:t>, 9 June 2021, www.preventionweb.net/understanding-disaster-risk/component-risk/vulnerability#:~:text=Social%20factors. Accessed 27 Mar. 2024.</w:t>
      </w:r>
    </w:p>
    <w:p w14:paraId="413453A5" w14:textId="177BE1B8"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Public Health England. “Female Genital Mutilation (FGM): Migrant Health Guide.” </w:t>
      </w:r>
      <w:r w:rsidRPr="00675F07">
        <w:rPr>
          <w:rFonts w:ascii="Arial" w:eastAsia="Times New Roman" w:hAnsi="Arial" w:cs="Arial"/>
          <w:i/>
          <w:iCs/>
          <w:color w:val="000000"/>
          <w:kern w:val="0"/>
          <w:sz w:val="22"/>
          <w:szCs w:val="22"/>
          <w:lang w:eastAsia="en-GB"/>
          <w14:ligatures w14:val="none"/>
        </w:rPr>
        <w:t xml:space="preserve">GOV.UK Office for Health Improvement and </w:t>
      </w:r>
      <w:r w:rsidRPr="00675F07">
        <w:rPr>
          <w:rFonts w:ascii="Arial" w:eastAsia="Times New Roman" w:hAnsi="Arial" w:cs="Arial"/>
          <w:i/>
          <w:iCs/>
          <w:color w:val="000000"/>
          <w:kern w:val="0"/>
          <w:sz w:val="22"/>
          <w:szCs w:val="22"/>
          <w:lang w:eastAsia="en-GB"/>
          <w14:ligatures w14:val="none"/>
        </w:rPr>
        <w:t>Disparities,</w:t>
      </w:r>
      <w:r w:rsidRPr="00675F07">
        <w:rPr>
          <w:rFonts w:ascii="Arial" w:eastAsia="Times New Roman" w:hAnsi="Arial" w:cs="Arial"/>
          <w:color w:val="000000"/>
          <w:kern w:val="0"/>
          <w:sz w:val="22"/>
          <w:szCs w:val="22"/>
          <w:lang w:eastAsia="en-GB"/>
          <w14:ligatures w14:val="none"/>
        </w:rPr>
        <w:t xml:space="preserve"> 30 Aug. 2021, www.gov.uk/guidance/female-genital-mutilation-fgm-migrant-health-guide. Accessed 2 Apr. 2024.</w:t>
      </w:r>
    </w:p>
    <w:p w14:paraId="0F79C161"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StopAdultAbuse. “Cuckooing / County Lines.” </w:t>
      </w:r>
      <w:r w:rsidRPr="00675F07">
        <w:rPr>
          <w:rFonts w:ascii="Arial" w:eastAsia="Times New Roman" w:hAnsi="Arial" w:cs="Arial"/>
          <w:i/>
          <w:iCs/>
          <w:color w:val="000000"/>
          <w:kern w:val="0"/>
          <w:sz w:val="22"/>
          <w:szCs w:val="22"/>
          <w:lang w:eastAsia="en-GB"/>
          <w14:ligatures w14:val="none"/>
        </w:rPr>
        <w:t>Www.stopadultabuse.org.uk</w:t>
      </w:r>
      <w:r w:rsidRPr="00675F07">
        <w:rPr>
          <w:rFonts w:ascii="Arial" w:eastAsia="Times New Roman" w:hAnsi="Arial" w:cs="Arial"/>
          <w:color w:val="000000"/>
          <w:kern w:val="0"/>
          <w:sz w:val="22"/>
          <w:szCs w:val="22"/>
          <w:lang w:eastAsia="en-GB"/>
          <w14:ligatures w14:val="none"/>
        </w:rPr>
        <w:t>, 2024, www.stopadultabuse.org.uk/what-is-abuse/cuckooing-county-lines.aspx. Accessed 28 Mar. 2024.</w:t>
      </w:r>
    </w:p>
    <w:p w14:paraId="4CFC50F2"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 xml:space="preserve">Tammary, </w:t>
      </w:r>
      <w:proofErr w:type="spellStart"/>
      <w:r w:rsidRPr="00675F07">
        <w:rPr>
          <w:rFonts w:ascii="Arial" w:eastAsia="Times New Roman" w:hAnsi="Arial" w:cs="Arial"/>
          <w:color w:val="000000"/>
          <w:kern w:val="0"/>
          <w:sz w:val="22"/>
          <w:szCs w:val="22"/>
          <w:lang w:eastAsia="en-GB"/>
          <w14:ligatures w14:val="none"/>
        </w:rPr>
        <w:t>Esho</w:t>
      </w:r>
      <w:proofErr w:type="spellEnd"/>
      <w:r w:rsidRPr="00675F07">
        <w:rPr>
          <w:rFonts w:ascii="Arial" w:eastAsia="Times New Roman" w:hAnsi="Arial" w:cs="Arial"/>
          <w:color w:val="000000"/>
          <w:kern w:val="0"/>
          <w:sz w:val="22"/>
          <w:szCs w:val="22"/>
          <w:lang w:eastAsia="en-GB"/>
          <w14:ligatures w14:val="none"/>
        </w:rPr>
        <w:t>, and Kumar Manasi. “Mental and Sexual Health Outcomes Associated with FGM/c in Africa: A Systematic Narrative Synthesis.” </w:t>
      </w:r>
      <w:r w:rsidRPr="00675F07">
        <w:rPr>
          <w:rFonts w:ascii="Arial" w:eastAsia="Times New Roman" w:hAnsi="Arial" w:cs="Arial"/>
          <w:i/>
          <w:iCs/>
          <w:color w:val="000000"/>
          <w:kern w:val="0"/>
          <w:sz w:val="22"/>
          <w:szCs w:val="22"/>
          <w:lang w:eastAsia="en-GB"/>
          <w14:ligatures w14:val="none"/>
        </w:rPr>
        <w:t>The Lancet</w:t>
      </w:r>
      <w:r w:rsidRPr="00675F07">
        <w:rPr>
          <w:rFonts w:ascii="Arial" w:eastAsia="Times New Roman" w:hAnsi="Arial" w:cs="Arial"/>
          <w:color w:val="000000"/>
          <w:kern w:val="0"/>
          <w:sz w:val="22"/>
          <w:szCs w:val="22"/>
          <w:lang w:eastAsia="en-GB"/>
          <w14:ligatures w14:val="none"/>
        </w:rPr>
        <w:t>, 10 Jan. 2023, www.thelancet.com/journals/eclinm/article/PIIS2589-5370(22)00542-9/fulltext#%20. Accessed 3 Apr. 2024.</w:t>
      </w:r>
    </w:p>
    <w:p w14:paraId="06BA424A"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UNDRR. “Vulnerability.” </w:t>
      </w:r>
      <w:r w:rsidRPr="00675F07">
        <w:rPr>
          <w:rFonts w:ascii="Arial" w:eastAsia="Times New Roman" w:hAnsi="Arial" w:cs="Arial"/>
          <w:i/>
          <w:iCs/>
          <w:color w:val="000000"/>
          <w:kern w:val="0"/>
          <w:sz w:val="22"/>
          <w:szCs w:val="22"/>
          <w:lang w:eastAsia="en-GB"/>
          <w14:ligatures w14:val="none"/>
        </w:rPr>
        <w:t>Www.preventionweb.net</w:t>
      </w:r>
      <w:r w:rsidRPr="00675F07">
        <w:rPr>
          <w:rFonts w:ascii="Arial" w:eastAsia="Times New Roman" w:hAnsi="Arial" w:cs="Arial"/>
          <w:color w:val="000000"/>
          <w:kern w:val="0"/>
          <w:sz w:val="22"/>
          <w:szCs w:val="22"/>
          <w:lang w:eastAsia="en-GB"/>
          <w14:ligatures w14:val="none"/>
        </w:rPr>
        <w:t>, 2017, www.preventionweb.net/understanding-disaster-risk/component-risk/vulnerability. Accessed 4 Apr. 2024.</w:t>
      </w:r>
    </w:p>
    <w:p w14:paraId="328DB35A"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UNICEF. “Female Genital Mutilation Evidence Profile.” </w:t>
      </w:r>
      <w:r w:rsidRPr="00675F07">
        <w:rPr>
          <w:rFonts w:ascii="Arial" w:eastAsia="Times New Roman" w:hAnsi="Arial" w:cs="Arial"/>
          <w:i/>
          <w:iCs/>
          <w:color w:val="000000"/>
          <w:kern w:val="0"/>
          <w:sz w:val="22"/>
          <w:szCs w:val="22"/>
          <w:lang w:eastAsia="en-GB"/>
          <w14:ligatures w14:val="none"/>
        </w:rPr>
        <w:t>UNICEF</w:t>
      </w:r>
      <w:r w:rsidRPr="00675F07">
        <w:rPr>
          <w:rFonts w:ascii="Arial" w:eastAsia="Times New Roman" w:hAnsi="Arial" w:cs="Arial"/>
          <w:color w:val="000000"/>
          <w:kern w:val="0"/>
          <w:sz w:val="22"/>
          <w:szCs w:val="22"/>
          <w:lang w:eastAsia="en-GB"/>
          <w14:ligatures w14:val="none"/>
        </w:rPr>
        <w:t>, 2023, www.unicef-irc.org/files/documents/d-4313-1122_Female%20Genital%20Mutilation%20Evidence%20Profile-%20Burkina%20Faso%201.pdf. Accessed 3 Apr. 2024.</w:t>
      </w:r>
    </w:p>
    <w:p w14:paraId="01264C74"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University of Cambridge. “Substance Use Disorders Linked to Poor Health Outcomes in Wide Range of Physical Health Conditions.” </w:t>
      </w:r>
      <w:r w:rsidRPr="00675F07">
        <w:rPr>
          <w:rFonts w:ascii="Arial" w:eastAsia="Times New Roman" w:hAnsi="Arial" w:cs="Arial"/>
          <w:i/>
          <w:iCs/>
          <w:color w:val="000000"/>
          <w:kern w:val="0"/>
          <w:sz w:val="22"/>
          <w:szCs w:val="22"/>
          <w:lang w:eastAsia="en-GB"/>
          <w14:ligatures w14:val="none"/>
        </w:rPr>
        <w:t>University of Cambridge</w:t>
      </w:r>
      <w:r w:rsidRPr="00675F07">
        <w:rPr>
          <w:rFonts w:ascii="Arial" w:eastAsia="Times New Roman" w:hAnsi="Arial" w:cs="Arial"/>
          <w:color w:val="000000"/>
          <w:kern w:val="0"/>
          <w:sz w:val="22"/>
          <w:szCs w:val="22"/>
          <w:lang w:eastAsia="en-GB"/>
          <w14:ligatures w14:val="none"/>
        </w:rPr>
        <w:t>, 4 Nov. 2022, www.cam.ac.uk/research/news/substance-use-disorders-linked-to-poor-health-outcomes-in-wide-range-of-physical-health-conditions#:~:text=It%20is%20already%20known%20that. Accessed 27 Mar. 2024.</w:t>
      </w:r>
    </w:p>
    <w:p w14:paraId="354FBFEE"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Walker, Peter. “Police Errors Contributed to Suicide of Tormented Mother Fiona Pilkington.” </w:t>
      </w:r>
      <w:r w:rsidRPr="00675F07">
        <w:rPr>
          <w:rFonts w:ascii="Arial" w:eastAsia="Times New Roman" w:hAnsi="Arial" w:cs="Arial"/>
          <w:i/>
          <w:iCs/>
          <w:color w:val="000000"/>
          <w:kern w:val="0"/>
          <w:sz w:val="22"/>
          <w:szCs w:val="22"/>
          <w:lang w:eastAsia="en-GB"/>
          <w14:ligatures w14:val="none"/>
        </w:rPr>
        <w:t>The Guardian</w:t>
      </w:r>
      <w:r w:rsidRPr="00675F07">
        <w:rPr>
          <w:rFonts w:ascii="Arial" w:eastAsia="Times New Roman" w:hAnsi="Arial" w:cs="Arial"/>
          <w:color w:val="000000"/>
          <w:kern w:val="0"/>
          <w:sz w:val="22"/>
          <w:szCs w:val="22"/>
          <w:lang w:eastAsia="en-GB"/>
          <w14:ligatures w14:val="none"/>
        </w:rPr>
        <w:t>, The Guardian, 28 Sept. 2009, www.theguardian.com/uk/2009/sep/28/fiona-pilkington-suicide-mother-police. Accessed 1 Apr. 2024.</w:t>
      </w:r>
    </w:p>
    <w:p w14:paraId="4F82D35F" w14:textId="77777777" w:rsidR="00675F07" w:rsidRPr="00675F07" w:rsidRDefault="00675F07" w:rsidP="00675F07">
      <w:pPr>
        <w:spacing w:line="360" w:lineRule="auto"/>
        <w:ind w:hanging="720"/>
        <w:rPr>
          <w:rFonts w:ascii="Arial" w:eastAsia="Times New Roman" w:hAnsi="Arial" w:cs="Arial"/>
          <w:color w:val="000000"/>
          <w:kern w:val="0"/>
          <w:sz w:val="22"/>
          <w:szCs w:val="22"/>
          <w:lang w:eastAsia="en-GB"/>
          <w14:ligatures w14:val="none"/>
        </w:rPr>
      </w:pPr>
      <w:r w:rsidRPr="00675F07">
        <w:rPr>
          <w:rFonts w:ascii="Arial" w:eastAsia="Times New Roman" w:hAnsi="Arial" w:cs="Arial"/>
          <w:color w:val="000000"/>
          <w:kern w:val="0"/>
          <w:sz w:val="22"/>
          <w:szCs w:val="22"/>
          <w:lang w:eastAsia="en-GB"/>
          <w14:ligatures w14:val="none"/>
        </w:rPr>
        <w:t>World Health Organisation. “Disability and Health.” </w:t>
      </w:r>
      <w:r w:rsidRPr="00675F07">
        <w:rPr>
          <w:rFonts w:ascii="Arial" w:eastAsia="Times New Roman" w:hAnsi="Arial" w:cs="Arial"/>
          <w:i/>
          <w:iCs/>
          <w:color w:val="000000"/>
          <w:kern w:val="0"/>
          <w:sz w:val="22"/>
          <w:szCs w:val="22"/>
          <w:lang w:eastAsia="en-GB"/>
          <w14:ligatures w14:val="none"/>
        </w:rPr>
        <w:t>WHO</w:t>
      </w:r>
      <w:r w:rsidRPr="00675F07">
        <w:rPr>
          <w:rFonts w:ascii="Arial" w:eastAsia="Times New Roman" w:hAnsi="Arial" w:cs="Arial"/>
          <w:color w:val="000000"/>
          <w:kern w:val="0"/>
          <w:sz w:val="22"/>
          <w:szCs w:val="22"/>
          <w:lang w:eastAsia="en-GB"/>
          <w14:ligatures w14:val="none"/>
        </w:rPr>
        <w:t>, World Health Organization: WHO, 7 Mar. 2023, www.who.int/news-room/fact-sheets/detail/disability-and-health. Accessed 4 Apr. 2024.</w:t>
      </w:r>
    </w:p>
    <w:p w14:paraId="5726692A" w14:textId="77777777" w:rsidR="00675F07" w:rsidRDefault="00675F07" w:rsidP="002A3581"/>
    <w:p w14:paraId="693BC6B9" w14:textId="77777777" w:rsidR="00675F07" w:rsidRDefault="00675F07" w:rsidP="002A3581"/>
    <w:p w14:paraId="1F20656C" w14:textId="77777777" w:rsidR="006E5E0E" w:rsidRDefault="006E5E0E" w:rsidP="002A3581"/>
    <w:p w14:paraId="76EFDF3B" w14:textId="77777777" w:rsidR="006E5E0E" w:rsidRDefault="006E5E0E" w:rsidP="002A3581"/>
    <w:p w14:paraId="09AFBFB5" w14:textId="77777777" w:rsidR="006E5E0E" w:rsidRDefault="006E5E0E" w:rsidP="002A3581"/>
    <w:p w14:paraId="40466B6E" w14:textId="77777777" w:rsidR="006E5E0E" w:rsidRDefault="006E5E0E" w:rsidP="002A3581"/>
    <w:p w14:paraId="18BA6E26" w14:textId="77777777" w:rsidR="006E5E0E" w:rsidRDefault="006E5E0E" w:rsidP="002A3581"/>
    <w:p w14:paraId="4B496B9B" w14:textId="77777777" w:rsidR="006E5E0E" w:rsidRDefault="006E5E0E" w:rsidP="002A3581"/>
    <w:p w14:paraId="75AD62C9" w14:textId="77777777" w:rsidR="006E5E0E" w:rsidRDefault="006E5E0E" w:rsidP="002A3581"/>
    <w:p w14:paraId="703DC057" w14:textId="77777777" w:rsidR="00B54B68" w:rsidRDefault="00B54B68" w:rsidP="002A3581"/>
    <w:p w14:paraId="3CB3E0BC" w14:textId="77777777" w:rsidR="004436D8" w:rsidRDefault="004436D8" w:rsidP="002A3581"/>
    <w:p w14:paraId="2718EBA3" w14:textId="77777777" w:rsidR="004436D8" w:rsidRDefault="004436D8" w:rsidP="002A3581"/>
    <w:sectPr w:rsidR="004436D8" w:rsidSect="00D815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2DE621"/>
    <w:multiLevelType w:val="hybridMultilevel"/>
    <w:tmpl w:val="85E4EABC"/>
    <w:lvl w:ilvl="0" w:tplc="B66A9132">
      <w:start w:val="1"/>
      <w:numFmt w:val="bullet"/>
      <w:lvlText w:val=""/>
      <w:lvlJc w:val="left"/>
      <w:pPr>
        <w:ind w:left="720" w:hanging="360"/>
      </w:pPr>
      <w:rPr>
        <w:rFonts w:ascii="Symbol" w:hAnsi="Symbol" w:hint="default"/>
      </w:rPr>
    </w:lvl>
    <w:lvl w:ilvl="1" w:tplc="C706C01E">
      <w:start w:val="1"/>
      <w:numFmt w:val="bullet"/>
      <w:lvlText w:val="o"/>
      <w:lvlJc w:val="left"/>
      <w:pPr>
        <w:ind w:left="1440" w:hanging="360"/>
      </w:pPr>
      <w:rPr>
        <w:rFonts w:ascii="Courier New" w:hAnsi="Courier New" w:hint="default"/>
      </w:rPr>
    </w:lvl>
    <w:lvl w:ilvl="2" w:tplc="BA12DBC8">
      <w:start w:val="1"/>
      <w:numFmt w:val="bullet"/>
      <w:lvlText w:val=""/>
      <w:lvlJc w:val="left"/>
      <w:pPr>
        <w:ind w:left="2160" w:hanging="360"/>
      </w:pPr>
      <w:rPr>
        <w:rFonts w:ascii="Wingdings" w:hAnsi="Wingdings" w:hint="default"/>
      </w:rPr>
    </w:lvl>
    <w:lvl w:ilvl="3" w:tplc="0CA0910C">
      <w:start w:val="1"/>
      <w:numFmt w:val="bullet"/>
      <w:lvlText w:val=""/>
      <w:lvlJc w:val="left"/>
      <w:pPr>
        <w:ind w:left="2880" w:hanging="360"/>
      </w:pPr>
      <w:rPr>
        <w:rFonts w:ascii="Symbol" w:hAnsi="Symbol" w:hint="default"/>
      </w:rPr>
    </w:lvl>
    <w:lvl w:ilvl="4" w:tplc="1F369CFA">
      <w:start w:val="1"/>
      <w:numFmt w:val="bullet"/>
      <w:lvlText w:val="o"/>
      <w:lvlJc w:val="left"/>
      <w:pPr>
        <w:ind w:left="3600" w:hanging="360"/>
      </w:pPr>
      <w:rPr>
        <w:rFonts w:ascii="Courier New" w:hAnsi="Courier New" w:hint="default"/>
      </w:rPr>
    </w:lvl>
    <w:lvl w:ilvl="5" w:tplc="BE92690C">
      <w:start w:val="1"/>
      <w:numFmt w:val="bullet"/>
      <w:lvlText w:val=""/>
      <w:lvlJc w:val="left"/>
      <w:pPr>
        <w:ind w:left="4320" w:hanging="360"/>
      </w:pPr>
      <w:rPr>
        <w:rFonts w:ascii="Wingdings" w:hAnsi="Wingdings" w:hint="default"/>
      </w:rPr>
    </w:lvl>
    <w:lvl w:ilvl="6" w:tplc="8F6CA554">
      <w:start w:val="1"/>
      <w:numFmt w:val="bullet"/>
      <w:lvlText w:val=""/>
      <w:lvlJc w:val="left"/>
      <w:pPr>
        <w:ind w:left="5040" w:hanging="360"/>
      </w:pPr>
      <w:rPr>
        <w:rFonts w:ascii="Symbol" w:hAnsi="Symbol" w:hint="default"/>
      </w:rPr>
    </w:lvl>
    <w:lvl w:ilvl="7" w:tplc="189EA59E">
      <w:start w:val="1"/>
      <w:numFmt w:val="bullet"/>
      <w:lvlText w:val="o"/>
      <w:lvlJc w:val="left"/>
      <w:pPr>
        <w:ind w:left="5760" w:hanging="360"/>
      </w:pPr>
      <w:rPr>
        <w:rFonts w:ascii="Courier New" w:hAnsi="Courier New" w:hint="default"/>
      </w:rPr>
    </w:lvl>
    <w:lvl w:ilvl="8" w:tplc="16FE8D7E">
      <w:start w:val="1"/>
      <w:numFmt w:val="bullet"/>
      <w:lvlText w:val=""/>
      <w:lvlJc w:val="left"/>
      <w:pPr>
        <w:ind w:left="6480" w:hanging="360"/>
      </w:pPr>
      <w:rPr>
        <w:rFonts w:ascii="Wingdings" w:hAnsi="Wingdings" w:hint="default"/>
      </w:rPr>
    </w:lvl>
  </w:abstractNum>
  <w:abstractNum w:abstractNumId="1" w15:restartNumberingAfterBreak="0">
    <w:nsid w:val="65FA6DFB"/>
    <w:multiLevelType w:val="hybridMultilevel"/>
    <w:tmpl w:val="007CCCD2"/>
    <w:lvl w:ilvl="0" w:tplc="44721C9A">
      <w:start w:val="1"/>
      <w:numFmt w:val="bullet"/>
      <w:lvlText w:val=""/>
      <w:lvlJc w:val="left"/>
      <w:pPr>
        <w:ind w:left="720" w:hanging="360"/>
      </w:pPr>
      <w:rPr>
        <w:rFonts w:ascii="Symbol" w:hAnsi="Symbol" w:hint="default"/>
      </w:rPr>
    </w:lvl>
    <w:lvl w:ilvl="1" w:tplc="B2A4BFF2">
      <w:start w:val="1"/>
      <w:numFmt w:val="bullet"/>
      <w:lvlText w:val="o"/>
      <w:lvlJc w:val="left"/>
      <w:pPr>
        <w:ind w:left="1440" w:hanging="360"/>
      </w:pPr>
      <w:rPr>
        <w:rFonts w:ascii="Courier New" w:hAnsi="Courier New" w:hint="default"/>
      </w:rPr>
    </w:lvl>
    <w:lvl w:ilvl="2" w:tplc="1C80AEC8">
      <w:start w:val="1"/>
      <w:numFmt w:val="bullet"/>
      <w:lvlText w:val=""/>
      <w:lvlJc w:val="left"/>
      <w:pPr>
        <w:ind w:left="2160" w:hanging="360"/>
      </w:pPr>
      <w:rPr>
        <w:rFonts w:ascii="Wingdings" w:hAnsi="Wingdings" w:hint="default"/>
      </w:rPr>
    </w:lvl>
    <w:lvl w:ilvl="3" w:tplc="B128F4A4">
      <w:start w:val="1"/>
      <w:numFmt w:val="bullet"/>
      <w:lvlText w:val=""/>
      <w:lvlJc w:val="left"/>
      <w:pPr>
        <w:ind w:left="2880" w:hanging="360"/>
      </w:pPr>
      <w:rPr>
        <w:rFonts w:ascii="Symbol" w:hAnsi="Symbol" w:hint="default"/>
      </w:rPr>
    </w:lvl>
    <w:lvl w:ilvl="4" w:tplc="F544B92C">
      <w:start w:val="1"/>
      <w:numFmt w:val="bullet"/>
      <w:lvlText w:val="o"/>
      <w:lvlJc w:val="left"/>
      <w:pPr>
        <w:ind w:left="3600" w:hanging="360"/>
      </w:pPr>
      <w:rPr>
        <w:rFonts w:ascii="Courier New" w:hAnsi="Courier New" w:hint="default"/>
      </w:rPr>
    </w:lvl>
    <w:lvl w:ilvl="5" w:tplc="5A142D8E">
      <w:start w:val="1"/>
      <w:numFmt w:val="bullet"/>
      <w:lvlText w:val=""/>
      <w:lvlJc w:val="left"/>
      <w:pPr>
        <w:ind w:left="4320" w:hanging="360"/>
      </w:pPr>
      <w:rPr>
        <w:rFonts w:ascii="Wingdings" w:hAnsi="Wingdings" w:hint="default"/>
      </w:rPr>
    </w:lvl>
    <w:lvl w:ilvl="6" w:tplc="293C689A">
      <w:start w:val="1"/>
      <w:numFmt w:val="bullet"/>
      <w:lvlText w:val=""/>
      <w:lvlJc w:val="left"/>
      <w:pPr>
        <w:ind w:left="5040" w:hanging="360"/>
      </w:pPr>
      <w:rPr>
        <w:rFonts w:ascii="Symbol" w:hAnsi="Symbol" w:hint="default"/>
      </w:rPr>
    </w:lvl>
    <w:lvl w:ilvl="7" w:tplc="4800B7D8">
      <w:start w:val="1"/>
      <w:numFmt w:val="bullet"/>
      <w:lvlText w:val="o"/>
      <w:lvlJc w:val="left"/>
      <w:pPr>
        <w:ind w:left="5760" w:hanging="360"/>
      </w:pPr>
      <w:rPr>
        <w:rFonts w:ascii="Courier New" w:hAnsi="Courier New" w:hint="default"/>
      </w:rPr>
    </w:lvl>
    <w:lvl w:ilvl="8" w:tplc="78B2BD1A">
      <w:start w:val="1"/>
      <w:numFmt w:val="bullet"/>
      <w:lvlText w:val=""/>
      <w:lvlJc w:val="left"/>
      <w:pPr>
        <w:ind w:left="6480" w:hanging="360"/>
      </w:pPr>
      <w:rPr>
        <w:rFonts w:ascii="Wingdings" w:hAnsi="Wingdings" w:hint="default"/>
      </w:rPr>
    </w:lvl>
  </w:abstractNum>
  <w:abstractNum w:abstractNumId="2" w15:restartNumberingAfterBreak="0">
    <w:nsid w:val="6AFF6563"/>
    <w:multiLevelType w:val="hybridMultilevel"/>
    <w:tmpl w:val="C6425A72"/>
    <w:lvl w:ilvl="0" w:tplc="49D86488">
      <w:start w:val="1"/>
      <w:numFmt w:val="bullet"/>
      <w:lvlText w:val=""/>
      <w:lvlJc w:val="left"/>
      <w:pPr>
        <w:ind w:left="720" w:hanging="360"/>
      </w:pPr>
      <w:rPr>
        <w:rFonts w:ascii="Symbol" w:hAnsi="Symbol" w:hint="default"/>
      </w:rPr>
    </w:lvl>
    <w:lvl w:ilvl="1" w:tplc="2AFA02DE">
      <w:start w:val="1"/>
      <w:numFmt w:val="bullet"/>
      <w:lvlText w:val="o"/>
      <w:lvlJc w:val="left"/>
      <w:pPr>
        <w:ind w:left="1440" w:hanging="360"/>
      </w:pPr>
      <w:rPr>
        <w:rFonts w:ascii="Courier New" w:hAnsi="Courier New" w:hint="default"/>
      </w:rPr>
    </w:lvl>
    <w:lvl w:ilvl="2" w:tplc="725EDD6C">
      <w:start w:val="1"/>
      <w:numFmt w:val="bullet"/>
      <w:lvlText w:val=""/>
      <w:lvlJc w:val="left"/>
      <w:pPr>
        <w:ind w:left="2160" w:hanging="360"/>
      </w:pPr>
      <w:rPr>
        <w:rFonts w:ascii="Wingdings" w:hAnsi="Wingdings" w:hint="default"/>
      </w:rPr>
    </w:lvl>
    <w:lvl w:ilvl="3" w:tplc="08FADFF4">
      <w:start w:val="1"/>
      <w:numFmt w:val="bullet"/>
      <w:lvlText w:val=""/>
      <w:lvlJc w:val="left"/>
      <w:pPr>
        <w:ind w:left="2880" w:hanging="360"/>
      </w:pPr>
      <w:rPr>
        <w:rFonts w:ascii="Symbol" w:hAnsi="Symbol" w:hint="default"/>
      </w:rPr>
    </w:lvl>
    <w:lvl w:ilvl="4" w:tplc="10E6CE70">
      <w:start w:val="1"/>
      <w:numFmt w:val="bullet"/>
      <w:lvlText w:val="o"/>
      <w:lvlJc w:val="left"/>
      <w:pPr>
        <w:ind w:left="3600" w:hanging="360"/>
      </w:pPr>
      <w:rPr>
        <w:rFonts w:ascii="Courier New" w:hAnsi="Courier New" w:hint="default"/>
      </w:rPr>
    </w:lvl>
    <w:lvl w:ilvl="5" w:tplc="4C248E5A">
      <w:start w:val="1"/>
      <w:numFmt w:val="bullet"/>
      <w:lvlText w:val=""/>
      <w:lvlJc w:val="left"/>
      <w:pPr>
        <w:ind w:left="4320" w:hanging="360"/>
      </w:pPr>
      <w:rPr>
        <w:rFonts w:ascii="Wingdings" w:hAnsi="Wingdings" w:hint="default"/>
      </w:rPr>
    </w:lvl>
    <w:lvl w:ilvl="6" w:tplc="A8684B46">
      <w:start w:val="1"/>
      <w:numFmt w:val="bullet"/>
      <w:lvlText w:val=""/>
      <w:lvlJc w:val="left"/>
      <w:pPr>
        <w:ind w:left="5040" w:hanging="360"/>
      </w:pPr>
      <w:rPr>
        <w:rFonts w:ascii="Symbol" w:hAnsi="Symbol" w:hint="default"/>
      </w:rPr>
    </w:lvl>
    <w:lvl w:ilvl="7" w:tplc="1E5E5606">
      <w:start w:val="1"/>
      <w:numFmt w:val="bullet"/>
      <w:lvlText w:val="o"/>
      <w:lvlJc w:val="left"/>
      <w:pPr>
        <w:ind w:left="5760" w:hanging="360"/>
      </w:pPr>
      <w:rPr>
        <w:rFonts w:ascii="Courier New" w:hAnsi="Courier New" w:hint="default"/>
      </w:rPr>
    </w:lvl>
    <w:lvl w:ilvl="8" w:tplc="76ECB5CC">
      <w:start w:val="1"/>
      <w:numFmt w:val="bullet"/>
      <w:lvlText w:val=""/>
      <w:lvlJc w:val="left"/>
      <w:pPr>
        <w:ind w:left="6480" w:hanging="360"/>
      </w:pPr>
      <w:rPr>
        <w:rFonts w:ascii="Wingdings" w:hAnsi="Wingdings" w:hint="default"/>
      </w:rPr>
    </w:lvl>
  </w:abstractNum>
  <w:abstractNum w:abstractNumId="3" w15:restartNumberingAfterBreak="0">
    <w:nsid w:val="7FCC43B7"/>
    <w:multiLevelType w:val="hybridMultilevel"/>
    <w:tmpl w:val="1C84542C"/>
    <w:lvl w:ilvl="0" w:tplc="B70600E0">
      <w:start w:val="1"/>
      <w:numFmt w:val="bullet"/>
      <w:lvlText w:val=""/>
      <w:lvlJc w:val="left"/>
      <w:pPr>
        <w:ind w:left="720" w:hanging="360"/>
      </w:pPr>
      <w:rPr>
        <w:rFonts w:ascii="Symbol" w:hAnsi="Symbol" w:hint="default"/>
      </w:rPr>
    </w:lvl>
    <w:lvl w:ilvl="1" w:tplc="E47854F0">
      <w:start w:val="1"/>
      <w:numFmt w:val="bullet"/>
      <w:lvlText w:val="o"/>
      <w:lvlJc w:val="left"/>
      <w:pPr>
        <w:ind w:left="1440" w:hanging="360"/>
      </w:pPr>
      <w:rPr>
        <w:rFonts w:ascii="Courier New" w:hAnsi="Courier New" w:hint="default"/>
      </w:rPr>
    </w:lvl>
    <w:lvl w:ilvl="2" w:tplc="D0DC351A">
      <w:start w:val="1"/>
      <w:numFmt w:val="bullet"/>
      <w:lvlText w:val=""/>
      <w:lvlJc w:val="left"/>
      <w:pPr>
        <w:ind w:left="2160" w:hanging="360"/>
      </w:pPr>
      <w:rPr>
        <w:rFonts w:ascii="Wingdings" w:hAnsi="Wingdings" w:hint="default"/>
      </w:rPr>
    </w:lvl>
    <w:lvl w:ilvl="3" w:tplc="7E120408">
      <w:start w:val="1"/>
      <w:numFmt w:val="bullet"/>
      <w:lvlText w:val=""/>
      <w:lvlJc w:val="left"/>
      <w:pPr>
        <w:ind w:left="2880" w:hanging="360"/>
      </w:pPr>
      <w:rPr>
        <w:rFonts w:ascii="Symbol" w:hAnsi="Symbol" w:hint="default"/>
      </w:rPr>
    </w:lvl>
    <w:lvl w:ilvl="4" w:tplc="FF38A432">
      <w:start w:val="1"/>
      <w:numFmt w:val="bullet"/>
      <w:lvlText w:val="o"/>
      <w:lvlJc w:val="left"/>
      <w:pPr>
        <w:ind w:left="3600" w:hanging="360"/>
      </w:pPr>
      <w:rPr>
        <w:rFonts w:ascii="Courier New" w:hAnsi="Courier New" w:hint="default"/>
      </w:rPr>
    </w:lvl>
    <w:lvl w:ilvl="5" w:tplc="8EAE3BA4">
      <w:start w:val="1"/>
      <w:numFmt w:val="bullet"/>
      <w:lvlText w:val=""/>
      <w:lvlJc w:val="left"/>
      <w:pPr>
        <w:ind w:left="4320" w:hanging="360"/>
      </w:pPr>
      <w:rPr>
        <w:rFonts w:ascii="Wingdings" w:hAnsi="Wingdings" w:hint="default"/>
      </w:rPr>
    </w:lvl>
    <w:lvl w:ilvl="6" w:tplc="90220E4A">
      <w:start w:val="1"/>
      <w:numFmt w:val="bullet"/>
      <w:lvlText w:val=""/>
      <w:lvlJc w:val="left"/>
      <w:pPr>
        <w:ind w:left="5040" w:hanging="360"/>
      </w:pPr>
      <w:rPr>
        <w:rFonts w:ascii="Symbol" w:hAnsi="Symbol" w:hint="default"/>
      </w:rPr>
    </w:lvl>
    <w:lvl w:ilvl="7" w:tplc="B3F2F76C">
      <w:start w:val="1"/>
      <w:numFmt w:val="bullet"/>
      <w:lvlText w:val="o"/>
      <w:lvlJc w:val="left"/>
      <w:pPr>
        <w:ind w:left="5760" w:hanging="360"/>
      </w:pPr>
      <w:rPr>
        <w:rFonts w:ascii="Courier New" w:hAnsi="Courier New" w:hint="default"/>
      </w:rPr>
    </w:lvl>
    <w:lvl w:ilvl="8" w:tplc="B6AC746A">
      <w:start w:val="1"/>
      <w:numFmt w:val="bullet"/>
      <w:lvlText w:val=""/>
      <w:lvlJc w:val="left"/>
      <w:pPr>
        <w:ind w:left="6480" w:hanging="360"/>
      </w:pPr>
      <w:rPr>
        <w:rFonts w:ascii="Wingdings" w:hAnsi="Wingdings" w:hint="default"/>
      </w:rPr>
    </w:lvl>
  </w:abstractNum>
  <w:num w:numId="1" w16cid:durableId="578559191">
    <w:abstractNumId w:val="3"/>
  </w:num>
  <w:num w:numId="2" w16cid:durableId="172696075">
    <w:abstractNumId w:val="2"/>
  </w:num>
  <w:num w:numId="3" w16cid:durableId="1024555429">
    <w:abstractNumId w:val="1"/>
  </w:num>
  <w:num w:numId="4" w16cid:durableId="175776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20"/>
    <w:rsid w:val="000110E6"/>
    <w:rsid w:val="00013C04"/>
    <w:rsid w:val="00015D1B"/>
    <w:rsid w:val="000274A1"/>
    <w:rsid w:val="00031754"/>
    <w:rsid w:val="00035813"/>
    <w:rsid w:val="000401D2"/>
    <w:rsid w:val="00040730"/>
    <w:rsid w:val="000438E2"/>
    <w:rsid w:val="000446E3"/>
    <w:rsid w:val="000526C1"/>
    <w:rsid w:val="00055894"/>
    <w:rsid w:val="00057775"/>
    <w:rsid w:val="00060DE6"/>
    <w:rsid w:val="00065671"/>
    <w:rsid w:val="000664A0"/>
    <w:rsid w:val="00066ECE"/>
    <w:rsid w:val="00067A4E"/>
    <w:rsid w:val="000728C6"/>
    <w:rsid w:val="000744A3"/>
    <w:rsid w:val="000751C6"/>
    <w:rsid w:val="00086E03"/>
    <w:rsid w:val="00087417"/>
    <w:rsid w:val="00091981"/>
    <w:rsid w:val="00092031"/>
    <w:rsid w:val="000940D8"/>
    <w:rsid w:val="00095814"/>
    <w:rsid w:val="000A0D97"/>
    <w:rsid w:val="000A2D64"/>
    <w:rsid w:val="000A3CE0"/>
    <w:rsid w:val="000A40DC"/>
    <w:rsid w:val="000A5E69"/>
    <w:rsid w:val="000B4C7F"/>
    <w:rsid w:val="000C07A0"/>
    <w:rsid w:val="000C1191"/>
    <w:rsid w:val="000C1A3F"/>
    <w:rsid w:val="000C4376"/>
    <w:rsid w:val="000D1911"/>
    <w:rsid w:val="000D2A49"/>
    <w:rsid w:val="000D2D89"/>
    <w:rsid w:val="000E139B"/>
    <w:rsid w:val="000E3EBC"/>
    <w:rsid w:val="000F17B4"/>
    <w:rsid w:val="000F2A9B"/>
    <w:rsid w:val="000F543A"/>
    <w:rsid w:val="00111EEC"/>
    <w:rsid w:val="001227A3"/>
    <w:rsid w:val="001307D0"/>
    <w:rsid w:val="00130812"/>
    <w:rsid w:val="001359A7"/>
    <w:rsid w:val="0013618F"/>
    <w:rsid w:val="001378A6"/>
    <w:rsid w:val="0014591F"/>
    <w:rsid w:val="0014707D"/>
    <w:rsid w:val="00147E5D"/>
    <w:rsid w:val="00151BCD"/>
    <w:rsid w:val="00187131"/>
    <w:rsid w:val="001954C2"/>
    <w:rsid w:val="001B32B3"/>
    <w:rsid w:val="001B40D2"/>
    <w:rsid w:val="001B6B51"/>
    <w:rsid w:val="001C096A"/>
    <w:rsid w:val="001C3789"/>
    <w:rsid w:val="001C3F46"/>
    <w:rsid w:val="001D2821"/>
    <w:rsid w:val="001D3B35"/>
    <w:rsid w:val="001E24F3"/>
    <w:rsid w:val="001E38BC"/>
    <w:rsid w:val="001E625D"/>
    <w:rsid w:val="001E6272"/>
    <w:rsid w:val="0020138B"/>
    <w:rsid w:val="00204B6E"/>
    <w:rsid w:val="00210071"/>
    <w:rsid w:val="0021098F"/>
    <w:rsid w:val="0021363F"/>
    <w:rsid w:val="00222AE3"/>
    <w:rsid w:val="00231785"/>
    <w:rsid w:val="002414EA"/>
    <w:rsid w:val="00245139"/>
    <w:rsid w:val="0024769A"/>
    <w:rsid w:val="00247E84"/>
    <w:rsid w:val="00261557"/>
    <w:rsid w:val="002631CF"/>
    <w:rsid w:val="00263F6B"/>
    <w:rsid w:val="00275F04"/>
    <w:rsid w:val="0028434F"/>
    <w:rsid w:val="002852A1"/>
    <w:rsid w:val="002A3553"/>
    <w:rsid w:val="002A3577"/>
    <w:rsid w:val="002A3581"/>
    <w:rsid w:val="002A52EA"/>
    <w:rsid w:val="002B6241"/>
    <w:rsid w:val="002C5365"/>
    <w:rsid w:val="002D4024"/>
    <w:rsid w:val="002E0DDA"/>
    <w:rsid w:val="002E1DD6"/>
    <w:rsid w:val="002E4008"/>
    <w:rsid w:val="002F5FE7"/>
    <w:rsid w:val="003024B7"/>
    <w:rsid w:val="003038AE"/>
    <w:rsid w:val="00313EF9"/>
    <w:rsid w:val="00321111"/>
    <w:rsid w:val="00323CA0"/>
    <w:rsid w:val="0033607F"/>
    <w:rsid w:val="00345553"/>
    <w:rsid w:val="00350F72"/>
    <w:rsid w:val="00352001"/>
    <w:rsid w:val="00352759"/>
    <w:rsid w:val="0037723B"/>
    <w:rsid w:val="0037723F"/>
    <w:rsid w:val="003879B4"/>
    <w:rsid w:val="003911AC"/>
    <w:rsid w:val="00394E4D"/>
    <w:rsid w:val="003969D6"/>
    <w:rsid w:val="003A29DC"/>
    <w:rsid w:val="003A4CEF"/>
    <w:rsid w:val="003B1B37"/>
    <w:rsid w:val="003C7456"/>
    <w:rsid w:val="003D0C14"/>
    <w:rsid w:val="003D15B4"/>
    <w:rsid w:val="003D2314"/>
    <w:rsid w:val="003D7075"/>
    <w:rsid w:val="003E1B14"/>
    <w:rsid w:val="003E2A88"/>
    <w:rsid w:val="003E5E6F"/>
    <w:rsid w:val="003E7D86"/>
    <w:rsid w:val="003F7B0B"/>
    <w:rsid w:val="00402839"/>
    <w:rsid w:val="00402A1C"/>
    <w:rsid w:val="00402E9C"/>
    <w:rsid w:val="00405E0E"/>
    <w:rsid w:val="00406CA6"/>
    <w:rsid w:val="004119C3"/>
    <w:rsid w:val="0042672A"/>
    <w:rsid w:val="00426BE4"/>
    <w:rsid w:val="00434055"/>
    <w:rsid w:val="004436D8"/>
    <w:rsid w:val="0045420A"/>
    <w:rsid w:val="00454E4A"/>
    <w:rsid w:val="0046654D"/>
    <w:rsid w:val="00474FDF"/>
    <w:rsid w:val="00476640"/>
    <w:rsid w:val="00480739"/>
    <w:rsid w:val="00481429"/>
    <w:rsid w:val="00486099"/>
    <w:rsid w:val="00491A75"/>
    <w:rsid w:val="00492A00"/>
    <w:rsid w:val="00492DDF"/>
    <w:rsid w:val="00497271"/>
    <w:rsid w:val="004B1B33"/>
    <w:rsid w:val="004B3652"/>
    <w:rsid w:val="004C62A7"/>
    <w:rsid w:val="004D0FE4"/>
    <w:rsid w:val="004D239C"/>
    <w:rsid w:val="004D5066"/>
    <w:rsid w:val="004D5DF5"/>
    <w:rsid w:val="004D7FE2"/>
    <w:rsid w:val="004E060D"/>
    <w:rsid w:val="004E380F"/>
    <w:rsid w:val="004E3C6A"/>
    <w:rsid w:val="004E4DD7"/>
    <w:rsid w:val="004E4F37"/>
    <w:rsid w:val="004F0D70"/>
    <w:rsid w:val="004F2035"/>
    <w:rsid w:val="0052033F"/>
    <w:rsid w:val="00530EBA"/>
    <w:rsid w:val="00531722"/>
    <w:rsid w:val="00536F0F"/>
    <w:rsid w:val="00544605"/>
    <w:rsid w:val="00545C4F"/>
    <w:rsid w:val="005547F5"/>
    <w:rsid w:val="00560C69"/>
    <w:rsid w:val="005734D6"/>
    <w:rsid w:val="00574DE2"/>
    <w:rsid w:val="00583130"/>
    <w:rsid w:val="00585A1D"/>
    <w:rsid w:val="005904CD"/>
    <w:rsid w:val="005978A7"/>
    <w:rsid w:val="005A26D9"/>
    <w:rsid w:val="005A700D"/>
    <w:rsid w:val="005B16AC"/>
    <w:rsid w:val="005C1E0C"/>
    <w:rsid w:val="005C544F"/>
    <w:rsid w:val="005D1604"/>
    <w:rsid w:val="005D2A10"/>
    <w:rsid w:val="005F48AF"/>
    <w:rsid w:val="00601899"/>
    <w:rsid w:val="0062100F"/>
    <w:rsid w:val="006352A5"/>
    <w:rsid w:val="00642846"/>
    <w:rsid w:val="006547D7"/>
    <w:rsid w:val="00660095"/>
    <w:rsid w:val="00662A9E"/>
    <w:rsid w:val="00667931"/>
    <w:rsid w:val="006700B1"/>
    <w:rsid w:val="00671817"/>
    <w:rsid w:val="00675F07"/>
    <w:rsid w:val="00676D76"/>
    <w:rsid w:val="00680AA8"/>
    <w:rsid w:val="006853B7"/>
    <w:rsid w:val="00685738"/>
    <w:rsid w:val="006A1F8F"/>
    <w:rsid w:val="006B114E"/>
    <w:rsid w:val="006B4613"/>
    <w:rsid w:val="006B5854"/>
    <w:rsid w:val="006C5BC0"/>
    <w:rsid w:val="006C5C3E"/>
    <w:rsid w:val="006D27BD"/>
    <w:rsid w:val="006D669B"/>
    <w:rsid w:val="006E5E0E"/>
    <w:rsid w:val="0071368D"/>
    <w:rsid w:val="00716FAB"/>
    <w:rsid w:val="007378C9"/>
    <w:rsid w:val="007413E2"/>
    <w:rsid w:val="00746923"/>
    <w:rsid w:val="007503A4"/>
    <w:rsid w:val="007536BE"/>
    <w:rsid w:val="007543AD"/>
    <w:rsid w:val="00754A73"/>
    <w:rsid w:val="00783F7F"/>
    <w:rsid w:val="007A09A6"/>
    <w:rsid w:val="007A1C31"/>
    <w:rsid w:val="007A5C01"/>
    <w:rsid w:val="007B4F8F"/>
    <w:rsid w:val="007B60C5"/>
    <w:rsid w:val="007C5B9B"/>
    <w:rsid w:val="007E3CE4"/>
    <w:rsid w:val="007F4737"/>
    <w:rsid w:val="007F6569"/>
    <w:rsid w:val="00813233"/>
    <w:rsid w:val="00816364"/>
    <w:rsid w:val="00824543"/>
    <w:rsid w:val="00830FE8"/>
    <w:rsid w:val="008411A1"/>
    <w:rsid w:val="0084242B"/>
    <w:rsid w:val="00847937"/>
    <w:rsid w:val="00851E36"/>
    <w:rsid w:val="008522A3"/>
    <w:rsid w:val="00854818"/>
    <w:rsid w:val="00862ADF"/>
    <w:rsid w:val="00865ED7"/>
    <w:rsid w:val="008703E0"/>
    <w:rsid w:val="008806B8"/>
    <w:rsid w:val="00887735"/>
    <w:rsid w:val="008A4B2C"/>
    <w:rsid w:val="008D2D9F"/>
    <w:rsid w:val="008D6F6C"/>
    <w:rsid w:val="008E359F"/>
    <w:rsid w:val="008E575B"/>
    <w:rsid w:val="008E593C"/>
    <w:rsid w:val="008E6123"/>
    <w:rsid w:val="008E7542"/>
    <w:rsid w:val="008F04DD"/>
    <w:rsid w:val="00901DFD"/>
    <w:rsid w:val="00903564"/>
    <w:rsid w:val="00904E2A"/>
    <w:rsid w:val="00906CAE"/>
    <w:rsid w:val="009137CF"/>
    <w:rsid w:val="00913E8C"/>
    <w:rsid w:val="00915E21"/>
    <w:rsid w:val="00922A32"/>
    <w:rsid w:val="0093111B"/>
    <w:rsid w:val="00931BCF"/>
    <w:rsid w:val="00932189"/>
    <w:rsid w:val="00934B3A"/>
    <w:rsid w:val="00935978"/>
    <w:rsid w:val="009430D2"/>
    <w:rsid w:val="00944183"/>
    <w:rsid w:val="00944352"/>
    <w:rsid w:val="009526F7"/>
    <w:rsid w:val="00956297"/>
    <w:rsid w:val="00956331"/>
    <w:rsid w:val="00961CCF"/>
    <w:rsid w:val="00963C40"/>
    <w:rsid w:val="009841DE"/>
    <w:rsid w:val="00986631"/>
    <w:rsid w:val="00987582"/>
    <w:rsid w:val="00990C8D"/>
    <w:rsid w:val="009A7D01"/>
    <w:rsid w:val="009C2F35"/>
    <w:rsid w:val="009C331D"/>
    <w:rsid w:val="009C5E44"/>
    <w:rsid w:val="009C7C37"/>
    <w:rsid w:val="009D1725"/>
    <w:rsid w:val="009D1E7D"/>
    <w:rsid w:val="009D22BA"/>
    <w:rsid w:val="009D553C"/>
    <w:rsid w:val="009F366F"/>
    <w:rsid w:val="009F4951"/>
    <w:rsid w:val="00A037EC"/>
    <w:rsid w:val="00A05B3C"/>
    <w:rsid w:val="00A07735"/>
    <w:rsid w:val="00A135B1"/>
    <w:rsid w:val="00A23767"/>
    <w:rsid w:val="00A27EF6"/>
    <w:rsid w:val="00A34826"/>
    <w:rsid w:val="00A40836"/>
    <w:rsid w:val="00A436D5"/>
    <w:rsid w:val="00A45DC3"/>
    <w:rsid w:val="00A52F45"/>
    <w:rsid w:val="00A53CCD"/>
    <w:rsid w:val="00A54D38"/>
    <w:rsid w:val="00A60C0E"/>
    <w:rsid w:val="00A655AD"/>
    <w:rsid w:val="00A72C0A"/>
    <w:rsid w:val="00A85613"/>
    <w:rsid w:val="00A913B8"/>
    <w:rsid w:val="00A954BB"/>
    <w:rsid w:val="00AA1FF1"/>
    <w:rsid w:val="00AB150D"/>
    <w:rsid w:val="00AB42B1"/>
    <w:rsid w:val="00AC03DE"/>
    <w:rsid w:val="00AC1E4B"/>
    <w:rsid w:val="00AC6B25"/>
    <w:rsid w:val="00AD16A9"/>
    <w:rsid w:val="00AD331C"/>
    <w:rsid w:val="00AE3C28"/>
    <w:rsid w:val="00AE5A5A"/>
    <w:rsid w:val="00AE5CFC"/>
    <w:rsid w:val="00AF23E7"/>
    <w:rsid w:val="00AF313B"/>
    <w:rsid w:val="00AF5151"/>
    <w:rsid w:val="00B00D48"/>
    <w:rsid w:val="00B044F1"/>
    <w:rsid w:val="00B05931"/>
    <w:rsid w:val="00B1094E"/>
    <w:rsid w:val="00B12301"/>
    <w:rsid w:val="00B37F6F"/>
    <w:rsid w:val="00B4039B"/>
    <w:rsid w:val="00B41D52"/>
    <w:rsid w:val="00B43E22"/>
    <w:rsid w:val="00B45435"/>
    <w:rsid w:val="00B454D2"/>
    <w:rsid w:val="00B54B68"/>
    <w:rsid w:val="00B55BD1"/>
    <w:rsid w:val="00B620B9"/>
    <w:rsid w:val="00B6725E"/>
    <w:rsid w:val="00B80FA4"/>
    <w:rsid w:val="00B859D8"/>
    <w:rsid w:val="00B87EE8"/>
    <w:rsid w:val="00B9629B"/>
    <w:rsid w:val="00B97274"/>
    <w:rsid w:val="00BA0DBB"/>
    <w:rsid w:val="00BA23AF"/>
    <w:rsid w:val="00BB0995"/>
    <w:rsid w:val="00BB09CA"/>
    <w:rsid w:val="00BB3008"/>
    <w:rsid w:val="00BB5B78"/>
    <w:rsid w:val="00BC4474"/>
    <w:rsid w:val="00BC62F1"/>
    <w:rsid w:val="00BC6B9B"/>
    <w:rsid w:val="00BD5D13"/>
    <w:rsid w:val="00BE0936"/>
    <w:rsid w:val="00BE2ED6"/>
    <w:rsid w:val="00C003B1"/>
    <w:rsid w:val="00C03BCA"/>
    <w:rsid w:val="00C15F1F"/>
    <w:rsid w:val="00C175CD"/>
    <w:rsid w:val="00C414FE"/>
    <w:rsid w:val="00C4697F"/>
    <w:rsid w:val="00C47F19"/>
    <w:rsid w:val="00C530B4"/>
    <w:rsid w:val="00C607D7"/>
    <w:rsid w:val="00C64ACE"/>
    <w:rsid w:val="00C64CA6"/>
    <w:rsid w:val="00C66D47"/>
    <w:rsid w:val="00C75B2E"/>
    <w:rsid w:val="00C75DAB"/>
    <w:rsid w:val="00C83582"/>
    <w:rsid w:val="00C872BE"/>
    <w:rsid w:val="00C9258A"/>
    <w:rsid w:val="00C92FC5"/>
    <w:rsid w:val="00CA5AC9"/>
    <w:rsid w:val="00CA676D"/>
    <w:rsid w:val="00CB207E"/>
    <w:rsid w:val="00CB429D"/>
    <w:rsid w:val="00CB7186"/>
    <w:rsid w:val="00CC019B"/>
    <w:rsid w:val="00CC04B4"/>
    <w:rsid w:val="00CC164A"/>
    <w:rsid w:val="00CD2A6B"/>
    <w:rsid w:val="00CD71EE"/>
    <w:rsid w:val="00CE0C77"/>
    <w:rsid w:val="00CE11E4"/>
    <w:rsid w:val="00CE6392"/>
    <w:rsid w:val="00CE7A7B"/>
    <w:rsid w:val="00CF57F2"/>
    <w:rsid w:val="00D010A0"/>
    <w:rsid w:val="00D12ACD"/>
    <w:rsid w:val="00D13155"/>
    <w:rsid w:val="00D14765"/>
    <w:rsid w:val="00D16CC4"/>
    <w:rsid w:val="00D211D5"/>
    <w:rsid w:val="00D306EE"/>
    <w:rsid w:val="00D36B94"/>
    <w:rsid w:val="00D443D5"/>
    <w:rsid w:val="00D45DA3"/>
    <w:rsid w:val="00D53766"/>
    <w:rsid w:val="00D71B3C"/>
    <w:rsid w:val="00D8150C"/>
    <w:rsid w:val="00D84120"/>
    <w:rsid w:val="00D84B17"/>
    <w:rsid w:val="00D92185"/>
    <w:rsid w:val="00D94BE6"/>
    <w:rsid w:val="00DA4D95"/>
    <w:rsid w:val="00DB1DC0"/>
    <w:rsid w:val="00DB7B3C"/>
    <w:rsid w:val="00DB7E53"/>
    <w:rsid w:val="00DC306B"/>
    <w:rsid w:val="00DC546C"/>
    <w:rsid w:val="00DD156A"/>
    <w:rsid w:val="00DD4B96"/>
    <w:rsid w:val="00DE05EA"/>
    <w:rsid w:val="00DE12A2"/>
    <w:rsid w:val="00DE1F9C"/>
    <w:rsid w:val="00DF1144"/>
    <w:rsid w:val="00DF28D8"/>
    <w:rsid w:val="00DF2A7B"/>
    <w:rsid w:val="00E12F63"/>
    <w:rsid w:val="00E13BCE"/>
    <w:rsid w:val="00E20958"/>
    <w:rsid w:val="00E253A4"/>
    <w:rsid w:val="00E27442"/>
    <w:rsid w:val="00E34592"/>
    <w:rsid w:val="00E35A89"/>
    <w:rsid w:val="00E36D59"/>
    <w:rsid w:val="00E37A35"/>
    <w:rsid w:val="00E40B4F"/>
    <w:rsid w:val="00E5060B"/>
    <w:rsid w:val="00E51152"/>
    <w:rsid w:val="00E55FC0"/>
    <w:rsid w:val="00E62295"/>
    <w:rsid w:val="00E626C3"/>
    <w:rsid w:val="00E66BB0"/>
    <w:rsid w:val="00E67F1C"/>
    <w:rsid w:val="00E7016D"/>
    <w:rsid w:val="00E71124"/>
    <w:rsid w:val="00E71E23"/>
    <w:rsid w:val="00E76340"/>
    <w:rsid w:val="00E824C5"/>
    <w:rsid w:val="00E83616"/>
    <w:rsid w:val="00E8536A"/>
    <w:rsid w:val="00E87A0A"/>
    <w:rsid w:val="00E93447"/>
    <w:rsid w:val="00E946CE"/>
    <w:rsid w:val="00E970D9"/>
    <w:rsid w:val="00EA5015"/>
    <w:rsid w:val="00EB10E2"/>
    <w:rsid w:val="00EB1C39"/>
    <w:rsid w:val="00EB1E4A"/>
    <w:rsid w:val="00EC350F"/>
    <w:rsid w:val="00EC493F"/>
    <w:rsid w:val="00EC5905"/>
    <w:rsid w:val="00F1274E"/>
    <w:rsid w:val="00F166FD"/>
    <w:rsid w:val="00F21CD5"/>
    <w:rsid w:val="00F25CF6"/>
    <w:rsid w:val="00F26DC1"/>
    <w:rsid w:val="00F30A62"/>
    <w:rsid w:val="00F36354"/>
    <w:rsid w:val="00F446DF"/>
    <w:rsid w:val="00F45973"/>
    <w:rsid w:val="00F4652F"/>
    <w:rsid w:val="00F506FF"/>
    <w:rsid w:val="00F578EE"/>
    <w:rsid w:val="00F61F9E"/>
    <w:rsid w:val="00F627AC"/>
    <w:rsid w:val="00F64113"/>
    <w:rsid w:val="00F64E4E"/>
    <w:rsid w:val="00F716FA"/>
    <w:rsid w:val="00F7493D"/>
    <w:rsid w:val="00F85993"/>
    <w:rsid w:val="00F900AB"/>
    <w:rsid w:val="00F93B47"/>
    <w:rsid w:val="00FA1D81"/>
    <w:rsid w:val="00FA6936"/>
    <w:rsid w:val="00FB7863"/>
    <w:rsid w:val="00FC709C"/>
    <w:rsid w:val="00FD07A7"/>
    <w:rsid w:val="00FD2EE4"/>
    <w:rsid w:val="00FD32A2"/>
    <w:rsid w:val="00FE21E6"/>
    <w:rsid w:val="00FE76D6"/>
    <w:rsid w:val="00FF0941"/>
    <w:rsid w:val="00FF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671B2"/>
  <w15:chartTrackingRefBased/>
  <w15:docId w15:val="{069481BC-836B-094C-8930-A1032FB7E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5F0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150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8150C"/>
    <w:rPr>
      <w:rFonts w:eastAsiaTheme="minorEastAsia"/>
      <w:kern w:val="0"/>
      <w:sz w:val="22"/>
      <w:szCs w:val="22"/>
      <w:lang w:val="en-US" w:eastAsia="zh-CN"/>
      <w14:ligatures w14:val="none"/>
    </w:rPr>
  </w:style>
  <w:style w:type="paragraph" w:styleId="ListParagraph">
    <w:name w:val="List Paragraph"/>
    <w:basedOn w:val="Normal"/>
    <w:uiPriority w:val="34"/>
    <w:qFormat/>
    <w:rsid w:val="00D8150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normaltextrun">
    <w:name w:val="normaltextrun"/>
    <w:basedOn w:val="DefaultParagraphFont"/>
    <w:rsid w:val="00D8150C"/>
  </w:style>
  <w:style w:type="character" w:customStyle="1" w:styleId="eop">
    <w:name w:val="eop"/>
    <w:basedOn w:val="DefaultParagraphFont"/>
    <w:rsid w:val="00D8150C"/>
  </w:style>
  <w:style w:type="paragraph" w:customStyle="1" w:styleId="paragraph">
    <w:name w:val="paragraph"/>
    <w:basedOn w:val="Normal"/>
    <w:rsid w:val="00D8150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BodyText1">
    <w:name w:val="Body Text1"/>
    <w:basedOn w:val="Normal"/>
    <w:rsid w:val="009A7D01"/>
    <w:pPr>
      <w:tabs>
        <w:tab w:val="left" w:pos="720"/>
        <w:tab w:val="left" w:pos="1440"/>
      </w:tabs>
    </w:pPr>
    <w:rPr>
      <w:rFonts w:ascii="CG Times (WN)" w:eastAsia="Times New Roman" w:hAnsi="CG Times (WN)" w:cs="Times New Roman"/>
      <w:kern w:val="0"/>
      <w:szCs w:val="20"/>
      <w14:ligatures w14:val="none"/>
    </w:rPr>
  </w:style>
  <w:style w:type="character" w:customStyle="1" w:styleId="apple-converted-space">
    <w:name w:val="apple-converted-space"/>
    <w:basedOn w:val="DefaultParagraphFont"/>
    <w:rsid w:val="00931BCF"/>
  </w:style>
  <w:style w:type="character" w:customStyle="1" w:styleId="Heading1Char">
    <w:name w:val="Heading 1 Char"/>
    <w:basedOn w:val="DefaultParagraphFont"/>
    <w:link w:val="Heading1"/>
    <w:uiPriority w:val="9"/>
    <w:rsid w:val="00675F07"/>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675F07"/>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574077">
      <w:bodyDiv w:val="1"/>
      <w:marLeft w:val="0"/>
      <w:marRight w:val="0"/>
      <w:marTop w:val="0"/>
      <w:marBottom w:val="0"/>
      <w:divBdr>
        <w:top w:val="none" w:sz="0" w:space="0" w:color="auto"/>
        <w:left w:val="none" w:sz="0" w:space="0" w:color="auto"/>
        <w:bottom w:val="none" w:sz="0" w:space="0" w:color="auto"/>
        <w:right w:val="none" w:sz="0" w:space="0" w:color="auto"/>
      </w:divBdr>
    </w:div>
    <w:div w:id="1317878931">
      <w:bodyDiv w:val="1"/>
      <w:marLeft w:val="0"/>
      <w:marRight w:val="0"/>
      <w:marTop w:val="0"/>
      <w:marBottom w:val="0"/>
      <w:divBdr>
        <w:top w:val="none" w:sz="0" w:space="0" w:color="auto"/>
        <w:left w:val="none" w:sz="0" w:space="0" w:color="auto"/>
        <w:bottom w:val="none" w:sz="0" w:space="0" w:color="auto"/>
        <w:right w:val="none" w:sz="0" w:space="0" w:color="auto"/>
      </w:divBdr>
      <w:divsChild>
        <w:div w:id="249701077">
          <w:marLeft w:val="-720"/>
          <w:marRight w:val="0"/>
          <w:marTop w:val="0"/>
          <w:marBottom w:val="0"/>
          <w:divBdr>
            <w:top w:val="none" w:sz="0" w:space="0" w:color="auto"/>
            <w:left w:val="none" w:sz="0" w:space="0" w:color="auto"/>
            <w:bottom w:val="none" w:sz="0" w:space="0" w:color="auto"/>
            <w:right w:val="none" w:sz="0" w:space="0" w:color="auto"/>
          </w:divBdr>
        </w:div>
      </w:divsChild>
    </w:div>
    <w:div w:id="1318802200">
      <w:bodyDiv w:val="1"/>
      <w:marLeft w:val="0"/>
      <w:marRight w:val="0"/>
      <w:marTop w:val="0"/>
      <w:marBottom w:val="0"/>
      <w:divBdr>
        <w:top w:val="none" w:sz="0" w:space="0" w:color="auto"/>
        <w:left w:val="none" w:sz="0" w:space="0" w:color="auto"/>
        <w:bottom w:val="none" w:sz="0" w:space="0" w:color="auto"/>
        <w:right w:val="none" w:sz="0" w:space="0" w:color="auto"/>
      </w:divBdr>
    </w:div>
    <w:div w:id="1514302729">
      <w:bodyDiv w:val="1"/>
      <w:marLeft w:val="0"/>
      <w:marRight w:val="0"/>
      <w:marTop w:val="0"/>
      <w:marBottom w:val="0"/>
      <w:divBdr>
        <w:top w:val="none" w:sz="0" w:space="0" w:color="auto"/>
        <w:left w:val="none" w:sz="0" w:space="0" w:color="auto"/>
        <w:bottom w:val="none" w:sz="0" w:space="0" w:color="auto"/>
        <w:right w:val="none" w:sz="0" w:space="0" w:color="auto"/>
      </w:divBdr>
    </w:div>
    <w:div w:id="1540776872">
      <w:bodyDiv w:val="1"/>
      <w:marLeft w:val="0"/>
      <w:marRight w:val="0"/>
      <w:marTop w:val="0"/>
      <w:marBottom w:val="0"/>
      <w:divBdr>
        <w:top w:val="none" w:sz="0" w:space="0" w:color="auto"/>
        <w:left w:val="none" w:sz="0" w:space="0" w:color="auto"/>
        <w:bottom w:val="none" w:sz="0" w:space="0" w:color="auto"/>
        <w:right w:val="none" w:sz="0" w:space="0" w:color="auto"/>
      </w:divBdr>
    </w:div>
    <w:div w:id="2075468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1</Pages>
  <Words>3963</Words>
  <Characters>22592</Characters>
  <Application>Microsoft Office Word</Application>
  <DocSecurity>0</DocSecurity>
  <Lines>188</Lines>
  <Paragraphs>53</Paragraphs>
  <ScaleCrop>false</ScaleCrop>
  <Company/>
  <LinksUpToDate>false</LinksUpToDate>
  <CharactersWithSpaces>26502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dc:title>
  <dc:subject/>
  <dc:creator>Daniel Hurford (2103530)</dc:creator>
  <cp:keywords/>
  <dc:description/>
  <cp:lastModifiedBy>Daniel Hurford</cp:lastModifiedBy>
  <cp:revision>1324</cp:revision>
  <dcterms:created xsi:type="dcterms:W3CDTF">2024-03-20T19:48:00Z</dcterms:created>
  <dcterms:modified xsi:type="dcterms:W3CDTF">2024-04-05T15:22:00Z</dcterms:modified>
</cp:coreProperties>
</file>