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A22E19" w14:textId="5F33E05A" w:rsidR="00676E07" w:rsidRDefault="00D64BDC" w:rsidP="00D64BDC">
      <w:pPr>
        <w:jc w:val="center"/>
      </w:pPr>
      <w:r>
        <w:rPr>
          <w:noProof/>
          <w:color w:val="2B579A"/>
          <w:shd w:val="clear" w:color="auto" w:fill="E6E6E6"/>
        </w:rPr>
        <w:drawing>
          <wp:inline distT="0" distB="0" distL="0" distR="0" wp14:anchorId="6432D04F" wp14:editId="0C6E4AF5">
            <wp:extent cx="2395317" cy="1197659"/>
            <wp:effectExtent l="0" t="0" r="5080" b="2540"/>
            <wp:docPr id="1" name="Picture 1" descr="University of Wales Trinity Saint David launches ‘One Plane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University of Wales Trinity Saint David launches ‘One Planet ..."/>
                    <pic:cNvPicPr>
                      <a:picLocks noChangeAspect="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412124" cy="1206062"/>
                    </a:xfrm>
                    <a:prstGeom prst="rect">
                      <a:avLst/>
                    </a:prstGeom>
                    <a:noFill/>
                    <a:ln>
                      <a:noFill/>
                    </a:ln>
                  </pic:spPr>
                </pic:pic>
              </a:graphicData>
            </a:graphic>
          </wp:inline>
        </w:drawing>
      </w:r>
    </w:p>
    <w:p w14:paraId="031DC61F" w14:textId="77777777" w:rsidR="00D64BDC" w:rsidRDefault="00D64BDC" w:rsidP="00D64BDC">
      <w:pPr>
        <w:jc w:val="center"/>
      </w:pPr>
    </w:p>
    <w:p w14:paraId="299083CC" w14:textId="77777777" w:rsidR="00D64BDC" w:rsidRDefault="00D64BDC" w:rsidP="00D64BDC">
      <w:pPr>
        <w:jc w:val="center"/>
      </w:pPr>
    </w:p>
    <w:p w14:paraId="75E9839D" w14:textId="77777777" w:rsidR="00D64BDC" w:rsidRPr="00C902DF" w:rsidRDefault="00D64BDC" w:rsidP="00D64BDC">
      <w:pPr>
        <w:spacing w:line="360" w:lineRule="auto"/>
        <w:jc w:val="center"/>
        <w:rPr>
          <w:rFonts w:ascii="Arial" w:hAnsi="Arial" w:cs="Arial"/>
          <w:b/>
          <w:bCs/>
          <w:sz w:val="32"/>
          <w:szCs w:val="32"/>
        </w:rPr>
      </w:pPr>
      <w:r w:rsidRPr="00C902DF">
        <w:rPr>
          <w:rFonts w:ascii="Arial" w:hAnsi="Arial" w:cs="Arial"/>
          <w:b/>
          <w:bCs/>
          <w:sz w:val="32"/>
          <w:szCs w:val="32"/>
        </w:rPr>
        <w:t>Student: Alayna Zaid</w:t>
      </w:r>
    </w:p>
    <w:p w14:paraId="1A6B23EF" w14:textId="77777777" w:rsidR="00D64BDC" w:rsidRPr="00C902DF" w:rsidRDefault="00D64BDC" w:rsidP="00D64BDC">
      <w:pPr>
        <w:spacing w:line="360" w:lineRule="auto"/>
        <w:jc w:val="center"/>
        <w:rPr>
          <w:rFonts w:ascii="Arial" w:hAnsi="Arial" w:cs="Arial"/>
          <w:b/>
          <w:bCs/>
          <w:sz w:val="32"/>
          <w:szCs w:val="32"/>
        </w:rPr>
      </w:pPr>
      <w:r w:rsidRPr="00C902DF">
        <w:rPr>
          <w:rFonts w:ascii="Arial" w:hAnsi="Arial" w:cs="Arial"/>
          <w:b/>
          <w:bCs/>
          <w:sz w:val="32"/>
          <w:szCs w:val="32"/>
        </w:rPr>
        <w:t>Student No: 2225339</w:t>
      </w:r>
    </w:p>
    <w:p w14:paraId="1B4E5215" w14:textId="77777777" w:rsidR="00D64BDC" w:rsidRPr="00C902DF" w:rsidRDefault="00D64BDC" w:rsidP="00D64BDC">
      <w:pPr>
        <w:spacing w:line="360" w:lineRule="auto"/>
        <w:jc w:val="center"/>
        <w:rPr>
          <w:rFonts w:ascii="Arial" w:hAnsi="Arial" w:cs="Arial"/>
          <w:b/>
          <w:bCs/>
          <w:sz w:val="32"/>
          <w:szCs w:val="32"/>
        </w:rPr>
      </w:pPr>
      <w:r w:rsidRPr="00C902DF">
        <w:rPr>
          <w:rFonts w:ascii="Arial" w:hAnsi="Arial" w:cs="Arial"/>
          <w:b/>
          <w:bCs/>
          <w:sz w:val="32"/>
          <w:szCs w:val="32"/>
        </w:rPr>
        <w:t xml:space="preserve">Module: </w:t>
      </w:r>
      <w:r>
        <w:rPr>
          <w:rFonts w:ascii="Arial" w:hAnsi="Arial" w:cs="Arial"/>
          <w:b/>
          <w:bCs/>
          <w:sz w:val="32"/>
          <w:szCs w:val="32"/>
        </w:rPr>
        <w:t>Introduction To Independent Research Skills</w:t>
      </w:r>
      <w:r w:rsidRPr="00C902DF">
        <w:rPr>
          <w:rFonts w:ascii="Arial" w:hAnsi="Arial" w:cs="Arial"/>
          <w:b/>
          <w:bCs/>
          <w:sz w:val="32"/>
          <w:szCs w:val="32"/>
        </w:rPr>
        <w:t xml:space="preserve"> </w:t>
      </w:r>
    </w:p>
    <w:p w14:paraId="26AFA355" w14:textId="3A4A91B9" w:rsidR="00D64BDC" w:rsidRPr="00C902DF" w:rsidRDefault="00D64BDC" w:rsidP="00D64BDC">
      <w:pPr>
        <w:spacing w:line="360" w:lineRule="auto"/>
        <w:jc w:val="center"/>
        <w:rPr>
          <w:rFonts w:ascii="Arial" w:hAnsi="Arial" w:cs="Arial"/>
          <w:b/>
          <w:bCs/>
          <w:sz w:val="32"/>
          <w:szCs w:val="32"/>
        </w:rPr>
      </w:pPr>
      <w:r w:rsidRPr="00C902DF">
        <w:rPr>
          <w:rFonts w:ascii="Arial" w:hAnsi="Arial" w:cs="Arial"/>
          <w:b/>
          <w:bCs/>
          <w:sz w:val="32"/>
          <w:szCs w:val="32"/>
        </w:rPr>
        <w:t xml:space="preserve">Component </w:t>
      </w:r>
      <w:r>
        <w:rPr>
          <w:rFonts w:ascii="Arial" w:hAnsi="Arial" w:cs="Arial"/>
          <w:b/>
          <w:bCs/>
          <w:sz w:val="32"/>
          <w:szCs w:val="32"/>
        </w:rPr>
        <w:t>2</w:t>
      </w:r>
    </w:p>
    <w:p w14:paraId="3B19B418" w14:textId="77777777" w:rsidR="00D64BDC" w:rsidRPr="00C902DF" w:rsidRDefault="00D64BDC" w:rsidP="00D64BDC">
      <w:pPr>
        <w:spacing w:line="360" w:lineRule="auto"/>
        <w:jc w:val="center"/>
        <w:rPr>
          <w:rFonts w:ascii="Arial" w:hAnsi="Arial" w:cs="Arial"/>
          <w:b/>
          <w:bCs/>
          <w:sz w:val="32"/>
          <w:szCs w:val="32"/>
        </w:rPr>
      </w:pPr>
      <w:r w:rsidRPr="00C902DF">
        <w:rPr>
          <w:rFonts w:ascii="Arial" w:hAnsi="Arial" w:cs="Arial"/>
          <w:b/>
          <w:bCs/>
          <w:sz w:val="32"/>
          <w:szCs w:val="32"/>
        </w:rPr>
        <w:t>Module code: BMHP501</w:t>
      </w:r>
      <w:r>
        <w:rPr>
          <w:rFonts w:ascii="Arial" w:hAnsi="Arial" w:cs="Arial"/>
          <w:b/>
          <w:bCs/>
          <w:sz w:val="32"/>
          <w:szCs w:val="32"/>
        </w:rPr>
        <w:t>9</w:t>
      </w:r>
    </w:p>
    <w:p w14:paraId="76CB7236" w14:textId="77777777" w:rsidR="00D64BDC" w:rsidRDefault="00D64BDC" w:rsidP="00D64BDC">
      <w:pPr>
        <w:jc w:val="center"/>
      </w:pPr>
    </w:p>
    <w:p w14:paraId="7B5FCA42" w14:textId="77777777" w:rsidR="00D64BDC" w:rsidRDefault="00D64BDC" w:rsidP="00D64BDC">
      <w:pPr>
        <w:jc w:val="center"/>
      </w:pPr>
    </w:p>
    <w:p w14:paraId="2301B691" w14:textId="77777777" w:rsidR="00D64BDC" w:rsidRDefault="00D64BDC" w:rsidP="00D64BDC">
      <w:pPr>
        <w:jc w:val="center"/>
      </w:pPr>
    </w:p>
    <w:p w14:paraId="1DD21801" w14:textId="77777777" w:rsidR="00D64BDC" w:rsidRDefault="00D64BDC" w:rsidP="00D64BDC">
      <w:pPr>
        <w:jc w:val="center"/>
      </w:pPr>
    </w:p>
    <w:p w14:paraId="4791F60F" w14:textId="77777777" w:rsidR="00D64BDC" w:rsidRDefault="00D64BDC" w:rsidP="00D64BDC">
      <w:pPr>
        <w:jc w:val="center"/>
      </w:pPr>
    </w:p>
    <w:p w14:paraId="2A6B501A" w14:textId="77777777" w:rsidR="00D64BDC" w:rsidRDefault="00D64BDC" w:rsidP="00D64BDC">
      <w:pPr>
        <w:jc w:val="center"/>
      </w:pPr>
    </w:p>
    <w:p w14:paraId="2171FC61" w14:textId="77777777" w:rsidR="00D64BDC" w:rsidRDefault="00D64BDC" w:rsidP="00D64BDC">
      <w:pPr>
        <w:jc w:val="center"/>
      </w:pPr>
    </w:p>
    <w:p w14:paraId="6F994275" w14:textId="77777777" w:rsidR="00D64BDC" w:rsidRDefault="00D64BDC" w:rsidP="00D64BDC">
      <w:pPr>
        <w:jc w:val="center"/>
      </w:pPr>
    </w:p>
    <w:p w14:paraId="7CB29736" w14:textId="77777777" w:rsidR="00D64BDC" w:rsidRDefault="00D64BDC" w:rsidP="00D64BDC">
      <w:pPr>
        <w:jc w:val="center"/>
      </w:pPr>
    </w:p>
    <w:p w14:paraId="7AF3B67D" w14:textId="77777777" w:rsidR="00D64BDC" w:rsidRDefault="00D64BDC" w:rsidP="00D64BDC">
      <w:pPr>
        <w:jc w:val="center"/>
      </w:pPr>
    </w:p>
    <w:p w14:paraId="6A3F6390" w14:textId="77777777" w:rsidR="00D64BDC" w:rsidRDefault="00D64BDC" w:rsidP="00D64BDC">
      <w:pPr>
        <w:jc w:val="center"/>
      </w:pPr>
    </w:p>
    <w:p w14:paraId="28991145" w14:textId="77777777" w:rsidR="00D64BDC" w:rsidRDefault="00D64BDC" w:rsidP="00D64BDC">
      <w:pPr>
        <w:jc w:val="center"/>
      </w:pPr>
    </w:p>
    <w:p w14:paraId="74B0DC5D" w14:textId="77777777" w:rsidR="00D64BDC" w:rsidRDefault="00D64BDC" w:rsidP="00D64BDC">
      <w:pPr>
        <w:jc w:val="center"/>
      </w:pPr>
    </w:p>
    <w:p w14:paraId="47D29543" w14:textId="77777777" w:rsidR="00D64BDC" w:rsidRDefault="00D64BDC" w:rsidP="00D64BDC">
      <w:pPr>
        <w:jc w:val="center"/>
      </w:pPr>
    </w:p>
    <w:p w14:paraId="5F74E8CE" w14:textId="77777777" w:rsidR="00D64BDC" w:rsidRDefault="00D64BDC" w:rsidP="00D64BDC">
      <w:pPr>
        <w:jc w:val="center"/>
      </w:pPr>
    </w:p>
    <w:p w14:paraId="5267B323" w14:textId="77777777" w:rsidR="00D64BDC" w:rsidRDefault="00D64BDC" w:rsidP="00D64BDC">
      <w:pPr>
        <w:jc w:val="center"/>
      </w:pPr>
    </w:p>
    <w:p w14:paraId="72EAF8D2" w14:textId="77777777" w:rsidR="00D64BDC" w:rsidRDefault="00D64BDC" w:rsidP="00D64BDC">
      <w:pPr>
        <w:jc w:val="center"/>
      </w:pPr>
    </w:p>
    <w:p w14:paraId="4D1CA102" w14:textId="77777777" w:rsidR="00D64BDC" w:rsidRDefault="00D64BDC" w:rsidP="00D64BDC">
      <w:pPr>
        <w:jc w:val="center"/>
      </w:pPr>
    </w:p>
    <w:p w14:paraId="2DF379B9" w14:textId="77777777" w:rsidR="00D64BDC" w:rsidRDefault="00D64BDC" w:rsidP="00D64BDC">
      <w:pPr>
        <w:jc w:val="center"/>
      </w:pPr>
    </w:p>
    <w:p w14:paraId="17A7825B" w14:textId="77777777" w:rsidR="00D64BDC" w:rsidRDefault="00D64BDC" w:rsidP="00D64BDC">
      <w:pPr>
        <w:jc w:val="center"/>
      </w:pPr>
    </w:p>
    <w:p w14:paraId="1AEC874D" w14:textId="77777777" w:rsidR="00D64BDC" w:rsidRDefault="00D64BDC" w:rsidP="00D64BDC">
      <w:pPr>
        <w:jc w:val="center"/>
      </w:pPr>
    </w:p>
    <w:p w14:paraId="0BF8CBCF" w14:textId="77777777" w:rsidR="00D64BDC" w:rsidRDefault="00D64BDC" w:rsidP="00D64BDC">
      <w:pPr>
        <w:jc w:val="center"/>
      </w:pPr>
    </w:p>
    <w:p w14:paraId="02D95F24" w14:textId="77777777" w:rsidR="00D64BDC" w:rsidRDefault="00D64BDC" w:rsidP="00D64BDC">
      <w:pPr>
        <w:jc w:val="center"/>
      </w:pPr>
    </w:p>
    <w:p w14:paraId="3980A359" w14:textId="77777777" w:rsidR="00D64BDC" w:rsidRDefault="00D64BDC" w:rsidP="00D64BDC">
      <w:pPr>
        <w:jc w:val="center"/>
      </w:pPr>
    </w:p>
    <w:p w14:paraId="0F369561" w14:textId="77777777" w:rsidR="00D64BDC" w:rsidRDefault="00D64BDC" w:rsidP="00D64BDC">
      <w:pPr>
        <w:jc w:val="center"/>
      </w:pPr>
    </w:p>
    <w:p w14:paraId="4BA2C688" w14:textId="77777777" w:rsidR="00D64BDC" w:rsidRDefault="00D64BDC" w:rsidP="00D64BDC">
      <w:pPr>
        <w:jc w:val="center"/>
      </w:pPr>
    </w:p>
    <w:p w14:paraId="2C73583E" w14:textId="77777777" w:rsidR="00D64BDC" w:rsidRDefault="00D64BDC" w:rsidP="00D64BDC">
      <w:pPr>
        <w:jc w:val="center"/>
      </w:pPr>
    </w:p>
    <w:p w14:paraId="7122D7AC" w14:textId="77777777" w:rsidR="00D64BDC" w:rsidRDefault="00D64BDC" w:rsidP="00D64BDC">
      <w:pPr>
        <w:jc w:val="center"/>
      </w:pPr>
    </w:p>
    <w:p w14:paraId="2CB1B166" w14:textId="77777777" w:rsidR="00D64BDC" w:rsidRDefault="00D64BDC" w:rsidP="00D64BDC">
      <w:pPr>
        <w:jc w:val="center"/>
      </w:pPr>
    </w:p>
    <w:p w14:paraId="68C55C28" w14:textId="77777777" w:rsidR="00D64BDC" w:rsidRDefault="00D64BDC" w:rsidP="00D64BDC">
      <w:pPr>
        <w:jc w:val="center"/>
      </w:pPr>
    </w:p>
    <w:p w14:paraId="5DD2A968" w14:textId="77777777" w:rsidR="00D64BDC" w:rsidRDefault="00D64BDC" w:rsidP="00D64BDC">
      <w:pPr>
        <w:jc w:val="center"/>
      </w:pPr>
    </w:p>
    <w:p w14:paraId="79E73256" w14:textId="77777777" w:rsidR="00D64BDC" w:rsidRDefault="00D64BDC" w:rsidP="00D64BDC">
      <w:pPr>
        <w:jc w:val="center"/>
      </w:pPr>
    </w:p>
    <w:p w14:paraId="20A18004" w14:textId="77777777" w:rsidR="00D64BDC" w:rsidRDefault="00D64BDC" w:rsidP="00D64BDC">
      <w:pPr>
        <w:jc w:val="center"/>
      </w:pPr>
    </w:p>
    <w:sdt>
      <w:sdtPr>
        <w:rPr>
          <w:rFonts w:ascii="Arial" w:eastAsia="Arial" w:hAnsi="Arial" w:cs="Arial"/>
          <w:color w:val="auto"/>
          <w:sz w:val="22"/>
          <w:szCs w:val="22"/>
          <w:lang w:val="en" w:eastAsia="en-IN"/>
        </w:rPr>
        <w:id w:val="-84160338"/>
        <w:docPartObj>
          <w:docPartGallery w:val="Table of Contents"/>
          <w:docPartUnique/>
        </w:docPartObj>
      </w:sdtPr>
      <w:sdtEndPr>
        <w:rPr>
          <w:rFonts w:asciiTheme="minorHAnsi" w:eastAsiaTheme="minorHAnsi" w:hAnsiTheme="minorHAnsi" w:cstheme="minorBidi"/>
          <w:b/>
          <w:bCs/>
          <w:noProof/>
          <w:kern w:val="2"/>
          <w:sz w:val="24"/>
          <w:szCs w:val="24"/>
          <w:lang w:val="en-GB" w:eastAsia="en-US"/>
          <w14:ligatures w14:val="standardContextual"/>
        </w:rPr>
      </w:sdtEndPr>
      <w:sdtContent>
        <w:p w14:paraId="69A5ECB1" w14:textId="77777777" w:rsidR="00D64BDC" w:rsidRPr="00D64BDC" w:rsidRDefault="00D64BDC" w:rsidP="00D64BDC">
          <w:pPr>
            <w:pStyle w:val="TOCHeading"/>
            <w:spacing w:before="0" w:line="360" w:lineRule="auto"/>
            <w:jc w:val="center"/>
            <w:rPr>
              <w:rFonts w:ascii="Arial" w:hAnsi="Arial" w:cs="Arial"/>
              <w:b/>
              <w:bCs/>
              <w:color w:val="000000" w:themeColor="text1"/>
              <w:sz w:val="22"/>
              <w:szCs w:val="22"/>
            </w:rPr>
          </w:pPr>
          <w:r w:rsidRPr="00D64BDC">
            <w:rPr>
              <w:rFonts w:ascii="Arial" w:hAnsi="Arial" w:cs="Arial"/>
              <w:b/>
              <w:bCs/>
              <w:color w:val="000000" w:themeColor="text1"/>
              <w:sz w:val="22"/>
              <w:szCs w:val="22"/>
            </w:rPr>
            <w:t>TABLE OF CONTENTS</w:t>
          </w:r>
        </w:p>
        <w:p w14:paraId="1D7620CA" w14:textId="77777777" w:rsidR="00D64BDC" w:rsidRPr="00D64BDC" w:rsidRDefault="00D64BDC" w:rsidP="00D64BDC">
          <w:pPr>
            <w:pStyle w:val="TOC1"/>
            <w:tabs>
              <w:tab w:val="right" w:leader="dot" w:pos="9350"/>
            </w:tabs>
            <w:spacing w:after="0" w:line="360" w:lineRule="auto"/>
            <w:rPr>
              <w:noProof/>
            </w:rPr>
          </w:pPr>
          <w:r w:rsidRPr="00D64BDC">
            <w:fldChar w:fldCharType="begin"/>
          </w:r>
          <w:r w:rsidRPr="00D64BDC">
            <w:instrText xml:space="preserve"> TOC \o "1-3" \h \z \u </w:instrText>
          </w:r>
          <w:r w:rsidRPr="00D64BDC">
            <w:fldChar w:fldCharType="separate"/>
          </w:r>
          <w:hyperlink w:anchor="_Toc214109620" w:history="1">
            <w:r w:rsidRPr="00D64BDC">
              <w:rPr>
                <w:rStyle w:val="Hyperlink"/>
                <w:noProof/>
              </w:rPr>
              <w:t>Introduction</w:t>
            </w:r>
            <w:r w:rsidRPr="00D64BDC">
              <w:rPr>
                <w:noProof/>
                <w:webHidden/>
              </w:rPr>
              <w:tab/>
            </w:r>
            <w:r w:rsidRPr="00D64BDC">
              <w:rPr>
                <w:noProof/>
                <w:webHidden/>
              </w:rPr>
              <w:fldChar w:fldCharType="begin"/>
            </w:r>
            <w:r w:rsidRPr="00D64BDC">
              <w:rPr>
                <w:noProof/>
                <w:webHidden/>
              </w:rPr>
              <w:instrText xml:space="preserve"> PAGEREF _Toc214109620 \h </w:instrText>
            </w:r>
            <w:r w:rsidRPr="00D64BDC">
              <w:rPr>
                <w:noProof/>
                <w:webHidden/>
              </w:rPr>
            </w:r>
            <w:r w:rsidRPr="00D64BDC">
              <w:rPr>
                <w:noProof/>
                <w:webHidden/>
              </w:rPr>
              <w:fldChar w:fldCharType="separate"/>
            </w:r>
            <w:r w:rsidRPr="00D64BDC">
              <w:rPr>
                <w:noProof/>
                <w:webHidden/>
              </w:rPr>
              <w:t>3</w:t>
            </w:r>
            <w:r w:rsidRPr="00D64BDC">
              <w:rPr>
                <w:noProof/>
                <w:webHidden/>
              </w:rPr>
              <w:fldChar w:fldCharType="end"/>
            </w:r>
          </w:hyperlink>
        </w:p>
        <w:p w14:paraId="57D49ABB" w14:textId="77777777" w:rsidR="00D64BDC" w:rsidRPr="00D64BDC" w:rsidRDefault="00D64BDC" w:rsidP="00D64BDC">
          <w:pPr>
            <w:pStyle w:val="TOC1"/>
            <w:tabs>
              <w:tab w:val="right" w:leader="dot" w:pos="9350"/>
            </w:tabs>
            <w:spacing w:after="0" w:line="360" w:lineRule="auto"/>
            <w:rPr>
              <w:noProof/>
            </w:rPr>
          </w:pPr>
          <w:hyperlink w:anchor="_Toc214109621" w:history="1">
            <w:r w:rsidRPr="00D64BDC">
              <w:rPr>
                <w:rStyle w:val="Hyperlink"/>
                <w:noProof/>
              </w:rPr>
              <w:t>Background</w:t>
            </w:r>
            <w:r w:rsidRPr="00D64BDC">
              <w:rPr>
                <w:noProof/>
                <w:webHidden/>
              </w:rPr>
              <w:tab/>
            </w:r>
            <w:r w:rsidRPr="00D64BDC">
              <w:rPr>
                <w:noProof/>
                <w:webHidden/>
              </w:rPr>
              <w:fldChar w:fldCharType="begin"/>
            </w:r>
            <w:r w:rsidRPr="00D64BDC">
              <w:rPr>
                <w:noProof/>
                <w:webHidden/>
              </w:rPr>
              <w:instrText xml:space="preserve"> PAGEREF _Toc214109621 \h </w:instrText>
            </w:r>
            <w:r w:rsidRPr="00D64BDC">
              <w:rPr>
                <w:noProof/>
                <w:webHidden/>
              </w:rPr>
            </w:r>
            <w:r w:rsidRPr="00D64BDC">
              <w:rPr>
                <w:noProof/>
                <w:webHidden/>
              </w:rPr>
              <w:fldChar w:fldCharType="separate"/>
            </w:r>
            <w:r w:rsidRPr="00D64BDC">
              <w:rPr>
                <w:noProof/>
                <w:webHidden/>
              </w:rPr>
              <w:t>4</w:t>
            </w:r>
            <w:r w:rsidRPr="00D64BDC">
              <w:rPr>
                <w:noProof/>
                <w:webHidden/>
              </w:rPr>
              <w:fldChar w:fldCharType="end"/>
            </w:r>
          </w:hyperlink>
        </w:p>
        <w:p w14:paraId="1240DE5D" w14:textId="77777777" w:rsidR="00D64BDC" w:rsidRPr="00D64BDC" w:rsidRDefault="00D64BDC" w:rsidP="00D64BDC">
          <w:pPr>
            <w:pStyle w:val="TOC1"/>
            <w:tabs>
              <w:tab w:val="right" w:leader="dot" w:pos="9350"/>
            </w:tabs>
            <w:spacing w:after="0" w:line="360" w:lineRule="auto"/>
            <w:rPr>
              <w:noProof/>
            </w:rPr>
          </w:pPr>
          <w:hyperlink w:anchor="_Toc214109622" w:history="1">
            <w:r w:rsidRPr="00D64BDC">
              <w:rPr>
                <w:rStyle w:val="Hyperlink"/>
                <w:noProof/>
              </w:rPr>
              <w:t>Methods</w:t>
            </w:r>
            <w:r w:rsidRPr="00D64BDC">
              <w:rPr>
                <w:noProof/>
                <w:webHidden/>
              </w:rPr>
              <w:tab/>
            </w:r>
            <w:r w:rsidRPr="00D64BDC">
              <w:rPr>
                <w:noProof/>
                <w:webHidden/>
              </w:rPr>
              <w:fldChar w:fldCharType="begin"/>
            </w:r>
            <w:r w:rsidRPr="00D64BDC">
              <w:rPr>
                <w:noProof/>
                <w:webHidden/>
              </w:rPr>
              <w:instrText xml:space="preserve"> PAGEREF _Toc214109622 \h </w:instrText>
            </w:r>
            <w:r w:rsidRPr="00D64BDC">
              <w:rPr>
                <w:noProof/>
                <w:webHidden/>
              </w:rPr>
            </w:r>
            <w:r w:rsidRPr="00D64BDC">
              <w:rPr>
                <w:noProof/>
                <w:webHidden/>
              </w:rPr>
              <w:fldChar w:fldCharType="separate"/>
            </w:r>
            <w:r w:rsidRPr="00D64BDC">
              <w:rPr>
                <w:noProof/>
                <w:webHidden/>
              </w:rPr>
              <w:t>5</w:t>
            </w:r>
            <w:r w:rsidRPr="00D64BDC">
              <w:rPr>
                <w:noProof/>
                <w:webHidden/>
              </w:rPr>
              <w:fldChar w:fldCharType="end"/>
            </w:r>
          </w:hyperlink>
        </w:p>
        <w:p w14:paraId="5D9F54E0" w14:textId="77777777" w:rsidR="00D64BDC" w:rsidRPr="00D64BDC" w:rsidRDefault="00D64BDC" w:rsidP="00D64BDC">
          <w:pPr>
            <w:pStyle w:val="TOC1"/>
            <w:tabs>
              <w:tab w:val="right" w:leader="dot" w:pos="9350"/>
            </w:tabs>
            <w:spacing w:after="0" w:line="360" w:lineRule="auto"/>
            <w:rPr>
              <w:noProof/>
            </w:rPr>
          </w:pPr>
          <w:hyperlink w:anchor="_Toc214109623" w:history="1">
            <w:r w:rsidRPr="00D64BDC">
              <w:rPr>
                <w:rStyle w:val="Hyperlink"/>
                <w:noProof/>
              </w:rPr>
              <w:t>Results</w:t>
            </w:r>
            <w:r w:rsidRPr="00D64BDC">
              <w:rPr>
                <w:noProof/>
                <w:webHidden/>
              </w:rPr>
              <w:tab/>
            </w:r>
            <w:r w:rsidRPr="00D64BDC">
              <w:rPr>
                <w:noProof/>
                <w:webHidden/>
              </w:rPr>
              <w:fldChar w:fldCharType="begin"/>
            </w:r>
            <w:r w:rsidRPr="00D64BDC">
              <w:rPr>
                <w:noProof/>
                <w:webHidden/>
              </w:rPr>
              <w:instrText xml:space="preserve"> PAGEREF _Toc214109623 \h </w:instrText>
            </w:r>
            <w:r w:rsidRPr="00D64BDC">
              <w:rPr>
                <w:noProof/>
                <w:webHidden/>
              </w:rPr>
            </w:r>
            <w:r w:rsidRPr="00D64BDC">
              <w:rPr>
                <w:noProof/>
                <w:webHidden/>
              </w:rPr>
              <w:fldChar w:fldCharType="separate"/>
            </w:r>
            <w:r w:rsidRPr="00D64BDC">
              <w:rPr>
                <w:noProof/>
                <w:webHidden/>
              </w:rPr>
              <w:t>7</w:t>
            </w:r>
            <w:r w:rsidRPr="00D64BDC">
              <w:rPr>
                <w:noProof/>
                <w:webHidden/>
              </w:rPr>
              <w:fldChar w:fldCharType="end"/>
            </w:r>
          </w:hyperlink>
        </w:p>
        <w:p w14:paraId="4487ECF7" w14:textId="77777777" w:rsidR="00D64BDC" w:rsidRPr="00D64BDC" w:rsidRDefault="00D64BDC" w:rsidP="00D64BDC">
          <w:pPr>
            <w:pStyle w:val="TOC1"/>
            <w:tabs>
              <w:tab w:val="right" w:leader="dot" w:pos="9350"/>
            </w:tabs>
            <w:spacing w:after="0" w:line="360" w:lineRule="auto"/>
            <w:rPr>
              <w:noProof/>
            </w:rPr>
          </w:pPr>
          <w:hyperlink w:anchor="_Toc214109624" w:history="1">
            <w:r w:rsidRPr="00D64BDC">
              <w:rPr>
                <w:rStyle w:val="Hyperlink"/>
                <w:noProof/>
              </w:rPr>
              <w:t>Discussion</w:t>
            </w:r>
            <w:r w:rsidRPr="00D64BDC">
              <w:rPr>
                <w:noProof/>
                <w:webHidden/>
              </w:rPr>
              <w:tab/>
            </w:r>
            <w:r w:rsidRPr="00D64BDC">
              <w:rPr>
                <w:noProof/>
                <w:webHidden/>
              </w:rPr>
              <w:fldChar w:fldCharType="begin"/>
            </w:r>
            <w:r w:rsidRPr="00D64BDC">
              <w:rPr>
                <w:noProof/>
                <w:webHidden/>
              </w:rPr>
              <w:instrText xml:space="preserve"> PAGEREF _Toc214109624 \h </w:instrText>
            </w:r>
            <w:r w:rsidRPr="00D64BDC">
              <w:rPr>
                <w:noProof/>
                <w:webHidden/>
              </w:rPr>
            </w:r>
            <w:r w:rsidRPr="00D64BDC">
              <w:rPr>
                <w:noProof/>
                <w:webHidden/>
              </w:rPr>
              <w:fldChar w:fldCharType="separate"/>
            </w:r>
            <w:r w:rsidRPr="00D64BDC">
              <w:rPr>
                <w:noProof/>
                <w:webHidden/>
              </w:rPr>
              <w:t>10</w:t>
            </w:r>
            <w:r w:rsidRPr="00D64BDC">
              <w:rPr>
                <w:noProof/>
                <w:webHidden/>
              </w:rPr>
              <w:fldChar w:fldCharType="end"/>
            </w:r>
          </w:hyperlink>
        </w:p>
        <w:p w14:paraId="2D9AA689" w14:textId="77777777" w:rsidR="00D64BDC" w:rsidRPr="00D64BDC" w:rsidRDefault="00D64BDC" w:rsidP="00D64BDC">
          <w:pPr>
            <w:pStyle w:val="TOC1"/>
            <w:tabs>
              <w:tab w:val="right" w:leader="dot" w:pos="9350"/>
            </w:tabs>
            <w:spacing w:after="0" w:line="360" w:lineRule="auto"/>
            <w:rPr>
              <w:noProof/>
            </w:rPr>
          </w:pPr>
          <w:hyperlink w:anchor="_Toc214109625" w:history="1">
            <w:r w:rsidRPr="00D64BDC">
              <w:rPr>
                <w:rStyle w:val="Hyperlink"/>
                <w:noProof/>
              </w:rPr>
              <w:t>Conclusion and Recommendation</w:t>
            </w:r>
            <w:r w:rsidRPr="00D64BDC">
              <w:rPr>
                <w:noProof/>
                <w:webHidden/>
              </w:rPr>
              <w:tab/>
            </w:r>
            <w:r w:rsidRPr="00D64BDC">
              <w:rPr>
                <w:noProof/>
                <w:webHidden/>
              </w:rPr>
              <w:fldChar w:fldCharType="begin"/>
            </w:r>
            <w:r w:rsidRPr="00D64BDC">
              <w:rPr>
                <w:noProof/>
                <w:webHidden/>
              </w:rPr>
              <w:instrText xml:space="preserve"> PAGEREF _Toc214109625 \h </w:instrText>
            </w:r>
            <w:r w:rsidRPr="00D64BDC">
              <w:rPr>
                <w:noProof/>
                <w:webHidden/>
              </w:rPr>
            </w:r>
            <w:r w:rsidRPr="00D64BDC">
              <w:rPr>
                <w:noProof/>
                <w:webHidden/>
              </w:rPr>
              <w:fldChar w:fldCharType="separate"/>
            </w:r>
            <w:r w:rsidRPr="00D64BDC">
              <w:rPr>
                <w:noProof/>
                <w:webHidden/>
              </w:rPr>
              <w:t>12</w:t>
            </w:r>
            <w:r w:rsidRPr="00D64BDC">
              <w:rPr>
                <w:noProof/>
                <w:webHidden/>
              </w:rPr>
              <w:fldChar w:fldCharType="end"/>
            </w:r>
          </w:hyperlink>
        </w:p>
        <w:p w14:paraId="20F39157" w14:textId="77777777" w:rsidR="00D64BDC" w:rsidRPr="00D64BDC" w:rsidRDefault="00D64BDC" w:rsidP="00D64BDC">
          <w:pPr>
            <w:pStyle w:val="TOC1"/>
            <w:tabs>
              <w:tab w:val="right" w:leader="dot" w:pos="9350"/>
            </w:tabs>
            <w:spacing w:after="0" w:line="360" w:lineRule="auto"/>
            <w:rPr>
              <w:noProof/>
            </w:rPr>
          </w:pPr>
          <w:hyperlink w:anchor="_Toc214109626" w:history="1">
            <w:r w:rsidRPr="00D64BDC">
              <w:rPr>
                <w:rStyle w:val="Hyperlink"/>
                <w:noProof/>
              </w:rPr>
              <w:t>Reference Lis</w:t>
            </w:r>
            <w:r w:rsidRPr="00D64BDC">
              <w:rPr>
                <w:rStyle w:val="Hyperlink"/>
                <w:noProof/>
              </w:rPr>
              <w:t>t</w:t>
            </w:r>
            <w:r w:rsidRPr="00D64BDC">
              <w:rPr>
                <w:noProof/>
                <w:webHidden/>
              </w:rPr>
              <w:tab/>
            </w:r>
            <w:r w:rsidRPr="00D64BDC">
              <w:rPr>
                <w:noProof/>
                <w:webHidden/>
              </w:rPr>
              <w:fldChar w:fldCharType="begin"/>
            </w:r>
            <w:r w:rsidRPr="00D64BDC">
              <w:rPr>
                <w:noProof/>
                <w:webHidden/>
              </w:rPr>
              <w:instrText xml:space="preserve"> PAGEREF _Toc214109626 \h </w:instrText>
            </w:r>
            <w:r w:rsidRPr="00D64BDC">
              <w:rPr>
                <w:noProof/>
                <w:webHidden/>
              </w:rPr>
            </w:r>
            <w:r w:rsidRPr="00D64BDC">
              <w:rPr>
                <w:noProof/>
                <w:webHidden/>
              </w:rPr>
              <w:fldChar w:fldCharType="separate"/>
            </w:r>
            <w:r w:rsidRPr="00D64BDC">
              <w:rPr>
                <w:noProof/>
                <w:webHidden/>
              </w:rPr>
              <w:t>14</w:t>
            </w:r>
            <w:r w:rsidRPr="00D64BDC">
              <w:rPr>
                <w:noProof/>
                <w:webHidden/>
              </w:rPr>
              <w:fldChar w:fldCharType="end"/>
            </w:r>
          </w:hyperlink>
        </w:p>
        <w:p w14:paraId="3B1B7998" w14:textId="77777777" w:rsidR="00D64BDC" w:rsidRDefault="00D64BDC" w:rsidP="00D64BDC">
          <w:pPr>
            <w:spacing w:line="360" w:lineRule="auto"/>
            <w:rPr>
              <w:b/>
              <w:bCs/>
              <w:noProof/>
            </w:rPr>
          </w:pPr>
          <w:r w:rsidRPr="00D64BDC">
            <w:rPr>
              <w:rFonts w:ascii="Arial" w:hAnsi="Arial" w:cs="Arial"/>
              <w:b/>
              <w:bCs/>
              <w:noProof/>
              <w:sz w:val="22"/>
              <w:szCs w:val="22"/>
            </w:rPr>
            <w:fldChar w:fldCharType="end"/>
          </w:r>
        </w:p>
      </w:sdtContent>
    </w:sdt>
    <w:p w14:paraId="47911EF8" w14:textId="77777777" w:rsidR="00D64BDC" w:rsidRDefault="00D64BDC" w:rsidP="00D64BDC"/>
    <w:p w14:paraId="6C486910" w14:textId="77777777" w:rsidR="00D64BDC" w:rsidRDefault="00D64BDC" w:rsidP="00D64BDC"/>
    <w:p w14:paraId="0845FFEE" w14:textId="77777777" w:rsidR="00D64BDC" w:rsidRDefault="00D64BDC" w:rsidP="00D64BDC"/>
    <w:p w14:paraId="1807DA82" w14:textId="77777777" w:rsidR="00D64BDC" w:rsidRDefault="00D64BDC" w:rsidP="00D64BDC"/>
    <w:p w14:paraId="0D27924D" w14:textId="77777777" w:rsidR="00D64BDC" w:rsidRDefault="00D64BDC" w:rsidP="00D64BDC"/>
    <w:p w14:paraId="03D4A268" w14:textId="77777777" w:rsidR="00D64BDC" w:rsidRDefault="00D64BDC" w:rsidP="00D64BDC"/>
    <w:p w14:paraId="00566875" w14:textId="77777777" w:rsidR="00D64BDC" w:rsidRDefault="00D64BDC" w:rsidP="00D64BDC"/>
    <w:p w14:paraId="190B204C" w14:textId="77777777" w:rsidR="00D64BDC" w:rsidRDefault="00D64BDC" w:rsidP="00D64BDC"/>
    <w:p w14:paraId="4ADD0F6C" w14:textId="77777777" w:rsidR="00D64BDC" w:rsidRDefault="00D64BDC" w:rsidP="00D64BDC"/>
    <w:p w14:paraId="72870033" w14:textId="77777777" w:rsidR="00D64BDC" w:rsidRDefault="00D64BDC" w:rsidP="00D64BDC"/>
    <w:p w14:paraId="1592B30E" w14:textId="77777777" w:rsidR="00D64BDC" w:rsidRDefault="00D64BDC" w:rsidP="00D64BDC"/>
    <w:p w14:paraId="6BB2FD68" w14:textId="77777777" w:rsidR="00D64BDC" w:rsidRDefault="00D64BDC" w:rsidP="00D64BDC"/>
    <w:p w14:paraId="27E513AA" w14:textId="77777777" w:rsidR="00D64BDC" w:rsidRDefault="00D64BDC" w:rsidP="00D64BDC"/>
    <w:p w14:paraId="43316033" w14:textId="77777777" w:rsidR="00D64BDC" w:rsidRDefault="00D64BDC" w:rsidP="00D64BDC"/>
    <w:p w14:paraId="51CB2EFC" w14:textId="77777777" w:rsidR="00D64BDC" w:rsidRDefault="00D64BDC" w:rsidP="00D64BDC"/>
    <w:p w14:paraId="0B07B19D" w14:textId="77777777" w:rsidR="00D64BDC" w:rsidRDefault="00D64BDC" w:rsidP="00D64BDC"/>
    <w:p w14:paraId="4042DFBE" w14:textId="77777777" w:rsidR="00D64BDC" w:rsidRDefault="00D64BDC" w:rsidP="00D64BDC"/>
    <w:p w14:paraId="4D6A2903" w14:textId="77777777" w:rsidR="00D64BDC" w:rsidRDefault="00D64BDC" w:rsidP="00D64BDC"/>
    <w:p w14:paraId="27BE4B34" w14:textId="77777777" w:rsidR="00D64BDC" w:rsidRDefault="00D64BDC" w:rsidP="00D64BDC"/>
    <w:p w14:paraId="27192202" w14:textId="77777777" w:rsidR="00D64BDC" w:rsidRDefault="00D64BDC" w:rsidP="00D64BDC"/>
    <w:p w14:paraId="7C38C7D6" w14:textId="77777777" w:rsidR="00D64BDC" w:rsidRDefault="00D64BDC" w:rsidP="00D64BDC"/>
    <w:p w14:paraId="1425E93D" w14:textId="77777777" w:rsidR="00D64BDC" w:rsidRDefault="00D64BDC" w:rsidP="00D64BDC"/>
    <w:p w14:paraId="5603A82B" w14:textId="77777777" w:rsidR="00D64BDC" w:rsidRDefault="00D64BDC" w:rsidP="00D64BDC"/>
    <w:p w14:paraId="665F970A" w14:textId="77777777" w:rsidR="00D64BDC" w:rsidRDefault="00D64BDC" w:rsidP="00D64BDC"/>
    <w:p w14:paraId="312188F2" w14:textId="77777777" w:rsidR="00D64BDC" w:rsidRDefault="00D64BDC" w:rsidP="00D64BDC"/>
    <w:p w14:paraId="0E81C309" w14:textId="77777777" w:rsidR="00D64BDC" w:rsidRDefault="00D64BDC" w:rsidP="00D64BDC"/>
    <w:p w14:paraId="351E0E74" w14:textId="77777777" w:rsidR="00D64BDC" w:rsidRDefault="00D64BDC" w:rsidP="00D64BDC"/>
    <w:p w14:paraId="4740EE7A" w14:textId="77777777" w:rsidR="00D64BDC" w:rsidRDefault="00D64BDC" w:rsidP="00D64BDC"/>
    <w:p w14:paraId="0ABFD04F" w14:textId="77777777" w:rsidR="00D64BDC" w:rsidRDefault="00D64BDC" w:rsidP="00D64BDC"/>
    <w:p w14:paraId="53C98BD9" w14:textId="77777777" w:rsidR="00D64BDC" w:rsidRDefault="00D64BDC" w:rsidP="00D64BDC"/>
    <w:p w14:paraId="01531713" w14:textId="77777777" w:rsidR="00D64BDC" w:rsidRDefault="00D64BDC" w:rsidP="00D64BDC"/>
    <w:p w14:paraId="47825FC7" w14:textId="77777777" w:rsidR="00D64BDC" w:rsidRDefault="00D64BDC" w:rsidP="00D64BDC"/>
    <w:p w14:paraId="144C8C07" w14:textId="77777777" w:rsidR="00D64BDC" w:rsidRDefault="00D64BDC" w:rsidP="00D64BDC"/>
    <w:p w14:paraId="63975FBE" w14:textId="77777777" w:rsidR="00D64BDC" w:rsidRDefault="00D64BDC" w:rsidP="00D64BDC"/>
    <w:p w14:paraId="76FADD7E" w14:textId="77777777" w:rsidR="00D64BDC" w:rsidRDefault="00D64BDC" w:rsidP="00D64BDC"/>
    <w:p w14:paraId="70F73E55" w14:textId="77777777" w:rsidR="00D64BDC" w:rsidRDefault="00D64BDC" w:rsidP="00D64BDC"/>
    <w:p w14:paraId="7D23AB60" w14:textId="77777777" w:rsidR="00D64BDC" w:rsidRPr="00D64BDC" w:rsidRDefault="00D64BDC" w:rsidP="00D64BDC">
      <w:pPr>
        <w:pStyle w:val="Heading1"/>
        <w:spacing w:line="360" w:lineRule="auto"/>
        <w:rPr>
          <w:rFonts w:ascii="Arial" w:hAnsi="Arial" w:cs="Arial"/>
          <w:sz w:val="22"/>
          <w:szCs w:val="22"/>
        </w:rPr>
      </w:pPr>
      <w:bookmarkStart w:id="0" w:name="_Toc214109620"/>
      <w:r w:rsidRPr="00D64BDC">
        <w:rPr>
          <w:rFonts w:ascii="Arial" w:hAnsi="Arial" w:cs="Arial"/>
          <w:sz w:val="22"/>
          <w:szCs w:val="22"/>
        </w:rPr>
        <w:lastRenderedPageBreak/>
        <w:t>Introduction</w:t>
      </w:r>
      <w:bookmarkEnd w:id="0"/>
    </w:p>
    <w:p w14:paraId="5C7282C0" w14:textId="109EB253" w:rsidR="00D64BDC" w:rsidRPr="00D64BDC" w:rsidRDefault="00D64BDC" w:rsidP="00D64BDC">
      <w:pPr>
        <w:spacing w:line="360" w:lineRule="auto"/>
        <w:jc w:val="both"/>
        <w:rPr>
          <w:rFonts w:ascii="Arial" w:hAnsi="Arial" w:cs="Arial"/>
          <w:sz w:val="22"/>
          <w:szCs w:val="22"/>
        </w:rPr>
      </w:pPr>
      <w:r w:rsidRPr="00D64BDC">
        <w:rPr>
          <w:rFonts w:ascii="Arial" w:hAnsi="Arial" w:cs="Arial"/>
          <w:sz w:val="22"/>
          <w:szCs w:val="22"/>
        </w:rPr>
        <w:t xml:space="preserve">One such critical men health concern of the international scene and one of the largest cancer concerns in the UK is prostate cancer as more than 52,000 cases are new infections each year. It grows in the prostate gland and can grow slowly or aggressively, and the early diagnostics are relevant to enhance the survival. Methods of screening that aim to identify the cancer before it reaches a point when it can have any symptoms include Prostate-Specific Antigen (PSA), multi-parametric MRI (mpMRI) and digital rectal examination (DRE) with the concern that it is not one hundred percent accurate, over diagnoses and has psychological implications to the patient. A scoping review suits best since it maps the various evidence, identifies concept of interest </w:t>
      </w:r>
      <w:r w:rsidRPr="00D64BDC">
        <w:rPr>
          <w:rFonts w:ascii="Arial" w:hAnsi="Arial" w:cs="Arial"/>
          <w:sz w:val="22"/>
          <w:szCs w:val="22"/>
        </w:rPr>
        <w:t>and</w:t>
      </w:r>
      <w:r w:rsidRPr="00D64BDC">
        <w:rPr>
          <w:rFonts w:ascii="Arial" w:hAnsi="Arial" w:cs="Arial"/>
          <w:sz w:val="22"/>
          <w:szCs w:val="22"/>
        </w:rPr>
        <w:t xml:space="preserve"> identifies gaps and cluster of results into major themes.</w:t>
      </w:r>
    </w:p>
    <w:p w14:paraId="558DD81D" w14:textId="77777777" w:rsidR="00D64BDC" w:rsidRDefault="00D64BDC" w:rsidP="00D64BDC">
      <w:pPr>
        <w:spacing w:line="360" w:lineRule="auto"/>
        <w:jc w:val="both"/>
        <w:rPr>
          <w:rFonts w:ascii="Arial" w:hAnsi="Arial" w:cs="Arial"/>
          <w:b/>
          <w:bCs/>
          <w:sz w:val="22"/>
          <w:szCs w:val="22"/>
        </w:rPr>
      </w:pPr>
    </w:p>
    <w:p w14:paraId="300EE9C6" w14:textId="3D432FCE" w:rsidR="00D64BDC" w:rsidRPr="00D64BDC" w:rsidRDefault="00D64BDC" w:rsidP="00D64BDC">
      <w:pPr>
        <w:spacing w:line="360" w:lineRule="auto"/>
        <w:jc w:val="both"/>
        <w:rPr>
          <w:rFonts w:ascii="Arial" w:hAnsi="Arial" w:cs="Arial"/>
          <w:b/>
          <w:bCs/>
          <w:sz w:val="22"/>
          <w:szCs w:val="22"/>
        </w:rPr>
      </w:pPr>
      <w:r w:rsidRPr="00D64BDC">
        <w:rPr>
          <w:rFonts w:ascii="Arial" w:hAnsi="Arial" w:cs="Arial"/>
          <w:b/>
          <w:bCs/>
          <w:sz w:val="22"/>
          <w:szCs w:val="22"/>
        </w:rPr>
        <w:t>Rationale</w:t>
      </w:r>
    </w:p>
    <w:p w14:paraId="472B2B98" w14:textId="4186172F" w:rsidR="00D64BDC" w:rsidRPr="00D64BDC" w:rsidRDefault="00D64BDC" w:rsidP="00D64BDC">
      <w:pPr>
        <w:spacing w:line="360" w:lineRule="auto"/>
        <w:jc w:val="both"/>
        <w:rPr>
          <w:rFonts w:ascii="Arial" w:hAnsi="Arial" w:cs="Arial"/>
          <w:sz w:val="22"/>
          <w:szCs w:val="22"/>
        </w:rPr>
      </w:pPr>
      <w:r w:rsidRPr="00D64BDC">
        <w:rPr>
          <w:rFonts w:ascii="Arial" w:hAnsi="Arial" w:cs="Arial"/>
          <w:sz w:val="22"/>
          <w:szCs w:val="22"/>
        </w:rPr>
        <w:t>In the UK, the recommendation of universal prostate cancer screening is still absent despite decades of research. PSA test, the most widespread screening test, does not have the ideal specificity and sensitivity, and it results in false positives, false negatives, and the identification of insignificant cancers (Bergez-Hernández</w:t>
      </w:r>
      <w:r w:rsidRPr="00D64BDC">
        <w:rPr>
          <w:rFonts w:ascii="Arial" w:hAnsi="Arial" w:cs="Arial"/>
          <w:i/>
          <w:iCs/>
          <w:sz w:val="22"/>
          <w:szCs w:val="22"/>
        </w:rPr>
        <w:t xml:space="preserve"> et al.,</w:t>
      </w:r>
      <w:r w:rsidRPr="00D64BDC">
        <w:rPr>
          <w:rFonts w:ascii="Arial" w:hAnsi="Arial" w:cs="Arial"/>
          <w:sz w:val="22"/>
          <w:szCs w:val="22"/>
        </w:rPr>
        <w:t xml:space="preserve"> 2024). The problems of complications due to the unwarranted biopsies and psychological discomfort also complicate decision-making. MPR has also been recogni</w:t>
      </w:r>
      <w:r>
        <w:rPr>
          <w:rFonts w:ascii="Arial" w:hAnsi="Arial" w:cs="Arial"/>
          <w:sz w:val="22"/>
          <w:szCs w:val="22"/>
        </w:rPr>
        <w:t>s</w:t>
      </w:r>
      <w:r w:rsidRPr="00D64BDC">
        <w:rPr>
          <w:rFonts w:ascii="Arial" w:hAnsi="Arial" w:cs="Arial"/>
          <w:sz w:val="22"/>
          <w:szCs w:val="22"/>
        </w:rPr>
        <w:t>ed to enhance the accuracy of diagnosis and lessen unnecessary processes in the meantime. Nevertheless, disparities in access, cost, and different levels of professional knowledge pose challenges to the consistent incorporation into the clinical paths. Moreover, there are still demographic inequalities, and Black men are in significantly greater danger of developing prostate cancer and have worse outcomes. The combination of these problems suggests the necessity to summari</w:t>
      </w:r>
      <w:r>
        <w:rPr>
          <w:rFonts w:ascii="Arial" w:hAnsi="Arial" w:cs="Arial"/>
          <w:sz w:val="22"/>
          <w:szCs w:val="22"/>
        </w:rPr>
        <w:t>s</w:t>
      </w:r>
      <w:r w:rsidRPr="00D64BDC">
        <w:rPr>
          <w:rFonts w:ascii="Arial" w:hAnsi="Arial" w:cs="Arial"/>
          <w:sz w:val="22"/>
          <w:szCs w:val="22"/>
        </w:rPr>
        <w:t>e the current research to assess the effectiveness of screening, difficulties, and consequences of screening on UK health practice.</w:t>
      </w:r>
    </w:p>
    <w:p w14:paraId="7994A773" w14:textId="77777777" w:rsidR="00D64BDC" w:rsidRDefault="00D64BDC" w:rsidP="00D64BDC">
      <w:pPr>
        <w:spacing w:line="360" w:lineRule="auto"/>
        <w:jc w:val="both"/>
        <w:rPr>
          <w:rFonts w:ascii="Arial" w:hAnsi="Arial" w:cs="Arial"/>
          <w:b/>
          <w:bCs/>
          <w:sz w:val="22"/>
          <w:szCs w:val="22"/>
        </w:rPr>
      </w:pPr>
    </w:p>
    <w:p w14:paraId="5E3437D0" w14:textId="34CEB8CF" w:rsidR="00D64BDC" w:rsidRPr="00D64BDC" w:rsidRDefault="00D64BDC" w:rsidP="00D64BDC">
      <w:pPr>
        <w:spacing w:line="360" w:lineRule="auto"/>
        <w:jc w:val="both"/>
        <w:rPr>
          <w:rFonts w:ascii="Arial" w:hAnsi="Arial" w:cs="Arial"/>
          <w:b/>
          <w:bCs/>
          <w:sz w:val="22"/>
          <w:szCs w:val="22"/>
        </w:rPr>
      </w:pPr>
      <w:r w:rsidRPr="00D64BDC">
        <w:rPr>
          <w:rFonts w:ascii="Arial" w:hAnsi="Arial" w:cs="Arial"/>
          <w:b/>
          <w:bCs/>
          <w:sz w:val="22"/>
          <w:szCs w:val="22"/>
        </w:rPr>
        <w:t>Review Question</w:t>
      </w:r>
    </w:p>
    <w:p w14:paraId="144E1F5A" w14:textId="77777777" w:rsidR="00D64BDC" w:rsidRPr="00D64BDC" w:rsidRDefault="00D64BDC" w:rsidP="00D64BDC">
      <w:pPr>
        <w:spacing w:line="360" w:lineRule="auto"/>
        <w:jc w:val="both"/>
        <w:rPr>
          <w:rFonts w:ascii="Arial" w:hAnsi="Arial" w:cs="Arial"/>
          <w:sz w:val="22"/>
          <w:szCs w:val="22"/>
        </w:rPr>
      </w:pPr>
      <w:r w:rsidRPr="00D64BDC">
        <w:rPr>
          <w:rFonts w:ascii="Arial" w:hAnsi="Arial" w:cs="Arial"/>
          <w:sz w:val="22"/>
          <w:szCs w:val="22"/>
        </w:rPr>
        <w:t>What does the current peer-reviewed literature tell us concerning the efficacy, constraints, and ramifications of prostate cancer screening procedures in enhancing prompt detection and patient outcomes in men?</w:t>
      </w:r>
    </w:p>
    <w:p w14:paraId="3FFA9C78" w14:textId="77777777" w:rsidR="00D64BDC" w:rsidRDefault="00D64BDC" w:rsidP="00D64BDC">
      <w:pPr>
        <w:spacing w:line="360" w:lineRule="auto"/>
        <w:jc w:val="both"/>
        <w:rPr>
          <w:rFonts w:ascii="Arial" w:hAnsi="Arial" w:cs="Arial"/>
          <w:b/>
          <w:bCs/>
          <w:sz w:val="22"/>
          <w:szCs w:val="22"/>
        </w:rPr>
      </w:pPr>
    </w:p>
    <w:p w14:paraId="72F0AC37" w14:textId="77777777" w:rsidR="00D64BDC" w:rsidRDefault="00D64BDC" w:rsidP="00D64BDC">
      <w:pPr>
        <w:spacing w:line="360" w:lineRule="auto"/>
        <w:jc w:val="both"/>
        <w:rPr>
          <w:rFonts w:ascii="Arial" w:hAnsi="Arial" w:cs="Arial"/>
          <w:sz w:val="22"/>
          <w:szCs w:val="22"/>
        </w:rPr>
      </w:pPr>
    </w:p>
    <w:p w14:paraId="14156BAE" w14:textId="4D20808E" w:rsidR="00D64BDC" w:rsidRPr="00D64BDC" w:rsidRDefault="00D64BDC" w:rsidP="00D64BDC">
      <w:pPr>
        <w:spacing w:line="360" w:lineRule="auto"/>
        <w:jc w:val="both"/>
        <w:rPr>
          <w:rFonts w:ascii="Arial" w:hAnsi="Arial" w:cs="Arial"/>
          <w:b/>
          <w:bCs/>
          <w:sz w:val="22"/>
          <w:szCs w:val="22"/>
        </w:rPr>
      </w:pPr>
      <w:r w:rsidRPr="00D64BDC">
        <w:rPr>
          <w:rFonts w:ascii="Arial" w:hAnsi="Arial" w:cs="Arial"/>
          <w:b/>
          <w:bCs/>
          <w:sz w:val="22"/>
          <w:szCs w:val="22"/>
        </w:rPr>
        <w:t>Objectives</w:t>
      </w:r>
    </w:p>
    <w:p w14:paraId="14D0BD97" w14:textId="70718F5C" w:rsidR="00D64BDC" w:rsidRPr="00D64BDC" w:rsidRDefault="00D64BDC" w:rsidP="00D64BDC">
      <w:pPr>
        <w:spacing w:line="360" w:lineRule="auto"/>
        <w:jc w:val="both"/>
        <w:rPr>
          <w:rFonts w:ascii="Arial" w:hAnsi="Arial" w:cs="Arial"/>
          <w:sz w:val="22"/>
          <w:szCs w:val="22"/>
        </w:rPr>
      </w:pPr>
      <w:r w:rsidRPr="00D64BDC">
        <w:rPr>
          <w:rFonts w:ascii="Arial" w:hAnsi="Arial" w:cs="Arial"/>
          <w:sz w:val="22"/>
          <w:szCs w:val="22"/>
        </w:rPr>
        <w:t>To determine and locate the existing peer-reviewed literature regarding prostate cancer screening.</w:t>
      </w:r>
    </w:p>
    <w:p w14:paraId="292DD93C" w14:textId="77777777" w:rsidR="00D64BDC" w:rsidRDefault="00D64BDC" w:rsidP="00D64BDC">
      <w:pPr>
        <w:spacing w:line="360" w:lineRule="auto"/>
        <w:jc w:val="both"/>
        <w:rPr>
          <w:rFonts w:ascii="Arial" w:hAnsi="Arial" w:cs="Arial"/>
          <w:sz w:val="22"/>
          <w:szCs w:val="22"/>
        </w:rPr>
      </w:pPr>
    </w:p>
    <w:p w14:paraId="2706195B" w14:textId="486015B7" w:rsidR="00D64BDC" w:rsidRPr="00D64BDC" w:rsidRDefault="00D64BDC" w:rsidP="00D64BDC">
      <w:pPr>
        <w:spacing w:line="360" w:lineRule="auto"/>
        <w:jc w:val="both"/>
        <w:rPr>
          <w:rFonts w:ascii="Arial" w:hAnsi="Arial" w:cs="Arial"/>
          <w:sz w:val="22"/>
          <w:szCs w:val="22"/>
        </w:rPr>
      </w:pPr>
      <w:r w:rsidRPr="00D64BDC">
        <w:rPr>
          <w:rFonts w:ascii="Arial" w:hAnsi="Arial" w:cs="Arial"/>
          <w:sz w:val="22"/>
          <w:szCs w:val="22"/>
        </w:rPr>
        <w:t>To investigate the advantages and disadvantages of PSA testing, mpMRI, and integrated screening methods.</w:t>
      </w:r>
    </w:p>
    <w:p w14:paraId="3D5DB22D" w14:textId="77777777" w:rsidR="00D64BDC" w:rsidRDefault="00D64BDC" w:rsidP="00D64BDC">
      <w:pPr>
        <w:spacing w:line="360" w:lineRule="auto"/>
        <w:jc w:val="both"/>
        <w:rPr>
          <w:rFonts w:ascii="Arial" w:hAnsi="Arial" w:cs="Arial"/>
          <w:sz w:val="22"/>
          <w:szCs w:val="22"/>
        </w:rPr>
      </w:pPr>
    </w:p>
    <w:p w14:paraId="3007872F" w14:textId="05B9A0E2" w:rsidR="00D64BDC" w:rsidRPr="00D64BDC" w:rsidRDefault="00D64BDC" w:rsidP="00D64BDC">
      <w:pPr>
        <w:spacing w:line="360" w:lineRule="auto"/>
        <w:jc w:val="both"/>
        <w:rPr>
          <w:rFonts w:ascii="Arial" w:hAnsi="Arial" w:cs="Arial"/>
          <w:sz w:val="22"/>
          <w:szCs w:val="22"/>
        </w:rPr>
      </w:pPr>
      <w:r w:rsidRPr="00D64BDC">
        <w:rPr>
          <w:rFonts w:ascii="Arial" w:hAnsi="Arial" w:cs="Arial"/>
          <w:sz w:val="22"/>
          <w:szCs w:val="22"/>
        </w:rPr>
        <w:t>To investigate impediments, disparities, and threats to screening attendance and results.</w:t>
      </w:r>
    </w:p>
    <w:p w14:paraId="041E8D35" w14:textId="77777777" w:rsidR="00D64BDC" w:rsidRDefault="00D64BDC" w:rsidP="00D64BDC">
      <w:pPr>
        <w:spacing w:line="360" w:lineRule="auto"/>
        <w:jc w:val="both"/>
        <w:rPr>
          <w:rFonts w:ascii="Arial" w:hAnsi="Arial" w:cs="Arial"/>
          <w:sz w:val="22"/>
          <w:szCs w:val="22"/>
        </w:rPr>
      </w:pPr>
    </w:p>
    <w:p w14:paraId="2BD9E8B9" w14:textId="4E894B67" w:rsidR="00D64BDC" w:rsidRPr="00D64BDC" w:rsidRDefault="00D64BDC" w:rsidP="00D64BDC">
      <w:pPr>
        <w:spacing w:line="360" w:lineRule="auto"/>
        <w:jc w:val="both"/>
        <w:rPr>
          <w:rFonts w:ascii="Arial" w:hAnsi="Arial" w:cs="Arial"/>
          <w:sz w:val="22"/>
          <w:szCs w:val="22"/>
        </w:rPr>
      </w:pPr>
      <w:r w:rsidRPr="00D64BDC">
        <w:rPr>
          <w:rFonts w:ascii="Arial" w:hAnsi="Arial" w:cs="Arial"/>
          <w:sz w:val="22"/>
          <w:szCs w:val="22"/>
        </w:rPr>
        <w:t>To evaluate the use of evidence to inform the UK clinical practice and policy regarding early detection.</w:t>
      </w:r>
    </w:p>
    <w:p w14:paraId="7F2780E2" w14:textId="77777777" w:rsidR="00D64BDC" w:rsidRDefault="00D64BDC" w:rsidP="00D64BDC">
      <w:pPr>
        <w:spacing w:line="360" w:lineRule="auto"/>
        <w:jc w:val="both"/>
        <w:rPr>
          <w:rFonts w:ascii="Arial" w:hAnsi="Arial" w:cs="Arial"/>
          <w:sz w:val="22"/>
          <w:szCs w:val="22"/>
        </w:rPr>
      </w:pPr>
    </w:p>
    <w:p w14:paraId="61C1C218" w14:textId="22E9D1EF" w:rsidR="00D64BDC" w:rsidRPr="00D64BDC" w:rsidRDefault="00D64BDC" w:rsidP="00D64BDC">
      <w:pPr>
        <w:spacing w:line="360" w:lineRule="auto"/>
        <w:jc w:val="both"/>
        <w:rPr>
          <w:rFonts w:ascii="Arial" w:hAnsi="Arial" w:cs="Arial"/>
          <w:sz w:val="22"/>
          <w:szCs w:val="22"/>
        </w:rPr>
      </w:pPr>
      <w:r w:rsidRPr="00D64BDC">
        <w:rPr>
          <w:rFonts w:ascii="Arial" w:hAnsi="Arial" w:cs="Arial"/>
          <w:sz w:val="22"/>
          <w:szCs w:val="22"/>
        </w:rPr>
        <w:t>To define the gaps that need additional investigation and suggest future research, policy making, and healthcare practice.</w:t>
      </w:r>
    </w:p>
    <w:p w14:paraId="613FF818" w14:textId="77777777" w:rsidR="00D64BDC" w:rsidRPr="00D64BDC" w:rsidRDefault="00D64BDC" w:rsidP="00D64BDC">
      <w:pPr>
        <w:pStyle w:val="Heading1"/>
        <w:spacing w:line="360" w:lineRule="auto"/>
        <w:rPr>
          <w:rFonts w:ascii="Arial" w:hAnsi="Arial" w:cs="Arial"/>
          <w:sz w:val="22"/>
          <w:szCs w:val="22"/>
        </w:rPr>
      </w:pPr>
      <w:bookmarkStart w:id="1" w:name="_4bhm3l3r7rbk" w:colFirst="0" w:colLast="0"/>
      <w:bookmarkStart w:id="2" w:name="_Toc214109621"/>
      <w:bookmarkEnd w:id="1"/>
      <w:r w:rsidRPr="00D64BDC">
        <w:rPr>
          <w:rFonts w:ascii="Arial" w:hAnsi="Arial" w:cs="Arial"/>
          <w:sz w:val="22"/>
          <w:szCs w:val="22"/>
        </w:rPr>
        <w:lastRenderedPageBreak/>
        <w:t>Background</w:t>
      </w:r>
      <w:bookmarkEnd w:id="2"/>
    </w:p>
    <w:p w14:paraId="6E1DA7B4" w14:textId="77777777" w:rsidR="00D64BDC" w:rsidRPr="00D64BDC" w:rsidRDefault="00D64BDC" w:rsidP="00D64BDC">
      <w:pPr>
        <w:spacing w:line="360" w:lineRule="auto"/>
        <w:jc w:val="both"/>
        <w:rPr>
          <w:rFonts w:ascii="Arial" w:hAnsi="Arial" w:cs="Arial"/>
          <w:sz w:val="22"/>
          <w:szCs w:val="22"/>
        </w:rPr>
      </w:pPr>
      <w:r w:rsidRPr="00D64BDC">
        <w:rPr>
          <w:rFonts w:ascii="Arial" w:hAnsi="Arial" w:cs="Arial"/>
          <w:sz w:val="22"/>
          <w:szCs w:val="22"/>
        </w:rPr>
        <w:t>Prostate cancer is a field of clinical concern in the UK. As more and more people become aware of the disease, more effective diagnostic strategies are developed, and the population of persons aged 65 and older grows, the necessity to find effective methods of early detection is more urgent than ever (Tay</w:t>
      </w:r>
      <w:r w:rsidRPr="00D64BDC">
        <w:rPr>
          <w:rFonts w:ascii="Arial" w:hAnsi="Arial" w:cs="Arial"/>
          <w:i/>
          <w:iCs/>
          <w:sz w:val="22"/>
          <w:szCs w:val="22"/>
        </w:rPr>
        <w:t xml:space="preserve"> et al.,</w:t>
      </w:r>
      <w:r w:rsidRPr="00D64BDC">
        <w:rPr>
          <w:rFonts w:ascii="Arial" w:hAnsi="Arial" w:cs="Arial"/>
          <w:sz w:val="22"/>
          <w:szCs w:val="22"/>
        </w:rPr>
        <w:t xml:space="preserve"> 2024). There is a high degree of heterogeneity in the disease; there are those tumours that are indolent and others that develop quickly. This biological variability makes it harder to come up with screening strategies that could balance the situations of early detection and the situation of unnecessary overtreatment.</w:t>
      </w:r>
    </w:p>
    <w:p w14:paraId="02B78F51" w14:textId="77777777" w:rsidR="00D64BDC" w:rsidRPr="00D64BDC" w:rsidRDefault="00D64BDC" w:rsidP="00D64BDC">
      <w:pPr>
        <w:spacing w:line="360" w:lineRule="auto"/>
        <w:jc w:val="center"/>
        <w:rPr>
          <w:rFonts w:ascii="Arial" w:hAnsi="Arial" w:cs="Arial"/>
          <w:sz w:val="22"/>
          <w:szCs w:val="22"/>
        </w:rPr>
      </w:pPr>
      <w:r w:rsidRPr="00D64BDC">
        <w:rPr>
          <w:rFonts w:ascii="Arial" w:hAnsi="Arial" w:cs="Arial"/>
          <w:noProof/>
          <w:sz w:val="22"/>
          <w:szCs w:val="22"/>
        </w:rPr>
        <w:drawing>
          <wp:inline distT="114300" distB="114300" distL="114300" distR="114300" wp14:anchorId="3D0F1675" wp14:editId="06DD63B8">
            <wp:extent cx="3618168" cy="2800601"/>
            <wp:effectExtent l="0" t="0" r="0" b="0"/>
            <wp:docPr id="146879468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3618168" cy="2800601"/>
                    </a:xfrm>
                    <a:prstGeom prst="rect">
                      <a:avLst/>
                    </a:prstGeom>
                    <a:ln/>
                  </pic:spPr>
                </pic:pic>
              </a:graphicData>
            </a:graphic>
          </wp:inline>
        </w:drawing>
      </w:r>
    </w:p>
    <w:p w14:paraId="5701D1B1" w14:textId="77777777" w:rsidR="00D64BDC" w:rsidRPr="00D64BDC" w:rsidRDefault="00D64BDC" w:rsidP="00D64BDC">
      <w:pPr>
        <w:spacing w:line="360" w:lineRule="auto"/>
        <w:jc w:val="center"/>
        <w:rPr>
          <w:rFonts w:ascii="Arial" w:hAnsi="Arial" w:cs="Arial"/>
          <w:sz w:val="22"/>
          <w:szCs w:val="22"/>
        </w:rPr>
      </w:pPr>
      <w:r w:rsidRPr="00D64BDC">
        <w:rPr>
          <w:rFonts w:ascii="Arial" w:hAnsi="Arial" w:cs="Arial"/>
          <w:sz w:val="22"/>
          <w:szCs w:val="22"/>
        </w:rPr>
        <w:t>(Source: Dukecancerinstitute.org, 2024)</w:t>
      </w:r>
    </w:p>
    <w:p w14:paraId="2BF3C71D" w14:textId="77777777" w:rsidR="00D64BDC" w:rsidRDefault="00D64BDC" w:rsidP="00D64BDC">
      <w:pPr>
        <w:spacing w:line="360" w:lineRule="auto"/>
        <w:rPr>
          <w:rFonts w:ascii="Arial" w:hAnsi="Arial" w:cs="Arial"/>
          <w:b/>
          <w:bCs/>
          <w:i/>
          <w:iCs/>
          <w:sz w:val="22"/>
          <w:szCs w:val="22"/>
        </w:rPr>
      </w:pPr>
    </w:p>
    <w:p w14:paraId="7BD66724" w14:textId="0C5174A0" w:rsidR="00D64BDC" w:rsidRPr="00D64BDC" w:rsidRDefault="00D64BDC" w:rsidP="00D64BDC">
      <w:pPr>
        <w:spacing w:line="360" w:lineRule="auto"/>
        <w:rPr>
          <w:rFonts w:ascii="Arial" w:hAnsi="Arial" w:cs="Arial"/>
          <w:b/>
          <w:bCs/>
          <w:sz w:val="22"/>
          <w:szCs w:val="22"/>
        </w:rPr>
      </w:pPr>
      <w:r w:rsidRPr="00D64BDC">
        <w:rPr>
          <w:rFonts w:ascii="Arial" w:hAnsi="Arial" w:cs="Arial"/>
          <w:b/>
          <w:bCs/>
          <w:sz w:val="22"/>
          <w:szCs w:val="22"/>
        </w:rPr>
        <w:t>Policies, Legislation, and UK Guidance</w:t>
      </w:r>
    </w:p>
    <w:p w14:paraId="6B3FB9E0" w14:textId="77777777" w:rsidR="00D64BDC" w:rsidRPr="00D64BDC" w:rsidRDefault="00D64BDC" w:rsidP="00D64BDC">
      <w:pPr>
        <w:spacing w:line="360" w:lineRule="auto"/>
        <w:jc w:val="both"/>
        <w:rPr>
          <w:rFonts w:ascii="Arial" w:hAnsi="Arial" w:cs="Arial"/>
          <w:sz w:val="22"/>
          <w:szCs w:val="22"/>
        </w:rPr>
      </w:pPr>
      <w:r w:rsidRPr="00D64BDC">
        <w:rPr>
          <w:rFonts w:ascii="Arial" w:hAnsi="Arial" w:cs="Arial"/>
          <w:sz w:val="22"/>
          <w:szCs w:val="22"/>
        </w:rPr>
        <w:t>The UK lacks a national prostate cancer screening programme. Rather, the NHS Prostate Cancer Risk Management Programme (PCRMP) informs testing because it assists general practitioners (GPs) in the discussion of the advantages and disadvantages of PSA testing to men aged 50 and above. The “National Institute for Health and Care Excellence (NICE) NG131</w:t>
      </w:r>
      <w:r w:rsidRPr="00D64BDC">
        <w:rPr>
          <w:rFonts w:ascii="Arial" w:hAnsi="Arial" w:cs="Arial"/>
          <w:i/>
          <w:iCs/>
          <w:sz w:val="22"/>
          <w:szCs w:val="22"/>
        </w:rPr>
        <w:t xml:space="preserve">” </w:t>
      </w:r>
      <w:r w:rsidRPr="00D64BDC">
        <w:rPr>
          <w:rFonts w:ascii="Arial" w:hAnsi="Arial" w:cs="Arial"/>
          <w:sz w:val="22"/>
          <w:szCs w:val="22"/>
        </w:rPr>
        <w:t>guideline offers a wide range of recommendations on the diagnosis and treatment of prostate cancer, with a focus on the application of mpMRI as the initial investigation following an increase in PSA levels.</w:t>
      </w:r>
    </w:p>
    <w:p w14:paraId="06CAB280" w14:textId="5E988AA9" w:rsidR="00D64BDC" w:rsidRPr="00D64BDC" w:rsidRDefault="00D64BDC" w:rsidP="00D64BDC">
      <w:pPr>
        <w:spacing w:line="360" w:lineRule="auto"/>
        <w:jc w:val="both"/>
        <w:rPr>
          <w:rFonts w:ascii="Arial" w:hAnsi="Arial" w:cs="Arial"/>
          <w:sz w:val="22"/>
          <w:szCs w:val="22"/>
        </w:rPr>
      </w:pPr>
      <w:r w:rsidRPr="00D64BDC">
        <w:rPr>
          <w:rFonts w:ascii="Arial" w:hAnsi="Arial" w:cs="Arial"/>
          <w:sz w:val="22"/>
          <w:szCs w:val="22"/>
        </w:rPr>
        <w:t xml:space="preserve">These are guidelines that embody risk-based, patient-centred as opposed to universal screening. The policymakers are still apprehensive because of contradictory findings about population-wide PSA screening and its effects on mortality rates. The NHS Long Term Plan also promotes the early detection of cancer by enhancing diagnostic </w:t>
      </w:r>
      <w:r w:rsidRPr="00D64BDC">
        <w:rPr>
          <w:rFonts w:ascii="Arial" w:hAnsi="Arial" w:cs="Arial"/>
          <w:sz w:val="22"/>
          <w:szCs w:val="22"/>
        </w:rPr>
        <w:t>capability but</w:t>
      </w:r>
      <w:r w:rsidRPr="00D64BDC">
        <w:rPr>
          <w:rFonts w:ascii="Arial" w:hAnsi="Arial" w:cs="Arial"/>
          <w:sz w:val="22"/>
          <w:szCs w:val="22"/>
        </w:rPr>
        <w:t xml:space="preserve"> does not advocate universal prostate cancer screening </w:t>
      </w:r>
      <w:r w:rsidRPr="00D64BDC">
        <w:rPr>
          <w:rFonts w:ascii="Arial" w:hAnsi="Arial" w:cs="Arial"/>
          <w:sz w:val="22"/>
          <w:szCs w:val="22"/>
        </w:rPr>
        <w:t>yet</w:t>
      </w:r>
      <w:r w:rsidRPr="00D64BDC">
        <w:rPr>
          <w:rFonts w:ascii="Arial" w:hAnsi="Arial" w:cs="Arial"/>
          <w:sz w:val="22"/>
          <w:szCs w:val="22"/>
        </w:rPr>
        <w:t>.</w:t>
      </w:r>
    </w:p>
    <w:p w14:paraId="7CF7DA94" w14:textId="77777777" w:rsidR="00D64BDC" w:rsidRPr="00D64BDC" w:rsidRDefault="00D64BDC" w:rsidP="00D64BDC">
      <w:pPr>
        <w:spacing w:line="360" w:lineRule="auto"/>
        <w:jc w:val="both"/>
        <w:rPr>
          <w:rFonts w:ascii="Arial" w:hAnsi="Arial" w:cs="Arial"/>
          <w:b/>
          <w:bCs/>
          <w:sz w:val="22"/>
          <w:szCs w:val="22"/>
        </w:rPr>
      </w:pPr>
    </w:p>
    <w:p w14:paraId="292E902C" w14:textId="77777777" w:rsidR="00D64BDC" w:rsidRPr="00D64BDC" w:rsidRDefault="00D64BDC" w:rsidP="00D64BDC">
      <w:pPr>
        <w:spacing w:line="360" w:lineRule="auto"/>
        <w:jc w:val="both"/>
        <w:rPr>
          <w:rFonts w:ascii="Arial" w:hAnsi="Arial" w:cs="Arial"/>
          <w:b/>
          <w:bCs/>
          <w:sz w:val="22"/>
          <w:szCs w:val="22"/>
        </w:rPr>
      </w:pPr>
      <w:r w:rsidRPr="00D64BDC">
        <w:rPr>
          <w:rFonts w:ascii="Arial" w:hAnsi="Arial" w:cs="Arial"/>
          <w:b/>
          <w:bCs/>
          <w:sz w:val="22"/>
          <w:szCs w:val="22"/>
        </w:rPr>
        <w:t>Existing Services and Pathways of Diagnosis</w:t>
      </w:r>
    </w:p>
    <w:p w14:paraId="7A5DC03F" w14:textId="467EA2AF" w:rsidR="00D64BDC" w:rsidRPr="00D64BDC" w:rsidRDefault="00D64BDC" w:rsidP="00D64BDC">
      <w:pPr>
        <w:spacing w:line="360" w:lineRule="auto"/>
        <w:jc w:val="both"/>
        <w:rPr>
          <w:rFonts w:ascii="Arial" w:hAnsi="Arial" w:cs="Arial"/>
          <w:sz w:val="22"/>
          <w:szCs w:val="22"/>
        </w:rPr>
      </w:pPr>
      <w:r w:rsidRPr="00D64BDC">
        <w:rPr>
          <w:rFonts w:ascii="Arial" w:hAnsi="Arial" w:cs="Arial"/>
          <w:sz w:val="22"/>
          <w:szCs w:val="22"/>
        </w:rPr>
        <w:t>The diagnostic process of suspected prostate cancer usually starts with the primary care, in which men might report urinary symptoms or demand the PSA examination. Men are sent to secondary care to undergo further evaluation in case PSA levels are above age-adjusted levels or in cases of clinical suspicion. The modern diagnostic pathway is now more focused on mpMRI before biopsy, which allows sampling of suspicious areas specifically, eliminating the necessity of systematic biopsy (Boue</w:t>
      </w:r>
      <w:r w:rsidRPr="00D64BDC">
        <w:rPr>
          <w:rFonts w:ascii="Arial" w:hAnsi="Arial" w:cs="Arial"/>
          <w:i/>
          <w:iCs/>
          <w:sz w:val="22"/>
          <w:szCs w:val="22"/>
        </w:rPr>
        <w:t xml:space="preserve"> et al.,</w:t>
      </w:r>
      <w:r w:rsidRPr="00D64BDC">
        <w:rPr>
          <w:rFonts w:ascii="Arial" w:hAnsi="Arial" w:cs="Arial"/>
          <w:sz w:val="22"/>
          <w:szCs w:val="22"/>
        </w:rPr>
        <w:t xml:space="preserve"> 2024). Post-diagnosis management options include active surveillance, radiotherapy, radical prostatectomy, hormone therapy, and </w:t>
      </w:r>
      <w:r w:rsidRPr="00D64BDC">
        <w:rPr>
          <w:rFonts w:ascii="Arial" w:hAnsi="Arial" w:cs="Arial"/>
          <w:sz w:val="22"/>
          <w:szCs w:val="22"/>
        </w:rPr>
        <w:t xml:space="preserve">including less </w:t>
      </w:r>
      <w:r w:rsidRPr="00D64BDC">
        <w:rPr>
          <w:rFonts w:ascii="Arial" w:hAnsi="Arial" w:cs="Arial"/>
          <w:sz w:val="22"/>
          <w:szCs w:val="22"/>
        </w:rPr>
        <w:lastRenderedPageBreak/>
        <w:t>commonly</w:t>
      </w:r>
      <w:r w:rsidRPr="00D64BDC">
        <w:rPr>
          <w:rFonts w:ascii="Arial" w:hAnsi="Arial" w:cs="Arial"/>
          <w:sz w:val="22"/>
          <w:szCs w:val="22"/>
        </w:rPr>
        <w:t xml:space="preserve"> chemotherapy. The determination of treatment choice is based on cancer staging, risk stratification, and patient preference.</w:t>
      </w:r>
    </w:p>
    <w:p w14:paraId="6CF4C423" w14:textId="77777777" w:rsidR="00D64BDC" w:rsidRDefault="00D64BDC" w:rsidP="00D64BDC">
      <w:pPr>
        <w:spacing w:line="360" w:lineRule="auto"/>
        <w:jc w:val="both"/>
        <w:rPr>
          <w:rFonts w:ascii="Arial" w:hAnsi="Arial" w:cs="Arial"/>
          <w:b/>
          <w:bCs/>
          <w:i/>
          <w:iCs/>
          <w:sz w:val="22"/>
          <w:szCs w:val="22"/>
        </w:rPr>
      </w:pPr>
    </w:p>
    <w:p w14:paraId="79A53009" w14:textId="4B894A50" w:rsidR="00D64BDC" w:rsidRPr="00D64BDC" w:rsidRDefault="00D64BDC" w:rsidP="00D64BDC">
      <w:pPr>
        <w:spacing w:line="360" w:lineRule="auto"/>
        <w:jc w:val="both"/>
        <w:rPr>
          <w:rFonts w:ascii="Arial" w:hAnsi="Arial" w:cs="Arial"/>
          <w:b/>
          <w:bCs/>
          <w:sz w:val="22"/>
          <w:szCs w:val="22"/>
        </w:rPr>
      </w:pPr>
      <w:r w:rsidRPr="00D64BDC">
        <w:rPr>
          <w:rFonts w:ascii="Arial" w:hAnsi="Arial" w:cs="Arial"/>
          <w:b/>
          <w:bCs/>
          <w:sz w:val="22"/>
          <w:szCs w:val="22"/>
        </w:rPr>
        <w:t>Challenges in Contemporary Practice</w:t>
      </w:r>
    </w:p>
    <w:p w14:paraId="5130D2E9" w14:textId="77777777" w:rsidR="00D64BDC" w:rsidRPr="00D64BDC" w:rsidRDefault="00D64BDC" w:rsidP="00D64BDC">
      <w:pPr>
        <w:spacing w:line="360" w:lineRule="auto"/>
        <w:jc w:val="both"/>
        <w:rPr>
          <w:rFonts w:ascii="Arial" w:hAnsi="Arial" w:cs="Arial"/>
          <w:sz w:val="22"/>
          <w:szCs w:val="22"/>
        </w:rPr>
      </w:pPr>
      <w:r w:rsidRPr="00D64BDC">
        <w:rPr>
          <w:rFonts w:ascii="Arial" w:hAnsi="Arial" w:cs="Arial"/>
          <w:sz w:val="22"/>
          <w:szCs w:val="22"/>
        </w:rPr>
        <w:t>Overdiagnosis and overtreatment: PSA screening will identify indolent cancers that would never manifest any symptoms.</w:t>
      </w:r>
    </w:p>
    <w:p w14:paraId="59182868" w14:textId="77777777" w:rsidR="00D64BDC" w:rsidRPr="00D64BDC" w:rsidRDefault="00D64BDC" w:rsidP="00D64BDC">
      <w:pPr>
        <w:spacing w:line="360" w:lineRule="auto"/>
        <w:jc w:val="both"/>
        <w:rPr>
          <w:rFonts w:ascii="Arial" w:hAnsi="Arial" w:cs="Arial"/>
          <w:sz w:val="22"/>
          <w:szCs w:val="22"/>
        </w:rPr>
      </w:pPr>
      <w:r w:rsidRPr="00D64BDC">
        <w:rPr>
          <w:rFonts w:ascii="Arial" w:hAnsi="Arial" w:cs="Arial"/>
          <w:sz w:val="22"/>
          <w:szCs w:val="22"/>
        </w:rPr>
        <w:t>Inequalities of access: mpMRI is inequitably distributed amongst NHS trusts.</w:t>
      </w:r>
    </w:p>
    <w:p w14:paraId="0ED30FFA" w14:textId="77777777" w:rsidR="00D64BDC" w:rsidRPr="00D64BDC" w:rsidRDefault="00D64BDC" w:rsidP="00D64BDC">
      <w:pPr>
        <w:spacing w:line="360" w:lineRule="auto"/>
        <w:jc w:val="both"/>
        <w:rPr>
          <w:rFonts w:ascii="Arial" w:hAnsi="Arial" w:cs="Arial"/>
          <w:sz w:val="22"/>
          <w:szCs w:val="22"/>
        </w:rPr>
      </w:pPr>
      <w:r w:rsidRPr="00D64BDC">
        <w:rPr>
          <w:rFonts w:ascii="Arial" w:hAnsi="Arial" w:cs="Arial"/>
          <w:sz w:val="22"/>
          <w:szCs w:val="22"/>
        </w:rPr>
        <w:t>Racial differences: Black men are twice as likely and prone to death than white men (Pennisi</w:t>
      </w:r>
      <w:r w:rsidRPr="00D64BDC">
        <w:rPr>
          <w:rFonts w:ascii="Arial" w:hAnsi="Arial" w:cs="Arial"/>
          <w:i/>
          <w:iCs/>
          <w:sz w:val="22"/>
          <w:szCs w:val="22"/>
        </w:rPr>
        <w:t xml:space="preserve"> et al.,</w:t>
      </w:r>
      <w:r w:rsidRPr="00D64BDC">
        <w:rPr>
          <w:rFonts w:ascii="Arial" w:hAnsi="Arial" w:cs="Arial"/>
          <w:sz w:val="22"/>
          <w:szCs w:val="22"/>
        </w:rPr>
        <w:t xml:space="preserve"> 2024).</w:t>
      </w:r>
    </w:p>
    <w:p w14:paraId="52189667" w14:textId="77777777" w:rsidR="00D64BDC" w:rsidRPr="00D64BDC" w:rsidRDefault="00D64BDC" w:rsidP="00D64BDC">
      <w:pPr>
        <w:spacing w:line="360" w:lineRule="auto"/>
        <w:jc w:val="both"/>
        <w:rPr>
          <w:rFonts w:ascii="Arial" w:hAnsi="Arial" w:cs="Arial"/>
          <w:sz w:val="22"/>
          <w:szCs w:val="22"/>
        </w:rPr>
      </w:pPr>
      <w:r w:rsidRPr="00D64BDC">
        <w:rPr>
          <w:rFonts w:ascii="Arial" w:hAnsi="Arial" w:cs="Arial"/>
          <w:sz w:val="22"/>
          <w:szCs w:val="22"/>
        </w:rPr>
        <w:t>Sociocultural factors: Stigma, fear, and ignorance lower the screening attendance.</w:t>
      </w:r>
    </w:p>
    <w:p w14:paraId="144ECA2F" w14:textId="77777777" w:rsidR="00D64BDC" w:rsidRPr="00D64BDC" w:rsidRDefault="00D64BDC" w:rsidP="00D64BDC">
      <w:pPr>
        <w:spacing w:line="360" w:lineRule="auto"/>
        <w:jc w:val="both"/>
        <w:rPr>
          <w:rFonts w:ascii="Arial" w:hAnsi="Arial" w:cs="Arial"/>
          <w:sz w:val="22"/>
          <w:szCs w:val="22"/>
        </w:rPr>
      </w:pPr>
      <w:r w:rsidRPr="00D64BDC">
        <w:rPr>
          <w:rFonts w:ascii="Arial" w:hAnsi="Arial" w:cs="Arial"/>
          <w:sz w:val="22"/>
          <w:szCs w:val="22"/>
        </w:rPr>
        <w:t>Lack of consistent clinical practice:</w:t>
      </w:r>
      <w:r w:rsidRPr="00D64BDC">
        <w:rPr>
          <w:rFonts w:ascii="Arial" w:hAnsi="Arial" w:cs="Arial"/>
          <w:b/>
          <w:bCs/>
          <w:sz w:val="22"/>
          <w:szCs w:val="22"/>
        </w:rPr>
        <w:t xml:space="preserve"> </w:t>
      </w:r>
      <w:r w:rsidRPr="00D64BDC">
        <w:rPr>
          <w:rFonts w:ascii="Arial" w:hAnsi="Arial" w:cs="Arial"/>
          <w:sz w:val="22"/>
          <w:szCs w:val="22"/>
        </w:rPr>
        <w:t>PSA thresholds and guidelines on referring to the hospital are inconsistent and influence the consistency of the diagnosis.</w:t>
      </w:r>
    </w:p>
    <w:p w14:paraId="2DAF1B9B" w14:textId="77777777" w:rsidR="00D64BDC" w:rsidRPr="00D64BDC" w:rsidRDefault="00D64BDC" w:rsidP="00D64BDC">
      <w:pPr>
        <w:pStyle w:val="Heading1"/>
        <w:spacing w:line="360" w:lineRule="auto"/>
        <w:rPr>
          <w:rFonts w:ascii="Arial" w:hAnsi="Arial" w:cs="Arial"/>
          <w:sz w:val="22"/>
          <w:szCs w:val="22"/>
        </w:rPr>
      </w:pPr>
      <w:bookmarkStart w:id="3" w:name="_qu45nuglw6oq" w:colFirst="0" w:colLast="0"/>
      <w:bookmarkStart w:id="4" w:name="_Toc214109622"/>
      <w:bookmarkEnd w:id="3"/>
      <w:r w:rsidRPr="00D64BDC">
        <w:rPr>
          <w:rFonts w:ascii="Arial" w:hAnsi="Arial" w:cs="Arial"/>
          <w:sz w:val="22"/>
          <w:szCs w:val="22"/>
        </w:rPr>
        <w:t>Methods</w:t>
      </w:r>
      <w:bookmarkEnd w:id="4"/>
    </w:p>
    <w:p w14:paraId="31C2DB6E" w14:textId="16C134F2" w:rsidR="00D64BDC" w:rsidRDefault="00D64BDC" w:rsidP="00D64BDC">
      <w:pPr>
        <w:spacing w:line="360" w:lineRule="auto"/>
        <w:jc w:val="both"/>
        <w:rPr>
          <w:rFonts w:ascii="Arial" w:hAnsi="Arial" w:cs="Arial"/>
          <w:sz w:val="22"/>
          <w:szCs w:val="22"/>
        </w:rPr>
      </w:pPr>
      <w:r w:rsidRPr="00D64BDC">
        <w:rPr>
          <w:rFonts w:ascii="Arial" w:hAnsi="Arial" w:cs="Arial"/>
          <w:sz w:val="22"/>
          <w:szCs w:val="22"/>
        </w:rPr>
        <w:t>A systematic and transparent approach was used in the scoping review, and this ensured the identification of credible, reproducible, and extensive evidence on the topic of prostate cancer screening. The methods were invented based on the accepted principles of scoping review, according to which each step of the study, including the search strategy to analysis, was conducted in a systematic way. The overall approach to the methodology entailed three key components</w:t>
      </w:r>
      <w:r>
        <w:rPr>
          <w:rFonts w:ascii="Arial" w:hAnsi="Arial" w:cs="Arial"/>
          <w:sz w:val="22"/>
          <w:szCs w:val="22"/>
        </w:rPr>
        <w:t xml:space="preserve">, </w:t>
      </w:r>
      <w:r w:rsidRPr="00D64BDC">
        <w:rPr>
          <w:rFonts w:ascii="Arial" w:hAnsi="Arial" w:cs="Arial"/>
          <w:sz w:val="22"/>
          <w:szCs w:val="22"/>
        </w:rPr>
        <w:t>data collection, data analysis, and ethics.</w:t>
      </w:r>
    </w:p>
    <w:p w14:paraId="77B39B5F" w14:textId="77777777" w:rsidR="00D64BDC" w:rsidRDefault="00D64BDC" w:rsidP="00D64BDC">
      <w:pPr>
        <w:spacing w:line="360" w:lineRule="auto"/>
        <w:jc w:val="both"/>
        <w:rPr>
          <w:rFonts w:ascii="Arial" w:hAnsi="Arial" w:cs="Arial"/>
          <w:sz w:val="22"/>
          <w:szCs w:val="22"/>
        </w:rPr>
      </w:pPr>
    </w:p>
    <w:p w14:paraId="0F5B511B" w14:textId="77777777" w:rsidR="00D64BDC" w:rsidRPr="00D64BDC" w:rsidRDefault="00D64BDC" w:rsidP="00D64BDC">
      <w:pPr>
        <w:spacing w:line="360" w:lineRule="auto"/>
        <w:jc w:val="both"/>
        <w:rPr>
          <w:rFonts w:ascii="Arial" w:hAnsi="Arial" w:cs="Arial"/>
          <w:sz w:val="22"/>
          <w:szCs w:val="22"/>
        </w:rPr>
      </w:pPr>
    </w:p>
    <w:p w14:paraId="1B68E7CD" w14:textId="77777777" w:rsidR="00D64BDC" w:rsidRPr="00D64BDC" w:rsidRDefault="00D64BDC" w:rsidP="00D64BDC">
      <w:pPr>
        <w:spacing w:line="360" w:lineRule="auto"/>
        <w:jc w:val="both"/>
        <w:rPr>
          <w:rFonts w:ascii="Arial" w:hAnsi="Arial" w:cs="Arial"/>
          <w:sz w:val="22"/>
          <w:szCs w:val="22"/>
        </w:rPr>
      </w:pPr>
      <w:r w:rsidRPr="00D64BDC">
        <w:rPr>
          <w:rFonts w:ascii="Arial" w:hAnsi="Arial" w:cs="Arial"/>
          <w:b/>
          <w:bCs/>
          <w:sz w:val="22"/>
          <w:szCs w:val="22"/>
        </w:rPr>
        <w:t>Data Collection Approach</w:t>
      </w:r>
    </w:p>
    <w:p w14:paraId="1B7C4FEC" w14:textId="3BE1FF8A" w:rsidR="00D64BDC" w:rsidRPr="00D64BDC" w:rsidRDefault="00D64BDC" w:rsidP="00D64BDC">
      <w:pPr>
        <w:spacing w:line="360" w:lineRule="auto"/>
        <w:jc w:val="both"/>
        <w:rPr>
          <w:rFonts w:ascii="Arial" w:hAnsi="Arial" w:cs="Arial"/>
          <w:sz w:val="22"/>
          <w:szCs w:val="22"/>
        </w:rPr>
      </w:pPr>
      <w:r w:rsidRPr="00D64BDC">
        <w:rPr>
          <w:rFonts w:ascii="Arial" w:hAnsi="Arial" w:cs="Arial"/>
          <w:sz w:val="22"/>
          <w:szCs w:val="22"/>
        </w:rPr>
        <w:t>In an intricate and systemati</w:t>
      </w:r>
      <w:r>
        <w:rPr>
          <w:rFonts w:ascii="Arial" w:hAnsi="Arial" w:cs="Arial"/>
          <w:sz w:val="22"/>
          <w:szCs w:val="22"/>
        </w:rPr>
        <w:t>s</w:t>
      </w:r>
      <w:r w:rsidRPr="00D64BDC">
        <w:rPr>
          <w:rFonts w:ascii="Arial" w:hAnsi="Arial" w:cs="Arial"/>
          <w:sz w:val="22"/>
          <w:szCs w:val="22"/>
        </w:rPr>
        <w:t>ed search, the relevance of peer-reviewed research regarding the study was searched in scholarly databases. The databases identified included “PubMed, CINAHL, Scopus, PsycINFO, and Google Scholar</w:t>
      </w:r>
      <w:r w:rsidRPr="00D64BDC">
        <w:rPr>
          <w:rFonts w:ascii="Arial" w:hAnsi="Arial" w:cs="Arial"/>
          <w:b/>
          <w:bCs/>
          <w:i/>
          <w:iCs/>
          <w:sz w:val="22"/>
          <w:szCs w:val="22"/>
        </w:rPr>
        <w:t>”</w:t>
      </w:r>
      <w:r w:rsidRPr="00D64BDC">
        <w:rPr>
          <w:rFonts w:ascii="Arial" w:hAnsi="Arial" w:cs="Arial"/>
          <w:sz w:val="22"/>
          <w:szCs w:val="22"/>
        </w:rPr>
        <w:t xml:space="preserve"> because they were found to be providing good coverage on the medical science, diagnostic imaging studies, </w:t>
      </w:r>
      <w:r w:rsidRPr="00D64BDC">
        <w:rPr>
          <w:rFonts w:ascii="Arial" w:hAnsi="Arial" w:cs="Arial"/>
          <w:sz w:val="22"/>
          <w:szCs w:val="22"/>
        </w:rPr>
        <w:t>behavioural</w:t>
      </w:r>
      <w:r w:rsidRPr="00D64BDC">
        <w:rPr>
          <w:rFonts w:ascii="Arial" w:hAnsi="Arial" w:cs="Arial"/>
          <w:sz w:val="22"/>
          <w:szCs w:val="22"/>
        </w:rPr>
        <w:t xml:space="preserve"> health, and public health outlook (Li</w:t>
      </w:r>
      <w:r w:rsidRPr="00D64BDC">
        <w:rPr>
          <w:rFonts w:ascii="Arial" w:hAnsi="Arial" w:cs="Arial"/>
          <w:i/>
          <w:iCs/>
          <w:sz w:val="22"/>
          <w:szCs w:val="22"/>
        </w:rPr>
        <w:t xml:space="preserve"> et al.,</w:t>
      </w:r>
      <w:r w:rsidRPr="00D64BDC">
        <w:rPr>
          <w:rFonts w:ascii="Arial" w:hAnsi="Arial" w:cs="Arial"/>
          <w:sz w:val="22"/>
          <w:szCs w:val="22"/>
        </w:rPr>
        <w:t xml:space="preserve"> 2024). The studies published after 2014 were taken into consideration only to ensure the availability of the most current evidence, which is the evidence of the progress reached in the field of PSA testing, and the increasing utili</w:t>
      </w:r>
      <w:r>
        <w:rPr>
          <w:rFonts w:ascii="Arial" w:hAnsi="Arial" w:cs="Arial"/>
          <w:sz w:val="22"/>
          <w:szCs w:val="22"/>
        </w:rPr>
        <w:t>s</w:t>
      </w:r>
      <w:r w:rsidRPr="00D64BDC">
        <w:rPr>
          <w:rFonts w:ascii="Arial" w:hAnsi="Arial" w:cs="Arial"/>
          <w:sz w:val="22"/>
          <w:szCs w:val="22"/>
        </w:rPr>
        <w:t>ation of multi-parametric MRI (mpMRI) in clinical settings.</w:t>
      </w:r>
    </w:p>
    <w:p w14:paraId="0B12D838" w14:textId="77777777" w:rsidR="00D64BDC" w:rsidRPr="00D64BDC" w:rsidRDefault="00D64BDC" w:rsidP="00D64BDC">
      <w:pPr>
        <w:spacing w:line="360" w:lineRule="auto"/>
        <w:jc w:val="both"/>
        <w:rPr>
          <w:rFonts w:ascii="Arial" w:hAnsi="Arial" w:cs="Arial"/>
          <w:sz w:val="22"/>
          <w:szCs w:val="22"/>
        </w:rPr>
      </w:pPr>
      <w:r w:rsidRPr="00D64BDC">
        <w:rPr>
          <w:rFonts w:ascii="Arial" w:hAnsi="Arial" w:cs="Arial"/>
          <w:sz w:val="22"/>
          <w:szCs w:val="22"/>
        </w:rPr>
        <w:t>Particular keywords and Boolean operators were applied to make sure that as many relevant articles as possible were retrieved. The following were the search terms: prostate cancer, screening, PSA test, diagnostic accuracy, mpMRI, early detection, screening barriers, and men's health. The refinement of the results was performed with the help of the Boolean operators (e.g., prostate cancer AND mpMRI, PSA screening AND limitations).</w:t>
      </w:r>
    </w:p>
    <w:p w14:paraId="7844CD0D" w14:textId="77777777" w:rsidR="00D64BDC" w:rsidRDefault="00D64BDC" w:rsidP="00D64BDC">
      <w:pPr>
        <w:spacing w:line="360" w:lineRule="auto"/>
        <w:jc w:val="both"/>
        <w:rPr>
          <w:rFonts w:ascii="Arial" w:hAnsi="Arial" w:cs="Arial"/>
          <w:b/>
          <w:bCs/>
          <w:sz w:val="22"/>
          <w:szCs w:val="22"/>
        </w:rPr>
      </w:pPr>
    </w:p>
    <w:p w14:paraId="6CFD9AC2" w14:textId="0D2A3AA3" w:rsidR="00D64BDC" w:rsidRPr="00D64BDC" w:rsidRDefault="00D64BDC" w:rsidP="00D64BDC">
      <w:pPr>
        <w:spacing w:line="360" w:lineRule="auto"/>
        <w:jc w:val="both"/>
        <w:rPr>
          <w:rFonts w:ascii="Arial" w:hAnsi="Arial" w:cs="Arial"/>
          <w:sz w:val="22"/>
          <w:szCs w:val="22"/>
        </w:rPr>
      </w:pPr>
      <w:r w:rsidRPr="00D64BDC">
        <w:rPr>
          <w:rFonts w:ascii="Arial" w:hAnsi="Arial" w:cs="Arial"/>
          <w:b/>
          <w:bCs/>
          <w:sz w:val="22"/>
          <w:szCs w:val="22"/>
        </w:rPr>
        <w:t>Inclusion:</w:t>
      </w:r>
      <w:r w:rsidRPr="00D64BDC">
        <w:rPr>
          <w:rFonts w:ascii="Arial" w:hAnsi="Arial" w:cs="Arial"/>
          <w:sz w:val="22"/>
          <w:szCs w:val="22"/>
        </w:rPr>
        <w:t xml:space="preserve"> Peer-reviewed reference or secondary research articles on prostate cancer screening, including adult males, and the screening article language was English and had a direct discussion of the screening effectiveness measure, the diagnostic pathways, or barriers to the screening. The eligible studies were those that utili</w:t>
      </w:r>
      <w:r>
        <w:rPr>
          <w:rFonts w:ascii="Arial" w:hAnsi="Arial" w:cs="Arial"/>
          <w:sz w:val="22"/>
          <w:szCs w:val="22"/>
        </w:rPr>
        <w:t>s</w:t>
      </w:r>
      <w:r w:rsidRPr="00D64BDC">
        <w:rPr>
          <w:rFonts w:ascii="Arial" w:hAnsi="Arial" w:cs="Arial"/>
          <w:sz w:val="22"/>
          <w:szCs w:val="22"/>
        </w:rPr>
        <w:t>ed quantitative, qualitative, or mixed-method studies, as the scoping review is expected to chart the diversity of evidence forms.</w:t>
      </w:r>
    </w:p>
    <w:p w14:paraId="0864EDA6" w14:textId="77777777" w:rsidR="00D64BDC" w:rsidRDefault="00D64BDC" w:rsidP="00D64BDC">
      <w:pPr>
        <w:spacing w:line="360" w:lineRule="auto"/>
        <w:jc w:val="both"/>
        <w:rPr>
          <w:rFonts w:ascii="Arial" w:hAnsi="Arial" w:cs="Arial"/>
          <w:b/>
          <w:bCs/>
          <w:sz w:val="22"/>
          <w:szCs w:val="22"/>
        </w:rPr>
      </w:pPr>
    </w:p>
    <w:p w14:paraId="5826EA14" w14:textId="34C86F5C" w:rsidR="00D64BDC" w:rsidRPr="00D64BDC" w:rsidRDefault="00D64BDC" w:rsidP="00D64BDC">
      <w:pPr>
        <w:spacing w:line="360" w:lineRule="auto"/>
        <w:jc w:val="both"/>
        <w:rPr>
          <w:rFonts w:ascii="Arial" w:hAnsi="Arial" w:cs="Arial"/>
          <w:sz w:val="22"/>
          <w:szCs w:val="22"/>
        </w:rPr>
      </w:pPr>
      <w:r w:rsidRPr="00D64BDC">
        <w:rPr>
          <w:rFonts w:ascii="Arial" w:hAnsi="Arial" w:cs="Arial"/>
          <w:b/>
          <w:bCs/>
          <w:sz w:val="22"/>
          <w:szCs w:val="22"/>
        </w:rPr>
        <w:lastRenderedPageBreak/>
        <w:t xml:space="preserve">Exclusion: </w:t>
      </w:r>
      <w:r w:rsidRPr="00D64BDC">
        <w:rPr>
          <w:rFonts w:ascii="Arial" w:hAnsi="Arial" w:cs="Arial"/>
          <w:sz w:val="22"/>
          <w:szCs w:val="22"/>
        </w:rPr>
        <w:t>It is used to remove the non-peer-reviewed articles, such as editorials, commentaries, expert opinions, abstracts of conferences, and some research that considers the treatment aspect and not screening or diagnosis. What is more, the studies whose methodology is not clear were filtered to retain quality (Liu</w:t>
      </w:r>
      <w:r w:rsidRPr="00D64BDC">
        <w:rPr>
          <w:rFonts w:ascii="Arial" w:hAnsi="Arial" w:cs="Arial"/>
          <w:i/>
          <w:iCs/>
          <w:sz w:val="22"/>
          <w:szCs w:val="22"/>
        </w:rPr>
        <w:t xml:space="preserve"> et al.,</w:t>
      </w:r>
      <w:r w:rsidRPr="00D64BDC">
        <w:rPr>
          <w:rFonts w:ascii="Arial" w:hAnsi="Arial" w:cs="Arial"/>
          <w:sz w:val="22"/>
          <w:szCs w:val="22"/>
        </w:rPr>
        <w:t xml:space="preserve"> 2024).</w:t>
      </w:r>
    </w:p>
    <w:p w14:paraId="67EEE6CB" w14:textId="5B125AE9" w:rsidR="00D64BDC" w:rsidRPr="00D64BDC" w:rsidRDefault="00D64BDC" w:rsidP="00D64BDC">
      <w:pPr>
        <w:spacing w:line="360" w:lineRule="auto"/>
        <w:jc w:val="both"/>
        <w:rPr>
          <w:rFonts w:ascii="Arial" w:hAnsi="Arial" w:cs="Arial"/>
          <w:sz w:val="22"/>
          <w:szCs w:val="22"/>
        </w:rPr>
      </w:pPr>
      <w:r w:rsidRPr="00D64BDC">
        <w:rPr>
          <w:rFonts w:ascii="Arial" w:hAnsi="Arial" w:cs="Arial"/>
          <w:sz w:val="22"/>
          <w:szCs w:val="22"/>
        </w:rPr>
        <w:t xml:space="preserve">The titles and abstracts were screened, and possibly relevant articles were accessed to be </w:t>
      </w:r>
      <w:r w:rsidRPr="00D64BDC">
        <w:rPr>
          <w:rFonts w:ascii="Arial" w:hAnsi="Arial" w:cs="Arial"/>
          <w:sz w:val="22"/>
          <w:szCs w:val="22"/>
        </w:rPr>
        <w:t>analysed</w:t>
      </w:r>
      <w:r w:rsidRPr="00D64BDC">
        <w:rPr>
          <w:rFonts w:ascii="Arial" w:hAnsi="Arial" w:cs="Arial"/>
          <w:sz w:val="22"/>
          <w:szCs w:val="22"/>
        </w:rPr>
        <w:t xml:space="preserve"> specifically. The final selection was of the studies that fitted the review question and objectives and rendered them significant and deeply weighty during synthesis.</w:t>
      </w:r>
    </w:p>
    <w:p w14:paraId="468343AF" w14:textId="77777777" w:rsidR="00D64BDC" w:rsidRDefault="00D64BDC" w:rsidP="00D64BDC">
      <w:pPr>
        <w:spacing w:line="360" w:lineRule="auto"/>
        <w:jc w:val="both"/>
        <w:rPr>
          <w:rFonts w:ascii="Arial" w:hAnsi="Arial" w:cs="Arial"/>
          <w:b/>
          <w:bCs/>
          <w:i/>
          <w:iCs/>
          <w:sz w:val="22"/>
          <w:szCs w:val="22"/>
        </w:rPr>
      </w:pPr>
    </w:p>
    <w:p w14:paraId="5318D84E" w14:textId="6A367715" w:rsidR="00D64BDC" w:rsidRPr="00D64BDC" w:rsidRDefault="00D64BDC" w:rsidP="00D64BDC">
      <w:pPr>
        <w:spacing w:line="360" w:lineRule="auto"/>
        <w:jc w:val="both"/>
        <w:rPr>
          <w:rFonts w:ascii="Arial" w:hAnsi="Arial" w:cs="Arial"/>
          <w:b/>
          <w:bCs/>
          <w:i/>
          <w:iCs/>
          <w:sz w:val="22"/>
          <w:szCs w:val="22"/>
        </w:rPr>
      </w:pPr>
      <w:r w:rsidRPr="00D64BDC">
        <w:rPr>
          <w:rFonts w:ascii="Arial" w:hAnsi="Arial" w:cs="Arial"/>
          <w:b/>
          <w:bCs/>
          <w:i/>
          <w:iCs/>
          <w:sz w:val="22"/>
          <w:szCs w:val="22"/>
        </w:rPr>
        <w:t>Data Analysis Approach</w:t>
      </w:r>
    </w:p>
    <w:p w14:paraId="7B2F0B03" w14:textId="77777777" w:rsidR="00D64BDC" w:rsidRPr="00D64BDC" w:rsidRDefault="00D64BDC" w:rsidP="00D64BDC">
      <w:pPr>
        <w:spacing w:line="360" w:lineRule="auto"/>
        <w:jc w:val="both"/>
        <w:rPr>
          <w:rFonts w:ascii="Arial" w:hAnsi="Arial" w:cs="Arial"/>
          <w:sz w:val="22"/>
          <w:szCs w:val="22"/>
        </w:rPr>
      </w:pPr>
      <w:r w:rsidRPr="00D64BDC">
        <w:rPr>
          <w:rFonts w:ascii="Arial" w:hAnsi="Arial" w:cs="Arial"/>
          <w:sz w:val="22"/>
          <w:szCs w:val="22"/>
        </w:rPr>
        <w:t>The review adopted a thematic analysis approach, which is consistent with the scoping review approach. After the process of selecting the corresponding works, they were all tabulated in the table using systematic information on the significant details: author, year, the purpose of the research, methods, the major findings, and their application to the review question. It was possible to compare studies and to organise the information systematically.</w:t>
      </w:r>
    </w:p>
    <w:p w14:paraId="56C67AC2" w14:textId="77777777" w:rsidR="00D64BDC" w:rsidRPr="00D64BDC" w:rsidRDefault="00D64BDC" w:rsidP="00D64BDC">
      <w:pPr>
        <w:spacing w:line="360" w:lineRule="auto"/>
        <w:jc w:val="both"/>
        <w:rPr>
          <w:rFonts w:ascii="Arial" w:hAnsi="Arial" w:cs="Arial"/>
          <w:sz w:val="22"/>
          <w:szCs w:val="22"/>
        </w:rPr>
      </w:pPr>
      <w:r w:rsidRPr="00D64BDC">
        <w:rPr>
          <w:rFonts w:ascii="Arial" w:hAnsi="Arial" w:cs="Arial"/>
          <w:sz w:val="22"/>
          <w:szCs w:val="22"/>
        </w:rPr>
        <w:t>The identification of patterns, repetitive concepts, and significant findings using the included studies was obtained by means of an inductive coding process. Codes were only then grouped into broad categories, and this was reduced to the final themes (Yan</w:t>
      </w:r>
      <w:r w:rsidRPr="00D64BDC">
        <w:rPr>
          <w:rFonts w:ascii="Arial" w:hAnsi="Arial" w:cs="Arial"/>
          <w:i/>
          <w:iCs/>
          <w:sz w:val="22"/>
          <w:szCs w:val="22"/>
        </w:rPr>
        <w:t xml:space="preserve"> et al.,</w:t>
      </w:r>
      <w:r w:rsidRPr="00D64BDC">
        <w:rPr>
          <w:rFonts w:ascii="Arial" w:hAnsi="Arial" w:cs="Arial"/>
          <w:sz w:val="22"/>
          <w:szCs w:val="22"/>
        </w:rPr>
        <w:t xml:space="preserve"> 2024). This process enabled the compilation of evidence into rational regions of subjects, such as but not restricted to PSA screening effectiveness, diagnostic advantages of mpMRI, and obstacles to screening among diverse groups, as well as screening dangers or constraints.</w:t>
      </w:r>
    </w:p>
    <w:p w14:paraId="17604A4F" w14:textId="77777777" w:rsidR="00D64BDC" w:rsidRPr="00D64BDC" w:rsidRDefault="00D64BDC" w:rsidP="00D64BDC">
      <w:pPr>
        <w:spacing w:line="360" w:lineRule="auto"/>
        <w:jc w:val="both"/>
        <w:rPr>
          <w:rFonts w:ascii="Arial" w:hAnsi="Arial" w:cs="Arial"/>
          <w:sz w:val="22"/>
          <w:szCs w:val="22"/>
        </w:rPr>
      </w:pPr>
      <w:r w:rsidRPr="00D64BDC">
        <w:rPr>
          <w:rFonts w:ascii="Arial" w:hAnsi="Arial" w:cs="Arial"/>
          <w:sz w:val="22"/>
          <w:szCs w:val="22"/>
        </w:rPr>
        <w:t>They were integrated, and the quantitative and qualitative data were integrated, which contributed to the analysis of providing the statistical information and the patient or community perspective (Gemma</w:t>
      </w:r>
      <w:r w:rsidRPr="00D64BDC">
        <w:rPr>
          <w:rFonts w:ascii="Arial" w:hAnsi="Arial" w:cs="Arial"/>
          <w:i/>
          <w:iCs/>
          <w:sz w:val="22"/>
          <w:szCs w:val="22"/>
        </w:rPr>
        <w:t xml:space="preserve"> et al.,</w:t>
      </w:r>
      <w:r w:rsidRPr="00D64BDC">
        <w:rPr>
          <w:rFonts w:ascii="Arial" w:hAnsi="Arial" w:cs="Arial"/>
          <w:sz w:val="22"/>
          <w:szCs w:val="22"/>
        </w:rPr>
        <w:t xml:space="preserve"> 2024). The opposite results were considered critically, where inconsistencies were highlighted and gaps in knowledge were established, where further investigation was intended to be done.</w:t>
      </w:r>
    </w:p>
    <w:p w14:paraId="6773C089" w14:textId="77777777" w:rsidR="00D64BDC" w:rsidRDefault="00D64BDC" w:rsidP="00D64BDC">
      <w:pPr>
        <w:spacing w:line="360" w:lineRule="auto"/>
        <w:jc w:val="both"/>
        <w:rPr>
          <w:rFonts w:ascii="Arial" w:hAnsi="Arial" w:cs="Arial"/>
          <w:b/>
          <w:bCs/>
          <w:sz w:val="22"/>
          <w:szCs w:val="22"/>
        </w:rPr>
      </w:pPr>
    </w:p>
    <w:p w14:paraId="640F6667" w14:textId="75A8CAAA" w:rsidR="00D64BDC" w:rsidRPr="00D64BDC" w:rsidRDefault="00D64BDC" w:rsidP="00D64BDC">
      <w:pPr>
        <w:spacing w:line="360" w:lineRule="auto"/>
        <w:jc w:val="both"/>
        <w:rPr>
          <w:rFonts w:ascii="Arial" w:hAnsi="Arial" w:cs="Arial"/>
          <w:b/>
          <w:bCs/>
          <w:sz w:val="22"/>
          <w:szCs w:val="22"/>
        </w:rPr>
      </w:pPr>
      <w:r w:rsidRPr="00D64BDC">
        <w:rPr>
          <w:rFonts w:ascii="Arial" w:hAnsi="Arial" w:cs="Arial"/>
          <w:b/>
          <w:bCs/>
          <w:sz w:val="22"/>
          <w:szCs w:val="22"/>
        </w:rPr>
        <w:t>Ethical Considerations</w:t>
      </w:r>
    </w:p>
    <w:p w14:paraId="3DD875FA" w14:textId="77777777" w:rsidR="00D64BDC" w:rsidRPr="00D64BDC" w:rsidRDefault="00D64BDC" w:rsidP="00D64BDC">
      <w:pPr>
        <w:spacing w:line="360" w:lineRule="auto"/>
        <w:jc w:val="both"/>
        <w:rPr>
          <w:rFonts w:ascii="Arial" w:hAnsi="Arial" w:cs="Arial"/>
          <w:sz w:val="22"/>
          <w:szCs w:val="22"/>
        </w:rPr>
      </w:pPr>
      <w:r w:rsidRPr="00D64BDC">
        <w:rPr>
          <w:rFonts w:ascii="Arial" w:hAnsi="Arial" w:cs="Arial"/>
          <w:sz w:val="22"/>
          <w:szCs w:val="22"/>
        </w:rPr>
        <w:t>This scoping review was a secondary data review and therefore no ethical consent had to be sought. The studies used were all in the public realm and have already been ethically endorsed by the concerned institutions (Bithi</w:t>
      </w:r>
      <w:r w:rsidRPr="00D64BDC">
        <w:rPr>
          <w:rFonts w:ascii="Arial" w:hAnsi="Arial" w:cs="Arial"/>
          <w:i/>
          <w:iCs/>
          <w:sz w:val="22"/>
          <w:szCs w:val="22"/>
        </w:rPr>
        <w:t xml:space="preserve"> et al.,</w:t>
      </w:r>
      <w:r w:rsidRPr="00D64BDC">
        <w:rPr>
          <w:rFonts w:ascii="Arial" w:hAnsi="Arial" w:cs="Arial"/>
          <w:sz w:val="22"/>
          <w:szCs w:val="22"/>
        </w:rPr>
        <w:t xml:space="preserve"> 2025). The ethical requirements were met with the representation of the findings properly, transparency, and appreciation of all the authors, with the help of the right Harvard form of reference. The bias was minimised by employing explicit inclusion criteria and being neutral in interpretation.</w:t>
      </w:r>
    </w:p>
    <w:p w14:paraId="3432DBA0" w14:textId="77777777" w:rsidR="00D64BDC" w:rsidRPr="00D64BDC" w:rsidRDefault="00D64BDC" w:rsidP="00D64BDC">
      <w:pPr>
        <w:pStyle w:val="Heading1"/>
        <w:rPr>
          <w:rFonts w:ascii="Arial" w:hAnsi="Arial" w:cs="Arial"/>
          <w:sz w:val="22"/>
          <w:szCs w:val="22"/>
        </w:rPr>
      </w:pPr>
      <w:bookmarkStart w:id="5" w:name="_8h20k76xwf2g" w:colFirst="0" w:colLast="0"/>
      <w:bookmarkStart w:id="6" w:name="_Toc214109623"/>
      <w:bookmarkEnd w:id="5"/>
      <w:r w:rsidRPr="00D64BDC">
        <w:rPr>
          <w:rFonts w:ascii="Arial" w:hAnsi="Arial" w:cs="Arial"/>
          <w:sz w:val="22"/>
          <w:szCs w:val="22"/>
        </w:rPr>
        <w:t>Results</w:t>
      </w:r>
      <w:bookmarkEnd w:id="6"/>
      <w:r w:rsidRPr="00D64BDC">
        <w:rPr>
          <w:rFonts w:ascii="Arial" w:hAnsi="Arial" w:cs="Arial"/>
          <w:sz w:val="22"/>
          <w:szCs w:val="22"/>
        </w:rPr>
        <w:t xml:space="preserve"> </w:t>
      </w:r>
    </w:p>
    <w:p w14:paraId="1E2060DE" w14:textId="77777777" w:rsidR="00D64BDC" w:rsidRPr="00D64BDC" w:rsidRDefault="00D64BDC" w:rsidP="00D64BDC">
      <w:pPr>
        <w:spacing w:line="360" w:lineRule="auto"/>
        <w:jc w:val="both"/>
        <w:rPr>
          <w:rFonts w:ascii="Arial" w:hAnsi="Arial" w:cs="Arial"/>
          <w:sz w:val="22"/>
          <w:szCs w:val="22"/>
        </w:rPr>
      </w:pPr>
      <w:r w:rsidRPr="00D64BDC">
        <w:rPr>
          <w:rFonts w:ascii="Arial" w:hAnsi="Arial" w:cs="Arial"/>
          <w:sz w:val="22"/>
          <w:szCs w:val="22"/>
        </w:rPr>
        <w:t>The five peer-reviewed articles published in 2024-2025 were incorporated into this scoping review. The subjects of these papers spanned the entire spectrum of screening issues, including genetic testing processes, the rapid diagnosis pathway, volatile urine biomarkers, MRI-targeted biopsy, and disparities in diagnostic pathways. These studies combined to provide information on the emerging technologies in diagnostics, barriers at the system level, and the differences in diagnostic accuracy. A tabular outline was created to make sure that the important features are clearly presented.</w:t>
      </w:r>
    </w:p>
    <w:p w14:paraId="7D401FCD" w14:textId="77777777" w:rsidR="00D64BDC" w:rsidRDefault="00D64BDC" w:rsidP="00D64BDC">
      <w:pPr>
        <w:spacing w:line="360" w:lineRule="auto"/>
        <w:jc w:val="both"/>
        <w:rPr>
          <w:rFonts w:ascii="Arial" w:hAnsi="Arial" w:cs="Arial"/>
          <w:b/>
          <w:bCs/>
          <w:i/>
          <w:iCs/>
          <w:sz w:val="22"/>
          <w:szCs w:val="22"/>
        </w:rPr>
      </w:pPr>
    </w:p>
    <w:p w14:paraId="1F83133D" w14:textId="77777777" w:rsidR="00D64BDC" w:rsidRDefault="00D64BDC" w:rsidP="00D64BDC">
      <w:pPr>
        <w:spacing w:line="360" w:lineRule="auto"/>
        <w:jc w:val="both"/>
        <w:rPr>
          <w:rFonts w:ascii="Arial" w:hAnsi="Arial" w:cs="Arial"/>
          <w:b/>
          <w:bCs/>
          <w:sz w:val="22"/>
          <w:szCs w:val="22"/>
        </w:rPr>
      </w:pPr>
    </w:p>
    <w:p w14:paraId="643F1339" w14:textId="77777777" w:rsidR="00D64BDC" w:rsidRDefault="00D64BDC" w:rsidP="00D64BDC">
      <w:pPr>
        <w:spacing w:line="360" w:lineRule="auto"/>
        <w:jc w:val="both"/>
        <w:rPr>
          <w:rFonts w:ascii="Arial" w:hAnsi="Arial" w:cs="Arial"/>
          <w:b/>
          <w:bCs/>
          <w:sz w:val="22"/>
          <w:szCs w:val="22"/>
        </w:rPr>
      </w:pPr>
    </w:p>
    <w:p w14:paraId="5B30F306" w14:textId="0285DB6A" w:rsidR="00D64BDC" w:rsidRPr="00D64BDC" w:rsidRDefault="00D64BDC" w:rsidP="00D64BDC">
      <w:pPr>
        <w:spacing w:line="360" w:lineRule="auto"/>
        <w:jc w:val="both"/>
        <w:rPr>
          <w:rFonts w:ascii="Arial" w:hAnsi="Arial" w:cs="Arial"/>
          <w:b/>
          <w:bCs/>
          <w:sz w:val="22"/>
          <w:szCs w:val="22"/>
        </w:rPr>
      </w:pPr>
      <w:r w:rsidRPr="00D64BDC">
        <w:rPr>
          <w:rFonts w:ascii="Arial" w:hAnsi="Arial" w:cs="Arial"/>
          <w:b/>
          <w:bCs/>
          <w:sz w:val="22"/>
          <w:szCs w:val="22"/>
        </w:rPr>
        <w:lastRenderedPageBreak/>
        <w:t>Thematic Analysis</w:t>
      </w:r>
    </w:p>
    <w:tbl>
      <w:tblPr>
        <w:tblStyle w:val="TableGrid"/>
        <w:tblW w:w="5000" w:type="pct"/>
        <w:tblInd w:w="-113" w:type="dxa"/>
        <w:tblLook w:val="0600" w:firstRow="0" w:lastRow="0" w:firstColumn="0" w:lastColumn="0" w:noHBand="1" w:noVBand="1"/>
      </w:tblPr>
      <w:tblGrid>
        <w:gridCol w:w="1348"/>
        <w:gridCol w:w="3109"/>
        <w:gridCol w:w="1292"/>
        <w:gridCol w:w="2833"/>
        <w:gridCol w:w="1874"/>
      </w:tblGrid>
      <w:tr w:rsidR="00D64BDC" w:rsidRPr="00D64BDC" w14:paraId="00DECEEA" w14:textId="77777777" w:rsidTr="00D64BDC">
        <w:trPr>
          <w:cantSplit/>
          <w:trHeight w:val="1134"/>
        </w:trPr>
        <w:tc>
          <w:tcPr>
            <w:tcW w:w="658" w:type="pct"/>
          </w:tcPr>
          <w:p w14:paraId="0CD68CB1" w14:textId="77777777" w:rsidR="00D64BDC" w:rsidRPr="00D64BDC" w:rsidRDefault="00D64BDC" w:rsidP="00D64BDC">
            <w:pPr>
              <w:spacing w:line="360" w:lineRule="auto"/>
              <w:jc w:val="center"/>
              <w:rPr>
                <w:rFonts w:eastAsia="Times New Roman"/>
                <w:b/>
                <w:bCs/>
              </w:rPr>
            </w:pPr>
            <w:r w:rsidRPr="00D64BDC">
              <w:rPr>
                <w:rFonts w:eastAsia="Times New Roman"/>
                <w:b/>
                <w:bCs/>
              </w:rPr>
              <w:t>Author &amp; Year</w:t>
            </w:r>
          </w:p>
        </w:tc>
        <w:tc>
          <w:tcPr>
            <w:tcW w:w="1500" w:type="pct"/>
          </w:tcPr>
          <w:p w14:paraId="1DE02BA8" w14:textId="77777777" w:rsidR="00D64BDC" w:rsidRPr="00D64BDC" w:rsidRDefault="00D64BDC" w:rsidP="00D64BDC">
            <w:pPr>
              <w:spacing w:line="360" w:lineRule="auto"/>
              <w:jc w:val="center"/>
              <w:rPr>
                <w:rFonts w:eastAsia="Times New Roman"/>
                <w:b/>
                <w:bCs/>
              </w:rPr>
            </w:pPr>
            <w:r w:rsidRPr="00D64BDC">
              <w:rPr>
                <w:rFonts w:eastAsia="Times New Roman"/>
                <w:b/>
                <w:bCs/>
              </w:rPr>
              <w:t>Research Objectives</w:t>
            </w:r>
          </w:p>
        </w:tc>
        <w:tc>
          <w:tcPr>
            <w:tcW w:w="565" w:type="pct"/>
          </w:tcPr>
          <w:p w14:paraId="3BF79F34" w14:textId="77777777" w:rsidR="00D64BDC" w:rsidRPr="00D64BDC" w:rsidRDefault="00D64BDC" w:rsidP="00D64BDC">
            <w:pPr>
              <w:spacing w:line="360" w:lineRule="auto"/>
              <w:jc w:val="center"/>
              <w:rPr>
                <w:rFonts w:eastAsia="Times New Roman"/>
                <w:b/>
                <w:bCs/>
              </w:rPr>
            </w:pPr>
            <w:r w:rsidRPr="00D64BDC">
              <w:rPr>
                <w:rFonts w:eastAsia="Times New Roman"/>
                <w:b/>
                <w:bCs/>
              </w:rPr>
              <w:t>Methods</w:t>
            </w:r>
          </w:p>
        </w:tc>
        <w:tc>
          <w:tcPr>
            <w:tcW w:w="1368" w:type="pct"/>
          </w:tcPr>
          <w:p w14:paraId="25A35932" w14:textId="77777777" w:rsidR="00D64BDC" w:rsidRPr="00D64BDC" w:rsidRDefault="00D64BDC" w:rsidP="00D64BDC">
            <w:pPr>
              <w:spacing w:line="360" w:lineRule="auto"/>
              <w:jc w:val="center"/>
              <w:rPr>
                <w:rFonts w:eastAsia="Times New Roman"/>
                <w:b/>
                <w:bCs/>
              </w:rPr>
            </w:pPr>
            <w:r w:rsidRPr="00D64BDC">
              <w:rPr>
                <w:rFonts w:eastAsia="Times New Roman"/>
                <w:b/>
                <w:bCs/>
              </w:rPr>
              <w:t>Key Findings</w:t>
            </w:r>
          </w:p>
        </w:tc>
        <w:tc>
          <w:tcPr>
            <w:tcW w:w="909" w:type="pct"/>
          </w:tcPr>
          <w:p w14:paraId="06A19BB3" w14:textId="77777777" w:rsidR="00D64BDC" w:rsidRPr="00D64BDC" w:rsidRDefault="00D64BDC" w:rsidP="00D64BDC">
            <w:pPr>
              <w:spacing w:line="360" w:lineRule="auto"/>
              <w:jc w:val="center"/>
              <w:rPr>
                <w:rFonts w:eastAsia="Times New Roman"/>
                <w:b/>
                <w:bCs/>
              </w:rPr>
            </w:pPr>
            <w:r w:rsidRPr="00D64BDC">
              <w:rPr>
                <w:rFonts w:eastAsia="Times New Roman"/>
                <w:b/>
                <w:bCs/>
              </w:rPr>
              <w:t>Relevance to Review Question</w:t>
            </w:r>
          </w:p>
        </w:tc>
      </w:tr>
      <w:tr w:rsidR="00D64BDC" w:rsidRPr="00D64BDC" w14:paraId="1ED3FD2B" w14:textId="77777777" w:rsidTr="00D64BDC">
        <w:trPr>
          <w:cantSplit/>
          <w:trHeight w:val="1170"/>
        </w:trPr>
        <w:tc>
          <w:tcPr>
            <w:tcW w:w="658" w:type="pct"/>
          </w:tcPr>
          <w:p w14:paraId="7EB492EA" w14:textId="77777777" w:rsidR="00D64BDC" w:rsidRPr="00D64BDC" w:rsidRDefault="00D64BDC" w:rsidP="00D64BDC">
            <w:pPr>
              <w:spacing w:line="360" w:lineRule="auto"/>
              <w:jc w:val="both"/>
              <w:rPr>
                <w:rFonts w:eastAsia="Times New Roman"/>
              </w:rPr>
            </w:pPr>
            <w:r w:rsidRPr="00D64BDC">
              <w:rPr>
                <w:rFonts w:eastAsia="Times New Roman"/>
              </w:rPr>
              <w:t xml:space="preserve">Dawson </w:t>
            </w:r>
            <w:r w:rsidRPr="00D64BDC">
              <w:rPr>
                <w:rFonts w:eastAsia="Times New Roman"/>
                <w:i/>
                <w:iCs/>
              </w:rPr>
              <w:t>et al.</w:t>
            </w:r>
            <w:r w:rsidRPr="00D64BDC">
              <w:rPr>
                <w:rFonts w:eastAsia="Times New Roman"/>
              </w:rPr>
              <w:t xml:space="preserve"> (2024)</w:t>
            </w:r>
          </w:p>
        </w:tc>
        <w:tc>
          <w:tcPr>
            <w:tcW w:w="1400" w:type="pct"/>
            <w:vAlign w:val="center"/>
          </w:tcPr>
          <w:p w14:paraId="707505C7" w14:textId="7BA9B0B0" w:rsidR="00D64BDC" w:rsidRPr="00D64BDC" w:rsidRDefault="00D64BDC" w:rsidP="00D64BDC">
            <w:pPr>
              <w:spacing w:line="360" w:lineRule="auto"/>
              <w:jc w:val="both"/>
            </w:pPr>
            <w:r w:rsidRPr="00D64BDC">
              <w:t>To identify</w:t>
            </w:r>
            <w:r w:rsidRPr="00D64BDC">
              <w:t xml:space="preserve"> </w:t>
            </w:r>
            <w:r w:rsidRPr="00D64BDC">
              <w:t>based on urinary volatile organic compounds (VOCs).</w:t>
            </w:r>
          </w:p>
        </w:tc>
        <w:tc>
          <w:tcPr>
            <w:tcW w:w="565" w:type="pct"/>
          </w:tcPr>
          <w:p w14:paraId="546BA8BD" w14:textId="77777777" w:rsidR="00D64BDC" w:rsidRPr="00D64BDC" w:rsidRDefault="00D64BDC" w:rsidP="00D64BDC">
            <w:pPr>
              <w:spacing w:line="360" w:lineRule="auto"/>
              <w:jc w:val="both"/>
              <w:rPr>
                <w:rFonts w:eastAsia="Times New Roman"/>
              </w:rPr>
            </w:pPr>
            <w:r w:rsidRPr="00D64BDC">
              <w:rPr>
                <w:rFonts w:eastAsia="Times New Roman"/>
              </w:rPr>
              <w:t>Systematic Review</w:t>
            </w:r>
          </w:p>
        </w:tc>
        <w:tc>
          <w:tcPr>
            <w:tcW w:w="1368" w:type="pct"/>
          </w:tcPr>
          <w:p w14:paraId="413547D5" w14:textId="3647BF93" w:rsidR="00D64BDC" w:rsidRPr="00D64BDC" w:rsidRDefault="00D64BDC" w:rsidP="00D64BDC">
            <w:pPr>
              <w:spacing w:line="360" w:lineRule="auto"/>
              <w:jc w:val="both"/>
            </w:pPr>
            <w:r w:rsidRPr="00D64BDC">
              <w:t>Urinary</w:t>
            </w:r>
            <w:r w:rsidRPr="00D64BDC">
              <w:t xml:space="preserve"> </w:t>
            </w:r>
            <w:r w:rsidRPr="00D64BDC">
              <w:t xml:space="preserve">VOCs have potential promises of accuracy, with </w:t>
            </w:r>
            <w:r w:rsidRPr="00D64BDC">
              <w:t>standardi</w:t>
            </w:r>
            <w:r>
              <w:t>z</w:t>
            </w:r>
            <w:r w:rsidRPr="00D64BDC">
              <w:t>ation</w:t>
            </w:r>
            <w:r w:rsidRPr="00D64BDC">
              <w:t xml:space="preserve"> needed.</w:t>
            </w:r>
          </w:p>
        </w:tc>
        <w:tc>
          <w:tcPr>
            <w:tcW w:w="909" w:type="pct"/>
          </w:tcPr>
          <w:p w14:paraId="341182CF" w14:textId="77777777" w:rsidR="00D64BDC" w:rsidRPr="00D64BDC" w:rsidRDefault="00D64BDC" w:rsidP="00D64BDC">
            <w:pPr>
              <w:spacing w:line="360" w:lineRule="auto"/>
              <w:jc w:val="both"/>
            </w:pPr>
            <w:r w:rsidRPr="00D64BDC">
              <w:t>Shows potential for non-invasive and early detection.</w:t>
            </w:r>
          </w:p>
        </w:tc>
      </w:tr>
      <w:tr w:rsidR="00D64BDC" w:rsidRPr="00D64BDC" w14:paraId="22EF40A3" w14:textId="77777777" w:rsidTr="00D64BDC">
        <w:trPr>
          <w:cantSplit/>
          <w:trHeight w:val="1134"/>
        </w:trPr>
        <w:tc>
          <w:tcPr>
            <w:tcW w:w="658" w:type="pct"/>
          </w:tcPr>
          <w:p w14:paraId="45A4166A" w14:textId="77777777" w:rsidR="00D64BDC" w:rsidRPr="00D64BDC" w:rsidRDefault="00D64BDC" w:rsidP="00D64BDC">
            <w:pPr>
              <w:spacing w:line="360" w:lineRule="auto"/>
              <w:jc w:val="both"/>
              <w:rPr>
                <w:rFonts w:eastAsia="Times New Roman"/>
              </w:rPr>
            </w:pPr>
            <w:r w:rsidRPr="00D64BDC">
              <w:rPr>
                <w:rFonts w:eastAsia="Times New Roman"/>
              </w:rPr>
              <w:t xml:space="preserve">Falagario </w:t>
            </w:r>
            <w:r w:rsidRPr="00D64BDC">
              <w:rPr>
                <w:rFonts w:eastAsia="Times New Roman"/>
                <w:i/>
                <w:iCs/>
              </w:rPr>
              <w:t>et al.</w:t>
            </w:r>
            <w:r w:rsidRPr="00D64BDC">
              <w:rPr>
                <w:rFonts w:eastAsia="Times New Roman"/>
              </w:rPr>
              <w:t xml:space="preserve"> (2025)</w:t>
            </w:r>
          </w:p>
        </w:tc>
        <w:tc>
          <w:tcPr>
            <w:tcW w:w="1500" w:type="pct"/>
          </w:tcPr>
          <w:p w14:paraId="42FCB866" w14:textId="77777777" w:rsidR="00D64BDC" w:rsidRPr="00D64BDC" w:rsidRDefault="00D64BDC" w:rsidP="00D64BDC">
            <w:pPr>
              <w:spacing w:line="360" w:lineRule="auto"/>
              <w:jc w:val="both"/>
            </w:pPr>
            <w:r w:rsidRPr="00D64BDC">
              <w:t>To make a comparison of MRI-targeted biopsy guiding methodology.</w:t>
            </w:r>
          </w:p>
        </w:tc>
        <w:tc>
          <w:tcPr>
            <w:tcW w:w="565" w:type="pct"/>
          </w:tcPr>
          <w:p w14:paraId="743AFD5D" w14:textId="77777777" w:rsidR="00D64BDC" w:rsidRPr="00D64BDC" w:rsidRDefault="00D64BDC" w:rsidP="00D64BDC">
            <w:pPr>
              <w:spacing w:line="360" w:lineRule="auto"/>
              <w:jc w:val="both"/>
              <w:rPr>
                <w:rFonts w:eastAsia="Times New Roman"/>
              </w:rPr>
            </w:pPr>
            <w:r w:rsidRPr="00D64BDC">
              <w:rPr>
                <w:rFonts w:eastAsia="Times New Roman"/>
              </w:rPr>
              <w:t>Systematic Review &amp; Meta-analysis</w:t>
            </w:r>
          </w:p>
        </w:tc>
        <w:tc>
          <w:tcPr>
            <w:tcW w:w="1368" w:type="pct"/>
          </w:tcPr>
          <w:p w14:paraId="1616D099" w14:textId="77777777" w:rsidR="00D64BDC" w:rsidRPr="00D64BDC" w:rsidRDefault="00D64BDC" w:rsidP="00D64BDC">
            <w:pPr>
              <w:spacing w:line="360" w:lineRule="auto"/>
              <w:jc w:val="both"/>
            </w:pPr>
            <w:r w:rsidRPr="00D64BDC">
              <w:t>The in-bore MRI guidance was the most accurate, and cognitive fusion was diverse.</w:t>
            </w:r>
          </w:p>
        </w:tc>
        <w:tc>
          <w:tcPr>
            <w:tcW w:w="909" w:type="pct"/>
          </w:tcPr>
          <w:p w14:paraId="044D4225" w14:textId="77777777" w:rsidR="00D64BDC" w:rsidRPr="00D64BDC" w:rsidRDefault="00D64BDC" w:rsidP="00D64BDC">
            <w:pPr>
              <w:spacing w:line="360" w:lineRule="auto"/>
              <w:jc w:val="both"/>
            </w:pPr>
            <w:r w:rsidRPr="00D64BDC">
              <w:t>Turns out to be evidence-based diagnostic value of MRI-targeted screening.</w:t>
            </w:r>
          </w:p>
        </w:tc>
      </w:tr>
      <w:tr w:rsidR="00D64BDC" w:rsidRPr="00D64BDC" w14:paraId="4EDED71A" w14:textId="77777777" w:rsidTr="00D64BDC">
        <w:trPr>
          <w:cantSplit/>
          <w:trHeight w:val="1134"/>
        </w:trPr>
        <w:tc>
          <w:tcPr>
            <w:tcW w:w="658" w:type="pct"/>
          </w:tcPr>
          <w:p w14:paraId="4F8F73B9" w14:textId="77777777" w:rsidR="00D64BDC" w:rsidRPr="00D64BDC" w:rsidRDefault="00D64BDC" w:rsidP="00D64BDC">
            <w:pPr>
              <w:spacing w:line="360" w:lineRule="auto"/>
              <w:jc w:val="both"/>
              <w:rPr>
                <w:rFonts w:eastAsia="Times New Roman"/>
              </w:rPr>
            </w:pPr>
            <w:r w:rsidRPr="00D64BDC">
              <w:rPr>
                <w:rFonts w:eastAsia="Times New Roman"/>
              </w:rPr>
              <w:t xml:space="preserve">Jones </w:t>
            </w:r>
            <w:r w:rsidRPr="00D64BDC">
              <w:rPr>
                <w:rFonts w:eastAsia="Times New Roman"/>
                <w:i/>
                <w:iCs/>
              </w:rPr>
              <w:t>et al.</w:t>
            </w:r>
            <w:r w:rsidRPr="00D64BDC">
              <w:rPr>
                <w:rFonts w:eastAsia="Times New Roman"/>
              </w:rPr>
              <w:t xml:space="preserve"> (2024)</w:t>
            </w:r>
          </w:p>
        </w:tc>
        <w:tc>
          <w:tcPr>
            <w:tcW w:w="1500" w:type="pct"/>
          </w:tcPr>
          <w:p w14:paraId="4D575720" w14:textId="77777777" w:rsidR="00D64BDC" w:rsidRPr="00D64BDC" w:rsidRDefault="00D64BDC" w:rsidP="00D64BDC">
            <w:pPr>
              <w:spacing w:line="360" w:lineRule="auto"/>
              <w:jc w:val="both"/>
            </w:pPr>
            <w:r w:rsidRPr="00D64BDC">
              <w:t>To determine the speed of diagnostic paths of prostate cancer.</w:t>
            </w:r>
          </w:p>
        </w:tc>
        <w:tc>
          <w:tcPr>
            <w:tcW w:w="565" w:type="pct"/>
          </w:tcPr>
          <w:p w14:paraId="2AB63514" w14:textId="77777777" w:rsidR="00D64BDC" w:rsidRPr="00D64BDC" w:rsidRDefault="00D64BDC" w:rsidP="00D64BDC">
            <w:pPr>
              <w:spacing w:line="360" w:lineRule="auto"/>
              <w:jc w:val="both"/>
              <w:rPr>
                <w:rFonts w:eastAsia="Times New Roman"/>
              </w:rPr>
            </w:pPr>
            <w:r w:rsidRPr="00D64BDC">
              <w:rPr>
                <w:rFonts w:eastAsia="Times New Roman"/>
              </w:rPr>
              <w:t>Realist Synthesis</w:t>
            </w:r>
          </w:p>
        </w:tc>
        <w:tc>
          <w:tcPr>
            <w:tcW w:w="1368" w:type="pct"/>
          </w:tcPr>
          <w:p w14:paraId="2B1EFA90" w14:textId="77777777" w:rsidR="00D64BDC" w:rsidRPr="00D64BDC" w:rsidRDefault="00D64BDC" w:rsidP="00D64BDC">
            <w:pPr>
              <w:spacing w:line="360" w:lineRule="auto"/>
              <w:jc w:val="both"/>
            </w:pPr>
            <w:r w:rsidRPr="00D64BDC">
              <w:t>One of the reasons is rapid pathways, which are reported to reduce diagnostic delays, but they are variable depending on the regions.</w:t>
            </w:r>
          </w:p>
        </w:tc>
        <w:tc>
          <w:tcPr>
            <w:tcW w:w="909" w:type="pct"/>
          </w:tcPr>
          <w:p w14:paraId="5E7F25ED" w14:textId="77777777" w:rsidR="00D64BDC" w:rsidRPr="00D64BDC" w:rsidRDefault="00D64BDC" w:rsidP="00D64BDC">
            <w:pPr>
              <w:spacing w:line="360" w:lineRule="auto"/>
              <w:jc w:val="both"/>
            </w:pPr>
            <w:r w:rsidRPr="00D64BDC">
              <w:t>Identifies the system barriers to early diagnosis and the disparities.</w:t>
            </w:r>
          </w:p>
        </w:tc>
      </w:tr>
      <w:tr w:rsidR="00D64BDC" w:rsidRPr="00D64BDC" w14:paraId="123E0E86" w14:textId="77777777" w:rsidTr="00D64BDC">
        <w:trPr>
          <w:cantSplit/>
          <w:trHeight w:val="1485"/>
        </w:trPr>
        <w:tc>
          <w:tcPr>
            <w:tcW w:w="658" w:type="pct"/>
          </w:tcPr>
          <w:p w14:paraId="55EEF0C3" w14:textId="77777777" w:rsidR="00D64BDC" w:rsidRPr="00D64BDC" w:rsidRDefault="00D64BDC" w:rsidP="00D64BDC">
            <w:pPr>
              <w:spacing w:line="360" w:lineRule="auto"/>
              <w:jc w:val="both"/>
              <w:rPr>
                <w:rFonts w:eastAsia="Times New Roman"/>
              </w:rPr>
            </w:pPr>
            <w:r w:rsidRPr="00D64BDC">
              <w:rPr>
                <w:rFonts w:eastAsia="Times New Roman"/>
              </w:rPr>
              <w:t>Scott &amp; Hoskin (2024)</w:t>
            </w:r>
          </w:p>
        </w:tc>
        <w:tc>
          <w:tcPr>
            <w:tcW w:w="1500" w:type="pct"/>
          </w:tcPr>
          <w:p w14:paraId="4A974D65" w14:textId="77777777" w:rsidR="00D64BDC" w:rsidRPr="00D64BDC" w:rsidRDefault="00D64BDC" w:rsidP="00D64BDC">
            <w:pPr>
              <w:spacing w:line="360" w:lineRule="auto"/>
              <w:jc w:val="both"/>
            </w:pPr>
            <w:r w:rsidRPr="00D64BDC">
              <w:t>To examine the disparity in cancer during diagnostics.</w:t>
            </w:r>
          </w:p>
        </w:tc>
        <w:tc>
          <w:tcPr>
            <w:tcW w:w="565" w:type="pct"/>
          </w:tcPr>
          <w:p w14:paraId="2980EC64" w14:textId="77777777" w:rsidR="00D64BDC" w:rsidRPr="00D64BDC" w:rsidRDefault="00D64BDC" w:rsidP="00D64BDC">
            <w:pPr>
              <w:spacing w:line="360" w:lineRule="auto"/>
              <w:jc w:val="both"/>
              <w:rPr>
                <w:rFonts w:eastAsia="Times New Roman"/>
              </w:rPr>
            </w:pPr>
            <w:r w:rsidRPr="00D64BDC">
              <w:rPr>
                <w:rFonts w:eastAsia="Times New Roman"/>
              </w:rPr>
              <w:t>Literature Review</w:t>
            </w:r>
          </w:p>
        </w:tc>
        <w:tc>
          <w:tcPr>
            <w:tcW w:w="1368" w:type="pct"/>
          </w:tcPr>
          <w:p w14:paraId="51F983DB" w14:textId="77777777" w:rsidR="00D64BDC" w:rsidRPr="00D64BDC" w:rsidRDefault="00D64BDC" w:rsidP="00D64BDC">
            <w:pPr>
              <w:spacing w:line="360" w:lineRule="auto"/>
              <w:jc w:val="both"/>
            </w:pPr>
            <w:r w:rsidRPr="00D64BDC">
              <w:t>However, found significant delays that were related to deprivation, ethnicity, and fragmentation of the system.</w:t>
            </w:r>
          </w:p>
        </w:tc>
        <w:tc>
          <w:tcPr>
            <w:tcW w:w="909" w:type="pct"/>
          </w:tcPr>
          <w:p w14:paraId="6C4445FE" w14:textId="77777777" w:rsidR="00D64BDC" w:rsidRPr="00D64BDC" w:rsidRDefault="00D64BDC" w:rsidP="00D64BDC">
            <w:pPr>
              <w:spacing w:line="360" w:lineRule="auto"/>
              <w:jc w:val="both"/>
            </w:pPr>
            <w:r w:rsidRPr="00D64BDC">
              <w:t>Identifies barriers to screening that are population-based.</w:t>
            </w:r>
          </w:p>
        </w:tc>
      </w:tr>
      <w:tr w:rsidR="00D64BDC" w:rsidRPr="00D64BDC" w14:paraId="653195D8" w14:textId="77777777" w:rsidTr="00D64BDC">
        <w:trPr>
          <w:cantSplit/>
          <w:trHeight w:val="1680"/>
        </w:trPr>
        <w:tc>
          <w:tcPr>
            <w:tcW w:w="658" w:type="pct"/>
          </w:tcPr>
          <w:p w14:paraId="71BFD7B5" w14:textId="77777777" w:rsidR="00D64BDC" w:rsidRPr="00D64BDC" w:rsidRDefault="00D64BDC" w:rsidP="00D64BDC">
            <w:pPr>
              <w:spacing w:line="360" w:lineRule="auto"/>
              <w:jc w:val="both"/>
              <w:rPr>
                <w:rFonts w:eastAsia="Times New Roman"/>
              </w:rPr>
            </w:pPr>
            <w:r w:rsidRPr="00D64BDC">
              <w:rPr>
                <w:rFonts w:eastAsia="Times New Roman"/>
              </w:rPr>
              <w:t xml:space="preserve">Tuffaha </w:t>
            </w:r>
            <w:r w:rsidRPr="00D64BDC">
              <w:rPr>
                <w:rFonts w:eastAsia="Times New Roman"/>
                <w:i/>
                <w:iCs/>
              </w:rPr>
              <w:t>et al.</w:t>
            </w:r>
            <w:r w:rsidRPr="00D64BDC">
              <w:rPr>
                <w:rFonts w:eastAsia="Times New Roman"/>
              </w:rPr>
              <w:t xml:space="preserve"> (2024)</w:t>
            </w:r>
          </w:p>
        </w:tc>
        <w:tc>
          <w:tcPr>
            <w:tcW w:w="1500" w:type="pct"/>
          </w:tcPr>
          <w:p w14:paraId="67C34153" w14:textId="77777777" w:rsidR="00D64BDC" w:rsidRPr="00D64BDC" w:rsidRDefault="00D64BDC" w:rsidP="00D64BDC">
            <w:pPr>
              <w:spacing w:line="360" w:lineRule="auto"/>
              <w:jc w:val="both"/>
            </w:pPr>
            <w:r w:rsidRPr="00D64BDC">
              <w:t>To</w:t>
            </w:r>
            <w:r w:rsidRPr="00D64BDC">
              <w:t xml:space="preserve"> S</w:t>
            </w:r>
            <w:r w:rsidRPr="00D64BDC">
              <w:t>urvey</w:t>
            </w:r>
          </w:p>
          <w:p w14:paraId="48ADEFAF" w14:textId="77777777" w:rsidR="00D64BDC" w:rsidRPr="00D64BDC" w:rsidRDefault="00D64BDC" w:rsidP="00D64BDC">
            <w:pPr>
              <w:spacing w:line="360" w:lineRule="auto"/>
              <w:jc w:val="both"/>
            </w:pPr>
            <w:r w:rsidRPr="00D64BDC">
              <w:t>the recommendations in the genetic</w:t>
            </w:r>
            <w:r w:rsidRPr="00D64BDC">
              <w:t xml:space="preserve"> </w:t>
            </w:r>
          </w:p>
          <w:p w14:paraId="53D0E0F1" w14:textId="77777777" w:rsidR="00D64BDC" w:rsidRPr="00D64BDC" w:rsidRDefault="00D64BDC" w:rsidP="00D64BDC">
            <w:pPr>
              <w:spacing w:line="360" w:lineRule="auto"/>
              <w:jc w:val="both"/>
            </w:pPr>
            <w:r w:rsidRPr="00D64BDC">
              <w:t>testing of prostate</w:t>
            </w:r>
          </w:p>
          <w:p w14:paraId="0F526BA0" w14:textId="77777777" w:rsidR="00D64BDC" w:rsidRPr="00D64BDC" w:rsidRDefault="00D64BDC" w:rsidP="00D64BDC">
            <w:pPr>
              <w:spacing w:line="360" w:lineRule="auto"/>
              <w:jc w:val="both"/>
            </w:pPr>
            <w:r w:rsidRPr="00D64BDC">
              <w:t>cancer internationally.</w:t>
            </w:r>
          </w:p>
        </w:tc>
        <w:tc>
          <w:tcPr>
            <w:tcW w:w="565" w:type="pct"/>
          </w:tcPr>
          <w:p w14:paraId="67F78614" w14:textId="77777777" w:rsidR="00D64BDC" w:rsidRPr="00D64BDC" w:rsidRDefault="00D64BDC" w:rsidP="00D64BDC">
            <w:pPr>
              <w:spacing w:line="360" w:lineRule="auto"/>
              <w:jc w:val="both"/>
              <w:rPr>
                <w:rFonts w:eastAsia="Times New Roman"/>
              </w:rPr>
            </w:pPr>
            <w:r w:rsidRPr="00D64BDC">
              <w:rPr>
                <w:rFonts w:eastAsia="Times New Roman"/>
              </w:rPr>
              <w:t>Scoping Review</w:t>
            </w:r>
          </w:p>
        </w:tc>
        <w:tc>
          <w:tcPr>
            <w:tcW w:w="1368" w:type="pct"/>
          </w:tcPr>
          <w:p w14:paraId="1DDFACDF" w14:textId="77777777" w:rsidR="00D64BDC" w:rsidRPr="00D64BDC" w:rsidRDefault="00D64BDC" w:rsidP="00D64BDC">
            <w:pPr>
              <w:spacing w:line="360" w:lineRule="auto"/>
              <w:jc w:val="both"/>
            </w:pPr>
            <w:r w:rsidRPr="00D64BDC">
              <w:t>Stated</w:t>
            </w:r>
            <w:r w:rsidRPr="00D64BDC">
              <w:t xml:space="preserve"> I</w:t>
            </w:r>
            <w:r w:rsidRPr="00D64BDC">
              <w:t>ncongruent</w:t>
            </w:r>
          </w:p>
          <w:p w14:paraId="28F7A74D" w14:textId="77777777" w:rsidR="00D64BDC" w:rsidRPr="00D64BDC" w:rsidRDefault="00D64BDC" w:rsidP="00D64BDC">
            <w:pPr>
              <w:spacing w:line="360" w:lineRule="auto"/>
              <w:jc w:val="both"/>
            </w:pPr>
            <w:r w:rsidRPr="00D64BDC">
              <w:t>G</w:t>
            </w:r>
            <w:r w:rsidRPr="00D64BDC">
              <w:t>enetic</w:t>
            </w:r>
          </w:p>
          <w:p w14:paraId="3FDA08F8" w14:textId="77777777" w:rsidR="00D64BDC" w:rsidRPr="00D64BDC" w:rsidRDefault="00D64BDC" w:rsidP="00D64BDC">
            <w:pPr>
              <w:spacing w:line="360" w:lineRule="auto"/>
              <w:jc w:val="both"/>
            </w:pPr>
            <w:r w:rsidRPr="00D64BDC">
              <w:t>T</w:t>
            </w:r>
            <w:r w:rsidRPr="00D64BDC">
              <w:t>esting</w:t>
            </w:r>
            <w:r w:rsidRPr="00D64BDC">
              <w:t xml:space="preserve"> demands,</w:t>
            </w:r>
            <w:r w:rsidRPr="00D64BDC">
              <w:t xml:space="preserve"> experienced accumulating evidence</w:t>
            </w:r>
          </w:p>
          <w:p w14:paraId="2A96DD53" w14:textId="77777777" w:rsidR="00D64BDC" w:rsidRPr="00D64BDC" w:rsidRDefault="00D64BDC" w:rsidP="00D64BDC">
            <w:pPr>
              <w:spacing w:line="360" w:lineRule="auto"/>
              <w:jc w:val="both"/>
            </w:pPr>
            <w:r w:rsidRPr="00D64BDC">
              <w:t>in genetic testing of high-risk men in the germline.</w:t>
            </w:r>
          </w:p>
        </w:tc>
        <w:tc>
          <w:tcPr>
            <w:tcW w:w="909" w:type="pct"/>
          </w:tcPr>
          <w:p w14:paraId="78B57AB6" w14:textId="77777777" w:rsidR="00D64BDC" w:rsidRPr="00D64BDC" w:rsidRDefault="00D64BDC" w:rsidP="00D64BDC">
            <w:pPr>
              <w:spacing w:line="360" w:lineRule="auto"/>
              <w:jc w:val="both"/>
            </w:pPr>
            <w:r w:rsidRPr="00D64BDC">
              <w:t>Genetic risk needs to be included in the screening pathways.</w:t>
            </w:r>
          </w:p>
        </w:tc>
      </w:tr>
    </w:tbl>
    <w:p w14:paraId="44C80249" w14:textId="77777777" w:rsidR="00D64BDC" w:rsidRPr="00D64BDC" w:rsidRDefault="00D64BDC" w:rsidP="00D64BDC">
      <w:pPr>
        <w:spacing w:line="360" w:lineRule="auto"/>
        <w:jc w:val="both"/>
        <w:rPr>
          <w:rFonts w:ascii="Arial" w:hAnsi="Arial" w:cs="Arial"/>
          <w:sz w:val="22"/>
          <w:szCs w:val="22"/>
        </w:rPr>
      </w:pPr>
    </w:p>
    <w:p w14:paraId="37D2A74D" w14:textId="77777777" w:rsidR="00D64BDC" w:rsidRPr="00D64BDC" w:rsidRDefault="00D64BDC" w:rsidP="00D64BDC">
      <w:pPr>
        <w:spacing w:line="360" w:lineRule="auto"/>
        <w:jc w:val="both"/>
        <w:rPr>
          <w:rFonts w:ascii="Arial" w:hAnsi="Arial" w:cs="Arial"/>
          <w:b/>
          <w:bCs/>
          <w:sz w:val="22"/>
          <w:szCs w:val="22"/>
        </w:rPr>
      </w:pPr>
      <w:r w:rsidRPr="00D64BDC">
        <w:rPr>
          <w:rFonts w:ascii="Arial" w:hAnsi="Arial" w:cs="Arial"/>
          <w:b/>
          <w:bCs/>
          <w:sz w:val="22"/>
          <w:szCs w:val="22"/>
        </w:rPr>
        <w:t>Theme 1: Genetic Testing and Risk-Stratified Screening</w:t>
      </w:r>
    </w:p>
    <w:p w14:paraId="276903B9" w14:textId="407BDF75" w:rsidR="00D64BDC" w:rsidRPr="00D64BDC" w:rsidRDefault="00D64BDC" w:rsidP="00D64BDC">
      <w:pPr>
        <w:spacing w:line="360" w:lineRule="auto"/>
        <w:jc w:val="both"/>
        <w:rPr>
          <w:rFonts w:ascii="Arial" w:hAnsi="Arial" w:cs="Arial"/>
          <w:sz w:val="22"/>
          <w:szCs w:val="22"/>
        </w:rPr>
      </w:pPr>
      <w:r w:rsidRPr="00D64BDC">
        <w:rPr>
          <w:rFonts w:ascii="Arial" w:hAnsi="Arial" w:cs="Arial"/>
          <w:sz w:val="22"/>
          <w:szCs w:val="22"/>
        </w:rPr>
        <w:t xml:space="preserve">According to Tuffaha </w:t>
      </w:r>
      <w:r w:rsidRPr="00D64BDC">
        <w:rPr>
          <w:rFonts w:ascii="Arial" w:hAnsi="Arial" w:cs="Arial"/>
          <w:i/>
          <w:iCs/>
          <w:sz w:val="22"/>
          <w:szCs w:val="22"/>
        </w:rPr>
        <w:t>et al.</w:t>
      </w:r>
      <w:r w:rsidRPr="00D64BDC">
        <w:rPr>
          <w:rFonts w:ascii="Arial" w:hAnsi="Arial" w:cs="Arial"/>
          <w:sz w:val="22"/>
          <w:szCs w:val="22"/>
        </w:rPr>
        <w:t xml:space="preserve"> (2024), genetic testing is becoming increasingly significant in the development of individualised strategies to screen prostate cancer. They revisit that BRCA1, BRCA2, ATM, and HOXB13 mutations are </w:t>
      </w:r>
      <w:r w:rsidRPr="00D64BDC">
        <w:rPr>
          <w:rFonts w:ascii="Arial" w:hAnsi="Arial" w:cs="Arial"/>
          <w:sz w:val="22"/>
          <w:szCs w:val="22"/>
        </w:rPr>
        <w:t>highly prone</w:t>
      </w:r>
      <w:r w:rsidRPr="00D64BDC">
        <w:rPr>
          <w:rFonts w:ascii="Arial" w:hAnsi="Arial" w:cs="Arial"/>
          <w:sz w:val="22"/>
          <w:szCs w:val="22"/>
        </w:rPr>
        <w:t xml:space="preserve"> to prostate cancer despite the uneven policy on this case at the global level. Most of the screening programmes do not consider the genetic risk as a routine screening, hence, high-risk men are not detected at an early age. The research claims that the improvement in the precision of the diagnosis would require the introduction of risk-stratified paths which would entail the PSA test when still young and specific MRI on the susceptibility groups of the disease. This can involve genetic profiling </w:t>
      </w:r>
      <w:r w:rsidRPr="00D64BDC">
        <w:rPr>
          <w:rFonts w:ascii="Arial" w:hAnsi="Arial" w:cs="Arial"/>
          <w:sz w:val="22"/>
          <w:szCs w:val="22"/>
        </w:rPr>
        <w:t>to</w:t>
      </w:r>
      <w:r w:rsidRPr="00D64BDC">
        <w:rPr>
          <w:rFonts w:ascii="Arial" w:hAnsi="Arial" w:cs="Arial"/>
          <w:sz w:val="22"/>
          <w:szCs w:val="22"/>
        </w:rPr>
        <w:t xml:space="preserve"> ensure that the </w:t>
      </w:r>
      <w:r w:rsidRPr="00D64BDC">
        <w:rPr>
          <w:rFonts w:ascii="Arial" w:hAnsi="Arial" w:cs="Arial"/>
          <w:sz w:val="22"/>
          <w:szCs w:val="22"/>
        </w:rPr>
        <w:lastRenderedPageBreak/>
        <w:t>screening is more specific, elaborate and fair to the vulnerable populations that are afflicted with more diseases.</w:t>
      </w:r>
    </w:p>
    <w:p w14:paraId="6CD41B4E" w14:textId="77777777" w:rsidR="00D64BDC" w:rsidRPr="00D64BDC" w:rsidRDefault="00D64BDC" w:rsidP="00D64BDC">
      <w:pPr>
        <w:spacing w:line="360" w:lineRule="auto"/>
        <w:jc w:val="both"/>
        <w:rPr>
          <w:rFonts w:ascii="Arial" w:hAnsi="Arial" w:cs="Arial"/>
          <w:sz w:val="22"/>
          <w:szCs w:val="22"/>
        </w:rPr>
      </w:pPr>
    </w:p>
    <w:p w14:paraId="02C0A661" w14:textId="77777777" w:rsidR="00D64BDC" w:rsidRPr="00D64BDC" w:rsidRDefault="00D64BDC" w:rsidP="00D64BDC">
      <w:pPr>
        <w:spacing w:line="360" w:lineRule="auto"/>
        <w:jc w:val="both"/>
        <w:rPr>
          <w:rFonts w:ascii="Arial" w:hAnsi="Arial" w:cs="Arial"/>
          <w:b/>
          <w:bCs/>
          <w:sz w:val="22"/>
          <w:szCs w:val="22"/>
        </w:rPr>
      </w:pPr>
      <w:r w:rsidRPr="00D64BDC">
        <w:rPr>
          <w:rFonts w:ascii="Arial" w:hAnsi="Arial" w:cs="Arial"/>
          <w:b/>
          <w:bCs/>
          <w:sz w:val="22"/>
          <w:szCs w:val="22"/>
        </w:rPr>
        <w:t>Theme 2: Rapid Process of Diagnostic and System Effectiveness</w:t>
      </w:r>
    </w:p>
    <w:p w14:paraId="33BB865F" w14:textId="38287B1A" w:rsidR="00D64BDC" w:rsidRPr="00D64BDC" w:rsidRDefault="00D64BDC" w:rsidP="00D64BDC">
      <w:pPr>
        <w:spacing w:line="360" w:lineRule="auto"/>
        <w:jc w:val="both"/>
        <w:rPr>
          <w:rFonts w:ascii="Arial" w:hAnsi="Arial" w:cs="Arial"/>
          <w:sz w:val="22"/>
          <w:szCs w:val="22"/>
        </w:rPr>
      </w:pPr>
      <w:r w:rsidRPr="00D64BDC">
        <w:rPr>
          <w:rFonts w:ascii="Arial" w:hAnsi="Arial" w:cs="Arial"/>
          <w:sz w:val="22"/>
          <w:szCs w:val="22"/>
        </w:rPr>
        <w:t xml:space="preserve">As Jones </w:t>
      </w:r>
      <w:r w:rsidRPr="00D64BDC">
        <w:rPr>
          <w:rFonts w:ascii="Arial" w:hAnsi="Arial" w:cs="Arial"/>
          <w:i/>
          <w:iCs/>
          <w:sz w:val="22"/>
          <w:szCs w:val="22"/>
        </w:rPr>
        <w:t>et al.</w:t>
      </w:r>
      <w:r w:rsidRPr="00D64BDC">
        <w:rPr>
          <w:rFonts w:ascii="Arial" w:hAnsi="Arial" w:cs="Arial"/>
          <w:sz w:val="22"/>
          <w:szCs w:val="22"/>
        </w:rPr>
        <w:t xml:space="preserve"> (2024) have discovered, high-speed diagnostic procedure is considerable and can reduce the time of diagnosis of prostate cancer by incorporating a combination of PSA and MRI with biopsy in a series of clinical procedures. Their derivation of realists implied that the regions were highly different in the level of the pathway performance in the UK to be controlled by the insufficiency of the workforce and low capacity of MRI and lack of uniformity of the communication between the services. Good planning in terms of pathways was also easier to </w:t>
      </w:r>
      <w:r w:rsidRPr="00D64BDC">
        <w:rPr>
          <w:rFonts w:ascii="Arial" w:hAnsi="Arial" w:cs="Arial"/>
          <w:sz w:val="22"/>
          <w:szCs w:val="22"/>
        </w:rPr>
        <w:t>analyse</w:t>
      </w:r>
      <w:r w:rsidRPr="00D64BDC">
        <w:rPr>
          <w:rFonts w:ascii="Arial" w:hAnsi="Arial" w:cs="Arial"/>
          <w:sz w:val="22"/>
          <w:szCs w:val="22"/>
        </w:rPr>
        <w:t xml:space="preserve">, less anxiety was experienced by the patients and decisions on the treatment became quicker. Conversely, geographical regions that were </w:t>
      </w:r>
      <w:r w:rsidRPr="00D64BDC">
        <w:rPr>
          <w:rFonts w:ascii="Arial" w:hAnsi="Arial" w:cs="Arial"/>
          <w:sz w:val="22"/>
          <w:szCs w:val="22"/>
        </w:rPr>
        <w:t>poor</w:t>
      </w:r>
      <w:r w:rsidRPr="00D64BDC">
        <w:rPr>
          <w:rFonts w:ascii="Arial" w:hAnsi="Arial" w:cs="Arial"/>
          <w:sz w:val="22"/>
          <w:szCs w:val="22"/>
        </w:rPr>
        <w:t xml:space="preserve"> had chronic backlog and delays in diagnosis. The findings state that not only successful screening technologies cause the success of early detection, but the efficiency of delivery of the healthcare services is also effective and well-organi</w:t>
      </w:r>
      <w:r>
        <w:rPr>
          <w:rFonts w:ascii="Arial" w:hAnsi="Arial" w:cs="Arial"/>
          <w:sz w:val="22"/>
          <w:szCs w:val="22"/>
        </w:rPr>
        <w:t>s</w:t>
      </w:r>
      <w:r w:rsidRPr="00D64BDC">
        <w:rPr>
          <w:rFonts w:ascii="Arial" w:hAnsi="Arial" w:cs="Arial"/>
          <w:sz w:val="22"/>
          <w:szCs w:val="22"/>
        </w:rPr>
        <w:t>ed.</w:t>
      </w:r>
    </w:p>
    <w:p w14:paraId="29AFF5D7" w14:textId="77777777" w:rsidR="00D64BDC" w:rsidRPr="00D64BDC" w:rsidRDefault="00D64BDC" w:rsidP="00D64BDC">
      <w:pPr>
        <w:spacing w:line="360" w:lineRule="auto"/>
        <w:jc w:val="both"/>
        <w:rPr>
          <w:rFonts w:ascii="Arial" w:hAnsi="Arial" w:cs="Arial"/>
          <w:sz w:val="22"/>
          <w:szCs w:val="22"/>
        </w:rPr>
      </w:pPr>
    </w:p>
    <w:p w14:paraId="3C1EA7A8" w14:textId="77777777" w:rsidR="00D64BDC" w:rsidRPr="00D64BDC" w:rsidRDefault="00D64BDC" w:rsidP="00D64BDC">
      <w:pPr>
        <w:spacing w:line="360" w:lineRule="auto"/>
        <w:jc w:val="both"/>
        <w:rPr>
          <w:rFonts w:ascii="Arial" w:hAnsi="Arial" w:cs="Arial"/>
          <w:sz w:val="22"/>
          <w:szCs w:val="22"/>
        </w:rPr>
      </w:pPr>
      <w:r w:rsidRPr="00D64BDC">
        <w:rPr>
          <w:rFonts w:ascii="Arial" w:hAnsi="Arial" w:cs="Arial"/>
          <w:b/>
          <w:bCs/>
          <w:sz w:val="22"/>
          <w:szCs w:val="22"/>
        </w:rPr>
        <w:t>Theme 3: Urinary VOCs as a New Non-Invasive Biomarker</w:t>
      </w:r>
    </w:p>
    <w:p w14:paraId="7F12AAE6" w14:textId="0A316BC9" w:rsidR="00D64BDC" w:rsidRPr="00D64BDC" w:rsidRDefault="00D64BDC" w:rsidP="00D64BDC">
      <w:pPr>
        <w:spacing w:line="360" w:lineRule="auto"/>
        <w:jc w:val="both"/>
        <w:rPr>
          <w:rFonts w:ascii="Arial" w:hAnsi="Arial" w:cs="Arial"/>
          <w:sz w:val="22"/>
          <w:szCs w:val="22"/>
        </w:rPr>
      </w:pPr>
      <w:r w:rsidRPr="00D64BDC">
        <w:rPr>
          <w:rFonts w:ascii="Arial" w:hAnsi="Arial" w:cs="Arial"/>
          <w:sz w:val="22"/>
          <w:szCs w:val="22"/>
        </w:rPr>
        <w:t xml:space="preserve">As Dawson </w:t>
      </w:r>
      <w:r w:rsidRPr="00D64BDC">
        <w:rPr>
          <w:rFonts w:ascii="Arial" w:hAnsi="Arial" w:cs="Arial"/>
          <w:i/>
          <w:iCs/>
          <w:sz w:val="22"/>
          <w:szCs w:val="22"/>
        </w:rPr>
        <w:t>et al.</w:t>
      </w:r>
      <w:r w:rsidRPr="00D64BDC">
        <w:rPr>
          <w:rFonts w:ascii="Arial" w:hAnsi="Arial" w:cs="Arial"/>
          <w:sz w:val="22"/>
          <w:szCs w:val="22"/>
        </w:rPr>
        <w:t xml:space="preserve"> (2024) prove, urinary volatile organic compounds (VOCs) have a bright future as a non-invasive technique for early detection of prostate cancer. Their systematic review revealed that the VOC profiles between cancer and non-cancer samples are significantly different and that some studies reported a high level of sensitivity and specificity. The procedure is painless and is more acceptable to men who are not keen on carrying out PSA testing or biopsy. Nevertheless, methods of analysis are diverse, and </w:t>
      </w:r>
      <w:r w:rsidRPr="00D64BDC">
        <w:rPr>
          <w:rFonts w:ascii="Arial" w:hAnsi="Arial" w:cs="Arial"/>
          <w:sz w:val="22"/>
          <w:szCs w:val="22"/>
        </w:rPr>
        <w:t>most of the</w:t>
      </w:r>
      <w:r w:rsidRPr="00D64BDC">
        <w:rPr>
          <w:rFonts w:ascii="Arial" w:hAnsi="Arial" w:cs="Arial"/>
          <w:sz w:val="22"/>
          <w:szCs w:val="22"/>
        </w:rPr>
        <w:t xml:space="preserve"> research is only at an initial level, which restricts the ability for clinical use. Nevertheless, VOCs present a considerable potential for improving diagnostic accuracy, minimi</w:t>
      </w:r>
      <w:r>
        <w:rPr>
          <w:rFonts w:ascii="Arial" w:hAnsi="Arial" w:cs="Arial"/>
          <w:sz w:val="22"/>
          <w:szCs w:val="22"/>
        </w:rPr>
        <w:t>s</w:t>
      </w:r>
      <w:r w:rsidRPr="00D64BDC">
        <w:rPr>
          <w:rFonts w:ascii="Arial" w:hAnsi="Arial" w:cs="Arial"/>
          <w:sz w:val="22"/>
          <w:szCs w:val="22"/>
        </w:rPr>
        <w:t>ing the number of unwarranted biopsies, and supplementing existing screening methods with the technology as it is increasingly standardi</w:t>
      </w:r>
      <w:r>
        <w:rPr>
          <w:rFonts w:ascii="Arial" w:hAnsi="Arial" w:cs="Arial"/>
          <w:sz w:val="22"/>
          <w:szCs w:val="22"/>
        </w:rPr>
        <w:t>s</w:t>
      </w:r>
      <w:r w:rsidRPr="00D64BDC">
        <w:rPr>
          <w:rFonts w:ascii="Arial" w:hAnsi="Arial" w:cs="Arial"/>
          <w:sz w:val="22"/>
          <w:szCs w:val="22"/>
        </w:rPr>
        <w:t>ed and validated.</w:t>
      </w:r>
    </w:p>
    <w:p w14:paraId="3F9A2E31" w14:textId="7FE806DE" w:rsidR="00D64BDC" w:rsidRDefault="00D64BDC" w:rsidP="00D64BDC">
      <w:pPr>
        <w:spacing w:line="360" w:lineRule="auto"/>
        <w:rPr>
          <w:rFonts w:ascii="Arial" w:hAnsi="Arial" w:cs="Arial"/>
          <w:sz w:val="22"/>
          <w:szCs w:val="22"/>
        </w:rPr>
      </w:pPr>
    </w:p>
    <w:p w14:paraId="5C7F1611" w14:textId="77777777" w:rsidR="00D64BDC" w:rsidRDefault="00D64BDC" w:rsidP="00D64BDC">
      <w:pPr>
        <w:spacing w:line="360" w:lineRule="auto"/>
        <w:rPr>
          <w:rFonts w:ascii="Arial" w:hAnsi="Arial" w:cs="Arial"/>
          <w:sz w:val="22"/>
          <w:szCs w:val="22"/>
        </w:rPr>
      </w:pPr>
    </w:p>
    <w:p w14:paraId="7A15DC72" w14:textId="33B704B1" w:rsidR="00D64BDC" w:rsidRDefault="00D64BDC" w:rsidP="00D64BDC">
      <w:pPr>
        <w:spacing w:line="360" w:lineRule="auto"/>
        <w:jc w:val="center"/>
        <w:rPr>
          <w:rFonts w:ascii="Arial" w:hAnsi="Arial" w:cs="Arial"/>
          <w:sz w:val="22"/>
          <w:szCs w:val="22"/>
        </w:rPr>
      </w:pPr>
      <w:r>
        <w:rPr>
          <w:noProof/>
        </w:rPr>
        <w:lastRenderedPageBreak/>
        <w:drawing>
          <wp:inline distT="114300" distB="114300" distL="114300" distR="114300" wp14:anchorId="2E63596A" wp14:editId="7B6E67A7">
            <wp:extent cx="4695825" cy="4524375"/>
            <wp:effectExtent l="63500" t="63500" r="130175" b="123825"/>
            <wp:docPr id="2" name="image1.png" descr="A screenshot of a graph&#10;&#10;Description automatically generated"/>
            <wp:cNvGraphicFramePr/>
            <a:graphic xmlns:a="http://schemas.openxmlformats.org/drawingml/2006/main">
              <a:graphicData uri="http://schemas.openxmlformats.org/drawingml/2006/picture">
                <pic:pic xmlns:pic="http://schemas.openxmlformats.org/drawingml/2006/picture">
                  <pic:nvPicPr>
                    <pic:cNvPr id="2" name="image1.png" descr="A screenshot of a graph&#10;&#10;Description automatically generated"/>
                    <pic:cNvPicPr preferRelativeResize="0"/>
                  </pic:nvPicPr>
                  <pic:blipFill>
                    <a:blip r:embed="rId7"/>
                    <a:srcRect/>
                    <a:stretch>
                      <a:fillRect/>
                    </a:stretch>
                  </pic:blipFill>
                  <pic:spPr>
                    <a:xfrm>
                      <a:off x="0" y="0"/>
                      <a:ext cx="4696284" cy="452481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C7AF4A7" w14:textId="77777777" w:rsidR="00D64BDC" w:rsidRPr="00D64BDC" w:rsidRDefault="00D64BDC" w:rsidP="00D64BDC">
      <w:pPr>
        <w:spacing w:line="360" w:lineRule="auto"/>
        <w:jc w:val="center"/>
        <w:rPr>
          <w:rFonts w:ascii="Arial" w:hAnsi="Arial" w:cs="Arial"/>
          <w:sz w:val="22"/>
          <w:szCs w:val="22"/>
        </w:rPr>
      </w:pPr>
      <w:r w:rsidRPr="00D64BDC">
        <w:rPr>
          <w:rFonts w:ascii="Arial" w:hAnsi="Arial" w:cs="Arial"/>
          <w:sz w:val="22"/>
          <w:szCs w:val="22"/>
        </w:rPr>
        <w:t xml:space="preserve">(Source: Dawson </w:t>
      </w:r>
      <w:r w:rsidRPr="00D64BDC">
        <w:rPr>
          <w:rFonts w:ascii="Arial" w:hAnsi="Arial" w:cs="Arial"/>
          <w:i/>
          <w:iCs/>
          <w:sz w:val="22"/>
          <w:szCs w:val="22"/>
        </w:rPr>
        <w:t>et al.</w:t>
      </w:r>
      <w:r w:rsidRPr="00D64BDC">
        <w:rPr>
          <w:rFonts w:ascii="Arial" w:hAnsi="Arial" w:cs="Arial"/>
          <w:sz w:val="22"/>
          <w:szCs w:val="22"/>
        </w:rPr>
        <w:t xml:space="preserve"> 2024)</w:t>
      </w:r>
    </w:p>
    <w:p w14:paraId="4408A46D" w14:textId="77777777" w:rsidR="00D64BDC" w:rsidRPr="00D64BDC" w:rsidRDefault="00D64BDC" w:rsidP="00D64BDC">
      <w:pPr>
        <w:spacing w:line="360" w:lineRule="auto"/>
        <w:jc w:val="both"/>
        <w:rPr>
          <w:rFonts w:ascii="Arial" w:hAnsi="Arial" w:cs="Arial"/>
          <w:sz w:val="22"/>
          <w:szCs w:val="22"/>
        </w:rPr>
      </w:pPr>
      <w:r w:rsidRPr="00D64BDC">
        <w:rPr>
          <w:rFonts w:ascii="Arial" w:hAnsi="Arial" w:cs="Arial"/>
          <w:b/>
          <w:bCs/>
          <w:i/>
          <w:iCs/>
          <w:sz w:val="22"/>
          <w:szCs w:val="22"/>
        </w:rPr>
        <w:t xml:space="preserve">Theme 4: MRI-Targeted Biopsy Techniques: Accuracy </w:t>
      </w:r>
    </w:p>
    <w:p w14:paraId="1A98C9E2" w14:textId="77777777" w:rsidR="00D64BDC" w:rsidRPr="00D64BDC" w:rsidRDefault="00D64BDC" w:rsidP="00D64BDC">
      <w:pPr>
        <w:spacing w:line="360" w:lineRule="auto"/>
        <w:jc w:val="both"/>
        <w:rPr>
          <w:rFonts w:ascii="Arial" w:hAnsi="Arial" w:cs="Arial"/>
          <w:sz w:val="22"/>
          <w:szCs w:val="22"/>
        </w:rPr>
      </w:pPr>
      <w:r w:rsidRPr="00D64BDC">
        <w:rPr>
          <w:rFonts w:ascii="Arial" w:hAnsi="Arial" w:cs="Arial"/>
          <w:sz w:val="22"/>
          <w:szCs w:val="22"/>
        </w:rPr>
        <w:t xml:space="preserve">In the article by Falagario </w:t>
      </w:r>
      <w:r w:rsidRPr="00D64BDC">
        <w:rPr>
          <w:rFonts w:ascii="Arial" w:hAnsi="Arial" w:cs="Arial"/>
          <w:i/>
          <w:iCs/>
          <w:sz w:val="22"/>
          <w:szCs w:val="22"/>
        </w:rPr>
        <w:t>et al.</w:t>
      </w:r>
      <w:r w:rsidRPr="00D64BDC">
        <w:rPr>
          <w:rFonts w:ascii="Arial" w:hAnsi="Arial" w:cs="Arial"/>
          <w:sz w:val="22"/>
          <w:szCs w:val="22"/>
        </w:rPr>
        <w:t xml:space="preserve"> (2025), three methods of the MRI-targeted biopsy, including cognitive fusion, software-assisted fusion, and in-bore guidance, were compared to determine diagnostic accuracy. Their meta-analysis discovered that in-bore MRI-guided biopsy had the highest detection rates of clinically significant prostate cancer and provided a better superiority in terms of precision and reduced operator dependency. Fusion with the help of software demonstrated good results but with greater variability, and cognitive fusion had the least consistency in accordance with dependence on clinical judgement. Such results prove that MRI-targeted biopsies are more reliable in diagnosis than conventional systematic biopsy. Having good quality imaging technology and radiologists who are well-trained is key to establishing equal access to undertake proper diagnosis of prostate cancer at an early stage in healthcare facilities.</w:t>
      </w:r>
    </w:p>
    <w:p w14:paraId="7285A63C" w14:textId="77777777" w:rsidR="00D64BDC" w:rsidRPr="00D64BDC" w:rsidRDefault="00D64BDC" w:rsidP="00D64BDC">
      <w:pPr>
        <w:spacing w:line="360" w:lineRule="auto"/>
        <w:jc w:val="both"/>
        <w:rPr>
          <w:rFonts w:ascii="Arial" w:hAnsi="Arial" w:cs="Arial"/>
          <w:b/>
          <w:bCs/>
          <w:i/>
          <w:iCs/>
          <w:sz w:val="22"/>
          <w:szCs w:val="22"/>
        </w:rPr>
      </w:pPr>
      <w:r w:rsidRPr="00D64BDC">
        <w:rPr>
          <w:rFonts w:ascii="Arial" w:hAnsi="Arial" w:cs="Arial"/>
          <w:b/>
          <w:bCs/>
          <w:i/>
          <w:iCs/>
          <w:sz w:val="22"/>
          <w:szCs w:val="22"/>
        </w:rPr>
        <w:t xml:space="preserve">Theme 5: Diagnostic Pathway Inequalities and Delays </w:t>
      </w:r>
    </w:p>
    <w:p w14:paraId="0C474269" w14:textId="7C7E61A6" w:rsidR="00D64BDC" w:rsidRPr="00D64BDC" w:rsidRDefault="00D64BDC" w:rsidP="00D64BDC">
      <w:pPr>
        <w:spacing w:line="360" w:lineRule="auto"/>
        <w:jc w:val="both"/>
        <w:rPr>
          <w:rFonts w:ascii="Arial" w:hAnsi="Arial" w:cs="Arial"/>
          <w:sz w:val="22"/>
          <w:szCs w:val="22"/>
        </w:rPr>
      </w:pPr>
      <w:r w:rsidRPr="00D64BDC">
        <w:rPr>
          <w:rFonts w:ascii="Arial" w:hAnsi="Arial" w:cs="Arial"/>
          <w:sz w:val="22"/>
          <w:szCs w:val="22"/>
        </w:rPr>
        <w:t>Scott and Hoskin (2024) mention significant disparities in the diagnosis of prostate cancer in the UK. Their review demonstrates that ethnicity, socioeconomic deprivation, and geographic location are found to have a significant impact on access to screening and early diagnosis. There is reduced screening uptake, wait period, and access to MRI by black men and deprived communities. The inequalities are associated with the delayed diagnosis and worse outcomes. The authors present the idea that to enhance early detection, specific community mobili</w:t>
      </w:r>
      <w:r>
        <w:rPr>
          <w:rFonts w:ascii="Arial" w:hAnsi="Arial" w:cs="Arial"/>
          <w:sz w:val="22"/>
          <w:szCs w:val="22"/>
        </w:rPr>
        <w:t>s</w:t>
      </w:r>
      <w:r w:rsidRPr="00D64BDC">
        <w:rPr>
          <w:rFonts w:ascii="Arial" w:hAnsi="Arial" w:cs="Arial"/>
          <w:sz w:val="22"/>
          <w:szCs w:val="22"/>
        </w:rPr>
        <w:t xml:space="preserve">ation, culture-aware communication, and access to rapid diagnostic routes are necessary. It is important to address structural and social barriers </w:t>
      </w:r>
      <w:r w:rsidRPr="00D64BDC">
        <w:rPr>
          <w:rFonts w:ascii="Arial" w:hAnsi="Arial" w:cs="Arial"/>
          <w:sz w:val="22"/>
          <w:szCs w:val="22"/>
        </w:rPr>
        <w:t>to</w:t>
      </w:r>
      <w:r w:rsidRPr="00D64BDC">
        <w:rPr>
          <w:rFonts w:ascii="Arial" w:hAnsi="Arial" w:cs="Arial"/>
          <w:sz w:val="22"/>
          <w:szCs w:val="22"/>
        </w:rPr>
        <w:t xml:space="preserve"> make sure that screening benefits are accessible to all high-risk groups.</w:t>
      </w:r>
    </w:p>
    <w:p w14:paraId="24CB7E4D" w14:textId="77777777" w:rsidR="00D64BDC" w:rsidRPr="00D64BDC" w:rsidRDefault="00D64BDC" w:rsidP="00D64BDC">
      <w:pPr>
        <w:pStyle w:val="Heading1"/>
        <w:spacing w:line="360" w:lineRule="auto"/>
        <w:rPr>
          <w:rFonts w:ascii="Arial" w:hAnsi="Arial" w:cs="Arial"/>
          <w:sz w:val="22"/>
          <w:szCs w:val="22"/>
        </w:rPr>
      </w:pPr>
      <w:bookmarkStart w:id="7" w:name="_dkosr85cca0q" w:colFirst="0" w:colLast="0"/>
      <w:bookmarkStart w:id="8" w:name="_Toc214109624"/>
      <w:bookmarkEnd w:id="7"/>
      <w:r w:rsidRPr="00D64BDC">
        <w:rPr>
          <w:rFonts w:ascii="Arial" w:hAnsi="Arial" w:cs="Arial"/>
          <w:sz w:val="22"/>
          <w:szCs w:val="22"/>
        </w:rPr>
        <w:lastRenderedPageBreak/>
        <w:t>Discussion</w:t>
      </w:r>
      <w:bookmarkEnd w:id="8"/>
    </w:p>
    <w:p w14:paraId="2DB926BE" w14:textId="77777777" w:rsidR="00D64BDC" w:rsidRPr="00D64BDC" w:rsidRDefault="00D64BDC" w:rsidP="00D64BDC">
      <w:pPr>
        <w:spacing w:line="360" w:lineRule="auto"/>
        <w:jc w:val="both"/>
        <w:rPr>
          <w:rFonts w:ascii="Arial" w:hAnsi="Arial" w:cs="Arial"/>
          <w:sz w:val="22"/>
          <w:szCs w:val="22"/>
        </w:rPr>
      </w:pPr>
      <w:r w:rsidRPr="00D64BDC">
        <w:rPr>
          <w:rFonts w:ascii="Arial" w:hAnsi="Arial" w:cs="Arial"/>
          <w:sz w:val="22"/>
          <w:szCs w:val="22"/>
        </w:rPr>
        <w:t>This scoping review demonstrates that despite current developments in the field of genetic risk assessment, emerging biomarkers and MRI-targeted biopsy, the system-level and population-level barriers continue to be significant and result in disparities and delays in the early detection and constrain the benefits of new diagnostic methods.</w:t>
      </w:r>
    </w:p>
    <w:p w14:paraId="7AD2154F" w14:textId="77777777" w:rsidR="00D64BDC" w:rsidRDefault="00D64BDC" w:rsidP="00D64BDC">
      <w:pPr>
        <w:spacing w:line="360" w:lineRule="auto"/>
        <w:jc w:val="both"/>
        <w:rPr>
          <w:rFonts w:ascii="Arial" w:hAnsi="Arial" w:cs="Arial"/>
          <w:b/>
          <w:bCs/>
          <w:i/>
          <w:iCs/>
          <w:sz w:val="22"/>
          <w:szCs w:val="22"/>
        </w:rPr>
      </w:pPr>
    </w:p>
    <w:p w14:paraId="3310078A" w14:textId="04959DC4" w:rsidR="00D64BDC" w:rsidRPr="00D64BDC" w:rsidRDefault="00D64BDC" w:rsidP="00D64BDC">
      <w:pPr>
        <w:spacing w:line="360" w:lineRule="auto"/>
        <w:jc w:val="both"/>
        <w:rPr>
          <w:rFonts w:ascii="Arial" w:hAnsi="Arial" w:cs="Arial"/>
          <w:sz w:val="22"/>
          <w:szCs w:val="22"/>
        </w:rPr>
      </w:pPr>
      <w:r w:rsidRPr="00D64BDC">
        <w:rPr>
          <w:rFonts w:ascii="Arial" w:hAnsi="Arial" w:cs="Arial"/>
          <w:b/>
          <w:bCs/>
          <w:sz w:val="22"/>
          <w:szCs w:val="22"/>
        </w:rPr>
        <w:t>Genetic Testing and Risk-Stratified Screening</w:t>
      </w:r>
    </w:p>
    <w:p w14:paraId="08FDFBAC" w14:textId="7F50C021" w:rsidR="00D64BDC" w:rsidRPr="00D64BDC" w:rsidRDefault="00D64BDC" w:rsidP="00D64BDC">
      <w:pPr>
        <w:spacing w:line="360" w:lineRule="auto"/>
        <w:jc w:val="both"/>
        <w:rPr>
          <w:rFonts w:ascii="Arial" w:hAnsi="Arial" w:cs="Arial"/>
          <w:sz w:val="22"/>
          <w:szCs w:val="22"/>
        </w:rPr>
      </w:pPr>
      <w:r w:rsidRPr="00D64BDC">
        <w:rPr>
          <w:rFonts w:ascii="Arial" w:hAnsi="Arial" w:cs="Arial"/>
          <w:sz w:val="22"/>
          <w:szCs w:val="22"/>
        </w:rPr>
        <w:t xml:space="preserve">According to their review, inherited mutations such as BRCA1 and BRCA2 are strongly related to raising the risk of prostate cancer, and men with a genetic predisposition to an increased risk have a chance to observe the disease progress earlier or more often. Nevertheless, the difference in the global guidelines exists to this day, which makes clinical practice uneven (Tuffaha </w:t>
      </w:r>
      <w:r w:rsidRPr="00D64BDC">
        <w:rPr>
          <w:rFonts w:ascii="Arial" w:hAnsi="Arial" w:cs="Arial"/>
          <w:i/>
          <w:iCs/>
          <w:sz w:val="22"/>
          <w:szCs w:val="22"/>
        </w:rPr>
        <w:t>et al.,</w:t>
      </w:r>
      <w:r w:rsidRPr="00D64BDC">
        <w:rPr>
          <w:rFonts w:ascii="Arial" w:hAnsi="Arial" w:cs="Arial"/>
          <w:sz w:val="22"/>
          <w:szCs w:val="22"/>
        </w:rPr>
        <w:t>2024). This is the lack of connection between the genetic information and application of screening, such that the high-risk groups, in particular, the male population with positive family history or high-risk ethnic groups, will not be diagnosed at an earlier stage. The findings show that it is necessary to have national systems that will integrate genetic testing in the decision-making process in a bid to achieve a more individuali</w:t>
      </w:r>
      <w:r>
        <w:rPr>
          <w:rFonts w:ascii="Arial" w:hAnsi="Arial" w:cs="Arial"/>
          <w:sz w:val="22"/>
          <w:szCs w:val="22"/>
        </w:rPr>
        <w:t>s</w:t>
      </w:r>
      <w:r w:rsidRPr="00D64BDC">
        <w:rPr>
          <w:rFonts w:ascii="Arial" w:hAnsi="Arial" w:cs="Arial"/>
          <w:sz w:val="22"/>
          <w:szCs w:val="22"/>
        </w:rPr>
        <w:t>ed and just screening process.</w:t>
      </w:r>
    </w:p>
    <w:p w14:paraId="1360D344" w14:textId="77777777" w:rsidR="00D64BDC" w:rsidRDefault="00D64BDC" w:rsidP="00D64BDC">
      <w:pPr>
        <w:spacing w:line="360" w:lineRule="auto"/>
        <w:jc w:val="both"/>
        <w:rPr>
          <w:rFonts w:ascii="Arial" w:hAnsi="Arial" w:cs="Arial"/>
          <w:b/>
          <w:bCs/>
          <w:sz w:val="22"/>
          <w:szCs w:val="22"/>
        </w:rPr>
      </w:pPr>
    </w:p>
    <w:p w14:paraId="12ACB45A" w14:textId="6C18ED9F" w:rsidR="00D64BDC" w:rsidRPr="00D64BDC" w:rsidRDefault="00D64BDC" w:rsidP="00D64BDC">
      <w:pPr>
        <w:spacing w:line="360" w:lineRule="auto"/>
        <w:jc w:val="both"/>
        <w:rPr>
          <w:rFonts w:ascii="Arial" w:hAnsi="Arial" w:cs="Arial"/>
          <w:sz w:val="22"/>
          <w:szCs w:val="22"/>
        </w:rPr>
      </w:pPr>
      <w:r w:rsidRPr="00D64BDC">
        <w:rPr>
          <w:rFonts w:ascii="Arial" w:hAnsi="Arial" w:cs="Arial"/>
          <w:b/>
          <w:bCs/>
          <w:sz w:val="22"/>
          <w:szCs w:val="22"/>
        </w:rPr>
        <w:t>Rapid Channels of Diagnosis and Service Effectiveness</w:t>
      </w:r>
    </w:p>
    <w:p w14:paraId="068FA363" w14:textId="7B376239" w:rsidR="00D64BDC" w:rsidRDefault="00D64BDC" w:rsidP="00D64BDC">
      <w:pPr>
        <w:spacing w:line="360" w:lineRule="auto"/>
        <w:jc w:val="both"/>
        <w:rPr>
          <w:rFonts w:ascii="Arial" w:hAnsi="Arial" w:cs="Arial"/>
          <w:sz w:val="22"/>
          <w:szCs w:val="22"/>
        </w:rPr>
      </w:pPr>
      <w:r w:rsidRPr="00D64BDC">
        <w:rPr>
          <w:rFonts w:ascii="Arial" w:hAnsi="Arial" w:cs="Arial"/>
          <w:sz w:val="22"/>
          <w:szCs w:val="22"/>
        </w:rPr>
        <w:t>They can provide a valuable insight into how the organi</w:t>
      </w:r>
      <w:r>
        <w:rPr>
          <w:rFonts w:ascii="Arial" w:hAnsi="Arial" w:cs="Arial"/>
          <w:sz w:val="22"/>
          <w:szCs w:val="22"/>
        </w:rPr>
        <w:t>s</w:t>
      </w:r>
      <w:r w:rsidRPr="00D64BDC">
        <w:rPr>
          <w:rFonts w:ascii="Arial" w:hAnsi="Arial" w:cs="Arial"/>
          <w:sz w:val="22"/>
          <w:szCs w:val="22"/>
        </w:rPr>
        <w:t>ation of healthcare systems affects the early detection process (Jones</w:t>
      </w:r>
      <w:r w:rsidRPr="00D64BDC">
        <w:rPr>
          <w:rFonts w:ascii="Arial" w:hAnsi="Arial" w:cs="Arial"/>
          <w:i/>
          <w:iCs/>
          <w:sz w:val="22"/>
          <w:szCs w:val="22"/>
        </w:rPr>
        <w:t xml:space="preserve"> et al.,</w:t>
      </w:r>
      <w:r w:rsidRPr="00D64BDC">
        <w:rPr>
          <w:rFonts w:ascii="Arial" w:hAnsi="Arial" w:cs="Arial"/>
          <w:sz w:val="22"/>
          <w:szCs w:val="22"/>
        </w:rPr>
        <w:t xml:space="preserve"> 2024). They demonstrate that their synthesis of realists demonstrates that the simplification of the diagnostic process </w:t>
      </w:r>
      <w:proofErr w:type="gramStart"/>
      <w:r w:rsidRPr="00D64BDC">
        <w:rPr>
          <w:rFonts w:ascii="Arial" w:hAnsi="Arial" w:cs="Arial"/>
          <w:sz w:val="22"/>
          <w:szCs w:val="22"/>
        </w:rPr>
        <w:t>through the use of</w:t>
      </w:r>
      <w:proofErr w:type="gramEnd"/>
      <w:r w:rsidRPr="00D64BDC">
        <w:rPr>
          <w:rFonts w:ascii="Arial" w:hAnsi="Arial" w:cs="Arial"/>
          <w:sz w:val="22"/>
          <w:szCs w:val="22"/>
        </w:rPr>
        <w:t xml:space="preserve"> a rapid diagnostic pathway, simplifying PSA, MRI, and biopsy, has a significant impact on shortening the diagnoses. Regions with good routes offer quicker opinions and fewer anxieties amongst patients. However, geographical inequality is high, and it is linked to the inability of imaging capabilities, manpower, and interservice liaison. This information is congruent with the general data of lagging, which is not only caused by clinical limitations but also structural inefficiency. The process of making a correct diagnosis on time, therefore, requires improved ability to diagnose and avoid a situation where the pathways are not standardi</w:t>
      </w:r>
      <w:r>
        <w:rPr>
          <w:rFonts w:ascii="Arial" w:hAnsi="Arial" w:cs="Arial"/>
          <w:sz w:val="22"/>
          <w:szCs w:val="22"/>
        </w:rPr>
        <w:t>s</w:t>
      </w:r>
      <w:r w:rsidRPr="00D64BDC">
        <w:rPr>
          <w:rFonts w:ascii="Arial" w:hAnsi="Arial" w:cs="Arial"/>
          <w:sz w:val="22"/>
          <w:szCs w:val="22"/>
        </w:rPr>
        <w:t>ed within the NHS.</w:t>
      </w:r>
    </w:p>
    <w:p w14:paraId="52573FA1" w14:textId="77777777" w:rsidR="00D64BDC" w:rsidRPr="00D64BDC" w:rsidRDefault="00D64BDC" w:rsidP="00D64BDC">
      <w:pPr>
        <w:spacing w:line="360" w:lineRule="auto"/>
        <w:jc w:val="both"/>
        <w:rPr>
          <w:rFonts w:ascii="Arial" w:hAnsi="Arial" w:cs="Arial"/>
          <w:sz w:val="22"/>
          <w:szCs w:val="22"/>
        </w:rPr>
      </w:pPr>
    </w:p>
    <w:p w14:paraId="4F7BB367" w14:textId="448D0E03" w:rsidR="00D64BDC" w:rsidRPr="00D64BDC" w:rsidRDefault="00D64BDC" w:rsidP="00D64BDC">
      <w:pPr>
        <w:spacing w:line="360" w:lineRule="auto"/>
        <w:jc w:val="both"/>
        <w:rPr>
          <w:rFonts w:ascii="Arial" w:hAnsi="Arial" w:cs="Arial"/>
          <w:sz w:val="22"/>
          <w:szCs w:val="22"/>
        </w:rPr>
      </w:pPr>
      <w:r w:rsidRPr="00D64BDC">
        <w:rPr>
          <w:rFonts w:ascii="Arial" w:hAnsi="Arial" w:cs="Arial"/>
          <w:b/>
          <w:bCs/>
          <w:sz w:val="22"/>
          <w:szCs w:val="22"/>
        </w:rPr>
        <w:t xml:space="preserve">New </w:t>
      </w:r>
      <w:r w:rsidRPr="00D64BDC">
        <w:rPr>
          <w:rFonts w:ascii="Arial" w:hAnsi="Arial" w:cs="Arial"/>
          <w:b/>
          <w:bCs/>
          <w:sz w:val="22"/>
          <w:szCs w:val="22"/>
        </w:rPr>
        <w:t>Non-invasive</w:t>
      </w:r>
      <w:r w:rsidRPr="00D64BDC">
        <w:rPr>
          <w:rFonts w:ascii="Arial" w:hAnsi="Arial" w:cs="Arial"/>
          <w:b/>
          <w:bCs/>
          <w:sz w:val="22"/>
          <w:szCs w:val="22"/>
        </w:rPr>
        <w:t xml:space="preserve"> Biomarkers (Urinary VOCs)</w:t>
      </w:r>
    </w:p>
    <w:p w14:paraId="579E5739" w14:textId="6181AF07" w:rsidR="00D64BDC" w:rsidRPr="00D64BDC" w:rsidRDefault="00D64BDC" w:rsidP="00D64BDC">
      <w:pPr>
        <w:spacing w:line="360" w:lineRule="auto"/>
        <w:jc w:val="both"/>
        <w:rPr>
          <w:rFonts w:ascii="Arial" w:hAnsi="Arial" w:cs="Arial"/>
          <w:sz w:val="22"/>
          <w:szCs w:val="22"/>
        </w:rPr>
      </w:pPr>
      <w:r w:rsidRPr="00D64BDC">
        <w:rPr>
          <w:rFonts w:ascii="Arial" w:hAnsi="Arial" w:cs="Arial"/>
          <w:sz w:val="22"/>
          <w:szCs w:val="22"/>
        </w:rPr>
        <w:t xml:space="preserve">One possible future screening procedure described is the urinary volatile organic compounds (VOCs). They show high sensitivity and specificity of VOCs to distinguish between cancerous and non-cancerous samples in their systematic review. The VOC analysis method, being a non-invasive test, would potentially reduce the use of PSA testing and unwarranted biopsies, and the method would be more acceptable and comfortable to the patients. However, the current evidence is flawed because of the methodological differences and the current research phases (Dawson </w:t>
      </w:r>
      <w:r w:rsidRPr="00D64BDC">
        <w:rPr>
          <w:rFonts w:ascii="Arial" w:hAnsi="Arial" w:cs="Arial"/>
          <w:i/>
          <w:iCs/>
          <w:sz w:val="22"/>
          <w:szCs w:val="22"/>
        </w:rPr>
        <w:t>et al.,</w:t>
      </w:r>
      <w:r w:rsidRPr="00D64BDC">
        <w:rPr>
          <w:rFonts w:ascii="Arial" w:hAnsi="Arial" w:cs="Arial"/>
          <w:sz w:val="22"/>
          <w:szCs w:val="22"/>
        </w:rPr>
        <w:t xml:space="preserve"> 2024). Though VOCs are in their infancy, they remain a promising technical step in terms of screening and an indication of the new direction of prioriti</w:t>
      </w:r>
      <w:r>
        <w:rPr>
          <w:rFonts w:ascii="Arial" w:hAnsi="Arial" w:cs="Arial"/>
          <w:sz w:val="22"/>
          <w:szCs w:val="22"/>
        </w:rPr>
        <w:t>s</w:t>
      </w:r>
      <w:r w:rsidRPr="00D64BDC">
        <w:rPr>
          <w:rFonts w:ascii="Arial" w:hAnsi="Arial" w:cs="Arial"/>
          <w:sz w:val="22"/>
          <w:szCs w:val="22"/>
        </w:rPr>
        <w:t>ing more technologies geared towards a balance between quality and the patient experience.</w:t>
      </w:r>
    </w:p>
    <w:p w14:paraId="451C2F2B" w14:textId="77777777" w:rsidR="00D64BDC" w:rsidRDefault="00D64BDC" w:rsidP="00D64BDC">
      <w:pPr>
        <w:spacing w:line="360" w:lineRule="auto"/>
        <w:jc w:val="both"/>
        <w:rPr>
          <w:rFonts w:ascii="Arial" w:hAnsi="Arial" w:cs="Arial"/>
          <w:b/>
          <w:bCs/>
          <w:i/>
          <w:iCs/>
          <w:sz w:val="22"/>
          <w:szCs w:val="22"/>
        </w:rPr>
      </w:pPr>
    </w:p>
    <w:p w14:paraId="711F4626" w14:textId="77777777" w:rsidR="00D64BDC" w:rsidRDefault="00D64BDC" w:rsidP="00D64BDC">
      <w:pPr>
        <w:spacing w:line="360" w:lineRule="auto"/>
        <w:jc w:val="both"/>
        <w:rPr>
          <w:rFonts w:ascii="Arial" w:hAnsi="Arial" w:cs="Arial"/>
          <w:b/>
          <w:bCs/>
          <w:i/>
          <w:iCs/>
          <w:sz w:val="22"/>
          <w:szCs w:val="22"/>
        </w:rPr>
      </w:pPr>
    </w:p>
    <w:p w14:paraId="57943483" w14:textId="77777777" w:rsidR="00D64BDC" w:rsidRDefault="00D64BDC" w:rsidP="00D64BDC">
      <w:pPr>
        <w:spacing w:line="360" w:lineRule="auto"/>
        <w:jc w:val="both"/>
        <w:rPr>
          <w:rFonts w:ascii="Arial" w:hAnsi="Arial" w:cs="Arial"/>
          <w:b/>
          <w:bCs/>
          <w:i/>
          <w:iCs/>
          <w:sz w:val="22"/>
          <w:szCs w:val="22"/>
        </w:rPr>
      </w:pPr>
    </w:p>
    <w:p w14:paraId="43FAD8F7" w14:textId="77777777" w:rsidR="00D64BDC" w:rsidRDefault="00D64BDC" w:rsidP="00D64BDC">
      <w:pPr>
        <w:spacing w:line="360" w:lineRule="auto"/>
        <w:jc w:val="both"/>
        <w:rPr>
          <w:rFonts w:ascii="Arial" w:hAnsi="Arial" w:cs="Arial"/>
          <w:b/>
          <w:bCs/>
          <w:i/>
          <w:iCs/>
          <w:sz w:val="22"/>
          <w:szCs w:val="22"/>
        </w:rPr>
      </w:pPr>
    </w:p>
    <w:p w14:paraId="1E623DBA" w14:textId="77777777" w:rsidR="00D64BDC" w:rsidRDefault="00D64BDC" w:rsidP="00D64BDC">
      <w:pPr>
        <w:spacing w:line="360" w:lineRule="auto"/>
        <w:jc w:val="both"/>
        <w:rPr>
          <w:rFonts w:ascii="Arial" w:hAnsi="Arial" w:cs="Arial"/>
          <w:b/>
          <w:bCs/>
          <w:i/>
          <w:iCs/>
          <w:sz w:val="22"/>
          <w:szCs w:val="22"/>
        </w:rPr>
      </w:pPr>
    </w:p>
    <w:p w14:paraId="67F639EB" w14:textId="77777777" w:rsidR="00D64BDC" w:rsidRDefault="00D64BDC" w:rsidP="00D64BDC">
      <w:pPr>
        <w:spacing w:line="360" w:lineRule="auto"/>
        <w:jc w:val="both"/>
        <w:rPr>
          <w:rFonts w:ascii="Arial" w:hAnsi="Arial" w:cs="Arial"/>
          <w:b/>
          <w:bCs/>
          <w:i/>
          <w:iCs/>
          <w:sz w:val="22"/>
          <w:szCs w:val="22"/>
        </w:rPr>
      </w:pPr>
    </w:p>
    <w:p w14:paraId="7085199E" w14:textId="39E6D7EC" w:rsidR="00D64BDC" w:rsidRPr="00D64BDC" w:rsidRDefault="00D64BDC" w:rsidP="00D64BDC">
      <w:pPr>
        <w:spacing w:line="360" w:lineRule="auto"/>
        <w:jc w:val="both"/>
        <w:rPr>
          <w:rFonts w:ascii="Arial" w:hAnsi="Arial" w:cs="Arial"/>
          <w:b/>
          <w:bCs/>
          <w:sz w:val="22"/>
          <w:szCs w:val="22"/>
        </w:rPr>
      </w:pPr>
      <w:r w:rsidRPr="00D64BDC">
        <w:rPr>
          <w:rFonts w:ascii="Arial" w:hAnsi="Arial" w:cs="Arial"/>
          <w:b/>
          <w:bCs/>
          <w:sz w:val="22"/>
          <w:szCs w:val="22"/>
        </w:rPr>
        <w:t>MRI-Targeted Biopsy Techniques: Accuracy</w:t>
      </w:r>
    </w:p>
    <w:p w14:paraId="075C9D89" w14:textId="77777777" w:rsidR="00D64BDC" w:rsidRPr="00D64BDC" w:rsidRDefault="00D64BDC" w:rsidP="00D64BDC">
      <w:pPr>
        <w:spacing w:line="360" w:lineRule="auto"/>
        <w:jc w:val="both"/>
        <w:rPr>
          <w:rFonts w:ascii="Arial" w:hAnsi="Arial" w:cs="Arial"/>
          <w:b/>
          <w:bCs/>
          <w:i/>
          <w:iCs/>
          <w:sz w:val="22"/>
          <w:szCs w:val="22"/>
        </w:rPr>
      </w:pPr>
    </w:p>
    <w:p w14:paraId="3D34C287" w14:textId="77777777" w:rsidR="00D64BDC" w:rsidRPr="00D64BDC" w:rsidRDefault="00D64BDC" w:rsidP="00D64BDC">
      <w:pPr>
        <w:spacing w:line="360" w:lineRule="auto"/>
        <w:jc w:val="both"/>
        <w:rPr>
          <w:rFonts w:ascii="Arial" w:hAnsi="Arial" w:cs="Arial"/>
          <w:sz w:val="22"/>
          <w:szCs w:val="22"/>
        </w:rPr>
      </w:pPr>
      <w:r w:rsidRPr="00D64BDC">
        <w:rPr>
          <w:rFonts w:ascii="Arial" w:hAnsi="Arial" w:cs="Arial"/>
          <w:sz w:val="22"/>
          <w:szCs w:val="22"/>
        </w:rPr>
        <w:t xml:space="preserve">It indicates a certain difference in accuracy in the MRI-targeted biopsy procedures. Their meta-analysis indicates that in-bore MRI-guided biopsy boasts the highest detection rate of clinically significant prostate cancer and is more effective compared to software-assisted and cognitive fusion techniques (Falagario </w:t>
      </w:r>
      <w:r w:rsidRPr="00D64BDC">
        <w:rPr>
          <w:rFonts w:ascii="Arial" w:hAnsi="Arial" w:cs="Arial"/>
          <w:i/>
          <w:iCs/>
          <w:sz w:val="22"/>
          <w:szCs w:val="22"/>
        </w:rPr>
        <w:t>et al.,</w:t>
      </w:r>
      <w:r w:rsidRPr="00D64BDC">
        <w:rPr>
          <w:rFonts w:ascii="Arial" w:hAnsi="Arial" w:cs="Arial"/>
          <w:sz w:val="22"/>
          <w:szCs w:val="22"/>
        </w:rPr>
        <w:t xml:space="preserve"> 2025). This is the basis of increasing application of mpMRI in the diagnosis pathways. However, the issues of operator skill and technology availability are also mentioned in the research as the less developed methods are more changeable. These results prove the thesis of the need to invest in radiological competence and state-of-the-art imaging facilities to ensure the quality of the diagnostic procedures within all healthcare conditions.</w:t>
      </w:r>
    </w:p>
    <w:p w14:paraId="7888286B" w14:textId="77777777" w:rsidR="00D64BDC" w:rsidRDefault="00D64BDC" w:rsidP="00D64BDC">
      <w:pPr>
        <w:spacing w:line="360" w:lineRule="auto"/>
        <w:jc w:val="both"/>
        <w:rPr>
          <w:rFonts w:ascii="Arial" w:hAnsi="Arial" w:cs="Arial"/>
          <w:b/>
          <w:bCs/>
          <w:i/>
          <w:iCs/>
          <w:sz w:val="22"/>
          <w:szCs w:val="22"/>
        </w:rPr>
      </w:pPr>
    </w:p>
    <w:p w14:paraId="2C177FBF" w14:textId="304F9808" w:rsidR="00D64BDC" w:rsidRPr="00D64BDC" w:rsidRDefault="00D64BDC" w:rsidP="00D64BDC">
      <w:pPr>
        <w:spacing w:line="360" w:lineRule="auto"/>
        <w:jc w:val="both"/>
        <w:rPr>
          <w:rFonts w:ascii="Arial" w:hAnsi="Arial" w:cs="Arial"/>
          <w:b/>
          <w:bCs/>
          <w:sz w:val="22"/>
          <w:szCs w:val="22"/>
        </w:rPr>
      </w:pPr>
      <w:r w:rsidRPr="00D64BDC">
        <w:rPr>
          <w:rFonts w:ascii="Arial" w:hAnsi="Arial" w:cs="Arial"/>
          <w:b/>
          <w:bCs/>
          <w:sz w:val="22"/>
          <w:szCs w:val="22"/>
        </w:rPr>
        <w:t>Lack of Inequality in Diagnostic Pathways</w:t>
      </w:r>
    </w:p>
    <w:p w14:paraId="1C8C9FE6" w14:textId="6CE535D8" w:rsidR="00D64BDC" w:rsidRPr="00D64BDC" w:rsidRDefault="00D64BDC" w:rsidP="00D64BDC">
      <w:pPr>
        <w:spacing w:line="360" w:lineRule="auto"/>
        <w:jc w:val="both"/>
        <w:rPr>
          <w:rFonts w:ascii="Arial" w:hAnsi="Arial" w:cs="Arial"/>
          <w:sz w:val="22"/>
          <w:szCs w:val="22"/>
        </w:rPr>
      </w:pPr>
      <w:r w:rsidRPr="00D64BDC">
        <w:rPr>
          <w:rFonts w:ascii="Arial" w:hAnsi="Arial" w:cs="Arial"/>
          <w:sz w:val="22"/>
          <w:szCs w:val="22"/>
        </w:rPr>
        <w:t xml:space="preserve">Inequalities remain alive and have a very significant effect on access to screening and diagnostic services. They also state in their review that Black men and those living in socioeconomically deprived areas have a drop in screening uptake, long wait times, and low access to MRI services (Scott and Hoskin 2024). The result of such inequalities is the consequent diagnoses and poorer clinical outcomes, depicting the trends of cancer inequality in the UK. The findings suggest that technological advancement is not enough to strengthen early diagnosis; one should apply culturally oriented communication, intensive awareness, and adequately distribute the resources so that the positive outcome of screening could be enjoyed by all layers of society, </w:t>
      </w:r>
      <w:r w:rsidRPr="00D64BDC">
        <w:rPr>
          <w:rFonts w:ascii="Arial" w:hAnsi="Arial" w:cs="Arial"/>
          <w:sz w:val="22"/>
          <w:szCs w:val="22"/>
        </w:rPr>
        <w:t>particularly</w:t>
      </w:r>
      <w:r w:rsidRPr="00D64BDC">
        <w:rPr>
          <w:rFonts w:ascii="Arial" w:hAnsi="Arial" w:cs="Arial"/>
          <w:sz w:val="22"/>
          <w:szCs w:val="22"/>
        </w:rPr>
        <w:t xml:space="preserve"> the most vulnerable ones.</w:t>
      </w:r>
    </w:p>
    <w:p w14:paraId="6F2825B4" w14:textId="77777777" w:rsidR="00D64BDC" w:rsidRDefault="00D64BDC" w:rsidP="00D64BDC">
      <w:pPr>
        <w:spacing w:line="360" w:lineRule="auto"/>
        <w:jc w:val="both"/>
        <w:rPr>
          <w:rFonts w:ascii="Arial" w:hAnsi="Arial" w:cs="Arial"/>
          <w:b/>
          <w:bCs/>
          <w:sz w:val="22"/>
          <w:szCs w:val="22"/>
        </w:rPr>
      </w:pPr>
    </w:p>
    <w:p w14:paraId="59DF0867" w14:textId="0AFB8BA0" w:rsidR="00D64BDC" w:rsidRPr="00D64BDC" w:rsidRDefault="00D64BDC" w:rsidP="00D64BDC">
      <w:pPr>
        <w:spacing w:line="360" w:lineRule="auto"/>
        <w:jc w:val="both"/>
        <w:rPr>
          <w:rFonts w:ascii="Arial" w:hAnsi="Arial" w:cs="Arial"/>
          <w:sz w:val="22"/>
          <w:szCs w:val="22"/>
        </w:rPr>
      </w:pPr>
      <w:r w:rsidRPr="00D64BDC">
        <w:rPr>
          <w:rFonts w:ascii="Arial" w:hAnsi="Arial" w:cs="Arial"/>
          <w:b/>
          <w:bCs/>
          <w:sz w:val="22"/>
          <w:szCs w:val="22"/>
        </w:rPr>
        <w:t>Implications</w:t>
      </w:r>
    </w:p>
    <w:p w14:paraId="5C524D0E" w14:textId="77777777" w:rsidR="00D64BDC" w:rsidRPr="00D64BDC" w:rsidRDefault="00D64BDC" w:rsidP="00D64BDC">
      <w:pPr>
        <w:spacing w:line="360" w:lineRule="auto"/>
        <w:jc w:val="both"/>
        <w:rPr>
          <w:rFonts w:ascii="Arial" w:hAnsi="Arial" w:cs="Arial"/>
          <w:sz w:val="22"/>
          <w:szCs w:val="22"/>
        </w:rPr>
      </w:pPr>
      <w:r w:rsidRPr="00D64BDC">
        <w:rPr>
          <w:rFonts w:ascii="Arial" w:hAnsi="Arial" w:cs="Arial"/>
          <w:sz w:val="22"/>
          <w:szCs w:val="22"/>
        </w:rPr>
        <w:t>In general, the findings suggest that prostate cancer screening appears to be more precise and personalised. However, the advanced technological improvements are to be supported with the investment and definite action of the state power at the system level and the target intervention of health. The advances of genetic testing, imaging, and the creation of biomarkers will not always guarantee the improvement of the results of all men unless the structural disparities and prolonged diagnostic delays are considered.</w:t>
      </w:r>
    </w:p>
    <w:p w14:paraId="5C62F2AB" w14:textId="77777777" w:rsidR="00D64BDC" w:rsidRPr="00D64BDC" w:rsidRDefault="00D64BDC" w:rsidP="00D64BDC">
      <w:pPr>
        <w:pStyle w:val="Heading1"/>
        <w:spacing w:line="360" w:lineRule="auto"/>
        <w:rPr>
          <w:rFonts w:ascii="Arial" w:hAnsi="Arial" w:cs="Arial"/>
          <w:sz w:val="22"/>
          <w:szCs w:val="22"/>
        </w:rPr>
      </w:pPr>
      <w:bookmarkStart w:id="9" w:name="_infniayiblt" w:colFirst="0" w:colLast="0"/>
      <w:bookmarkStart w:id="10" w:name="_Toc214109625"/>
      <w:bookmarkEnd w:id="9"/>
      <w:r w:rsidRPr="00D64BDC">
        <w:rPr>
          <w:rFonts w:ascii="Arial" w:hAnsi="Arial" w:cs="Arial"/>
          <w:sz w:val="22"/>
          <w:szCs w:val="22"/>
        </w:rPr>
        <w:t>Conclusion and Recommendation</w:t>
      </w:r>
      <w:bookmarkEnd w:id="10"/>
    </w:p>
    <w:p w14:paraId="5341FD1D" w14:textId="798DED9B" w:rsidR="00D64BDC" w:rsidRPr="00D64BDC" w:rsidRDefault="00D64BDC" w:rsidP="00D64BDC">
      <w:pPr>
        <w:spacing w:line="360" w:lineRule="auto"/>
        <w:jc w:val="both"/>
        <w:rPr>
          <w:rFonts w:ascii="Arial" w:hAnsi="Arial" w:cs="Arial"/>
          <w:sz w:val="22"/>
          <w:szCs w:val="22"/>
        </w:rPr>
      </w:pPr>
      <w:r w:rsidRPr="00D64BDC">
        <w:rPr>
          <w:rFonts w:ascii="Arial" w:hAnsi="Arial" w:cs="Arial"/>
          <w:sz w:val="22"/>
          <w:szCs w:val="22"/>
        </w:rPr>
        <w:t xml:space="preserve">This scoping review presented the latest research on the topic of prostate cancer screening, which includes the fact that genetic risk assessment, the accuracy of MRI-targeted biopsy, and new biomarkers like urinary VOCs have been developed. Although technological advances prove their increasing opportunities to enhance the accuracy of diagnostics, as the review indicates, significant system-wide limitations and enduring disparities still predetermine the results of early detection. Black men and those living in deprived communities </w:t>
      </w:r>
      <w:r w:rsidRPr="00D64BDC">
        <w:rPr>
          <w:rFonts w:ascii="Arial" w:hAnsi="Arial" w:cs="Arial"/>
          <w:sz w:val="22"/>
          <w:szCs w:val="22"/>
        </w:rPr>
        <w:t>are</w:t>
      </w:r>
      <w:r w:rsidRPr="00D64BDC">
        <w:rPr>
          <w:rFonts w:ascii="Arial" w:hAnsi="Arial" w:cs="Arial"/>
          <w:sz w:val="22"/>
          <w:szCs w:val="22"/>
        </w:rPr>
        <w:t xml:space="preserve"> at high risk because they are still disproportionately suffering delays and a lack of access to advanced diagnostics. Unstable and inconsistent guidelines and the capability of delivering diagnosis at various spots within the NHS do not contribute to equitable practice. </w:t>
      </w:r>
      <w:r w:rsidRPr="00D64BDC">
        <w:rPr>
          <w:rFonts w:ascii="Arial" w:hAnsi="Arial" w:cs="Arial"/>
          <w:sz w:val="22"/>
          <w:szCs w:val="22"/>
        </w:rPr>
        <w:t>Overall</w:t>
      </w:r>
      <w:r w:rsidRPr="00D64BDC">
        <w:rPr>
          <w:rFonts w:ascii="Arial" w:hAnsi="Arial" w:cs="Arial"/>
          <w:sz w:val="22"/>
          <w:szCs w:val="22"/>
        </w:rPr>
        <w:t xml:space="preserve">, the results underline that </w:t>
      </w:r>
      <w:r w:rsidRPr="00D64BDC">
        <w:rPr>
          <w:rFonts w:ascii="Arial" w:hAnsi="Arial" w:cs="Arial"/>
          <w:sz w:val="22"/>
          <w:szCs w:val="22"/>
        </w:rPr>
        <w:lastRenderedPageBreak/>
        <w:t>successful early diagnosis involves a holistic strategy, i.e., combining technological development with organi</w:t>
      </w:r>
      <w:r>
        <w:rPr>
          <w:rFonts w:ascii="Arial" w:hAnsi="Arial" w:cs="Arial"/>
          <w:sz w:val="22"/>
          <w:szCs w:val="22"/>
        </w:rPr>
        <w:t>s</w:t>
      </w:r>
      <w:r w:rsidRPr="00D64BDC">
        <w:rPr>
          <w:rFonts w:ascii="Arial" w:hAnsi="Arial" w:cs="Arial"/>
          <w:sz w:val="22"/>
          <w:szCs w:val="22"/>
        </w:rPr>
        <w:t>ational change, specific outreach, and enhanced accessibility of high-quality diagnostics.</w:t>
      </w:r>
    </w:p>
    <w:p w14:paraId="7A50DB57" w14:textId="77777777" w:rsidR="00D64BDC" w:rsidRDefault="00D64BDC" w:rsidP="00D64BDC">
      <w:pPr>
        <w:spacing w:line="360" w:lineRule="auto"/>
        <w:jc w:val="both"/>
        <w:rPr>
          <w:rFonts w:ascii="Arial" w:hAnsi="Arial" w:cs="Arial"/>
          <w:b/>
          <w:bCs/>
          <w:sz w:val="22"/>
          <w:szCs w:val="22"/>
        </w:rPr>
      </w:pPr>
    </w:p>
    <w:p w14:paraId="2598317B" w14:textId="52C8BEE9" w:rsidR="00D64BDC" w:rsidRPr="00D64BDC" w:rsidRDefault="00D64BDC" w:rsidP="00D64BDC">
      <w:pPr>
        <w:spacing w:line="360" w:lineRule="auto"/>
        <w:jc w:val="both"/>
        <w:rPr>
          <w:rFonts w:ascii="Arial" w:hAnsi="Arial" w:cs="Arial"/>
          <w:sz w:val="22"/>
          <w:szCs w:val="22"/>
        </w:rPr>
      </w:pPr>
      <w:r w:rsidRPr="00D64BDC">
        <w:rPr>
          <w:rFonts w:ascii="Arial" w:hAnsi="Arial" w:cs="Arial"/>
          <w:b/>
          <w:bCs/>
          <w:sz w:val="22"/>
          <w:szCs w:val="22"/>
        </w:rPr>
        <w:t>Recommendations</w:t>
      </w:r>
    </w:p>
    <w:p w14:paraId="5AAEFD65" w14:textId="77777777" w:rsidR="00D64BDC" w:rsidRPr="00D64BDC" w:rsidRDefault="00D64BDC" w:rsidP="00D64BDC">
      <w:pPr>
        <w:spacing w:line="360" w:lineRule="auto"/>
        <w:jc w:val="both"/>
        <w:rPr>
          <w:rFonts w:ascii="Arial" w:hAnsi="Arial" w:cs="Arial"/>
          <w:sz w:val="22"/>
          <w:szCs w:val="22"/>
        </w:rPr>
      </w:pPr>
      <w:r w:rsidRPr="00D64BDC">
        <w:rPr>
          <w:rFonts w:ascii="Arial" w:hAnsi="Arial" w:cs="Arial"/>
          <w:sz w:val="22"/>
          <w:szCs w:val="22"/>
        </w:rPr>
        <w:t>To enhance prostate cancer screening, there should be a combination of genetic risk assessment in the national guidelines so that those carrying BRCA1/2, men of high-risk family history, and high-risk ethnic groups should be screened earliest (Mohammadian-Hafshejani</w:t>
      </w:r>
      <w:r w:rsidRPr="00D64BDC">
        <w:rPr>
          <w:rFonts w:ascii="Arial" w:hAnsi="Arial" w:cs="Arial"/>
          <w:i/>
          <w:iCs/>
          <w:sz w:val="22"/>
          <w:szCs w:val="22"/>
        </w:rPr>
        <w:t xml:space="preserve"> et al.,</w:t>
      </w:r>
      <w:r w:rsidRPr="00D64BDC">
        <w:rPr>
          <w:rFonts w:ascii="Arial" w:hAnsi="Arial" w:cs="Arial"/>
          <w:sz w:val="22"/>
          <w:szCs w:val="22"/>
        </w:rPr>
        <w:t xml:space="preserve"> 2024). The rapid diagnostic pathways should be extended to all NHS areas with investments in radiology staff training, MRI availability, and a simplified attitude towards referrals. Diagnostic accuracy should be enhanced by providing equity in access to mpMRI and in-bore MRI-guided biopsy (Zhang</w:t>
      </w:r>
      <w:r w:rsidRPr="00D64BDC">
        <w:rPr>
          <w:rFonts w:ascii="Arial" w:hAnsi="Arial" w:cs="Arial"/>
          <w:i/>
          <w:iCs/>
          <w:sz w:val="22"/>
          <w:szCs w:val="22"/>
        </w:rPr>
        <w:t xml:space="preserve"> et al.,</w:t>
      </w:r>
      <w:r w:rsidRPr="00D64BDC">
        <w:rPr>
          <w:rFonts w:ascii="Arial" w:hAnsi="Arial" w:cs="Arial"/>
          <w:sz w:val="22"/>
          <w:szCs w:val="22"/>
        </w:rPr>
        <w:t xml:space="preserve"> 2024). Newer biomarkers, such as urinary VOCs, need additional funding and large-scale validation to advance possible non-invasive screening to come.</w:t>
      </w:r>
    </w:p>
    <w:p w14:paraId="063BF100" w14:textId="77777777" w:rsidR="00D64BDC" w:rsidRPr="00D64BDC" w:rsidRDefault="00D64BDC" w:rsidP="00D64BDC">
      <w:pPr>
        <w:spacing w:line="360" w:lineRule="auto"/>
        <w:jc w:val="both"/>
        <w:rPr>
          <w:rFonts w:ascii="Arial" w:hAnsi="Arial" w:cs="Arial"/>
          <w:sz w:val="22"/>
          <w:szCs w:val="22"/>
        </w:rPr>
      </w:pPr>
      <w:r w:rsidRPr="00D64BDC">
        <w:rPr>
          <w:rFonts w:ascii="Arial" w:hAnsi="Arial" w:cs="Arial"/>
          <w:sz w:val="22"/>
          <w:szCs w:val="22"/>
        </w:rPr>
        <w:t>There is also a need to use targeted public health interventions to overcome inequalities (Ikhile</w:t>
      </w:r>
      <w:r w:rsidRPr="00D64BDC">
        <w:rPr>
          <w:rFonts w:ascii="Arial" w:hAnsi="Arial" w:cs="Arial"/>
          <w:i/>
          <w:iCs/>
          <w:sz w:val="22"/>
          <w:szCs w:val="22"/>
        </w:rPr>
        <w:t xml:space="preserve"> et al.,</w:t>
      </w:r>
      <w:r w:rsidRPr="00D64BDC">
        <w:rPr>
          <w:rFonts w:ascii="Arial" w:hAnsi="Arial" w:cs="Arial"/>
          <w:sz w:val="22"/>
          <w:szCs w:val="22"/>
        </w:rPr>
        <w:t xml:space="preserve"> 2024). Early help-seeking in the high-risk groups can be promoted through culturally sensitive awareness campaigns, community collaboration, and promotion of primary care consultation. Lastly, nationalisation of screening guidelines and nationwide standard data collection will facilitate evidence-based practice and decrease geographic disparity in the diagnosis results.</w:t>
      </w:r>
      <w:r w:rsidRPr="00D64BDC">
        <w:rPr>
          <w:rFonts w:ascii="Arial" w:hAnsi="Arial" w:cs="Arial"/>
          <w:sz w:val="22"/>
          <w:szCs w:val="22"/>
        </w:rPr>
        <w:br w:type="page"/>
      </w:r>
    </w:p>
    <w:p w14:paraId="4499304B" w14:textId="77777777" w:rsidR="00D64BDC" w:rsidRPr="00D64BDC" w:rsidRDefault="00D64BDC" w:rsidP="00D64BDC">
      <w:pPr>
        <w:pStyle w:val="Heading1"/>
        <w:spacing w:line="360" w:lineRule="auto"/>
        <w:rPr>
          <w:rFonts w:ascii="Arial" w:hAnsi="Arial" w:cs="Arial"/>
          <w:sz w:val="22"/>
          <w:szCs w:val="22"/>
        </w:rPr>
      </w:pPr>
      <w:bookmarkStart w:id="11" w:name="_3c1hzox7325n" w:colFirst="0" w:colLast="0"/>
      <w:bookmarkStart w:id="12" w:name="_Toc214109626"/>
      <w:bookmarkEnd w:id="11"/>
      <w:r w:rsidRPr="00D64BDC">
        <w:rPr>
          <w:rFonts w:ascii="Arial" w:hAnsi="Arial" w:cs="Arial"/>
          <w:sz w:val="22"/>
          <w:szCs w:val="22"/>
        </w:rPr>
        <w:lastRenderedPageBreak/>
        <w:t>Reference List</w:t>
      </w:r>
      <w:bookmarkEnd w:id="12"/>
    </w:p>
    <w:p w14:paraId="43DE75ED" w14:textId="77777777" w:rsidR="00D64BDC" w:rsidRDefault="00D64BDC" w:rsidP="00D64BDC">
      <w:pPr>
        <w:spacing w:line="360" w:lineRule="auto"/>
        <w:jc w:val="both"/>
        <w:rPr>
          <w:rFonts w:ascii="Arial" w:hAnsi="Arial" w:cs="Arial"/>
          <w:color w:val="1155CC"/>
          <w:sz w:val="22"/>
          <w:szCs w:val="22"/>
          <w:u w:val="single"/>
        </w:rPr>
      </w:pPr>
      <w:r w:rsidRPr="00D64BDC">
        <w:rPr>
          <w:rFonts w:ascii="Arial" w:hAnsi="Arial" w:cs="Arial"/>
          <w:color w:val="222222"/>
          <w:sz w:val="22"/>
          <w:szCs w:val="22"/>
          <w:highlight w:val="white"/>
        </w:rPr>
        <w:t>Bergez-Hernández, F., Irigoyen-Arredondo, M. and Martínez-</w:t>
      </w:r>
      <w:proofErr w:type="spellStart"/>
      <w:r w:rsidRPr="00D64BDC">
        <w:rPr>
          <w:rFonts w:ascii="Arial" w:hAnsi="Arial" w:cs="Arial"/>
          <w:color w:val="222222"/>
          <w:sz w:val="22"/>
          <w:szCs w:val="22"/>
          <w:highlight w:val="white"/>
        </w:rPr>
        <w:t>Camberos</w:t>
      </w:r>
      <w:proofErr w:type="spellEnd"/>
      <w:r w:rsidRPr="00D64BDC">
        <w:rPr>
          <w:rFonts w:ascii="Arial" w:hAnsi="Arial" w:cs="Arial"/>
          <w:color w:val="222222"/>
          <w:sz w:val="22"/>
          <w:szCs w:val="22"/>
          <w:highlight w:val="white"/>
        </w:rPr>
        <w:t xml:space="preserve">, A., 2024. A systematic review of mechanisms of PTEN gene down-regulation mediated by miRNA in prostate cancer. </w:t>
      </w:r>
      <w:proofErr w:type="spellStart"/>
      <w:r w:rsidRPr="00D64BDC">
        <w:rPr>
          <w:rFonts w:ascii="Arial" w:hAnsi="Arial" w:cs="Arial"/>
          <w:i/>
          <w:iCs/>
          <w:sz w:val="22"/>
          <w:szCs w:val="22"/>
        </w:rPr>
        <w:t>Heliyon</w:t>
      </w:r>
      <w:proofErr w:type="spellEnd"/>
      <w:r w:rsidRPr="00D64BDC">
        <w:rPr>
          <w:rFonts w:ascii="Arial" w:hAnsi="Arial" w:cs="Arial"/>
          <w:sz w:val="22"/>
          <w:szCs w:val="22"/>
        </w:rPr>
        <w:t xml:space="preserve">, </w:t>
      </w:r>
      <w:r w:rsidRPr="00D64BDC">
        <w:rPr>
          <w:rFonts w:ascii="Arial" w:hAnsi="Arial" w:cs="Arial"/>
          <w:i/>
          <w:iCs/>
          <w:sz w:val="22"/>
          <w:szCs w:val="22"/>
        </w:rPr>
        <w:t>10</w:t>
      </w:r>
      <w:r w:rsidRPr="00D64BDC">
        <w:rPr>
          <w:rFonts w:ascii="Arial" w:hAnsi="Arial" w:cs="Arial"/>
          <w:sz w:val="22"/>
          <w:szCs w:val="22"/>
        </w:rPr>
        <w:t xml:space="preserve">(15). </w:t>
      </w:r>
      <w:hyperlink r:id="rId8">
        <w:r w:rsidRPr="00D64BDC">
          <w:rPr>
            <w:rFonts w:ascii="Arial" w:hAnsi="Arial" w:cs="Arial"/>
            <w:sz w:val="22"/>
            <w:szCs w:val="22"/>
          </w:rPr>
          <w:t xml:space="preserve"> </w:t>
        </w:r>
      </w:hyperlink>
      <w:hyperlink r:id="rId9">
        <w:r w:rsidRPr="00D64BDC">
          <w:rPr>
            <w:rFonts w:ascii="Arial" w:hAnsi="Arial" w:cs="Arial"/>
            <w:color w:val="1155CC"/>
            <w:sz w:val="22"/>
            <w:szCs w:val="22"/>
            <w:u w:val="single"/>
          </w:rPr>
          <w:t>https://www.cell.com/heliyon/pdf/S2405-8440(24)10981-4.pdf</w:t>
        </w:r>
      </w:hyperlink>
    </w:p>
    <w:p w14:paraId="52AC95DC" w14:textId="77777777" w:rsidR="00D64BDC" w:rsidRPr="00D64BDC" w:rsidRDefault="00D64BDC" w:rsidP="00D64BDC">
      <w:pPr>
        <w:spacing w:line="360" w:lineRule="auto"/>
        <w:jc w:val="both"/>
        <w:rPr>
          <w:rFonts w:ascii="Arial" w:hAnsi="Arial" w:cs="Arial"/>
          <w:color w:val="1155CC"/>
          <w:sz w:val="22"/>
          <w:szCs w:val="22"/>
          <w:u w:val="single"/>
        </w:rPr>
      </w:pPr>
    </w:p>
    <w:p w14:paraId="485EE648" w14:textId="77777777" w:rsidR="00D64BDC" w:rsidRDefault="00D64BDC" w:rsidP="00D64BDC">
      <w:pPr>
        <w:spacing w:line="360" w:lineRule="auto"/>
        <w:jc w:val="both"/>
        <w:rPr>
          <w:rFonts w:ascii="Arial" w:hAnsi="Arial" w:cs="Arial"/>
          <w:sz w:val="22"/>
          <w:szCs w:val="22"/>
        </w:rPr>
      </w:pPr>
      <w:r w:rsidRPr="00D64BDC">
        <w:rPr>
          <w:rFonts w:ascii="Arial" w:hAnsi="Arial" w:cs="Arial"/>
          <w:color w:val="222222"/>
          <w:sz w:val="22"/>
          <w:szCs w:val="22"/>
          <w:highlight w:val="white"/>
        </w:rPr>
        <w:t xml:space="preserve">Bithi, S.A., Al Hasan, M.S., </w:t>
      </w:r>
      <w:proofErr w:type="spellStart"/>
      <w:r w:rsidRPr="00D64BDC">
        <w:rPr>
          <w:rFonts w:ascii="Arial" w:hAnsi="Arial" w:cs="Arial"/>
          <w:color w:val="222222"/>
          <w:sz w:val="22"/>
          <w:szCs w:val="22"/>
          <w:highlight w:val="white"/>
        </w:rPr>
        <w:t>Bhuia</w:t>
      </w:r>
      <w:proofErr w:type="spellEnd"/>
      <w:r w:rsidRPr="00D64BDC">
        <w:rPr>
          <w:rFonts w:ascii="Arial" w:hAnsi="Arial" w:cs="Arial"/>
          <w:color w:val="222222"/>
          <w:sz w:val="22"/>
          <w:szCs w:val="22"/>
          <w:highlight w:val="white"/>
        </w:rPr>
        <w:t xml:space="preserve">, M.S., Mia, E., Yana, N.T., Hasan, A.M.W., Uddin, M.B., Sayeed, M.A., </w:t>
      </w:r>
      <w:proofErr w:type="spellStart"/>
      <w:r w:rsidRPr="00D64BDC">
        <w:rPr>
          <w:rFonts w:ascii="Arial" w:hAnsi="Arial" w:cs="Arial"/>
          <w:color w:val="222222"/>
          <w:sz w:val="22"/>
          <w:szCs w:val="22"/>
          <w:highlight w:val="white"/>
        </w:rPr>
        <w:t>Emon</w:t>
      </w:r>
      <w:proofErr w:type="spellEnd"/>
      <w:r w:rsidRPr="00D64BDC">
        <w:rPr>
          <w:rFonts w:ascii="Arial" w:hAnsi="Arial" w:cs="Arial"/>
          <w:color w:val="222222"/>
          <w:sz w:val="22"/>
          <w:szCs w:val="22"/>
          <w:highlight w:val="white"/>
        </w:rPr>
        <w:t xml:space="preserve">, Y., Hasan, R., and Chowdhury, R., 2025. Botanical sources, biopharmaceutical profile, anticancer effects with mechanistic insight, toxicological and clinical evidence of </w:t>
      </w:r>
      <w:proofErr w:type="spellStart"/>
      <w:r w:rsidRPr="00D64BDC">
        <w:rPr>
          <w:rFonts w:ascii="Arial" w:hAnsi="Arial" w:cs="Arial"/>
          <w:color w:val="222222"/>
          <w:sz w:val="22"/>
          <w:szCs w:val="22"/>
          <w:highlight w:val="white"/>
        </w:rPr>
        <w:t>prunetin</w:t>
      </w:r>
      <w:proofErr w:type="spellEnd"/>
      <w:r w:rsidRPr="00D64BDC">
        <w:rPr>
          <w:rFonts w:ascii="Arial" w:hAnsi="Arial" w:cs="Arial"/>
          <w:color w:val="222222"/>
          <w:sz w:val="22"/>
          <w:szCs w:val="22"/>
          <w:highlight w:val="white"/>
        </w:rPr>
        <w:t xml:space="preserve">: a literature review. </w:t>
      </w:r>
      <w:r w:rsidRPr="00D64BDC">
        <w:rPr>
          <w:rFonts w:ascii="Arial" w:hAnsi="Arial" w:cs="Arial"/>
          <w:i/>
          <w:iCs/>
          <w:sz w:val="22"/>
          <w:szCs w:val="22"/>
        </w:rPr>
        <w:t>Medical oncology</w:t>
      </w:r>
      <w:r w:rsidRPr="00D64BDC">
        <w:rPr>
          <w:rFonts w:ascii="Arial" w:hAnsi="Arial" w:cs="Arial"/>
          <w:sz w:val="22"/>
          <w:szCs w:val="22"/>
        </w:rPr>
        <w:t xml:space="preserve">, </w:t>
      </w:r>
      <w:r w:rsidRPr="00D64BDC">
        <w:rPr>
          <w:rFonts w:ascii="Arial" w:hAnsi="Arial" w:cs="Arial"/>
          <w:i/>
          <w:iCs/>
          <w:sz w:val="22"/>
          <w:szCs w:val="22"/>
        </w:rPr>
        <w:t>42</w:t>
      </w:r>
      <w:r w:rsidRPr="00D64BDC">
        <w:rPr>
          <w:rFonts w:ascii="Arial" w:hAnsi="Arial" w:cs="Arial"/>
          <w:sz w:val="22"/>
          <w:szCs w:val="22"/>
        </w:rPr>
        <w:t>(4), p.87.</w:t>
      </w:r>
    </w:p>
    <w:p w14:paraId="09437032" w14:textId="77777777" w:rsidR="00D64BDC" w:rsidRPr="00D64BDC" w:rsidRDefault="00D64BDC" w:rsidP="00D64BDC">
      <w:pPr>
        <w:spacing w:line="360" w:lineRule="auto"/>
        <w:jc w:val="both"/>
        <w:rPr>
          <w:rFonts w:ascii="Arial" w:hAnsi="Arial" w:cs="Arial"/>
          <w:sz w:val="22"/>
          <w:szCs w:val="22"/>
        </w:rPr>
      </w:pPr>
    </w:p>
    <w:p w14:paraId="7BB5222F" w14:textId="77777777" w:rsidR="00D64BDC" w:rsidRDefault="00D64BDC" w:rsidP="00D64BDC">
      <w:pPr>
        <w:spacing w:line="360" w:lineRule="auto"/>
        <w:jc w:val="both"/>
        <w:rPr>
          <w:rFonts w:ascii="Arial" w:hAnsi="Arial" w:cs="Arial"/>
          <w:sz w:val="22"/>
          <w:szCs w:val="22"/>
        </w:rPr>
      </w:pPr>
      <w:r w:rsidRPr="00D64BDC">
        <w:rPr>
          <w:rFonts w:ascii="Arial" w:hAnsi="Arial" w:cs="Arial"/>
          <w:color w:val="222222"/>
          <w:sz w:val="22"/>
          <w:szCs w:val="22"/>
          <w:highlight w:val="white"/>
        </w:rPr>
        <w:t xml:space="preserve">Boue, A., Joly, F., </w:t>
      </w:r>
      <w:proofErr w:type="spellStart"/>
      <w:r w:rsidRPr="00D64BDC">
        <w:rPr>
          <w:rFonts w:ascii="Arial" w:hAnsi="Arial" w:cs="Arial"/>
          <w:color w:val="222222"/>
          <w:sz w:val="22"/>
          <w:szCs w:val="22"/>
          <w:highlight w:val="white"/>
        </w:rPr>
        <w:t>Lequesne</w:t>
      </w:r>
      <w:proofErr w:type="spellEnd"/>
      <w:r w:rsidRPr="00D64BDC">
        <w:rPr>
          <w:rFonts w:ascii="Arial" w:hAnsi="Arial" w:cs="Arial"/>
          <w:color w:val="222222"/>
          <w:sz w:val="22"/>
          <w:szCs w:val="22"/>
          <w:highlight w:val="white"/>
        </w:rPr>
        <w:t>, J., and Lange, M., 2024. Does hormone therapy impact cognition in patients with prostate cancer? A systematic review and meta</w:t>
      </w:r>
      <w:r w:rsidRPr="00D64BDC">
        <w:rPr>
          <w:rFonts w:ascii="Cambria Math" w:eastAsia="Times New Roman" w:hAnsi="Cambria Math" w:cs="Cambria Math"/>
          <w:color w:val="222222"/>
          <w:sz w:val="22"/>
          <w:szCs w:val="22"/>
          <w:highlight w:val="white"/>
        </w:rPr>
        <w:t>‐</w:t>
      </w:r>
      <w:r w:rsidRPr="00D64BDC">
        <w:rPr>
          <w:rFonts w:ascii="Arial" w:hAnsi="Arial" w:cs="Arial"/>
          <w:color w:val="222222"/>
          <w:sz w:val="22"/>
          <w:szCs w:val="22"/>
          <w:highlight w:val="white"/>
        </w:rPr>
        <w:t xml:space="preserve">analysis. </w:t>
      </w:r>
      <w:r w:rsidRPr="00D64BDC">
        <w:rPr>
          <w:rFonts w:ascii="Arial" w:hAnsi="Arial" w:cs="Arial"/>
          <w:i/>
          <w:iCs/>
          <w:sz w:val="22"/>
          <w:szCs w:val="22"/>
        </w:rPr>
        <w:t>Cancer</w:t>
      </w:r>
      <w:r w:rsidRPr="00D64BDC">
        <w:rPr>
          <w:rFonts w:ascii="Arial" w:hAnsi="Arial" w:cs="Arial"/>
          <w:sz w:val="22"/>
          <w:szCs w:val="22"/>
        </w:rPr>
        <w:t xml:space="preserve">, </w:t>
      </w:r>
      <w:r w:rsidRPr="00D64BDC">
        <w:rPr>
          <w:rFonts w:ascii="Arial" w:hAnsi="Arial" w:cs="Arial"/>
          <w:i/>
          <w:iCs/>
          <w:sz w:val="22"/>
          <w:szCs w:val="22"/>
        </w:rPr>
        <w:t>130</w:t>
      </w:r>
      <w:r w:rsidRPr="00D64BDC">
        <w:rPr>
          <w:rFonts w:ascii="Arial" w:hAnsi="Arial" w:cs="Arial"/>
          <w:sz w:val="22"/>
          <w:szCs w:val="22"/>
        </w:rPr>
        <w:t>(12), pp.2120-2138.</w:t>
      </w:r>
    </w:p>
    <w:p w14:paraId="1B5C7DA6" w14:textId="77777777" w:rsidR="00D64BDC" w:rsidRPr="00D64BDC" w:rsidRDefault="00D64BDC" w:rsidP="00D64BDC">
      <w:pPr>
        <w:spacing w:line="360" w:lineRule="auto"/>
        <w:jc w:val="both"/>
        <w:rPr>
          <w:rFonts w:ascii="Arial" w:hAnsi="Arial" w:cs="Arial"/>
          <w:sz w:val="22"/>
          <w:szCs w:val="22"/>
        </w:rPr>
      </w:pPr>
    </w:p>
    <w:p w14:paraId="6EED5098" w14:textId="77777777" w:rsidR="00D64BDC" w:rsidRDefault="00D64BDC" w:rsidP="00D64BDC">
      <w:pPr>
        <w:spacing w:line="360" w:lineRule="auto"/>
        <w:jc w:val="both"/>
        <w:rPr>
          <w:rFonts w:ascii="Arial" w:hAnsi="Arial" w:cs="Arial"/>
          <w:color w:val="1155CC"/>
          <w:sz w:val="22"/>
          <w:szCs w:val="22"/>
          <w:u w:val="single"/>
        </w:rPr>
      </w:pPr>
      <w:r w:rsidRPr="00D64BDC">
        <w:rPr>
          <w:rFonts w:ascii="Arial" w:hAnsi="Arial" w:cs="Arial"/>
          <w:color w:val="222222"/>
          <w:sz w:val="22"/>
          <w:szCs w:val="22"/>
          <w:highlight w:val="white"/>
        </w:rPr>
        <w:t xml:space="preserve">Dawson, J., Green, K., </w:t>
      </w:r>
      <w:proofErr w:type="spellStart"/>
      <w:r w:rsidRPr="00D64BDC">
        <w:rPr>
          <w:rFonts w:ascii="Arial" w:hAnsi="Arial" w:cs="Arial"/>
          <w:color w:val="222222"/>
          <w:sz w:val="22"/>
          <w:szCs w:val="22"/>
          <w:highlight w:val="white"/>
        </w:rPr>
        <w:t>Lazarowicz</w:t>
      </w:r>
      <w:proofErr w:type="spellEnd"/>
      <w:r w:rsidRPr="00D64BDC">
        <w:rPr>
          <w:rFonts w:ascii="Arial" w:hAnsi="Arial" w:cs="Arial"/>
          <w:color w:val="222222"/>
          <w:sz w:val="22"/>
          <w:szCs w:val="22"/>
          <w:highlight w:val="white"/>
        </w:rPr>
        <w:t xml:space="preserve">, H., Cornford, P., and Probert, C., 2024. Analysis of urinary volatile organic compounds for prostate cancer diagnosis: A systematic review. </w:t>
      </w:r>
      <w:r w:rsidRPr="00D64BDC">
        <w:rPr>
          <w:rFonts w:ascii="Arial" w:hAnsi="Arial" w:cs="Arial"/>
          <w:i/>
          <w:iCs/>
          <w:sz w:val="22"/>
          <w:szCs w:val="22"/>
        </w:rPr>
        <w:t>BJUI compass</w:t>
      </w:r>
      <w:r w:rsidRPr="00D64BDC">
        <w:rPr>
          <w:rFonts w:ascii="Arial" w:hAnsi="Arial" w:cs="Arial"/>
          <w:sz w:val="22"/>
          <w:szCs w:val="22"/>
        </w:rPr>
        <w:t xml:space="preserve">, </w:t>
      </w:r>
      <w:r w:rsidRPr="00D64BDC">
        <w:rPr>
          <w:rFonts w:ascii="Arial" w:hAnsi="Arial" w:cs="Arial"/>
          <w:i/>
          <w:iCs/>
          <w:sz w:val="22"/>
          <w:szCs w:val="22"/>
        </w:rPr>
        <w:t>5</w:t>
      </w:r>
      <w:r w:rsidRPr="00D64BDC">
        <w:rPr>
          <w:rFonts w:ascii="Arial" w:hAnsi="Arial" w:cs="Arial"/>
          <w:sz w:val="22"/>
          <w:szCs w:val="22"/>
        </w:rPr>
        <w:t>(9), pp.936-947.</w:t>
      </w:r>
      <w:hyperlink r:id="rId10">
        <w:r w:rsidRPr="00D64BDC">
          <w:rPr>
            <w:rFonts w:ascii="Arial" w:hAnsi="Arial" w:cs="Arial"/>
            <w:sz w:val="22"/>
            <w:szCs w:val="22"/>
          </w:rPr>
          <w:t xml:space="preserve"> </w:t>
        </w:r>
      </w:hyperlink>
      <w:hyperlink r:id="rId11">
        <w:r w:rsidRPr="00D64BDC">
          <w:rPr>
            <w:rFonts w:ascii="Arial" w:hAnsi="Arial" w:cs="Arial"/>
            <w:color w:val="1155CC"/>
            <w:sz w:val="22"/>
            <w:szCs w:val="22"/>
            <w:u w:val="single"/>
          </w:rPr>
          <w:t>https://bjui-journals.onlinelibrary.wiley.com/doi/pdfdirect/10.1002/bco2.423</w:t>
        </w:r>
      </w:hyperlink>
    </w:p>
    <w:p w14:paraId="12B7277C" w14:textId="77777777" w:rsidR="00D64BDC" w:rsidRPr="00D64BDC" w:rsidRDefault="00D64BDC" w:rsidP="00D64BDC">
      <w:pPr>
        <w:spacing w:line="360" w:lineRule="auto"/>
        <w:jc w:val="both"/>
        <w:rPr>
          <w:rFonts w:ascii="Arial" w:hAnsi="Arial" w:cs="Arial"/>
          <w:color w:val="1155CC"/>
          <w:sz w:val="22"/>
          <w:szCs w:val="22"/>
          <w:u w:val="single"/>
        </w:rPr>
      </w:pPr>
    </w:p>
    <w:p w14:paraId="2139CA3C" w14:textId="77777777" w:rsidR="00D64BDC" w:rsidRDefault="00D64BDC" w:rsidP="00D64BDC">
      <w:pPr>
        <w:spacing w:line="360" w:lineRule="auto"/>
        <w:jc w:val="both"/>
        <w:rPr>
          <w:rFonts w:ascii="Arial" w:hAnsi="Arial" w:cs="Arial"/>
          <w:color w:val="1155CC"/>
          <w:sz w:val="22"/>
          <w:szCs w:val="22"/>
          <w:u w:val="single"/>
        </w:rPr>
      </w:pPr>
      <w:r w:rsidRPr="00D64BDC">
        <w:rPr>
          <w:rFonts w:ascii="Arial" w:hAnsi="Arial" w:cs="Arial"/>
          <w:color w:val="222222"/>
          <w:sz w:val="22"/>
          <w:szCs w:val="22"/>
          <w:highlight w:val="white"/>
        </w:rPr>
        <w:t xml:space="preserve">Falagario, U.G., Pellegrino, F., Fanelli, A., </w:t>
      </w:r>
      <w:proofErr w:type="spellStart"/>
      <w:r w:rsidRPr="00D64BDC">
        <w:rPr>
          <w:rFonts w:ascii="Arial" w:hAnsi="Arial" w:cs="Arial"/>
          <w:color w:val="222222"/>
          <w:sz w:val="22"/>
          <w:szCs w:val="22"/>
          <w:highlight w:val="white"/>
        </w:rPr>
        <w:t>Guzzi</w:t>
      </w:r>
      <w:proofErr w:type="spellEnd"/>
      <w:r w:rsidRPr="00D64BDC">
        <w:rPr>
          <w:rFonts w:ascii="Arial" w:hAnsi="Arial" w:cs="Arial"/>
          <w:color w:val="222222"/>
          <w:sz w:val="22"/>
          <w:szCs w:val="22"/>
          <w:highlight w:val="white"/>
        </w:rPr>
        <w:t xml:space="preserve">, F., </w:t>
      </w:r>
      <w:proofErr w:type="spellStart"/>
      <w:r w:rsidRPr="00D64BDC">
        <w:rPr>
          <w:rFonts w:ascii="Arial" w:hAnsi="Arial" w:cs="Arial"/>
          <w:color w:val="222222"/>
          <w:sz w:val="22"/>
          <w:szCs w:val="22"/>
          <w:highlight w:val="white"/>
        </w:rPr>
        <w:t>Bartoletti</w:t>
      </w:r>
      <w:proofErr w:type="spellEnd"/>
      <w:r w:rsidRPr="00D64BDC">
        <w:rPr>
          <w:rFonts w:ascii="Arial" w:hAnsi="Arial" w:cs="Arial"/>
          <w:color w:val="222222"/>
          <w:sz w:val="22"/>
          <w:szCs w:val="22"/>
          <w:highlight w:val="white"/>
        </w:rPr>
        <w:t xml:space="preserve">, R., Cash, H., Pavlovich, C., </w:t>
      </w:r>
      <w:proofErr w:type="spellStart"/>
      <w:r w:rsidRPr="00D64BDC">
        <w:rPr>
          <w:rFonts w:ascii="Arial" w:hAnsi="Arial" w:cs="Arial"/>
          <w:color w:val="222222"/>
          <w:sz w:val="22"/>
          <w:szCs w:val="22"/>
          <w:highlight w:val="white"/>
        </w:rPr>
        <w:t>Emberton</w:t>
      </w:r>
      <w:proofErr w:type="spellEnd"/>
      <w:r w:rsidRPr="00D64BDC">
        <w:rPr>
          <w:rFonts w:ascii="Arial" w:hAnsi="Arial" w:cs="Arial"/>
          <w:color w:val="222222"/>
          <w:sz w:val="22"/>
          <w:szCs w:val="22"/>
          <w:highlight w:val="white"/>
        </w:rPr>
        <w:t xml:space="preserve">, M., </w:t>
      </w:r>
      <w:proofErr w:type="spellStart"/>
      <w:r w:rsidRPr="00D64BDC">
        <w:rPr>
          <w:rFonts w:ascii="Arial" w:hAnsi="Arial" w:cs="Arial"/>
          <w:color w:val="222222"/>
          <w:sz w:val="22"/>
          <w:szCs w:val="22"/>
          <w:highlight w:val="white"/>
        </w:rPr>
        <w:t>Carrieri</w:t>
      </w:r>
      <w:proofErr w:type="spellEnd"/>
      <w:r w:rsidRPr="00D64BDC">
        <w:rPr>
          <w:rFonts w:ascii="Arial" w:hAnsi="Arial" w:cs="Arial"/>
          <w:color w:val="222222"/>
          <w:sz w:val="22"/>
          <w:szCs w:val="22"/>
          <w:highlight w:val="white"/>
        </w:rPr>
        <w:t xml:space="preserve">, G. and </w:t>
      </w:r>
      <w:proofErr w:type="spellStart"/>
      <w:r w:rsidRPr="00D64BDC">
        <w:rPr>
          <w:rFonts w:ascii="Arial" w:hAnsi="Arial" w:cs="Arial"/>
          <w:color w:val="222222"/>
          <w:sz w:val="22"/>
          <w:szCs w:val="22"/>
          <w:highlight w:val="white"/>
        </w:rPr>
        <w:t>Giannarini</w:t>
      </w:r>
      <w:proofErr w:type="spellEnd"/>
      <w:r w:rsidRPr="00D64BDC">
        <w:rPr>
          <w:rFonts w:ascii="Arial" w:hAnsi="Arial" w:cs="Arial"/>
          <w:color w:val="222222"/>
          <w:sz w:val="22"/>
          <w:szCs w:val="22"/>
          <w:highlight w:val="white"/>
        </w:rPr>
        <w:t xml:space="preserve">, G., 2025. Prostate cancer detection and complications of MRI-targeted prostate biopsy using cognitive registration, software-assisted image fusion, or in-bore guidance: a systematic review and meta-analysis of comparative studies. </w:t>
      </w:r>
      <w:r w:rsidRPr="00D64BDC">
        <w:rPr>
          <w:rFonts w:ascii="Arial" w:hAnsi="Arial" w:cs="Arial"/>
          <w:i/>
          <w:iCs/>
          <w:sz w:val="22"/>
          <w:szCs w:val="22"/>
        </w:rPr>
        <w:t>Prostate Cancer and Prostatic Diseases</w:t>
      </w:r>
      <w:r w:rsidRPr="00D64BDC">
        <w:rPr>
          <w:rFonts w:ascii="Arial" w:hAnsi="Arial" w:cs="Arial"/>
          <w:sz w:val="22"/>
          <w:szCs w:val="22"/>
        </w:rPr>
        <w:t xml:space="preserve">, </w:t>
      </w:r>
      <w:r w:rsidRPr="00D64BDC">
        <w:rPr>
          <w:rFonts w:ascii="Arial" w:hAnsi="Arial" w:cs="Arial"/>
          <w:i/>
          <w:iCs/>
          <w:sz w:val="22"/>
          <w:szCs w:val="22"/>
        </w:rPr>
        <w:t>28</w:t>
      </w:r>
      <w:r w:rsidRPr="00D64BDC">
        <w:rPr>
          <w:rFonts w:ascii="Arial" w:hAnsi="Arial" w:cs="Arial"/>
          <w:sz w:val="22"/>
          <w:szCs w:val="22"/>
        </w:rPr>
        <w:t>(2), pp.270-279.</w:t>
      </w:r>
      <w:hyperlink r:id="rId12">
        <w:r w:rsidRPr="00D64BDC">
          <w:rPr>
            <w:rFonts w:ascii="Arial" w:hAnsi="Arial" w:cs="Arial"/>
            <w:sz w:val="22"/>
            <w:szCs w:val="22"/>
          </w:rPr>
          <w:t xml:space="preserve"> </w:t>
        </w:r>
      </w:hyperlink>
      <w:hyperlink r:id="rId13">
        <w:r w:rsidRPr="00D64BDC">
          <w:rPr>
            <w:rFonts w:ascii="Arial" w:hAnsi="Arial" w:cs="Arial"/>
            <w:color w:val="1155CC"/>
            <w:sz w:val="22"/>
            <w:szCs w:val="22"/>
            <w:u w:val="single"/>
          </w:rPr>
          <w:t>https://www.nature.com/articles/s41391-024-00827-x.pdf</w:t>
        </w:r>
      </w:hyperlink>
    </w:p>
    <w:p w14:paraId="158CB3AC" w14:textId="77777777" w:rsidR="00D64BDC" w:rsidRPr="00D64BDC" w:rsidRDefault="00D64BDC" w:rsidP="00D64BDC">
      <w:pPr>
        <w:spacing w:line="360" w:lineRule="auto"/>
        <w:jc w:val="both"/>
        <w:rPr>
          <w:rFonts w:ascii="Arial" w:hAnsi="Arial" w:cs="Arial"/>
          <w:color w:val="1155CC"/>
          <w:sz w:val="22"/>
          <w:szCs w:val="22"/>
          <w:u w:val="single"/>
        </w:rPr>
      </w:pPr>
    </w:p>
    <w:p w14:paraId="411032BE" w14:textId="77777777" w:rsidR="00D64BDC" w:rsidRDefault="00D64BDC" w:rsidP="00D64BDC">
      <w:pPr>
        <w:spacing w:line="360" w:lineRule="auto"/>
        <w:jc w:val="both"/>
        <w:rPr>
          <w:rFonts w:ascii="Arial" w:hAnsi="Arial" w:cs="Arial"/>
          <w:sz w:val="22"/>
          <w:szCs w:val="22"/>
        </w:rPr>
      </w:pPr>
      <w:r w:rsidRPr="00D64BDC">
        <w:rPr>
          <w:rFonts w:ascii="Arial" w:hAnsi="Arial" w:cs="Arial"/>
          <w:color w:val="222222"/>
          <w:sz w:val="22"/>
          <w:szCs w:val="22"/>
          <w:highlight w:val="white"/>
        </w:rPr>
        <w:t xml:space="preserve">Gemma, L., Pecoraro, A., </w:t>
      </w:r>
      <w:proofErr w:type="spellStart"/>
      <w:r w:rsidRPr="00D64BDC">
        <w:rPr>
          <w:rFonts w:ascii="Arial" w:hAnsi="Arial" w:cs="Arial"/>
          <w:color w:val="222222"/>
          <w:sz w:val="22"/>
          <w:szCs w:val="22"/>
          <w:highlight w:val="white"/>
        </w:rPr>
        <w:t>Sebastianelli</w:t>
      </w:r>
      <w:proofErr w:type="spellEnd"/>
      <w:r w:rsidRPr="00D64BDC">
        <w:rPr>
          <w:rFonts w:ascii="Arial" w:hAnsi="Arial" w:cs="Arial"/>
          <w:color w:val="222222"/>
          <w:sz w:val="22"/>
          <w:szCs w:val="22"/>
          <w:highlight w:val="white"/>
        </w:rPr>
        <w:t xml:space="preserve">, A., </w:t>
      </w:r>
      <w:proofErr w:type="spellStart"/>
      <w:r w:rsidRPr="00D64BDC">
        <w:rPr>
          <w:rFonts w:ascii="Arial" w:hAnsi="Arial" w:cs="Arial"/>
          <w:color w:val="222222"/>
          <w:sz w:val="22"/>
          <w:szCs w:val="22"/>
          <w:highlight w:val="white"/>
        </w:rPr>
        <w:t>Spatafora</w:t>
      </w:r>
      <w:proofErr w:type="spellEnd"/>
      <w:r w:rsidRPr="00D64BDC">
        <w:rPr>
          <w:rFonts w:ascii="Arial" w:hAnsi="Arial" w:cs="Arial"/>
          <w:color w:val="222222"/>
          <w:sz w:val="22"/>
          <w:szCs w:val="22"/>
          <w:highlight w:val="white"/>
        </w:rPr>
        <w:t xml:space="preserve">, P., Sessa, F., Nicoletti, R., </w:t>
      </w:r>
      <w:proofErr w:type="spellStart"/>
      <w:r w:rsidRPr="00D64BDC">
        <w:rPr>
          <w:rFonts w:ascii="Arial" w:hAnsi="Arial" w:cs="Arial"/>
          <w:color w:val="222222"/>
          <w:sz w:val="22"/>
          <w:szCs w:val="22"/>
          <w:highlight w:val="white"/>
        </w:rPr>
        <w:t>Gravas</w:t>
      </w:r>
      <w:proofErr w:type="spellEnd"/>
      <w:r w:rsidRPr="00D64BDC">
        <w:rPr>
          <w:rFonts w:ascii="Arial" w:hAnsi="Arial" w:cs="Arial"/>
          <w:color w:val="222222"/>
          <w:sz w:val="22"/>
          <w:szCs w:val="22"/>
          <w:highlight w:val="white"/>
        </w:rPr>
        <w:t xml:space="preserve">, S., </w:t>
      </w:r>
      <w:proofErr w:type="spellStart"/>
      <w:r w:rsidRPr="00D64BDC">
        <w:rPr>
          <w:rFonts w:ascii="Arial" w:hAnsi="Arial" w:cs="Arial"/>
          <w:color w:val="222222"/>
          <w:sz w:val="22"/>
          <w:szCs w:val="22"/>
          <w:highlight w:val="white"/>
        </w:rPr>
        <w:t>Campi</w:t>
      </w:r>
      <w:proofErr w:type="spellEnd"/>
      <w:r w:rsidRPr="00D64BDC">
        <w:rPr>
          <w:rFonts w:ascii="Arial" w:hAnsi="Arial" w:cs="Arial"/>
          <w:color w:val="222222"/>
          <w:sz w:val="22"/>
          <w:szCs w:val="22"/>
          <w:highlight w:val="white"/>
        </w:rPr>
        <w:t xml:space="preserve">, R., </w:t>
      </w:r>
      <w:proofErr w:type="spellStart"/>
      <w:r w:rsidRPr="00D64BDC">
        <w:rPr>
          <w:rFonts w:ascii="Arial" w:hAnsi="Arial" w:cs="Arial"/>
          <w:color w:val="222222"/>
          <w:sz w:val="22"/>
          <w:szCs w:val="22"/>
          <w:highlight w:val="white"/>
        </w:rPr>
        <w:t>Serni</w:t>
      </w:r>
      <w:proofErr w:type="spellEnd"/>
      <w:r w:rsidRPr="00D64BDC">
        <w:rPr>
          <w:rFonts w:ascii="Arial" w:hAnsi="Arial" w:cs="Arial"/>
          <w:color w:val="222222"/>
          <w:sz w:val="22"/>
          <w:szCs w:val="22"/>
          <w:highlight w:val="white"/>
        </w:rPr>
        <w:t xml:space="preserve">, S. and </w:t>
      </w:r>
      <w:proofErr w:type="spellStart"/>
      <w:r w:rsidRPr="00D64BDC">
        <w:rPr>
          <w:rFonts w:ascii="Arial" w:hAnsi="Arial" w:cs="Arial"/>
          <w:color w:val="222222"/>
          <w:sz w:val="22"/>
          <w:szCs w:val="22"/>
          <w:highlight w:val="white"/>
        </w:rPr>
        <w:t>Gacci</w:t>
      </w:r>
      <w:proofErr w:type="spellEnd"/>
      <w:r w:rsidRPr="00D64BDC">
        <w:rPr>
          <w:rFonts w:ascii="Arial" w:hAnsi="Arial" w:cs="Arial"/>
          <w:color w:val="222222"/>
          <w:sz w:val="22"/>
          <w:szCs w:val="22"/>
          <w:highlight w:val="white"/>
        </w:rPr>
        <w:t xml:space="preserve">, M., 2024. Impact of minimally invasive surgical procedures for Male Lower Urinary Tract Symptoms due to benign prostatic hyperplasia on ejaculatory function: a systematic review. </w:t>
      </w:r>
      <w:r w:rsidRPr="00D64BDC">
        <w:rPr>
          <w:rFonts w:ascii="Arial" w:hAnsi="Arial" w:cs="Arial"/>
          <w:i/>
          <w:iCs/>
          <w:sz w:val="22"/>
          <w:szCs w:val="22"/>
        </w:rPr>
        <w:t>Prostate Cancer and Prostatic Diseases</w:t>
      </w:r>
      <w:r w:rsidRPr="00D64BDC">
        <w:rPr>
          <w:rFonts w:ascii="Arial" w:hAnsi="Arial" w:cs="Arial"/>
          <w:sz w:val="22"/>
          <w:szCs w:val="22"/>
        </w:rPr>
        <w:t xml:space="preserve">, </w:t>
      </w:r>
      <w:r w:rsidRPr="00D64BDC">
        <w:rPr>
          <w:rFonts w:ascii="Arial" w:hAnsi="Arial" w:cs="Arial"/>
          <w:i/>
          <w:iCs/>
          <w:sz w:val="22"/>
          <w:szCs w:val="22"/>
        </w:rPr>
        <w:t>27</w:t>
      </w:r>
      <w:r w:rsidRPr="00D64BDC">
        <w:rPr>
          <w:rFonts w:ascii="Arial" w:hAnsi="Arial" w:cs="Arial"/>
          <w:sz w:val="22"/>
          <w:szCs w:val="22"/>
        </w:rPr>
        <w:t>(3), pp.404-421.</w:t>
      </w:r>
    </w:p>
    <w:p w14:paraId="07E661DA" w14:textId="77777777" w:rsidR="00D64BDC" w:rsidRPr="00D64BDC" w:rsidRDefault="00D64BDC" w:rsidP="00D64BDC">
      <w:pPr>
        <w:spacing w:line="360" w:lineRule="auto"/>
        <w:jc w:val="both"/>
        <w:rPr>
          <w:rFonts w:ascii="Arial" w:hAnsi="Arial" w:cs="Arial"/>
          <w:sz w:val="22"/>
          <w:szCs w:val="22"/>
        </w:rPr>
      </w:pPr>
    </w:p>
    <w:p w14:paraId="25777FC9" w14:textId="77777777" w:rsidR="00D64BDC" w:rsidRDefault="00D64BDC" w:rsidP="00D64BDC">
      <w:pPr>
        <w:spacing w:line="360" w:lineRule="auto"/>
        <w:jc w:val="both"/>
        <w:rPr>
          <w:rFonts w:ascii="Arial" w:hAnsi="Arial" w:cs="Arial"/>
          <w:sz w:val="22"/>
          <w:szCs w:val="22"/>
        </w:rPr>
      </w:pPr>
      <w:r w:rsidRPr="00D64BDC">
        <w:rPr>
          <w:rFonts w:ascii="Arial" w:hAnsi="Arial" w:cs="Arial"/>
          <w:color w:val="222222"/>
          <w:sz w:val="22"/>
          <w:szCs w:val="22"/>
          <w:highlight w:val="white"/>
        </w:rPr>
        <w:t xml:space="preserve">Ikhile, D., Ford, E., Glass, D., </w:t>
      </w:r>
      <w:proofErr w:type="spellStart"/>
      <w:r w:rsidRPr="00D64BDC">
        <w:rPr>
          <w:rFonts w:ascii="Arial" w:hAnsi="Arial" w:cs="Arial"/>
          <w:color w:val="222222"/>
          <w:sz w:val="22"/>
          <w:szCs w:val="22"/>
          <w:highlight w:val="white"/>
        </w:rPr>
        <w:t>Gremesty</w:t>
      </w:r>
      <w:proofErr w:type="spellEnd"/>
      <w:r w:rsidRPr="00D64BDC">
        <w:rPr>
          <w:rFonts w:ascii="Arial" w:hAnsi="Arial" w:cs="Arial"/>
          <w:color w:val="222222"/>
          <w:sz w:val="22"/>
          <w:szCs w:val="22"/>
          <w:highlight w:val="white"/>
        </w:rPr>
        <w:t xml:space="preserve">, G. and van </w:t>
      </w:r>
      <w:proofErr w:type="spellStart"/>
      <w:r w:rsidRPr="00D64BDC">
        <w:rPr>
          <w:rFonts w:ascii="Arial" w:hAnsi="Arial" w:cs="Arial"/>
          <w:color w:val="222222"/>
          <w:sz w:val="22"/>
          <w:szCs w:val="22"/>
          <w:highlight w:val="white"/>
        </w:rPr>
        <w:t>Marwijk</w:t>
      </w:r>
      <w:proofErr w:type="spellEnd"/>
      <w:r w:rsidRPr="00D64BDC">
        <w:rPr>
          <w:rFonts w:ascii="Arial" w:hAnsi="Arial" w:cs="Arial"/>
          <w:color w:val="222222"/>
          <w:sz w:val="22"/>
          <w:szCs w:val="22"/>
          <w:highlight w:val="white"/>
        </w:rPr>
        <w:t xml:space="preserve">, H., 2024. A systematic review of risk factors associated with depression and anxiety in cancer patients. </w:t>
      </w:r>
      <w:proofErr w:type="spellStart"/>
      <w:r w:rsidRPr="00D64BDC">
        <w:rPr>
          <w:rFonts w:ascii="Arial" w:hAnsi="Arial" w:cs="Arial"/>
          <w:i/>
          <w:iCs/>
          <w:sz w:val="22"/>
          <w:szCs w:val="22"/>
        </w:rPr>
        <w:t>PLoS</w:t>
      </w:r>
      <w:proofErr w:type="spellEnd"/>
      <w:r w:rsidRPr="00D64BDC">
        <w:rPr>
          <w:rFonts w:ascii="Arial" w:hAnsi="Arial" w:cs="Arial"/>
          <w:i/>
          <w:iCs/>
          <w:sz w:val="22"/>
          <w:szCs w:val="22"/>
        </w:rPr>
        <w:t xml:space="preserve"> One</w:t>
      </w:r>
      <w:r w:rsidRPr="00D64BDC">
        <w:rPr>
          <w:rFonts w:ascii="Arial" w:hAnsi="Arial" w:cs="Arial"/>
          <w:sz w:val="22"/>
          <w:szCs w:val="22"/>
        </w:rPr>
        <w:t xml:space="preserve">, </w:t>
      </w:r>
      <w:r w:rsidRPr="00D64BDC">
        <w:rPr>
          <w:rFonts w:ascii="Arial" w:hAnsi="Arial" w:cs="Arial"/>
          <w:i/>
          <w:iCs/>
          <w:sz w:val="22"/>
          <w:szCs w:val="22"/>
        </w:rPr>
        <w:t>19</w:t>
      </w:r>
      <w:r w:rsidRPr="00D64BDC">
        <w:rPr>
          <w:rFonts w:ascii="Arial" w:hAnsi="Arial" w:cs="Arial"/>
          <w:sz w:val="22"/>
          <w:szCs w:val="22"/>
        </w:rPr>
        <w:t>(3), p.e0296892.</w:t>
      </w:r>
    </w:p>
    <w:p w14:paraId="245E26F4" w14:textId="77777777" w:rsidR="00D64BDC" w:rsidRPr="00D64BDC" w:rsidRDefault="00D64BDC" w:rsidP="00D64BDC">
      <w:pPr>
        <w:spacing w:line="360" w:lineRule="auto"/>
        <w:jc w:val="both"/>
        <w:rPr>
          <w:rFonts w:ascii="Arial" w:hAnsi="Arial" w:cs="Arial"/>
          <w:sz w:val="22"/>
          <w:szCs w:val="22"/>
        </w:rPr>
      </w:pPr>
    </w:p>
    <w:p w14:paraId="746E16E9" w14:textId="3A4D296D" w:rsidR="00D64BDC" w:rsidRDefault="00D64BDC" w:rsidP="00D64BDC">
      <w:pPr>
        <w:spacing w:line="360" w:lineRule="auto"/>
        <w:jc w:val="both"/>
        <w:rPr>
          <w:rFonts w:ascii="Arial" w:hAnsi="Arial" w:cs="Arial"/>
          <w:color w:val="1155CC"/>
          <w:sz w:val="22"/>
          <w:szCs w:val="22"/>
          <w:u w:val="single"/>
        </w:rPr>
      </w:pPr>
      <w:r w:rsidRPr="00D64BDC">
        <w:rPr>
          <w:rFonts w:ascii="Arial" w:hAnsi="Arial" w:cs="Arial"/>
          <w:color w:val="222222"/>
          <w:sz w:val="22"/>
          <w:szCs w:val="22"/>
          <w:highlight w:val="white"/>
        </w:rPr>
        <w:t xml:space="preserve">Jones, K., Chandran, A. and </w:t>
      </w:r>
      <w:proofErr w:type="spellStart"/>
      <w:r w:rsidRPr="00D64BDC">
        <w:rPr>
          <w:rFonts w:ascii="Arial" w:hAnsi="Arial" w:cs="Arial"/>
          <w:color w:val="222222"/>
          <w:sz w:val="22"/>
          <w:szCs w:val="22"/>
          <w:highlight w:val="white"/>
        </w:rPr>
        <w:t>Rance</w:t>
      </w:r>
      <w:proofErr w:type="spellEnd"/>
      <w:r w:rsidRPr="00D64BDC">
        <w:rPr>
          <w:rFonts w:ascii="Arial" w:hAnsi="Arial" w:cs="Arial"/>
          <w:color w:val="222222"/>
          <w:sz w:val="22"/>
          <w:szCs w:val="22"/>
          <w:highlight w:val="white"/>
        </w:rPr>
        <w:t xml:space="preserve">, J., 2024. Rapid diagnostic pathways for prostate cancer: A realist synthesis. </w:t>
      </w:r>
      <w:r w:rsidRPr="00D64BDC">
        <w:rPr>
          <w:rFonts w:ascii="Arial" w:hAnsi="Arial" w:cs="Arial"/>
          <w:i/>
          <w:iCs/>
          <w:sz w:val="22"/>
          <w:szCs w:val="22"/>
        </w:rPr>
        <w:t>Journal of Cancer Policy</w:t>
      </w:r>
      <w:r w:rsidRPr="00D64BDC">
        <w:rPr>
          <w:rFonts w:ascii="Arial" w:hAnsi="Arial" w:cs="Arial"/>
          <w:sz w:val="22"/>
          <w:szCs w:val="22"/>
        </w:rPr>
        <w:t xml:space="preserve">, </w:t>
      </w:r>
      <w:r w:rsidRPr="00D64BDC">
        <w:rPr>
          <w:rFonts w:ascii="Arial" w:hAnsi="Arial" w:cs="Arial"/>
          <w:i/>
          <w:iCs/>
          <w:sz w:val="22"/>
          <w:szCs w:val="22"/>
        </w:rPr>
        <w:t>42</w:t>
      </w:r>
      <w:r w:rsidRPr="00D64BDC">
        <w:rPr>
          <w:rFonts w:ascii="Arial" w:hAnsi="Arial" w:cs="Arial"/>
          <w:sz w:val="22"/>
          <w:szCs w:val="22"/>
        </w:rPr>
        <w:t>,</w:t>
      </w:r>
      <w:r>
        <w:rPr>
          <w:rFonts w:ascii="Arial" w:hAnsi="Arial" w:cs="Arial"/>
          <w:sz w:val="22"/>
          <w:szCs w:val="22"/>
        </w:rPr>
        <w:t xml:space="preserve"> </w:t>
      </w:r>
      <w:r w:rsidRPr="00D64BDC">
        <w:rPr>
          <w:rFonts w:ascii="Arial" w:hAnsi="Arial" w:cs="Arial"/>
          <w:sz w:val="22"/>
          <w:szCs w:val="22"/>
        </w:rPr>
        <w:t>p.100514.</w:t>
      </w:r>
      <w:hyperlink r:id="rId14">
        <w:r w:rsidRPr="00D64BDC">
          <w:rPr>
            <w:rFonts w:ascii="Arial" w:hAnsi="Arial" w:cs="Arial"/>
            <w:sz w:val="22"/>
            <w:szCs w:val="22"/>
          </w:rPr>
          <w:t xml:space="preserve"> </w:t>
        </w:r>
      </w:hyperlink>
      <w:hyperlink r:id="rId15">
        <w:r w:rsidRPr="00D64BDC">
          <w:rPr>
            <w:rFonts w:ascii="Arial" w:hAnsi="Arial" w:cs="Arial"/>
            <w:color w:val="1155CC"/>
            <w:sz w:val="22"/>
            <w:szCs w:val="22"/>
            <w:u w:val="single"/>
          </w:rPr>
          <w:t>https://cronfa.swan.ac.uk/Record/cronfa68291/Download/68291__33350__102f34ed81ab4fd0b1cad5a75de02a6a.pdf</w:t>
        </w:r>
      </w:hyperlink>
    </w:p>
    <w:p w14:paraId="5F42E516" w14:textId="77777777" w:rsidR="00D64BDC" w:rsidRPr="00D64BDC" w:rsidRDefault="00D64BDC" w:rsidP="00D64BDC">
      <w:pPr>
        <w:spacing w:line="360" w:lineRule="auto"/>
        <w:jc w:val="both"/>
        <w:rPr>
          <w:rFonts w:ascii="Arial" w:hAnsi="Arial" w:cs="Arial"/>
          <w:color w:val="1155CC"/>
          <w:sz w:val="22"/>
          <w:szCs w:val="22"/>
          <w:u w:val="single"/>
        </w:rPr>
      </w:pPr>
    </w:p>
    <w:p w14:paraId="3E71E121" w14:textId="77777777" w:rsidR="00D64BDC" w:rsidRPr="00D64BDC" w:rsidRDefault="00D64BDC" w:rsidP="00D64BDC">
      <w:pPr>
        <w:spacing w:line="360" w:lineRule="auto"/>
        <w:jc w:val="both"/>
        <w:rPr>
          <w:rFonts w:ascii="Arial" w:hAnsi="Arial" w:cs="Arial"/>
          <w:sz w:val="22"/>
          <w:szCs w:val="22"/>
        </w:rPr>
      </w:pPr>
      <w:r w:rsidRPr="00D64BDC">
        <w:rPr>
          <w:rFonts w:ascii="Arial" w:hAnsi="Arial" w:cs="Arial"/>
          <w:color w:val="222222"/>
          <w:sz w:val="22"/>
          <w:szCs w:val="22"/>
          <w:highlight w:val="white"/>
        </w:rPr>
        <w:t xml:space="preserve">Li, J., Deng, Z., </w:t>
      </w:r>
      <w:proofErr w:type="spellStart"/>
      <w:r w:rsidRPr="00D64BDC">
        <w:rPr>
          <w:rFonts w:ascii="Arial" w:hAnsi="Arial" w:cs="Arial"/>
          <w:color w:val="222222"/>
          <w:sz w:val="22"/>
          <w:szCs w:val="22"/>
          <w:highlight w:val="white"/>
        </w:rPr>
        <w:t>Soerensen</w:t>
      </w:r>
      <w:proofErr w:type="spellEnd"/>
      <w:r w:rsidRPr="00D64BDC">
        <w:rPr>
          <w:rFonts w:ascii="Arial" w:hAnsi="Arial" w:cs="Arial"/>
          <w:color w:val="222222"/>
          <w:sz w:val="22"/>
          <w:szCs w:val="22"/>
          <w:highlight w:val="white"/>
        </w:rPr>
        <w:t xml:space="preserve">, S.J.C., </w:t>
      </w:r>
      <w:proofErr w:type="spellStart"/>
      <w:r w:rsidRPr="00D64BDC">
        <w:rPr>
          <w:rFonts w:ascii="Arial" w:hAnsi="Arial" w:cs="Arial"/>
          <w:color w:val="222222"/>
          <w:sz w:val="22"/>
          <w:szCs w:val="22"/>
          <w:highlight w:val="white"/>
        </w:rPr>
        <w:t>Kachuri</w:t>
      </w:r>
      <w:proofErr w:type="spellEnd"/>
      <w:r w:rsidRPr="00D64BDC">
        <w:rPr>
          <w:rFonts w:ascii="Arial" w:hAnsi="Arial" w:cs="Arial"/>
          <w:color w:val="222222"/>
          <w:sz w:val="22"/>
          <w:szCs w:val="22"/>
          <w:highlight w:val="white"/>
        </w:rPr>
        <w:t xml:space="preserve">, L., Cardenas, A., Graff, R.E., </w:t>
      </w:r>
      <w:proofErr w:type="spellStart"/>
      <w:r w:rsidRPr="00D64BDC">
        <w:rPr>
          <w:rFonts w:ascii="Arial" w:hAnsi="Arial" w:cs="Arial"/>
          <w:color w:val="222222"/>
          <w:sz w:val="22"/>
          <w:szCs w:val="22"/>
          <w:highlight w:val="white"/>
        </w:rPr>
        <w:t>Leppert</w:t>
      </w:r>
      <w:proofErr w:type="spellEnd"/>
      <w:r w:rsidRPr="00D64BDC">
        <w:rPr>
          <w:rFonts w:ascii="Arial" w:hAnsi="Arial" w:cs="Arial"/>
          <w:color w:val="222222"/>
          <w:sz w:val="22"/>
          <w:szCs w:val="22"/>
          <w:highlight w:val="white"/>
        </w:rPr>
        <w:t xml:space="preserve">, J.T., Langston, M.E., and Chung, B.I., 2024. Ambient air pollution and urological cancer risk: A systematic review and meta-analysis of epidemiological evidence. </w:t>
      </w:r>
      <w:r w:rsidRPr="00D64BDC">
        <w:rPr>
          <w:rFonts w:ascii="Arial" w:hAnsi="Arial" w:cs="Arial"/>
          <w:i/>
          <w:iCs/>
          <w:sz w:val="22"/>
          <w:szCs w:val="22"/>
        </w:rPr>
        <w:t>Nature Communications</w:t>
      </w:r>
      <w:r w:rsidRPr="00D64BDC">
        <w:rPr>
          <w:rFonts w:ascii="Arial" w:hAnsi="Arial" w:cs="Arial"/>
          <w:sz w:val="22"/>
          <w:szCs w:val="22"/>
        </w:rPr>
        <w:t xml:space="preserve">, </w:t>
      </w:r>
      <w:r w:rsidRPr="00D64BDC">
        <w:rPr>
          <w:rFonts w:ascii="Arial" w:hAnsi="Arial" w:cs="Arial"/>
          <w:i/>
          <w:iCs/>
          <w:sz w:val="22"/>
          <w:szCs w:val="22"/>
        </w:rPr>
        <w:t>15</w:t>
      </w:r>
      <w:r w:rsidRPr="00D64BDC">
        <w:rPr>
          <w:rFonts w:ascii="Arial" w:hAnsi="Arial" w:cs="Arial"/>
          <w:sz w:val="22"/>
          <w:szCs w:val="22"/>
        </w:rPr>
        <w:t>(1), p.5116.</w:t>
      </w:r>
    </w:p>
    <w:p w14:paraId="31D68BD3" w14:textId="77777777" w:rsidR="00D64BDC" w:rsidRDefault="00D64BDC" w:rsidP="00D64BDC">
      <w:pPr>
        <w:spacing w:line="360" w:lineRule="auto"/>
        <w:jc w:val="both"/>
        <w:rPr>
          <w:rFonts w:ascii="Arial" w:hAnsi="Arial" w:cs="Arial"/>
          <w:sz w:val="22"/>
          <w:szCs w:val="22"/>
        </w:rPr>
      </w:pPr>
      <w:r w:rsidRPr="00D64BDC">
        <w:rPr>
          <w:rFonts w:ascii="Arial" w:hAnsi="Arial" w:cs="Arial"/>
          <w:color w:val="222222"/>
          <w:sz w:val="22"/>
          <w:szCs w:val="22"/>
          <w:highlight w:val="white"/>
        </w:rPr>
        <w:lastRenderedPageBreak/>
        <w:t xml:space="preserve">Liu, J., Cundy, T.P., </w:t>
      </w:r>
      <w:proofErr w:type="spellStart"/>
      <w:r w:rsidRPr="00D64BDC">
        <w:rPr>
          <w:rFonts w:ascii="Arial" w:hAnsi="Arial" w:cs="Arial"/>
          <w:color w:val="222222"/>
          <w:sz w:val="22"/>
          <w:szCs w:val="22"/>
          <w:highlight w:val="white"/>
        </w:rPr>
        <w:t>Woon</w:t>
      </w:r>
      <w:proofErr w:type="spellEnd"/>
      <w:r w:rsidRPr="00D64BDC">
        <w:rPr>
          <w:rFonts w:ascii="Arial" w:hAnsi="Arial" w:cs="Arial"/>
          <w:color w:val="222222"/>
          <w:sz w:val="22"/>
          <w:szCs w:val="22"/>
          <w:highlight w:val="white"/>
        </w:rPr>
        <w:t xml:space="preserve">, D.T., Desai, N., </w:t>
      </w:r>
      <w:proofErr w:type="spellStart"/>
      <w:r w:rsidRPr="00D64BDC">
        <w:rPr>
          <w:rFonts w:ascii="Arial" w:hAnsi="Arial" w:cs="Arial"/>
          <w:color w:val="222222"/>
          <w:sz w:val="22"/>
          <w:szCs w:val="22"/>
          <w:highlight w:val="white"/>
        </w:rPr>
        <w:t>Palaniswami</w:t>
      </w:r>
      <w:proofErr w:type="spellEnd"/>
      <w:r w:rsidRPr="00D64BDC">
        <w:rPr>
          <w:rFonts w:ascii="Arial" w:hAnsi="Arial" w:cs="Arial"/>
          <w:color w:val="222222"/>
          <w:sz w:val="22"/>
          <w:szCs w:val="22"/>
          <w:highlight w:val="white"/>
        </w:rPr>
        <w:t xml:space="preserve">, M. and </w:t>
      </w:r>
      <w:proofErr w:type="spellStart"/>
      <w:r w:rsidRPr="00D64BDC">
        <w:rPr>
          <w:rFonts w:ascii="Arial" w:hAnsi="Arial" w:cs="Arial"/>
          <w:color w:val="222222"/>
          <w:sz w:val="22"/>
          <w:szCs w:val="22"/>
          <w:highlight w:val="white"/>
        </w:rPr>
        <w:t>Lawrentschuk</w:t>
      </w:r>
      <w:proofErr w:type="spellEnd"/>
      <w:r w:rsidRPr="00D64BDC">
        <w:rPr>
          <w:rFonts w:ascii="Arial" w:hAnsi="Arial" w:cs="Arial"/>
          <w:color w:val="222222"/>
          <w:sz w:val="22"/>
          <w:szCs w:val="22"/>
          <w:highlight w:val="white"/>
        </w:rPr>
        <w:t xml:space="preserve">, N., 2024. A systematic review on artificial intelligence evaluating PSMA PET scan for intraprostatic cancer. </w:t>
      </w:r>
      <w:r w:rsidRPr="00D64BDC">
        <w:rPr>
          <w:rFonts w:ascii="Arial" w:hAnsi="Arial" w:cs="Arial"/>
          <w:i/>
          <w:iCs/>
          <w:sz w:val="22"/>
          <w:szCs w:val="22"/>
        </w:rPr>
        <w:t>BJU international</w:t>
      </w:r>
      <w:r w:rsidRPr="00D64BDC">
        <w:rPr>
          <w:rFonts w:ascii="Arial" w:hAnsi="Arial" w:cs="Arial"/>
          <w:sz w:val="22"/>
          <w:szCs w:val="22"/>
        </w:rPr>
        <w:t xml:space="preserve">, </w:t>
      </w:r>
      <w:r w:rsidRPr="00D64BDC">
        <w:rPr>
          <w:rFonts w:ascii="Arial" w:hAnsi="Arial" w:cs="Arial"/>
          <w:i/>
          <w:iCs/>
          <w:sz w:val="22"/>
          <w:szCs w:val="22"/>
        </w:rPr>
        <w:t>134</w:t>
      </w:r>
      <w:r w:rsidRPr="00D64BDC">
        <w:rPr>
          <w:rFonts w:ascii="Arial" w:hAnsi="Arial" w:cs="Arial"/>
          <w:sz w:val="22"/>
          <w:szCs w:val="22"/>
        </w:rPr>
        <w:t>(5), pp.714-722.</w:t>
      </w:r>
    </w:p>
    <w:p w14:paraId="60ABA934" w14:textId="77777777" w:rsidR="00D64BDC" w:rsidRPr="00D64BDC" w:rsidRDefault="00D64BDC" w:rsidP="00D64BDC">
      <w:pPr>
        <w:spacing w:line="360" w:lineRule="auto"/>
        <w:jc w:val="both"/>
        <w:rPr>
          <w:rFonts w:ascii="Arial" w:hAnsi="Arial" w:cs="Arial"/>
          <w:sz w:val="22"/>
          <w:szCs w:val="22"/>
        </w:rPr>
      </w:pPr>
    </w:p>
    <w:p w14:paraId="0EBEF985" w14:textId="77777777" w:rsidR="00D64BDC" w:rsidRDefault="00D64BDC" w:rsidP="00D64BDC">
      <w:pPr>
        <w:spacing w:line="360" w:lineRule="auto"/>
        <w:jc w:val="both"/>
        <w:rPr>
          <w:rFonts w:ascii="Arial" w:hAnsi="Arial" w:cs="Arial"/>
          <w:sz w:val="22"/>
          <w:szCs w:val="22"/>
        </w:rPr>
      </w:pPr>
      <w:r w:rsidRPr="00D64BDC">
        <w:rPr>
          <w:rFonts w:ascii="Arial" w:hAnsi="Arial" w:cs="Arial"/>
          <w:color w:val="222222"/>
          <w:sz w:val="22"/>
          <w:szCs w:val="22"/>
          <w:highlight w:val="white"/>
        </w:rPr>
        <w:t xml:space="preserve">Mohammadian-Hafshejani, A., </w:t>
      </w:r>
      <w:proofErr w:type="spellStart"/>
      <w:r w:rsidRPr="00D64BDC">
        <w:rPr>
          <w:rFonts w:ascii="Arial" w:hAnsi="Arial" w:cs="Arial"/>
          <w:color w:val="222222"/>
          <w:sz w:val="22"/>
          <w:szCs w:val="22"/>
          <w:highlight w:val="white"/>
        </w:rPr>
        <w:t>Farahmandian</w:t>
      </w:r>
      <w:proofErr w:type="spellEnd"/>
      <w:r w:rsidRPr="00D64BDC">
        <w:rPr>
          <w:rFonts w:ascii="Arial" w:hAnsi="Arial" w:cs="Arial"/>
          <w:color w:val="222222"/>
          <w:sz w:val="22"/>
          <w:szCs w:val="22"/>
          <w:highlight w:val="white"/>
        </w:rPr>
        <w:t xml:space="preserve">, P., </w:t>
      </w:r>
      <w:proofErr w:type="spellStart"/>
      <w:r w:rsidRPr="00D64BDC">
        <w:rPr>
          <w:rFonts w:ascii="Arial" w:hAnsi="Arial" w:cs="Arial"/>
          <w:color w:val="222222"/>
          <w:sz w:val="22"/>
          <w:szCs w:val="22"/>
          <w:highlight w:val="white"/>
        </w:rPr>
        <w:t>Fadaei</w:t>
      </w:r>
      <w:proofErr w:type="spellEnd"/>
      <w:r w:rsidRPr="00D64BDC">
        <w:rPr>
          <w:rFonts w:ascii="Arial" w:hAnsi="Arial" w:cs="Arial"/>
          <w:color w:val="222222"/>
          <w:sz w:val="22"/>
          <w:szCs w:val="22"/>
          <w:highlight w:val="white"/>
        </w:rPr>
        <w:t xml:space="preserve">, A. and Sadeghi, R., 2024. Investigating the relationship between cadmium exposure and the risk of prostate cancer: a systematic review and dose-response meta-analysis. </w:t>
      </w:r>
      <w:r w:rsidRPr="00D64BDC">
        <w:rPr>
          <w:rFonts w:ascii="Arial" w:hAnsi="Arial" w:cs="Arial"/>
          <w:i/>
          <w:iCs/>
          <w:sz w:val="22"/>
          <w:szCs w:val="22"/>
        </w:rPr>
        <w:t>Iranian Journal of Public Health</w:t>
      </w:r>
      <w:r w:rsidRPr="00D64BDC">
        <w:rPr>
          <w:rFonts w:ascii="Arial" w:hAnsi="Arial" w:cs="Arial"/>
          <w:sz w:val="22"/>
          <w:szCs w:val="22"/>
        </w:rPr>
        <w:t xml:space="preserve">, </w:t>
      </w:r>
      <w:r w:rsidRPr="00D64BDC">
        <w:rPr>
          <w:rFonts w:ascii="Arial" w:hAnsi="Arial" w:cs="Arial"/>
          <w:i/>
          <w:iCs/>
          <w:sz w:val="22"/>
          <w:szCs w:val="22"/>
        </w:rPr>
        <w:t>53</w:t>
      </w:r>
      <w:r w:rsidRPr="00D64BDC">
        <w:rPr>
          <w:rFonts w:ascii="Arial" w:hAnsi="Arial" w:cs="Arial"/>
          <w:sz w:val="22"/>
          <w:szCs w:val="22"/>
        </w:rPr>
        <w:t>(3), p.553.</w:t>
      </w:r>
    </w:p>
    <w:p w14:paraId="3C7E91BE" w14:textId="77777777" w:rsidR="00D64BDC" w:rsidRPr="00D64BDC" w:rsidRDefault="00D64BDC" w:rsidP="00D64BDC">
      <w:pPr>
        <w:spacing w:line="360" w:lineRule="auto"/>
        <w:jc w:val="both"/>
        <w:rPr>
          <w:rFonts w:ascii="Arial" w:hAnsi="Arial" w:cs="Arial"/>
          <w:sz w:val="22"/>
          <w:szCs w:val="22"/>
        </w:rPr>
      </w:pPr>
    </w:p>
    <w:p w14:paraId="4F770AF4" w14:textId="77777777" w:rsidR="00D64BDC" w:rsidRDefault="00D64BDC" w:rsidP="00D64BDC">
      <w:pPr>
        <w:spacing w:line="360" w:lineRule="auto"/>
        <w:jc w:val="both"/>
        <w:rPr>
          <w:rFonts w:ascii="Arial" w:hAnsi="Arial" w:cs="Arial"/>
          <w:sz w:val="22"/>
          <w:szCs w:val="22"/>
        </w:rPr>
      </w:pPr>
      <w:r w:rsidRPr="00D64BDC">
        <w:rPr>
          <w:rFonts w:ascii="Arial" w:hAnsi="Arial" w:cs="Arial"/>
          <w:color w:val="222222"/>
          <w:sz w:val="22"/>
          <w:szCs w:val="22"/>
          <w:highlight w:val="white"/>
        </w:rPr>
        <w:t xml:space="preserve">Pennisi, F., </w:t>
      </w:r>
      <w:proofErr w:type="spellStart"/>
      <w:r w:rsidRPr="00D64BDC">
        <w:rPr>
          <w:rFonts w:ascii="Arial" w:hAnsi="Arial" w:cs="Arial"/>
          <w:color w:val="222222"/>
          <w:sz w:val="22"/>
          <w:szCs w:val="22"/>
          <w:highlight w:val="white"/>
        </w:rPr>
        <w:t>Odelli</w:t>
      </w:r>
      <w:proofErr w:type="spellEnd"/>
      <w:r w:rsidRPr="00D64BDC">
        <w:rPr>
          <w:rFonts w:ascii="Arial" w:hAnsi="Arial" w:cs="Arial"/>
          <w:color w:val="222222"/>
          <w:sz w:val="22"/>
          <w:szCs w:val="22"/>
          <w:highlight w:val="white"/>
        </w:rPr>
        <w:t xml:space="preserve">, S., </w:t>
      </w:r>
      <w:proofErr w:type="spellStart"/>
      <w:r w:rsidRPr="00D64BDC">
        <w:rPr>
          <w:rFonts w:ascii="Arial" w:hAnsi="Arial" w:cs="Arial"/>
          <w:color w:val="222222"/>
          <w:sz w:val="22"/>
          <w:szCs w:val="22"/>
          <w:highlight w:val="white"/>
        </w:rPr>
        <w:t>Borlini</w:t>
      </w:r>
      <w:proofErr w:type="spellEnd"/>
      <w:r w:rsidRPr="00D64BDC">
        <w:rPr>
          <w:rFonts w:ascii="Arial" w:hAnsi="Arial" w:cs="Arial"/>
          <w:color w:val="222222"/>
          <w:sz w:val="22"/>
          <w:szCs w:val="22"/>
          <w:highlight w:val="white"/>
        </w:rPr>
        <w:t xml:space="preserve">, S., </w:t>
      </w:r>
      <w:proofErr w:type="spellStart"/>
      <w:r w:rsidRPr="00D64BDC">
        <w:rPr>
          <w:rFonts w:ascii="Arial" w:hAnsi="Arial" w:cs="Arial"/>
          <w:color w:val="222222"/>
          <w:sz w:val="22"/>
          <w:szCs w:val="22"/>
          <w:highlight w:val="white"/>
        </w:rPr>
        <w:t>Morani</w:t>
      </w:r>
      <w:proofErr w:type="spellEnd"/>
      <w:r w:rsidRPr="00D64BDC">
        <w:rPr>
          <w:rFonts w:ascii="Arial" w:hAnsi="Arial" w:cs="Arial"/>
          <w:color w:val="222222"/>
          <w:sz w:val="22"/>
          <w:szCs w:val="22"/>
          <w:highlight w:val="white"/>
        </w:rPr>
        <w:t xml:space="preserve">, F., Signorelli, C., and Renzi, C., 2024. Impact of the COVID-19 pandemic on timely cancer diagnosis across European healthcare settings: A scoping review. </w:t>
      </w:r>
      <w:proofErr w:type="spellStart"/>
      <w:r w:rsidRPr="00D64BDC">
        <w:rPr>
          <w:rFonts w:ascii="Arial" w:hAnsi="Arial" w:cs="Arial"/>
          <w:i/>
          <w:iCs/>
          <w:sz w:val="22"/>
          <w:szCs w:val="22"/>
        </w:rPr>
        <w:t>Annali</w:t>
      </w:r>
      <w:proofErr w:type="spellEnd"/>
      <w:r w:rsidRPr="00D64BDC">
        <w:rPr>
          <w:rFonts w:ascii="Arial" w:hAnsi="Arial" w:cs="Arial"/>
          <w:i/>
          <w:iCs/>
          <w:sz w:val="22"/>
          <w:szCs w:val="22"/>
        </w:rPr>
        <w:t xml:space="preserve"> di </w:t>
      </w:r>
      <w:proofErr w:type="spellStart"/>
      <w:r w:rsidRPr="00D64BDC">
        <w:rPr>
          <w:rFonts w:ascii="Arial" w:hAnsi="Arial" w:cs="Arial"/>
          <w:i/>
          <w:iCs/>
          <w:sz w:val="22"/>
          <w:szCs w:val="22"/>
        </w:rPr>
        <w:t>Igiene</w:t>
      </w:r>
      <w:proofErr w:type="spellEnd"/>
      <w:r w:rsidRPr="00D64BDC">
        <w:rPr>
          <w:rFonts w:ascii="Arial" w:hAnsi="Arial" w:cs="Arial"/>
          <w:i/>
          <w:iCs/>
          <w:sz w:val="22"/>
          <w:szCs w:val="22"/>
        </w:rPr>
        <w:t xml:space="preserve">: </w:t>
      </w:r>
      <w:proofErr w:type="spellStart"/>
      <w:r w:rsidRPr="00D64BDC">
        <w:rPr>
          <w:rFonts w:ascii="Arial" w:hAnsi="Arial" w:cs="Arial"/>
          <w:i/>
          <w:iCs/>
          <w:sz w:val="22"/>
          <w:szCs w:val="22"/>
        </w:rPr>
        <w:t>Medicina</w:t>
      </w:r>
      <w:proofErr w:type="spellEnd"/>
      <w:r w:rsidRPr="00D64BDC">
        <w:rPr>
          <w:rFonts w:ascii="Arial" w:hAnsi="Arial" w:cs="Arial"/>
          <w:i/>
          <w:iCs/>
          <w:sz w:val="22"/>
          <w:szCs w:val="22"/>
        </w:rPr>
        <w:t xml:space="preserve"> </w:t>
      </w:r>
      <w:proofErr w:type="spellStart"/>
      <w:r w:rsidRPr="00D64BDC">
        <w:rPr>
          <w:rFonts w:ascii="Arial" w:hAnsi="Arial" w:cs="Arial"/>
          <w:i/>
          <w:iCs/>
          <w:sz w:val="22"/>
          <w:szCs w:val="22"/>
        </w:rPr>
        <w:t>Preventiva</w:t>
      </w:r>
      <w:proofErr w:type="spellEnd"/>
      <w:r w:rsidRPr="00D64BDC">
        <w:rPr>
          <w:rFonts w:ascii="Arial" w:hAnsi="Arial" w:cs="Arial"/>
          <w:i/>
          <w:iCs/>
          <w:sz w:val="22"/>
          <w:szCs w:val="22"/>
        </w:rPr>
        <w:t xml:space="preserve"> e di </w:t>
      </w:r>
      <w:proofErr w:type="spellStart"/>
      <w:r w:rsidRPr="00D64BDC">
        <w:rPr>
          <w:rFonts w:ascii="Arial" w:hAnsi="Arial" w:cs="Arial"/>
          <w:i/>
          <w:iCs/>
          <w:sz w:val="22"/>
          <w:szCs w:val="22"/>
        </w:rPr>
        <w:t>Comunità</w:t>
      </w:r>
      <w:proofErr w:type="spellEnd"/>
      <w:r w:rsidRPr="00D64BDC">
        <w:rPr>
          <w:rFonts w:ascii="Arial" w:hAnsi="Arial" w:cs="Arial"/>
          <w:i/>
          <w:iCs/>
          <w:sz w:val="22"/>
          <w:szCs w:val="22"/>
        </w:rPr>
        <w:t xml:space="preserve"> (Ann Ig)</w:t>
      </w:r>
      <w:r w:rsidRPr="00D64BDC">
        <w:rPr>
          <w:rFonts w:ascii="Arial" w:hAnsi="Arial" w:cs="Arial"/>
          <w:sz w:val="22"/>
          <w:szCs w:val="22"/>
        </w:rPr>
        <w:t>.</w:t>
      </w:r>
    </w:p>
    <w:p w14:paraId="032D3F45" w14:textId="77777777" w:rsidR="00D64BDC" w:rsidRPr="00D64BDC" w:rsidRDefault="00D64BDC" w:rsidP="00D64BDC">
      <w:pPr>
        <w:spacing w:line="360" w:lineRule="auto"/>
        <w:jc w:val="both"/>
        <w:rPr>
          <w:rFonts w:ascii="Arial" w:hAnsi="Arial" w:cs="Arial"/>
          <w:sz w:val="22"/>
          <w:szCs w:val="22"/>
        </w:rPr>
      </w:pPr>
    </w:p>
    <w:p w14:paraId="24EC0FDA" w14:textId="77777777" w:rsidR="00D64BDC" w:rsidRDefault="00D64BDC" w:rsidP="00D64BDC">
      <w:pPr>
        <w:spacing w:line="360" w:lineRule="auto"/>
        <w:jc w:val="both"/>
        <w:rPr>
          <w:rFonts w:ascii="Arial" w:hAnsi="Arial" w:cs="Arial"/>
          <w:color w:val="1155CC"/>
          <w:sz w:val="22"/>
          <w:szCs w:val="22"/>
          <w:u w:val="single"/>
        </w:rPr>
      </w:pPr>
      <w:r w:rsidRPr="00D64BDC">
        <w:rPr>
          <w:rFonts w:ascii="Arial" w:hAnsi="Arial" w:cs="Arial"/>
          <w:color w:val="222222"/>
          <w:sz w:val="22"/>
          <w:szCs w:val="22"/>
          <w:highlight w:val="white"/>
        </w:rPr>
        <w:t xml:space="preserve">Scott, E.C. and Hoskin, P.J., 2024. Health inequalities in cancer care: a literature review of pathways to diagnosis in the United Kingdom. </w:t>
      </w:r>
      <w:proofErr w:type="spellStart"/>
      <w:r w:rsidRPr="00D64BDC">
        <w:rPr>
          <w:rFonts w:ascii="Arial" w:hAnsi="Arial" w:cs="Arial"/>
          <w:i/>
          <w:iCs/>
          <w:sz w:val="22"/>
          <w:szCs w:val="22"/>
        </w:rPr>
        <w:t>EClinicalmedicine</w:t>
      </w:r>
      <w:proofErr w:type="spellEnd"/>
      <w:r w:rsidRPr="00D64BDC">
        <w:rPr>
          <w:rFonts w:ascii="Arial" w:hAnsi="Arial" w:cs="Arial"/>
          <w:sz w:val="22"/>
          <w:szCs w:val="22"/>
        </w:rPr>
        <w:t xml:space="preserve">, </w:t>
      </w:r>
      <w:r w:rsidRPr="00D64BDC">
        <w:rPr>
          <w:rFonts w:ascii="Arial" w:hAnsi="Arial" w:cs="Arial"/>
          <w:i/>
          <w:iCs/>
          <w:sz w:val="22"/>
          <w:szCs w:val="22"/>
        </w:rPr>
        <w:t>76</w:t>
      </w:r>
      <w:r w:rsidRPr="00D64BDC">
        <w:rPr>
          <w:rFonts w:ascii="Arial" w:hAnsi="Arial" w:cs="Arial"/>
          <w:sz w:val="22"/>
          <w:szCs w:val="22"/>
        </w:rPr>
        <w:t>.</w:t>
      </w:r>
      <w:hyperlink r:id="rId16">
        <w:r w:rsidRPr="00D64BDC">
          <w:rPr>
            <w:rFonts w:ascii="Arial" w:hAnsi="Arial" w:cs="Arial"/>
            <w:sz w:val="22"/>
            <w:szCs w:val="22"/>
          </w:rPr>
          <w:t xml:space="preserve"> </w:t>
        </w:r>
      </w:hyperlink>
      <w:hyperlink r:id="rId17">
        <w:r w:rsidRPr="00D64BDC">
          <w:rPr>
            <w:rFonts w:ascii="Arial" w:hAnsi="Arial" w:cs="Arial"/>
            <w:color w:val="1155CC"/>
            <w:sz w:val="22"/>
            <w:szCs w:val="22"/>
            <w:u w:val="single"/>
          </w:rPr>
          <w:t>https://bjui-journals.onlinelibrary.wiley.com/doi/pdfdirect/10.1111/bju.16311</w:t>
        </w:r>
      </w:hyperlink>
    </w:p>
    <w:p w14:paraId="3A95D549" w14:textId="77777777" w:rsidR="00D64BDC" w:rsidRPr="00D64BDC" w:rsidRDefault="00D64BDC" w:rsidP="00D64BDC">
      <w:pPr>
        <w:spacing w:line="360" w:lineRule="auto"/>
        <w:jc w:val="both"/>
        <w:rPr>
          <w:rFonts w:ascii="Arial" w:hAnsi="Arial" w:cs="Arial"/>
          <w:color w:val="1155CC"/>
          <w:sz w:val="22"/>
          <w:szCs w:val="22"/>
          <w:u w:val="single"/>
        </w:rPr>
      </w:pPr>
    </w:p>
    <w:p w14:paraId="0F28F68A" w14:textId="77777777" w:rsidR="00D64BDC" w:rsidRDefault="00D64BDC" w:rsidP="00D64BDC">
      <w:pPr>
        <w:spacing w:line="360" w:lineRule="auto"/>
        <w:jc w:val="both"/>
        <w:rPr>
          <w:rFonts w:ascii="Arial" w:hAnsi="Arial" w:cs="Arial"/>
          <w:sz w:val="22"/>
          <w:szCs w:val="22"/>
        </w:rPr>
      </w:pPr>
      <w:r w:rsidRPr="00D64BDC">
        <w:rPr>
          <w:rFonts w:ascii="Arial" w:hAnsi="Arial" w:cs="Arial"/>
          <w:color w:val="222222"/>
          <w:sz w:val="22"/>
          <w:szCs w:val="22"/>
          <w:highlight w:val="white"/>
        </w:rPr>
        <w:t>Tay, K.J., Fong, K.Y., Stabile, A., Dominguez-</w:t>
      </w:r>
      <w:proofErr w:type="spellStart"/>
      <w:r w:rsidRPr="00D64BDC">
        <w:rPr>
          <w:rFonts w:ascii="Arial" w:hAnsi="Arial" w:cs="Arial"/>
          <w:color w:val="222222"/>
          <w:sz w:val="22"/>
          <w:szCs w:val="22"/>
          <w:highlight w:val="white"/>
        </w:rPr>
        <w:t>Escrig</w:t>
      </w:r>
      <w:proofErr w:type="spellEnd"/>
      <w:r w:rsidRPr="00D64BDC">
        <w:rPr>
          <w:rFonts w:ascii="Arial" w:hAnsi="Arial" w:cs="Arial"/>
          <w:color w:val="222222"/>
          <w:sz w:val="22"/>
          <w:szCs w:val="22"/>
          <w:highlight w:val="white"/>
        </w:rPr>
        <w:t xml:space="preserve">, J.L., </w:t>
      </w:r>
      <w:proofErr w:type="spellStart"/>
      <w:r w:rsidRPr="00D64BDC">
        <w:rPr>
          <w:rFonts w:ascii="Arial" w:hAnsi="Arial" w:cs="Arial"/>
          <w:color w:val="222222"/>
          <w:sz w:val="22"/>
          <w:szCs w:val="22"/>
          <w:highlight w:val="white"/>
        </w:rPr>
        <w:t>Ukimura</w:t>
      </w:r>
      <w:proofErr w:type="spellEnd"/>
      <w:r w:rsidRPr="00D64BDC">
        <w:rPr>
          <w:rFonts w:ascii="Arial" w:hAnsi="Arial" w:cs="Arial"/>
          <w:color w:val="222222"/>
          <w:sz w:val="22"/>
          <w:szCs w:val="22"/>
          <w:highlight w:val="white"/>
        </w:rPr>
        <w:t xml:space="preserve">, O., Rodriguez-Sanchez, L., </w:t>
      </w:r>
      <w:proofErr w:type="spellStart"/>
      <w:r w:rsidRPr="00D64BDC">
        <w:rPr>
          <w:rFonts w:ascii="Arial" w:hAnsi="Arial" w:cs="Arial"/>
          <w:color w:val="222222"/>
          <w:sz w:val="22"/>
          <w:szCs w:val="22"/>
          <w:highlight w:val="white"/>
        </w:rPr>
        <w:t>Blana</w:t>
      </w:r>
      <w:proofErr w:type="spellEnd"/>
      <w:r w:rsidRPr="00D64BDC">
        <w:rPr>
          <w:rFonts w:ascii="Arial" w:hAnsi="Arial" w:cs="Arial"/>
          <w:color w:val="222222"/>
          <w:sz w:val="22"/>
          <w:szCs w:val="22"/>
          <w:highlight w:val="white"/>
        </w:rPr>
        <w:t xml:space="preserve">, A., Becher, E. and Laguna, M.P., 2024. Established focal therapy—HIFU, IRE, or cryotherapy—where are we </w:t>
      </w:r>
      <w:proofErr w:type="gramStart"/>
      <w:r w:rsidRPr="00D64BDC">
        <w:rPr>
          <w:rFonts w:ascii="Arial" w:hAnsi="Arial" w:cs="Arial"/>
          <w:color w:val="222222"/>
          <w:sz w:val="22"/>
          <w:szCs w:val="22"/>
          <w:highlight w:val="white"/>
        </w:rPr>
        <w:t>now?—</w:t>
      </w:r>
      <w:proofErr w:type="gramEnd"/>
      <w:r w:rsidRPr="00D64BDC">
        <w:rPr>
          <w:rFonts w:ascii="Arial" w:hAnsi="Arial" w:cs="Arial"/>
          <w:color w:val="222222"/>
          <w:sz w:val="22"/>
          <w:szCs w:val="22"/>
          <w:highlight w:val="white"/>
        </w:rPr>
        <w:t xml:space="preserve">a systematic review and meta-analysis. </w:t>
      </w:r>
      <w:r w:rsidRPr="00D64BDC">
        <w:rPr>
          <w:rFonts w:ascii="Arial" w:hAnsi="Arial" w:cs="Arial"/>
          <w:i/>
          <w:iCs/>
          <w:sz w:val="22"/>
          <w:szCs w:val="22"/>
        </w:rPr>
        <w:t>Prostate cancer and prostatic diseases</w:t>
      </w:r>
      <w:r w:rsidRPr="00D64BDC">
        <w:rPr>
          <w:rFonts w:ascii="Arial" w:hAnsi="Arial" w:cs="Arial"/>
          <w:sz w:val="22"/>
          <w:szCs w:val="22"/>
        </w:rPr>
        <w:t>, pp.1-14.</w:t>
      </w:r>
    </w:p>
    <w:p w14:paraId="46A96C4A" w14:textId="77777777" w:rsidR="00D64BDC" w:rsidRPr="00D64BDC" w:rsidRDefault="00D64BDC" w:rsidP="00D64BDC">
      <w:pPr>
        <w:spacing w:line="360" w:lineRule="auto"/>
        <w:jc w:val="both"/>
        <w:rPr>
          <w:rFonts w:ascii="Arial" w:hAnsi="Arial" w:cs="Arial"/>
          <w:sz w:val="22"/>
          <w:szCs w:val="22"/>
        </w:rPr>
      </w:pPr>
    </w:p>
    <w:p w14:paraId="3186C587" w14:textId="77777777" w:rsidR="00D64BDC" w:rsidRDefault="00D64BDC" w:rsidP="00D64BDC">
      <w:pPr>
        <w:spacing w:line="360" w:lineRule="auto"/>
        <w:jc w:val="both"/>
        <w:rPr>
          <w:rFonts w:ascii="Arial" w:hAnsi="Arial" w:cs="Arial"/>
          <w:color w:val="1155CC"/>
          <w:sz w:val="22"/>
          <w:szCs w:val="22"/>
          <w:u w:val="single"/>
        </w:rPr>
      </w:pPr>
      <w:r w:rsidRPr="00D64BDC">
        <w:rPr>
          <w:rFonts w:ascii="Arial" w:hAnsi="Arial" w:cs="Arial"/>
          <w:color w:val="222222"/>
          <w:sz w:val="22"/>
          <w:szCs w:val="22"/>
          <w:highlight w:val="white"/>
        </w:rPr>
        <w:t xml:space="preserve">Tuffaha, H., Edmunds, K., Fairbairn, D., Roberts, M.J., Chambers, S., Smith, D.P., Horvath, L., Arora, S., and </w:t>
      </w:r>
      <w:proofErr w:type="spellStart"/>
      <w:r w:rsidRPr="00D64BDC">
        <w:rPr>
          <w:rFonts w:ascii="Arial" w:hAnsi="Arial" w:cs="Arial"/>
          <w:color w:val="222222"/>
          <w:sz w:val="22"/>
          <w:szCs w:val="22"/>
          <w:highlight w:val="white"/>
        </w:rPr>
        <w:t>Scuffham</w:t>
      </w:r>
      <w:proofErr w:type="spellEnd"/>
      <w:r w:rsidRPr="00D64BDC">
        <w:rPr>
          <w:rFonts w:ascii="Arial" w:hAnsi="Arial" w:cs="Arial"/>
          <w:color w:val="222222"/>
          <w:sz w:val="22"/>
          <w:szCs w:val="22"/>
          <w:highlight w:val="white"/>
        </w:rPr>
        <w:t xml:space="preserve">, P., 2024. Guidelines for genetic testing in prostate cancer: a scoping review. </w:t>
      </w:r>
      <w:r w:rsidRPr="00D64BDC">
        <w:rPr>
          <w:rFonts w:ascii="Arial" w:hAnsi="Arial" w:cs="Arial"/>
          <w:i/>
          <w:iCs/>
          <w:sz w:val="22"/>
          <w:szCs w:val="22"/>
        </w:rPr>
        <w:t>Prostate cancer and prostatic diseases</w:t>
      </w:r>
      <w:r w:rsidRPr="00D64BDC">
        <w:rPr>
          <w:rFonts w:ascii="Arial" w:hAnsi="Arial" w:cs="Arial"/>
          <w:sz w:val="22"/>
          <w:szCs w:val="22"/>
        </w:rPr>
        <w:t xml:space="preserve">, </w:t>
      </w:r>
      <w:r w:rsidRPr="00D64BDC">
        <w:rPr>
          <w:rFonts w:ascii="Arial" w:hAnsi="Arial" w:cs="Arial"/>
          <w:i/>
          <w:iCs/>
          <w:sz w:val="22"/>
          <w:szCs w:val="22"/>
        </w:rPr>
        <w:t>27</w:t>
      </w:r>
      <w:r w:rsidRPr="00D64BDC">
        <w:rPr>
          <w:rFonts w:ascii="Arial" w:hAnsi="Arial" w:cs="Arial"/>
          <w:sz w:val="22"/>
          <w:szCs w:val="22"/>
        </w:rPr>
        <w:t>(4), pp.594-603.</w:t>
      </w:r>
      <w:hyperlink r:id="rId18">
        <w:r w:rsidRPr="00D64BDC">
          <w:rPr>
            <w:rFonts w:ascii="Arial" w:hAnsi="Arial" w:cs="Arial"/>
            <w:sz w:val="22"/>
            <w:szCs w:val="22"/>
          </w:rPr>
          <w:t xml:space="preserve"> </w:t>
        </w:r>
      </w:hyperlink>
      <w:hyperlink r:id="rId19">
        <w:r w:rsidRPr="00D64BDC">
          <w:rPr>
            <w:rFonts w:ascii="Arial" w:hAnsi="Arial" w:cs="Arial"/>
            <w:color w:val="1155CC"/>
            <w:sz w:val="22"/>
            <w:szCs w:val="22"/>
            <w:u w:val="single"/>
          </w:rPr>
          <w:t>https://www.nature.com/articles/s41391-023-00676-0.pdf</w:t>
        </w:r>
      </w:hyperlink>
    </w:p>
    <w:p w14:paraId="23ACCD59" w14:textId="77777777" w:rsidR="00D64BDC" w:rsidRPr="00D64BDC" w:rsidRDefault="00D64BDC" w:rsidP="00D64BDC">
      <w:pPr>
        <w:spacing w:line="360" w:lineRule="auto"/>
        <w:jc w:val="both"/>
        <w:rPr>
          <w:rFonts w:ascii="Arial" w:hAnsi="Arial" w:cs="Arial"/>
          <w:color w:val="1155CC"/>
          <w:sz w:val="22"/>
          <w:szCs w:val="22"/>
          <w:u w:val="single"/>
        </w:rPr>
      </w:pPr>
    </w:p>
    <w:p w14:paraId="1A54AB21" w14:textId="77777777" w:rsidR="00D64BDC" w:rsidRDefault="00D64BDC" w:rsidP="00D64BDC">
      <w:pPr>
        <w:spacing w:line="360" w:lineRule="auto"/>
        <w:jc w:val="both"/>
        <w:rPr>
          <w:rFonts w:ascii="Arial" w:hAnsi="Arial" w:cs="Arial"/>
          <w:sz w:val="22"/>
          <w:szCs w:val="22"/>
        </w:rPr>
      </w:pPr>
      <w:r w:rsidRPr="00D64BDC">
        <w:rPr>
          <w:rFonts w:ascii="Arial" w:hAnsi="Arial" w:cs="Arial"/>
          <w:color w:val="222222"/>
          <w:sz w:val="22"/>
          <w:szCs w:val="22"/>
          <w:highlight w:val="white"/>
        </w:rPr>
        <w:t xml:space="preserve">Yan, Y., </w:t>
      </w:r>
      <w:proofErr w:type="spellStart"/>
      <w:r w:rsidRPr="00D64BDC">
        <w:rPr>
          <w:rFonts w:ascii="Arial" w:hAnsi="Arial" w:cs="Arial"/>
          <w:color w:val="222222"/>
          <w:sz w:val="22"/>
          <w:szCs w:val="22"/>
          <w:highlight w:val="white"/>
        </w:rPr>
        <w:t>Zhuo</w:t>
      </w:r>
      <w:proofErr w:type="spellEnd"/>
      <w:r w:rsidRPr="00D64BDC">
        <w:rPr>
          <w:rFonts w:ascii="Arial" w:hAnsi="Arial" w:cs="Arial"/>
          <w:color w:val="222222"/>
          <w:sz w:val="22"/>
          <w:szCs w:val="22"/>
          <w:highlight w:val="white"/>
        </w:rPr>
        <w:t xml:space="preserve">, H., Li, T., Zhang, J., Tan, M. and Chen, Y., 2024. Advancements in PSMA ligand </w:t>
      </w:r>
      <w:proofErr w:type="spellStart"/>
      <w:r w:rsidRPr="00D64BDC">
        <w:rPr>
          <w:rFonts w:ascii="Arial" w:hAnsi="Arial" w:cs="Arial"/>
          <w:color w:val="222222"/>
          <w:sz w:val="22"/>
          <w:szCs w:val="22"/>
          <w:highlight w:val="white"/>
        </w:rPr>
        <w:t>radiolabeling</w:t>
      </w:r>
      <w:proofErr w:type="spellEnd"/>
      <w:r w:rsidRPr="00D64BDC">
        <w:rPr>
          <w:rFonts w:ascii="Arial" w:hAnsi="Arial" w:cs="Arial"/>
          <w:color w:val="222222"/>
          <w:sz w:val="22"/>
          <w:szCs w:val="22"/>
          <w:highlight w:val="white"/>
        </w:rPr>
        <w:t xml:space="preserve"> for diagnosis and treatment of prostate cancer: a systematic review. </w:t>
      </w:r>
      <w:r w:rsidRPr="00D64BDC">
        <w:rPr>
          <w:rFonts w:ascii="Arial" w:hAnsi="Arial" w:cs="Arial"/>
          <w:i/>
          <w:iCs/>
          <w:sz w:val="22"/>
          <w:szCs w:val="22"/>
        </w:rPr>
        <w:t>Frontiers in Oncology</w:t>
      </w:r>
      <w:r w:rsidRPr="00D64BDC">
        <w:rPr>
          <w:rFonts w:ascii="Arial" w:hAnsi="Arial" w:cs="Arial"/>
          <w:sz w:val="22"/>
          <w:szCs w:val="22"/>
        </w:rPr>
        <w:t xml:space="preserve">, </w:t>
      </w:r>
      <w:r w:rsidRPr="00D64BDC">
        <w:rPr>
          <w:rFonts w:ascii="Arial" w:hAnsi="Arial" w:cs="Arial"/>
          <w:i/>
          <w:iCs/>
          <w:sz w:val="22"/>
          <w:szCs w:val="22"/>
        </w:rPr>
        <w:t>14</w:t>
      </w:r>
      <w:r w:rsidRPr="00D64BDC">
        <w:rPr>
          <w:rFonts w:ascii="Arial" w:hAnsi="Arial" w:cs="Arial"/>
          <w:sz w:val="22"/>
          <w:szCs w:val="22"/>
        </w:rPr>
        <w:t>, p.1373606.</w:t>
      </w:r>
    </w:p>
    <w:p w14:paraId="5C0DF913" w14:textId="77777777" w:rsidR="00D64BDC" w:rsidRPr="00D64BDC" w:rsidRDefault="00D64BDC" w:rsidP="00D64BDC">
      <w:pPr>
        <w:spacing w:line="360" w:lineRule="auto"/>
        <w:jc w:val="both"/>
        <w:rPr>
          <w:rFonts w:ascii="Arial" w:hAnsi="Arial" w:cs="Arial"/>
          <w:sz w:val="22"/>
          <w:szCs w:val="22"/>
        </w:rPr>
      </w:pPr>
    </w:p>
    <w:p w14:paraId="3D35D7B9" w14:textId="77777777" w:rsidR="00D64BDC" w:rsidRPr="00D64BDC" w:rsidRDefault="00D64BDC" w:rsidP="00D64BDC">
      <w:pPr>
        <w:spacing w:line="360" w:lineRule="auto"/>
        <w:jc w:val="both"/>
        <w:rPr>
          <w:rFonts w:ascii="Arial" w:hAnsi="Arial" w:cs="Arial"/>
          <w:sz w:val="22"/>
          <w:szCs w:val="22"/>
        </w:rPr>
      </w:pPr>
      <w:r w:rsidRPr="00D64BDC">
        <w:rPr>
          <w:rFonts w:ascii="Arial" w:hAnsi="Arial" w:cs="Arial"/>
          <w:color w:val="222222"/>
          <w:sz w:val="22"/>
          <w:szCs w:val="22"/>
          <w:highlight w:val="white"/>
        </w:rPr>
        <w:t xml:space="preserve">Zhang, Z., Tian, A., Che, J., Miao, Y., Liu, Y., Liu, Y. and Xu, Y., 2024. Application and optimization of prostate-specific antigen screening strategy in the diagnosis of prostate cancer: a systematic review. </w:t>
      </w:r>
      <w:r w:rsidRPr="00D64BDC">
        <w:rPr>
          <w:rFonts w:ascii="Arial" w:hAnsi="Arial" w:cs="Arial"/>
          <w:i/>
          <w:iCs/>
          <w:sz w:val="22"/>
          <w:szCs w:val="22"/>
        </w:rPr>
        <w:t>Frontiers in Oncology</w:t>
      </w:r>
      <w:r w:rsidRPr="00D64BDC">
        <w:rPr>
          <w:rFonts w:ascii="Arial" w:hAnsi="Arial" w:cs="Arial"/>
          <w:sz w:val="22"/>
          <w:szCs w:val="22"/>
        </w:rPr>
        <w:t xml:space="preserve">, </w:t>
      </w:r>
      <w:r w:rsidRPr="00D64BDC">
        <w:rPr>
          <w:rFonts w:ascii="Arial" w:hAnsi="Arial" w:cs="Arial"/>
          <w:i/>
          <w:iCs/>
          <w:sz w:val="22"/>
          <w:szCs w:val="22"/>
        </w:rPr>
        <w:t>13</w:t>
      </w:r>
      <w:r w:rsidRPr="00D64BDC">
        <w:rPr>
          <w:rFonts w:ascii="Arial" w:hAnsi="Arial" w:cs="Arial"/>
          <w:sz w:val="22"/>
          <w:szCs w:val="22"/>
        </w:rPr>
        <w:t>, p.1320681.</w:t>
      </w:r>
    </w:p>
    <w:p w14:paraId="55A199AA" w14:textId="77777777" w:rsidR="00D64BDC" w:rsidRDefault="00D64BDC" w:rsidP="00D64BDC">
      <w:pPr>
        <w:spacing w:line="360" w:lineRule="auto"/>
        <w:jc w:val="both"/>
      </w:pPr>
    </w:p>
    <w:p w14:paraId="00DF6D73" w14:textId="77777777" w:rsidR="00D64BDC" w:rsidRPr="00D64BDC" w:rsidRDefault="00D64BDC" w:rsidP="00D64BDC">
      <w:pPr>
        <w:spacing w:line="360" w:lineRule="auto"/>
        <w:jc w:val="center"/>
        <w:rPr>
          <w:rFonts w:ascii="Arial" w:hAnsi="Arial" w:cs="Arial"/>
          <w:sz w:val="22"/>
          <w:szCs w:val="22"/>
        </w:rPr>
      </w:pPr>
    </w:p>
    <w:sectPr w:rsidR="00D64BDC" w:rsidRPr="00D64BDC" w:rsidSect="00D64BD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DCF6A37"/>
    <w:multiLevelType w:val="multilevel"/>
    <w:tmpl w:val="1D2466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8448247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4BDC"/>
    <w:rsid w:val="00540A27"/>
    <w:rsid w:val="00583942"/>
    <w:rsid w:val="00676E07"/>
    <w:rsid w:val="00786115"/>
    <w:rsid w:val="007B4198"/>
    <w:rsid w:val="00A928C5"/>
    <w:rsid w:val="00B60962"/>
    <w:rsid w:val="00C647DB"/>
    <w:rsid w:val="00D64B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61A55A"/>
  <w15:chartTrackingRefBased/>
  <w15:docId w15:val="{761BBAF5-FB04-164C-AE87-63B8E050A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64BD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64BD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64BD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64BD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64BD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64BD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64BD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64BD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64BD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4BD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64BD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64BD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64BD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64BD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64BD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64BD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64BD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64BDC"/>
    <w:rPr>
      <w:rFonts w:eastAsiaTheme="majorEastAsia" w:cstheme="majorBidi"/>
      <w:color w:val="272727" w:themeColor="text1" w:themeTint="D8"/>
    </w:rPr>
  </w:style>
  <w:style w:type="paragraph" w:styleId="Title">
    <w:name w:val="Title"/>
    <w:basedOn w:val="Normal"/>
    <w:next w:val="Normal"/>
    <w:link w:val="TitleChar"/>
    <w:uiPriority w:val="10"/>
    <w:qFormat/>
    <w:rsid w:val="00D64BD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4BD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64BD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64BD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64BD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64BDC"/>
    <w:rPr>
      <w:i/>
      <w:iCs/>
      <w:color w:val="404040" w:themeColor="text1" w:themeTint="BF"/>
    </w:rPr>
  </w:style>
  <w:style w:type="paragraph" w:styleId="ListParagraph">
    <w:name w:val="List Paragraph"/>
    <w:basedOn w:val="Normal"/>
    <w:uiPriority w:val="34"/>
    <w:qFormat/>
    <w:rsid w:val="00D64BDC"/>
    <w:pPr>
      <w:ind w:left="720"/>
      <w:contextualSpacing/>
    </w:pPr>
  </w:style>
  <w:style w:type="character" w:styleId="IntenseEmphasis">
    <w:name w:val="Intense Emphasis"/>
    <w:basedOn w:val="DefaultParagraphFont"/>
    <w:uiPriority w:val="21"/>
    <w:qFormat/>
    <w:rsid w:val="00D64BDC"/>
    <w:rPr>
      <w:i/>
      <w:iCs/>
      <w:color w:val="2F5496" w:themeColor="accent1" w:themeShade="BF"/>
    </w:rPr>
  </w:style>
  <w:style w:type="paragraph" w:styleId="IntenseQuote">
    <w:name w:val="Intense Quote"/>
    <w:basedOn w:val="Normal"/>
    <w:next w:val="Normal"/>
    <w:link w:val="IntenseQuoteChar"/>
    <w:uiPriority w:val="30"/>
    <w:qFormat/>
    <w:rsid w:val="00D64BD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64BDC"/>
    <w:rPr>
      <w:i/>
      <w:iCs/>
      <w:color w:val="2F5496" w:themeColor="accent1" w:themeShade="BF"/>
    </w:rPr>
  </w:style>
  <w:style w:type="character" w:styleId="IntenseReference">
    <w:name w:val="Intense Reference"/>
    <w:basedOn w:val="DefaultParagraphFont"/>
    <w:uiPriority w:val="32"/>
    <w:qFormat/>
    <w:rsid w:val="00D64BDC"/>
    <w:rPr>
      <w:b/>
      <w:bCs/>
      <w:smallCaps/>
      <w:color w:val="2F5496" w:themeColor="accent1" w:themeShade="BF"/>
      <w:spacing w:val="5"/>
    </w:rPr>
  </w:style>
  <w:style w:type="paragraph" w:styleId="TOCHeading">
    <w:name w:val="TOC Heading"/>
    <w:basedOn w:val="Heading1"/>
    <w:next w:val="Normal"/>
    <w:uiPriority w:val="39"/>
    <w:unhideWhenUsed/>
    <w:qFormat/>
    <w:rsid w:val="00D64BDC"/>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D64BDC"/>
    <w:pPr>
      <w:spacing w:after="100" w:line="276" w:lineRule="auto"/>
    </w:pPr>
    <w:rPr>
      <w:rFonts w:ascii="Arial" w:eastAsia="Arial" w:hAnsi="Arial" w:cs="Arial"/>
      <w:kern w:val="0"/>
      <w:sz w:val="22"/>
      <w:szCs w:val="22"/>
      <w:lang w:val="en" w:eastAsia="en-IN"/>
      <w14:ligatures w14:val="none"/>
    </w:rPr>
  </w:style>
  <w:style w:type="character" w:styleId="Hyperlink">
    <w:name w:val="Hyperlink"/>
    <w:basedOn w:val="DefaultParagraphFont"/>
    <w:uiPriority w:val="99"/>
    <w:unhideWhenUsed/>
    <w:rsid w:val="00D64BDC"/>
    <w:rPr>
      <w:color w:val="0563C1" w:themeColor="hyperlink"/>
      <w:u w:val="single"/>
    </w:rPr>
  </w:style>
  <w:style w:type="table" w:styleId="TableGrid">
    <w:name w:val="Table Grid"/>
    <w:basedOn w:val="TableNormal"/>
    <w:uiPriority w:val="39"/>
    <w:rsid w:val="00D64BDC"/>
    <w:rPr>
      <w:rFonts w:ascii="Arial" w:eastAsia="Arial" w:hAnsi="Arial" w:cs="Arial"/>
      <w:kern w:val="0"/>
      <w:sz w:val="22"/>
      <w:szCs w:val="22"/>
      <w:lang w:val="en" w:eastAsia="en-I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ell.com/heliyon/pdf/S2405-8440(24)10981-4.pdf" TargetMode="External"/><Relationship Id="rId13" Type="http://schemas.openxmlformats.org/officeDocument/2006/relationships/hyperlink" Target="https://www.nature.com/articles/s41391-024-00827-x.pdf" TargetMode="External"/><Relationship Id="rId18" Type="http://schemas.openxmlformats.org/officeDocument/2006/relationships/hyperlink" Target="https://www.nature.com/articles/s41391-023-00676-0.pdf"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hyperlink" Target="https://www.nature.com/articles/s41391-024-00827-x.pdf" TargetMode="External"/><Relationship Id="rId17" Type="http://schemas.openxmlformats.org/officeDocument/2006/relationships/hyperlink" Target="https://bjui-journals.onlinelibrary.wiley.com/doi/pdfdirect/10.1111/bju.16311" TargetMode="External"/><Relationship Id="rId2" Type="http://schemas.openxmlformats.org/officeDocument/2006/relationships/styles" Target="styles.xml"/><Relationship Id="rId16" Type="http://schemas.openxmlformats.org/officeDocument/2006/relationships/hyperlink" Target="https://bjui-journals.onlinelibrary.wiley.com/doi/pdfdirect/10.1111/bju.16311"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bjui-journals.onlinelibrary.wiley.com/doi/pdfdirect/10.1002/bco2.423" TargetMode="External"/><Relationship Id="rId5" Type="http://schemas.openxmlformats.org/officeDocument/2006/relationships/image" Target="media/image1.jpeg"/><Relationship Id="rId15" Type="http://schemas.openxmlformats.org/officeDocument/2006/relationships/hyperlink" Target="https://cronfa.swan.ac.uk/Record/cronfa68291/Download/68291__33350__102f34ed81ab4fd0b1cad5a75de02a6a.pdf" TargetMode="External"/><Relationship Id="rId10" Type="http://schemas.openxmlformats.org/officeDocument/2006/relationships/hyperlink" Target="https://bjui-journals.onlinelibrary.wiley.com/doi/pdfdirect/10.1002/bco2.423" TargetMode="External"/><Relationship Id="rId19" Type="http://schemas.openxmlformats.org/officeDocument/2006/relationships/hyperlink" Target="https://www.nature.com/articles/s41391-023-00676-0.pdf" TargetMode="External"/><Relationship Id="rId4" Type="http://schemas.openxmlformats.org/officeDocument/2006/relationships/webSettings" Target="webSettings.xml"/><Relationship Id="rId9" Type="http://schemas.openxmlformats.org/officeDocument/2006/relationships/hyperlink" Target="https://www.cell.com/heliyon/pdf/S2405-8440(24)10981-4.pdf" TargetMode="External"/><Relationship Id="rId14" Type="http://schemas.openxmlformats.org/officeDocument/2006/relationships/hyperlink" Target="https://cronfa.swan.ac.uk/Record/cronfa68291/Download/68291__33350__102f34ed81ab4fd0b1cad5a75de02a6a.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72</TotalTime>
  <Pages>14</Pages>
  <Words>4719</Words>
  <Characters>26901</Characters>
  <Application>Microsoft Office Word</Application>
  <DocSecurity>0</DocSecurity>
  <Lines>224</Lines>
  <Paragraphs>63</Paragraphs>
  <ScaleCrop>false</ScaleCrop>
  <Company/>
  <LinksUpToDate>false</LinksUpToDate>
  <CharactersWithSpaces>31557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Alayna Zaid (2225339)</dc:creator>
  <cp:keywords/>
  <dc:description/>
  <cp:lastModifiedBy>Alayna Zaid (2225339)</cp:lastModifiedBy>
  <cp:revision>1</cp:revision>
  <dcterms:created xsi:type="dcterms:W3CDTF">2025-11-21T09:40:00Z</dcterms:created>
  <dcterms:modified xsi:type="dcterms:W3CDTF">2025-11-21T11:12:00Z</dcterms:modified>
</cp:coreProperties>
</file>