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ms-office.chartstyle+xml" PartName="/word/charts/style1.xml"/>
  <Override ContentType="application/vnd.ms-office.chartstyle+xml" PartName="/word/charts/style5.xml"/>
  <Override ContentType="application/vnd.ms-office.chartstyle+xml" PartName="/word/charts/style3.xml"/>
  <Override ContentType="application/vnd.ms-office.chartstyle+xml" PartName="/word/charts/style4.xml"/>
  <Override ContentType="application/vnd.ms-office.chartstyle+xml" PartName="/word/charts/style2.xml"/>
  <Override ContentType="application/vnd.ms-office.chartcolorstyle+xml" PartName="/word/charts/colors5.xml"/>
  <Override ContentType="application/vnd.ms-office.chartcolorstyle+xml" PartName="/word/charts/colors3.xml"/>
  <Override ContentType="application/vnd.ms-office.chartcolorstyle+xml" PartName="/word/charts/colors4.xml"/>
  <Override ContentType="application/vnd.ms-office.chartcolorstyle+xml" PartName="/word/charts/colors2.xml"/>
  <Override ContentType="application/vnd.ms-office.chartcolorstyle+xml" PartName="/word/charts/colors1.xml"/>
  <Override ContentType="application/vnd.openxmlformats-officedocument.wordprocessingml.document.main+xml" PartName="/word/document.xml"/>
  <Override ContentType="application/vnd.openxmlformats-officedocument.drawingml.chart+xml" PartName="/word/charts/chart1.xml"/>
  <Override ContentType="application/vnd.openxmlformats-officedocument.drawingml.chart+xml" PartName="/word/charts/chart2.xml"/>
  <Override ContentType="application/vnd.openxmlformats-officedocument.drawingml.chart+xml" PartName="/word/charts/chart4.xml"/>
  <Override ContentType="application/vnd.openxmlformats-officedocument.drawingml.chart+xml" PartName="/word/charts/chart5.xml"/>
  <Override ContentType="application/vnd.openxmlformats-officedocument.drawingml.chart+xml" PartName="/word/charts/chart3.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32"/>
          <w:szCs w:val="32"/>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382270</wp:posOffset>
            </wp:positionV>
            <wp:extent cx="1809750" cy="723900"/>
            <wp:effectExtent b="0" l="0" r="0" t="0"/>
            <wp:wrapSquare wrapText="bothSides" distB="0" distT="0" distL="114300" distR="114300"/>
            <wp:docPr descr="Discover University of Wales Trinity Saint David" id="6" name="image1.png"/>
            <a:graphic>
              <a:graphicData uri="http://schemas.openxmlformats.org/drawingml/2006/picture">
                <pic:pic>
                  <pic:nvPicPr>
                    <pic:cNvPr descr="Discover University of Wales Trinity Saint David" id="0" name="image1.png"/>
                    <pic:cNvPicPr preferRelativeResize="0"/>
                  </pic:nvPicPr>
                  <pic:blipFill>
                    <a:blip r:embed="rId6"/>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rPr>
          <w:sz w:val="32"/>
          <w:szCs w:val="32"/>
        </w:rPr>
      </w:pPr>
      <w:r w:rsidDel="00000000" w:rsidR="00000000" w:rsidRPr="00000000">
        <w:rPr>
          <w:rtl w:val="0"/>
        </w:rPr>
      </w:r>
    </w:p>
    <w:p w:rsidR="00000000" w:rsidDel="00000000" w:rsidP="00000000" w:rsidRDefault="00000000" w:rsidRPr="00000000" w14:paraId="00000003">
      <w:pPr>
        <w:rPr>
          <w:sz w:val="32"/>
          <w:szCs w:val="32"/>
        </w:rPr>
      </w:pPr>
      <w:r w:rsidDel="00000000" w:rsidR="00000000" w:rsidRPr="00000000">
        <w:rPr>
          <w:rtl w:val="0"/>
        </w:rPr>
      </w:r>
    </w:p>
    <w:p w:rsidR="00000000" w:rsidDel="00000000" w:rsidP="00000000" w:rsidRDefault="00000000" w:rsidRPr="00000000" w14:paraId="00000004">
      <w:pPr>
        <w:rPr>
          <w:sz w:val="32"/>
          <w:szCs w:val="32"/>
        </w:rPr>
      </w:pPr>
      <w:r w:rsidDel="00000000" w:rsidR="00000000" w:rsidRPr="00000000">
        <w:rPr>
          <w:rtl w:val="0"/>
        </w:rPr>
      </w:r>
    </w:p>
    <w:tbl>
      <w:tblPr>
        <w:tblStyle w:val="Table1"/>
        <w:tblW w:w="992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blHeader w:val="0"/>
        </w:trPr>
        <w:tc>
          <w:tcPr/>
          <w:p w:rsidR="00000000" w:rsidDel="00000000" w:rsidP="00000000" w:rsidRDefault="00000000" w:rsidRPr="00000000" w14:paraId="00000005">
            <w:pPr>
              <w:spacing w:after="120" w:before="120" w:lineRule="auto"/>
              <w:rPr>
                <w:b w:val="1"/>
                <w:bCs w:val="1"/>
              </w:rPr>
            </w:pPr>
            <w:r w:rsidDel="00000000" w:rsidR="00000000" w:rsidRPr="00000000">
              <w:rPr>
                <w:b w:val="1"/>
                <w:bCs w:val="1"/>
                <w:rtl w:val="0"/>
              </w:rPr>
              <w:t xml:space="preserve">Student name:</w:t>
            </w:r>
          </w:p>
        </w:tc>
        <w:tc>
          <w:tcPr/>
          <w:p w:rsidR="00000000" w:rsidDel="00000000" w:rsidP="00000000" w:rsidRDefault="00000000" w:rsidRPr="00000000" w14:paraId="00000006">
            <w:pPr>
              <w:spacing w:after="120" w:before="120" w:lineRule="auto"/>
              <w:rPr>
                <w:b w:val="1"/>
                <w:bCs w:val="1"/>
              </w:rPr>
            </w:pPr>
            <w:r w:rsidDel="00000000" w:rsidR="00000000" w:rsidRPr="00000000">
              <w:rPr>
                <w:b w:val="1"/>
                <w:bCs w:val="1"/>
                <w:rtl w:val="0"/>
              </w:rPr>
              <w:t xml:space="preserve">Sharmin Jahan Bithy</w:t>
            </w:r>
          </w:p>
        </w:tc>
        <w:tc>
          <w:tcPr/>
          <w:p w:rsidR="00000000" w:rsidDel="00000000" w:rsidP="00000000" w:rsidRDefault="00000000" w:rsidRPr="00000000" w14:paraId="00000007">
            <w:pPr>
              <w:spacing w:after="120" w:before="120" w:lineRule="auto"/>
              <w:rPr>
                <w:b w:val="1"/>
                <w:bCs w:val="1"/>
              </w:rPr>
            </w:pPr>
            <w:r w:rsidDel="00000000" w:rsidR="00000000" w:rsidRPr="00000000">
              <w:rPr>
                <w:b w:val="1"/>
                <w:bCs w:val="1"/>
                <w:rtl w:val="0"/>
              </w:rPr>
              <w:t xml:space="preserve">Student ID number:</w:t>
            </w:r>
          </w:p>
        </w:tc>
        <w:tc>
          <w:tcPr/>
          <w:p w:rsidR="00000000" w:rsidDel="00000000" w:rsidP="00000000" w:rsidRDefault="00000000" w:rsidRPr="00000000" w14:paraId="00000008">
            <w:pPr>
              <w:spacing w:after="120" w:before="120" w:lineRule="auto"/>
              <w:rPr>
                <w:b w:val="1"/>
                <w:bCs w:val="1"/>
              </w:rPr>
            </w:pPr>
            <w:r w:rsidDel="00000000" w:rsidR="00000000" w:rsidRPr="00000000">
              <w:rPr>
                <w:b w:val="1"/>
                <w:bCs w:val="1"/>
                <w:rtl w:val="0"/>
              </w:rPr>
              <w:t xml:space="preserve">2439522</w:t>
            </w:r>
          </w:p>
        </w:tc>
      </w:tr>
      <w:tr>
        <w:trPr>
          <w:cantSplit w:val="0"/>
          <w:tblHeader w:val="0"/>
        </w:trPr>
        <w:tc>
          <w:tcPr/>
          <w:p w:rsidR="00000000" w:rsidDel="00000000" w:rsidP="00000000" w:rsidRDefault="00000000" w:rsidRPr="00000000" w14:paraId="00000009">
            <w:pPr>
              <w:spacing w:after="120" w:before="120" w:lineRule="auto"/>
              <w:rPr>
                <w:b w:val="1"/>
                <w:bCs w:val="1"/>
              </w:rPr>
            </w:pPr>
            <w:r w:rsidDel="00000000" w:rsidR="00000000" w:rsidRPr="00000000">
              <w:rPr>
                <w:b w:val="1"/>
                <w:bCs w:val="1"/>
                <w:rtl w:val="0"/>
              </w:rPr>
              <w:t xml:space="preserve">Programme:</w:t>
            </w:r>
          </w:p>
        </w:tc>
        <w:tc>
          <w:tcPr>
            <w:gridSpan w:val="3"/>
          </w:tcPr>
          <w:p w:rsidR="00000000" w:rsidDel="00000000" w:rsidP="00000000" w:rsidRDefault="00000000" w:rsidRPr="00000000" w14:paraId="0000000A">
            <w:pPr>
              <w:spacing w:after="120" w:before="120" w:lineRule="auto"/>
              <w:rPr>
                <w:b w:val="1"/>
                <w:bCs w:val="1"/>
              </w:rPr>
            </w:pPr>
            <w:r w:rsidDel="00000000" w:rsidR="00000000" w:rsidRPr="00000000">
              <w:rPr>
                <w:rtl w:val="0"/>
              </w:rPr>
              <w:t xml:space="preserve">MBA</w:t>
            </w:r>
            <w:r w:rsidDel="00000000" w:rsidR="00000000" w:rsidRPr="00000000">
              <w:rPr>
                <w:rtl w:val="0"/>
              </w:rPr>
            </w:r>
          </w:p>
        </w:tc>
      </w:tr>
      <w:tr>
        <w:trPr>
          <w:cantSplit w:val="0"/>
          <w:tblHeader w:val="0"/>
        </w:trPr>
        <w:tc>
          <w:tcPr/>
          <w:p w:rsidR="00000000" w:rsidDel="00000000" w:rsidP="00000000" w:rsidRDefault="00000000" w:rsidRPr="00000000" w14:paraId="0000000D">
            <w:pPr>
              <w:spacing w:after="120" w:before="120" w:lineRule="auto"/>
              <w:rPr>
                <w:b w:val="1"/>
                <w:bCs w:val="1"/>
              </w:rPr>
            </w:pPr>
            <w:r w:rsidDel="00000000" w:rsidR="00000000" w:rsidRPr="00000000">
              <w:rPr>
                <w:b w:val="1"/>
                <w:bCs w:val="1"/>
                <w:rtl w:val="0"/>
              </w:rPr>
              <w:t xml:space="preserve">Module:</w:t>
            </w:r>
          </w:p>
        </w:tc>
        <w:tc>
          <w:tcPr>
            <w:gridSpan w:val="3"/>
          </w:tcPr>
          <w:p w:rsidR="00000000" w:rsidDel="00000000" w:rsidP="00000000" w:rsidRDefault="00000000" w:rsidRPr="00000000" w14:paraId="0000000E">
            <w:pPr>
              <w:spacing w:after="120" w:before="120" w:lineRule="auto"/>
              <w:rPr>
                <w:b w:val="1"/>
                <w:bCs w:val="1"/>
              </w:rPr>
            </w:pPr>
            <w:r w:rsidDel="00000000" w:rsidR="00000000" w:rsidRPr="00000000">
              <w:rPr>
                <w:rtl w:val="0"/>
              </w:rPr>
              <w:t xml:space="preserve">Finance for Business Managers</w:t>
            </w:r>
            <w:r w:rsidDel="00000000" w:rsidR="00000000" w:rsidRPr="00000000">
              <w:rPr>
                <w:rtl w:val="0"/>
              </w:rPr>
            </w:r>
          </w:p>
        </w:tc>
      </w:tr>
      <w:tr>
        <w:trPr>
          <w:cantSplit w:val="0"/>
          <w:tblHeader w:val="0"/>
        </w:trPr>
        <w:tc>
          <w:tcPr/>
          <w:p w:rsidR="00000000" w:rsidDel="00000000" w:rsidP="00000000" w:rsidRDefault="00000000" w:rsidRPr="00000000" w14:paraId="00000011">
            <w:pPr>
              <w:spacing w:after="120" w:before="120" w:lineRule="auto"/>
              <w:rPr>
                <w:b w:val="1"/>
                <w:bCs w:val="1"/>
              </w:rPr>
            </w:pPr>
            <w:r w:rsidDel="00000000" w:rsidR="00000000" w:rsidRPr="00000000">
              <w:rPr>
                <w:b w:val="1"/>
                <w:bCs w:val="1"/>
                <w:rtl w:val="0"/>
              </w:rPr>
              <w:t xml:space="preserve">Module code:</w:t>
            </w:r>
          </w:p>
        </w:tc>
        <w:tc>
          <w:tcPr/>
          <w:p w:rsidR="00000000" w:rsidDel="00000000" w:rsidP="00000000" w:rsidRDefault="00000000" w:rsidRPr="00000000" w14:paraId="00000012">
            <w:pPr>
              <w:spacing w:after="120" w:before="120" w:lineRule="auto"/>
              <w:rPr>
                <w:b w:val="1"/>
                <w:bCs w:val="1"/>
              </w:rPr>
            </w:pPr>
            <w:r w:rsidDel="00000000" w:rsidR="00000000" w:rsidRPr="00000000">
              <w:rPr>
                <w:rtl w:val="0"/>
              </w:rPr>
              <w:t xml:space="preserve">BMMB7005D</w:t>
            </w:r>
            <w:r w:rsidDel="00000000" w:rsidR="00000000" w:rsidRPr="00000000">
              <w:rPr>
                <w:rtl w:val="0"/>
              </w:rPr>
            </w:r>
          </w:p>
        </w:tc>
        <w:tc>
          <w:tcPr/>
          <w:p w:rsidR="00000000" w:rsidDel="00000000" w:rsidP="00000000" w:rsidRDefault="00000000" w:rsidRPr="00000000" w14:paraId="00000013">
            <w:pPr>
              <w:pStyle w:val="Heading2"/>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Contribution to Overall Module Assessment (%):</w:t>
            </w:r>
          </w:p>
        </w:tc>
        <w:tc>
          <w:tcPr/>
          <w:p w:rsidR="00000000" w:rsidDel="00000000" w:rsidP="00000000" w:rsidRDefault="00000000" w:rsidRPr="00000000" w14:paraId="00000014">
            <w:pPr>
              <w:spacing w:after="120" w:before="120" w:lineRule="auto"/>
              <w:rPr>
                <w:b w:val="1"/>
                <w:bCs w:val="1"/>
              </w:rPr>
            </w:pPr>
            <w:r w:rsidDel="00000000" w:rsidR="00000000" w:rsidRPr="00000000">
              <w:rPr>
                <w:rtl w:val="0"/>
              </w:rPr>
              <w:t xml:space="preserve">100%</w:t>
            </w:r>
            <w:r w:rsidDel="00000000" w:rsidR="00000000" w:rsidRPr="00000000">
              <w:rPr>
                <w:rtl w:val="0"/>
              </w:rPr>
            </w:r>
          </w:p>
        </w:tc>
      </w:tr>
      <w:tr>
        <w:trPr>
          <w:cantSplit w:val="0"/>
          <w:tblHeader w:val="0"/>
        </w:trPr>
        <w:tc>
          <w:tcPr/>
          <w:p w:rsidR="00000000" w:rsidDel="00000000" w:rsidP="00000000" w:rsidRDefault="00000000" w:rsidRPr="00000000" w14:paraId="00000015">
            <w:pPr>
              <w:spacing w:after="120" w:before="120" w:lineRule="auto"/>
              <w:rPr>
                <w:b w:val="1"/>
                <w:bCs w:val="1"/>
              </w:rPr>
            </w:pPr>
            <w:r w:rsidDel="00000000" w:rsidR="00000000" w:rsidRPr="00000000">
              <w:rPr>
                <w:b w:val="1"/>
                <w:bCs w:val="1"/>
                <w:rtl w:val="0"/>
              </w:rPr>
              <w:t xml:space="preserve">Lecturer:</w:t>
            </w:r>
          </w:p>
        </w:tc>
        <w:tc>
          <w:tcPr/>
          <w:p w:rsidR="00000000" w:rsidDel="00000000" w:rsidP="00000000" w:rsidRDefault="00000000" w:rsidRPr="00000000" w14:paraId="00000016">
            <w:pPr>
              <w:spacing w:after="120" w:before="120" w:lineRule="auto"/>
              <w:rPr>
                <w:b w:val="1"/>
                <w:bCs w:val="1"/>
              </w:rPr>
            </w:pPr>
            <w:r w:rsidDel="00000000" w:rsidR="00000000" w:rsidRPr="00000000">
              <w:rPr>
                <w:rtl w:val="0"/>
              </w:rPr>
              <w:t xml:space="preserve">Marie Pitson</w:t>
            </w:r>
            <w:r w:rsidDel="00000000" w:rsidR="00000000" w:rsidRPr="00000000">
              <w:rPr>
                <w:rtl w:val="0"/>
              </w:rPr>
            </w:r>
          </w:p>
        </w:tc>
        <w:tc>
          <w:tcPr/>
          <w:p w:rsidR="00000000" w:rsidDel="00000000" w:rsidP="00000000" w:rsidRDefault="00000000" w:rsidRPr="00000000" w14:paraId="00000017">
            <w:pPr>
              <w:spacing w:after="120" w:before="120" w:lineRule="auto"/>
              <w:rPr>
                <w:b w:val="1"/>
                <w:bCs w:val="1"/>
              </w:rPr>
            </w:pPr>
            <w:r w:rsidDel="00000000" w:rsidR="00000000" w:rsidRPr="00000000">
              <w:rPr>
                <w:b w:val="1"/>
                <w:bCs w:val="1"/>
                <w:rtl w:val="0"/>
              </w:rPr>
              <w:t xml:space="preserve">Internal Verifier:</w:t>
            </w:r>
          </w:p>
        </w:tc>
        <w:tc>
          <w:tcPr/>
          <w:p w:rsidR="00000000" w:rsidDel="00000000" w:rsidP="00000000" w:rsidRDefault="00000000" w:rsidRPr="00000000" w14:paraId="00000018">
            <w:pPr>
              <w:spacing w:after="120" w:before="120" w:lineRule="auto"/>
              <w:rPr>
                <w:b w:val="1"/>
                <w:bCs w:val="1"/>
              </w:rPr>
            </w:pPr>
            <w:r w:rsidDel="00000000" w:rsidR="00000000" w:rsidRPr="00000000">
              <w:rPr>
                <w:rtl w:val="0"/>
              </w:rPr>
              <w:t xml:space="preserve">Badir Miftah</w:t>
            </w:r>
            <w:r w:rsidDel="00000000" w:rsidR="00000000" w:rsidRPr="00000000">
              <w:rPr>
                <w:rtl w:val="0"/>
              </w:rPr>
            </w:r>
          </w:p>
        </w:tc>
      </w:tr>
      <w:tr>
        <w:trPr>
          <w:cantSplit w:val="0"/>
          <w:tblHeader w:val="0"/>
        </w:trPr>
        <w:tc>
          <w:tcPr/>
          <w:p w:rsidR="00000000" w:rsidDel="00000000" w:rsidP="00000000" w:rsidRDefault="00000000" w:rsidRPr="00000000" w14:paraId="00000019">
            <w:pPr>
              <w:spacing w:after="120" w:before="120" w:lineRule="auto"/>
              <w:rPr>
                <w:b w:val="1"/>
                <w:bCs w:val="1"/>
              </w:rPr>
            </w:pPr>
            <w:r w:rsidDel="00000000" w:rsidR="00000000" w:rsidRPr="00000000">
              <w:rPr>
                <w:b w:val="1"/>
                <w:bCs w:val="1"/>
                <w:rtl w:val="0"/>
              </w:rPr>
              <w:t xml:space="preserve">Assignment Title:</w:t>
            </w:r>
          </w:p>
        </w:tc>
        <w:tc>
          <w:tcPr/>
          <w:p w:rsidR="00000000" w:rsidDel="00000000" w:rsidP="00000000" w:rsidRDefault="00000000" w:rsidRPr="00000000" w14:paraId="0000001A">
            <w:pPr>
              <w:spacing w:after="120" w:before="120" w:lineRule="auto"/>
              <w:rPr/>
            </w:pPr>
            <w:r w:rsidDel="00000000" w:rsidR="00000000" w:rsidRPr="00000000">
              <w:rPr>
                <w:rtl w:val="0"/>
              </w:rPr>
              <w:t xml:space="preserve">Finance Report for Tesco PLC &amp; Westward Plc</w:t>
            </w:r>
          </w:p>
        </w:tc>
        <w:tc>
          <w:tcPr/>
          <w:p w:rsidR="00000000" w:rsidDel="00000000" w:rsidP="00000000" w:rsidRDefault="00000000" w:rsidRPr="00000000" w14:paraId="0000001B">
            <w:pPr>
              <w:spacing w:after="120" w:before="120" w:lineRule="auto"/>
              <w:rPr>
                <w:b w:val="1"/>
                <w:bCs w:val="1"/>
              </w:rPr>
            </w:pPr>
            <w:r w:rsidDel="00000000" w:rsidR="00000000" w:rsidRPr="00000000">
              <w:rPr>
                <w:b w:val="1"/>
                <w:bCs w:val="1"/>
                <w:rtl w:val="0"/>
              </w:rPr>
              <w:t xml:space="preserve">Word count (or equivalent):</w:t>
            </w:r>
          </w:p>
        </w:tc>
        <w:tc>
          <w:tcPr/>
          <w:p w:rsidR="00000000" w:rsidDel="00000000" w:rsidP="00000000" w:rsidRDefault="00000000" w:rsidRPr="00000000" w14:paraId="0000001C">
            <w:pPr>
              <w:spacing w:after="120" w:before="120" w:lineRule="auto"/>
              <w:rPr>
                <w:b w:val="1"/>
                <w:bCs w:val="1"/>
              </w:rPr>
            </w:pPr>
            <w:r w:rsidDel="00000000" w:rsidR="00000000" w:rsidRPr="00000000">
              <w:rPr>
                <w:rtl w:val="0"/>
              </w:rPr>
              <w:t xml:space="preserve">5000 words</w:t>
            </w:r>
            <w:r w:rsidDel="00000000" w:rsidR="00000000" w:rsidRPr="00000000">
              <w:rPr>
                <w:rtl w:val="0"/>
              </w:rPr>
            </w:r>
          </w:p>
        </w:tc>
      </w:tr>
      <w:tr>
        <w:trPr>
          <w:cantSplit w:val="0"/>
          <w:tblHeader w:val="0"/>
        </w:trPr>
        <w:tc>
          <w:tcPr/>
          <w:p w:rsidR="00000000" w:rsidDel="00000000" w:rsidP="00000000" w:rsidRDefault="00000000" w:rsidRPr="00000000" w14:paraId="0000001D">
            <w:pPr>
              <w:spacing w:after="120" w:before="120" w:lineRule="auto"/>
              <w:rPr>
                <w:b w:val="1"/>
                <w:bCs w:val="1"/>
              </w:rPr>
            </w:pPr>
            <w:r w:rsidDel="00000000" w:rsidR="00000000" w:rsidRPr="00000000">
              <w:rPr>
                <w:b w:val="1"/>
                <w:bCs w:val="1"/>
                <w:rtl w:val="0"/>
              </w:rPr>
              <w:t xml:space="preserve">Submission deadline:</w:t>
            </w:r>
          </w:p>
        </w:tc>
        <w:tc>
          <w:tcPr/>
          <w:p w:rsidR="00000000" w:rsidDel="00000000" w:rsidP="00000000" w:rsidRDefault="00000000" w:rsidRPr="00000000" w14:paraId="0000001E">
            <w:pPr>
              <w:spacing w:after="120" w:before="120" w:lineRule="auto"/>
              <w:rPr/>
            </w:pPr>
            <w:r w:rsidDel="00000000" w:rsidR="00000000" w:rsidRPr="00000000">
              <w:rPr>
                <w:rtl w:val="0"/>
              </w:rPr>
              <w:t xml:space="preserve">12</w:t>
            </w:r>
            <w:r w:rsidDel="00000000" w:rsidR="00000000" w:rsidRPr="00000000">
              <w:rPr>
                <w:vertAlign w:val="superscript"/>
                <w:rtl w:val="0"/>
              </w:rPr>
              <w:t xml:space="preserve">th</w:t>
            </w:r>
            <w:r w:rsidDel="00000000" w:rsidR="00000000" w:rsidRPr="00000000">
              <w:rPr>
                <w:rtl w:val="0"/>
              </w:rPr>
              <w:t xml:space="preserve"> January 2026</w:t>
            </w:r>
          </w:p>
        </w:tc>
        <w:tc>
          <w:tcPr/>
          <w:p w:rsidR="00000000" w:rsidDel="00000000" w:rsidP="00000000" w:rsidRDefault="00000000" w:rsidRPr="00000000" w14:paraId="0000001F">
            <w:pPr>
              <w:spacing w:after="120" w:before="120" w:lineRule="auto"/>
              <w:rPr>
                <w:b w:val="1"/>
                <w:bCs w:val="1"/>
              </w:rPr>
            </w:pPr>
            <w:r w:rsidDel="00000000" w:rsidR="00000000" w:rsidRPr="00000000">
              <w:rPr>
                <w:rtl w:val="0"/>
              </w:rPr>
            </w:r>
          </w:p>
        </w:tc>
        <w:tc>
          <w:tcPr/>
          <w:p w:rsidR="00000000" w:rsidDel="00000000" w:rsidP="00000000" w:rsidRDefault="00000000" w:rsidRPr="00000000" w14:paraId="00000020">
            <w:pPr>
              <w:spacing w:after="120" w:before="120" w:lineRule="auto"/>
              <w:rPr/>
            </w:pPr>
            <w:r w:rsidDel="00000000" w:rsidR="00000000" w:rsidRPr="00000000">
              <w:rPr>
                <w:rtl w:val="0"/>
              </w:rPr>
            </w:r>
          </w:p>
        </w:tc>
      </w:tr>
    </w:tbl>
    <w:p w:rsidR="00000000" w:rsidDel="00000000" w:rsidP="00000000" w:rsidRDefault="00000000" w:rsidRPr="00000000" w14:paraId="00000021">
      <w:pPr>
        <w:rPr>
          <w:sz w:val="32"/>
          <w:szCs w:val="32"/>
        </w:rPr>
      </w:pPr>
      <w:r w:rsidDel="00000000" w:rsidR="00000000" w:rsidRPr="00000000">
        <w:rPr>
          <w:rtl w:val="0"/>
        </w:rPr>
      </w:r>
    </w:p>
    <w:p w:rsidR="00000000" w:rsidDel="00000000" w:rsidP="00000000" w:rsidRDefault="00000000" w:rsidRPr="00000000" w14:paraId="00000022">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rPr/>
      </w:pPr>
      <w:bookmarkStart w:colFirst="0" w:colLast="0" w:name="_jietm6gmn279" w:id="0"/>
      <w:bookmarkEnd w:id="0"/>
      <w:r w:rsidDel="00000000" w:rsidR="00000000" w:rsidRPr="00000000">
        <w:rPr>
          <w:rtl w:val="0"/>
        </w:rPr>
        <w:t xml:space="preserve">Executive Summary </w:t>
      </w:r>
    </w:p>
    <w:p w:rsidR="00000000" w:rsidDel="00000000" w:rsidP="00000000" w:rsidRDefault="00000000" w:rsidRPr="00000000" w14:paraId="00000024">
      <w:pPr>
        <w:rPr/>
      </w:pPr>
      <w:r w:rsidDel="00000000" w:rsidR="00000000" w:rsidRPr="00000000">
        <w:rPr>
          <w:rtl w:val="0"/>
        </w:rPr>
        <w:t xml:space="preserve">This paper deals with the valuation of real options, capital rationing restrictions and other qualitative factors of managerial choices. This report presents an extensive financial analysis and investment evaluation in order to assist with the management decision process. Task 1 is expected to analyse the financial performance and the position of Tesco plc, a FTSE100 retailer (Gan and Yan, 2023). In order to do so, I found it necessary for me to analyse the ratio analysis data of the financial years 2024 and 2025. The analysis reveals mixed but overall improving execution. A spirited profitability return to the net level, especially via NP margin, ROA and ROE. Liquidity remained fragile with still negative working capital, supporting Tesco’s dependency on supplier financing, and a risk-prone practice within the retail grocery market. There was a modest increase in the gearing and efficiency ratios, reflecting sound management of capital structure and asset utilisation. Investor measures revealed significant growth in earnings and share price, which helped maximise value for the shareholders. Nonetheless, the analysis recognises criticisms of ratio analysis, including that it is based on historical data and on accounting conventions. Part 2 – Strategic investment appraisal for Westward Plc. There are three potential strategic investments that are to be discussed and evaluated in this part using discounted cash flow (DCF) analysis. NPV and IRR analysis iii) net present value (NPV), together with internal rate of return (IRR) (Dai et al., 2022). Option B: development of internet sales is the best project to undertake alone. The optimal investment plan is to fully undertake Options A and B, and partially undertake Option C when the firm is under a capital constraint, where total NPV would be maximised. Based on the above analysis, the study proposes a reasonable company interweaving policy balance of retained earnings and an appropriate level of debt to help promote sustainable growth and control financial results.</w:t>
      </w:r>
      <w:r w:rsidDel="00000000" w:rsidR="00000000" w:rsidRPr="00000000">
        <w:br w:type="page"/>
      </w:r>
      <w:r w:rsidDel="00000000" w:rsidR="00000000" w:rsidRPr="00000000">
        <w:rPr>
          <w:rtl w:val="0"/>
        </w:rPr>
      </w:r>
    </w:p>
    <w:p w:rsidR="00000000" w:rsidDel="00000000" w:rsidP="00000000" w:rsidRDefault="00000000" w:rsidRPr="00000000" w14:paraId="0000002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Play" w:cs="Play" w:eastAsia="Play" w:hAnsi="Play"/>
          <w:b w:val="0"/>
          <w:bCs w:val="0"/>
          <w:i w:val="0"/>
          <w:iCs w:val="0"/>
          <w:smallCaps w:val="0"/>
          <w:strike w:val="0"/>
          <w:color w:val="0f4761"/>
          <w:sz w:val="32"/>
          <w:szCs w:val="32"/>
          <w:u w:val="none"/>
          <w:shd w:fill="auto" w:val="clear"/>
          <w:vertAlign w:val="baseline"/>
        </w:rPr>
      </w:pPr>
      <w:r w:rsidDel="00000000" w:rsidR="00000000" w:rsidRPr="00000000">
        <w:rPr>
          <w:rFonts w:ascii="Play" w:cs="Play" w:eastAsia="Play" w:hAnsi="Play"/>
          <w:b w:val="0"/>
          <w:bCs w:val="0"/>
          <w:i w:val="0"/>
          <w:iCs w:val="0"/>
          <w:smallCaps w:val="0"/>
          <w:strike w:val="0"/>
          <w:color w:val="0f4761"/>
          <w:sz w:val="32"/>
          <w:szCs w:val="32"/>
          <w:u w:val="none"/>
          <w:shd w:fill="auto" w:val="clear"/>
          <w:vertAlign w:val="baseline"/>
          <w:rtl w:val="0"/>
        </w:rPr>
        <w:t xml:space="preserve">Contents</w:t>
      </w:r>
    </w:p>
    <w:sdt>
      <w:sdtPr>
        <w:id w:val="329363727"/>
        <w:docPartObj>
          <w:docPartGallery w:val="Table of Contents"/>
          <w:docPartUnique w:val="1"/>
        </w:docPartObj>
      </w:sdtPr>
      <w:sdtContent>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jietm6gmn27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7qoiwc2t6d1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7wmkbb2zi46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Financial Ratio Analysis</w:t>
              <w:tab/>
              <w:t xml:space="preserve">5</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2ybrfq7dwgt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Critical Evaluation of Ratio Changes and Limitations</w:t>
              <w:tab/>
              <w:t xml:space="preserve">13</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qdni12o0psf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Recommendations for Improving Financial Management</w:t>
              <w:tab/>
              <w:t xml:space="preserve">14</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owqbi13tkn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Part 02</w:t>
              <w:tab/>
              <w:t xml:space="preserve">15</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ms91tejv7ic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Introduction</w:t>
              <w:tab/>
              <w:t xml:space="preserve">15</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i4lg8kpkk8x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Overview of the Investment Proposals</w:t>
              <w:tab/>
              <w:t xml:space="preserve">15</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gbvfjx41b1l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Assumptions Used in the Analysis</w:t>
              <w:tab/>
              <w:t xml:space="preserve">16</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b97r1xmr5mw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Investment Appraisal Technique: Net Present Value (NPV)</w:t>
              <w:tab/>
              <w:t xml:space="preserve">16</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3k4rf453ngp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Rationale for Using NPV</w:t>
              <w:tab/>
              <w:t xml:space="preserve">16</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tb339jjep3v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Detailed NPV Calculations</w:t>
              <w:tab/>
              <w:t xml:space="preserve">17</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lqcnbafw8ji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5.1 After-Tax Cash Flow Calculation</w:t>
              <w:tab/>
              <w:t xml:space="preserve">17</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4iy5trl44ud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5.2 Option A: Expansion of Retail Outlet</w:t>
              <w:tab/>
              <w:t xml:space="preserve">17</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1200"/>
              <w:tab w:val="right" w:leader="dot" w:pos="9016"/>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898t91i7dyn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5.3</w:t>
              <w:tab/>
              <w:t xml:space="preserve">Option B: Development of Internet Sales</w:t>
              <w:tab/>
              <w:t xml:space="preserve">17</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grbnwse373x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5.4 Option C: Wooden and Roman Blinds</w:t>
              <w:tab/>
              <w:t xml:space="preserve">18</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pn87hnwbfyy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NPV-Based Recommendation</w:t>
              <w:tab/>
              <w:t xml:space="preserve">18</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720"/>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we2gd6pgtoq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7.</w:t>
              <w:tab/>
              <w:t xml:space="preserve">Internal Rate of Return (IRR) – Detailed Formula and Calculation (Option B)</w:t>
              <w:tab/>
              <w:t xml:space="preserve">18</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mmy1e7q8b7m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8. Interpretation of Results for Management</w:t>
              <w:tab/>
              <w:t xml:space="preserve">20</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720"/>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mg682ga0mj0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9.</w:t>
              <w:tab/>
              <w:t xml:space="preserve">Capital Rationing: Funds Limited to £2,500,000 (Projects Divisible)</w:t>
              <w:tab/>
              <w:t xml:space="preserve">21</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48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7mjdkzphull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Step 3: Total NPV Under Capital Rationing</w:t>
              <w:tab/>
              <w:t xml:space="preserve">22</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txj7a55ok52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24</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y0fprberwe9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Appendices</w:t>
              <w:tab/>
              <w:t xml:space="preserve">30</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56k9ra7hdxq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Income Statement</w:t>
              <w:tab/>
              <w:t xml:space="preserve">30</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ugyyr4sb1no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Balance Sheet</w:t>
              <w:tab/>
              <w:t xml:space="preserve">31</w:t>
            </w:r>
          </w:hyperlink>
          <w:r w:rsidDel="00000000" w:rsidR="00000000" w:rsidRPr="00000000">
            <w:rPr>
              <w:rtl w:val="0"/>
            </w:rPr>
          </w:r>
        </w:p>
        <w:p w:rsidR="00000000" w:rsidDel="00000000" w:rsidP="00000000" w:rsidRDefault="00000000" w:rsidRPr="00000000" w14:paraId="0000003F">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0">
      <w:pPr>
        <w:pStyle w:val="Heading1"/>
        <w:rPr/>
      </w:pPr>
      <w:bookmarkStart w:colFirst="0" w:colLast="0" w:name="_7qoiwc2t6d11" w:id="1"/>
      <w:bookmarkEnd w:id="1"/>
      <w:r w:rsidDel="00000000" w:rsidR="00000000" w:rsidRPr="00000000">
        <w:rPr>
          <w:rtl w:val="0"/>
        </w:rPr>
        <w:t xml:space="preserve">Introduction</w:t>
      </w:r>
    </w:p>
    <w:p w:rsidR="00000000" w:rsidDel="00000000" w:rsidP="00000000" w:rsidRDefault="00000000" w:rsidRPr="00000000" w14:paraId="00000041">
      <w:pPr>
        <w:rPr/>
      </w:pPr>
      <w:r w:rsidDel="00000000" w:rsidR="00000000" w:rsidRPr="00000000">
        <w:rPr>
          <w:rtl w:val="0"/>
        </w:rPr>
        <w:t xml:space="preserve">The report has been written to the Board of Directors of Tesco plc with the aim of reviewing the financial performance of the company and its financial position in order to make informed decisions on the managerial side. The primary tool of analysis is the financial ratio analysis because it allows the directors to evaluate the profitability, efficiency, liquidity, gearing, and performance of the investors over a period of time and determine the new strengths, weaknesses, and financial risks. Tesco plc is a member of the FTSE 100 Index and listed on the London Stock Exchange (London Stock Exchange, 2025). It is the largest market share food retailer in the United Kingdom with a high volume and low margin business model that operates in large format stores, convenience stores and online grocery stores. Besides the main UK business, the Group has some select international operations which earn fairly stable revenues and cash flows typical of the supermarket business. The report has analysed the financial years, which ended on 2024 and 2025, using data obtained from Tesco plc's audited consolidated annual reports, which were prepared over the International Financial Reporting Standards (IFRS) (Ismail, 2018). The report will assess profitability, liquidity, gearing, efficiency and investor ratios in the past two years, consisting of trend analysis and critical interpretation. Although the ratio analysis can be used to offer good information on financial performance, the report acknowledges that it has its inherent limitations and would negotiate cautious interpretation when making strategic conclusions and recommendations. Tesco plc is a UK-based multinational general merchandise and grocery retailer that has its headquarters in the United Kingdom and is traded on the London Stock Exchange. It is a part of the FTSE 100 Index and is the biggest chain of supermarkets in the UK in terms of market share. The Group runs on a diversified retail platform that includes large-format superstores, convenience stores, and a well-developed platform of online grocery stores. The operations of Tesco are centred in the UK with some international activities that are not fully deployed, and the business model is characterised by high sales volume, comparatively low operating margins, and a good cash generator (Tesco PLC, 2025). A mature retailer in a competitive industry, financial management, especially in terms of control of costs, working capital management, and capital structure, is of paramount importance to the maintenance of profitability and shareholder value.</w:t>
      </w:r>
      <w:r w:rsidDel="00000000" w:rsidR="00000000" w:rsidRPr="00000000">
        <w:br w:type="page"/>
      </w:r>
      <w:r w:rsidDel="00000000" w:rsidR="00000000" w:rsidRPr="00000000">
        <w:rPr>
          <w:rtl w:val="0"/>
        </w:rPr>
      </w:r>
    </w:p>
    <w:p w:rsidR="00000000" w:rsidDel="00000000" w:rsidP="00000000" w:rsidRDefault="00000000" w:rsidRPr="00000000" w14:paraId="00000042">
      <w:pPr>
        <w:pStyle w:val="Heading2"/>
        <w:rPr/>
      </w:pPr>
      <w:bookmarkStart w:colFirst="0" w:colLast="0" w:name="_7wmkbb2zi46m" w:id="2"/>
      <w:bookmarkEnd w:id="2"/>
      <w:r w:rsidDel="00000000" w:rsidR="00000000" w:rsidRPr="00000000">
        <w:rPr>
          <w:rtl w:val="0"/>
        </w:rPr>
        <w:t xml:space="preserve">Financial Ratio Analysis </w:t>
      </w:r>
    </w:p>
    <w:p w:rsidR="00000000" w:rsidDel="00000000" w:rsidP="00000000" w:rsidRDefault="00000000" w:rsidRPr="00000000" w14:paraId="0000004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Profitability Ratio Analysis </w:t>
      </w:r>
    </w:p>
    <w:p w:rsidR="00000000" w:rsidDel="00000000" w:rsidP="00000000" w:rsidRDefault="00000000" w:rsidRPr="00000000" w14:paraId="00000044">
      <w:pPr>
        <w:rPr/>
      </w:pPr>
      <w:r w:rsidDel="00000000" w:rsidR="00000000" w:rsidRPr="00000000">
        <w:rPr>
          <w:rtl w:val="0"/>
        </w:rPr>
        <w:t xml:space="preserve">Profitability ratios are used to evaluate the potential of a company to make profits out of the revenues, assets and equity (Vipond, 2024). They show the level of efficiency with which the management is utilising the resources of the firm to generate value to the shareholders while managing the costs. Profitability ratios are important to the directors as it brings to view the sustainability of earnings, operational efficiency, and effectiveness of strategic and financial decisions. An increase or better profitability ratios usually indicate the presence of better financial performance whereas a decrease in ratios can be indicative of increased costs, price pressure or inefficiencies in the business.</w:t>
      </w:r>
    </w:p>
    <w:p w:rsidR="00000000" w:rsidDel="00000000" w:rsidP="00000000" w:rsidRDefault="00000000" w:rsidRPr="00000000" w14:paraId="00000045">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Table 1: Profitability Ratio</w:t>
      </w:r>
    </w:p>
    <w:tbl>
      <w:tblPr>
        <w:tblStyle w:val="Table2"/>
        <w:tblW w:w="9016.0" w:type="dxa"/>
        <w:jc w:val="left"/>
        <w:tblBorders>
          <w:top w:color="999999" w:space="0" w:sz="4" w:val="single"/>
          <w:left w:color="999999" w:space="0" w:sz="4" w:val="single"/>
          <w:bottom w:color="999999" w:space="0" w:sz="4" w:val="single"/>
          <w:right w:color="999999" w:space="0" w:sz="4" w:val="single"/>
          <w:insideH w:color="999999" w:space="0" w:sz="4" w:val="single"/>
          <w:insideV w:color="999999" w:space="0" w:sz="4" w:val="single"/>
        </w:tblBorders>
        <w:tblLayout w:type="fixed"/>
        <w:tblLook w:val="04A0"/>
      </w:tblPr>
      <w:tblGrid>
        <w:gridCol w:w="2274"/>
        <w:gridCol w:w="2758"/>
        <w:gridCol w:w="1478"/>
        <w:gridCol w:w="1478"/>
        <w:gridCol w:w="1028"/>
        <w:tblGridChange w:id="0">
          <w:tblGrid>
            <w:gridCol w:w="2274"/>
            <w:gridCol w:w="2758"/>
            <w:gridCol w:w="1478"/>
            <w:gridCol w:w="1478"/>
            <w:gridCol w:w="1028"/>
          </w:tblGrid>
        </w:tblGridChange>
      </w:tblGrid>
      <w:tr>
        <w:trPr>
          <w:cantSplit w:val="0"/>
          <w:tblHeader w:val="0"/>
        </w:trPr>
        <w:tc>
          <w:tcPr/>
          <w:p w:rsidR="00000000" w:rsidDel="00000000" w:rsidP="00000000" w:rsidRDefault="00000000" w:rsidRPr="00000000" w14:paraId="00000046">
            <w:pPr>
              <w:rPr/>
            </w:pPr>
            <w:r w:rsidDel="00000000" w:rsidR="00000000" w:rsidRPr="00000000">
              <w:rPr>
                <w:rtl w:val="0"/>
              </w:rPr>
              <w:t xml:space="preserve">Profitability Ratio</w:t>
            </w:r>
          </w:p>
        </w:tc>
        <w:tc>
          <w:tcPr/>
          <w:p w:rsidR="00000000" w:rsidDel="00000000" w:rsidP="00000000" w:rsidRDefault="00000000" w:rsidRPr="00000000" w14:paraId="00000047">
            <w:pPr>
              <w:rPr/>
            </w:pPr>
            <w:r w:rsidDel="00000000" w:rsidR="00000000" w:rsidRPr="00000000">
              <w:rPr>
                <w:rtl w:val="0"/>
              </w:rPr>
              <w:t xml:space="preserve">Breakdown (Formula Components)</w:t>
            </w:r>
          </w:p>
        </w:tc>
        <w:tc>
          <w:tcPr/>
          <w:p w:rsidR="00000000" w:rsidDel="00000000" w:rsidP="00000000" w:rsidRDefault="00000000" w:rsidRPr="00000000" w14:paraId="00000048">
            <w:pPr>
              <w:rPr/>
            </w:pPr>
            <w:r w:rsidDel="00000000" w:rsidR="00000000" w:rsidRPr="00000000">
              <w:rPr>
                <w:rtl w:val="0"/>
              </w:rPr>
              <w:t xml:space="preserve">2025</w:t>
            </w:r>
          </w:p>
        </w:tc>
        <w:tc>
          <w:tcPr/>
          <w:p w:rsidR="00000000" w:rsidDel="00000000" w:rsidP="00000000" w:rsidRDefault="00000000" w:rsidRPr="00000000" w14:paraId="00000049">
            <w:pPr>
              <w:rPr/>
            </w:pPr>
            <w:r w:rsidDel="00000000" w:rsidR="00000000" w:rsidRPr="00000000">
              <w:rPr>
                <w:rtl w:val="0"/>
              </w:rPr>
              <w:t xml:space="preserve">2024</w:t>
            </w:r>
          </w:p>
        </w:tc>
        <w:tc>
          <w:tcPr/>
          <w:p w:rsidR="00000000" w:rsidDel="00000000" w:rsidP="00000000" w:rsidRDefault="00000000" w:rsidRPr="00000000" w14:paraId="0000004A">
            <w:pPr>
              <w:rPr/>
            </w:pPr>
            <w:r w:rsidDel="00000000" w:rsidR="00000000" w:rsidRPr="00000000">
              <w:rPr>
                <w:rtl w:val="0"/>
              </w:rPr>
              <w:t xml:space="preserve">Trend</w:t>
            </w:r>
          </w:p>
        </w:tc>
      </w:tr>
      <w:tr>
        <w:trPr>
          <w:cantSplit w:val="0"/>
          <w:tblHeader w:val="0"/>
        </w:trPr>
        <w:tc>
          <w:tcPr/>
          <w:p w:rsidR="00000000" w:rsidDel="00000000" w:rsidP="00000000" w:rsidRDefault="00000000" w:rsidRPr="00000000" w14:paraId="0000004B">
            <w:pPr>
              <w:rPr/>
            </w:pPr>
            <w:r w:rsidDel="00000000" w:rsidR="00000000" w:rsidRPr="00000000">
              <w:rPr>
                <w:rtl w:val="0"/>
              </w:rPr>
              <w:t xml:space="preserve">Gross Profit Margin</w:t>
            </w:r>
          </w:p>
        </w:tc>
        <w:tc>
          <w:tcPr/>
          <w:p w:rsidR="00000000" w:rsidDel="00000000" w:rsidP="00000000" w:rsidRDefault="00000000" w:rsidRPr="00000000" w14:paraId="0000004C">
            <w:pPr>
              <w:rPr/>
            </w:pPr>
            <w:r w:rsidDel="00000000" w:rsidR="00000000" w:rsidRPr="00000000">
              <w:rPr>
                <w:rtl w:val="0"/>
              </w:rPr>
              <w:t xml:space="preserve">Gross Profit ÷ Revenue</w:t>
            </w:r>
          </w:p>
        </w:tc>
        <w:tc>
          <w:tcPr/>
          <w:p w:rsidR="00000000" w:rsidDel="00000000" w:rsidP="00000000" w:rsidRDefault="00000000" w:rsidRPr="00000000" w14:paraId="0000004D">
            <w:pPr>
              <w:rPr/>
            </w:pPr>
            <w:r w:rsidDel="00000000" w:rsidR="00000000" w:rsidRPr="00000000">
              <w:rPr>
                <w:rtl w:val="0"/>
              </w:rPr>
              <w:t xml:space="preserve">5,051 ÷ 69,916 = 7.22%</w:t>
            </w:r>
          </w:p>
        </w:tc>
        <w:tc>
          <w:tcPr/>
          <w:p w:rsidR="00000000" w:rsidDel="00000000" w:rsidP="00000000" w:rsidRDefault="00000000" w:rsidRPr="00000000" w14:paraId="0000004E">
            <w:pPr>
              <w:rPr/>
            </w:pPr>
            <w:r w:rsidDel="00000000" w:rsidR="00000000" w:rsidRPr="00000000">
              <w:rPr>
                <w:rtl w:val="0"/>
              </w:rPr>
              <w:t xml:space="preserve">4,849 ÷ 68,187 = 7.11%</w:t>
            </w:r>
          </w:p>
        </w:tc>
        <w:tc>
          <w:tcPr/>
          <w:p w:rsidR="00000000" w:rsidDel="00000000" w:rsidP="00000000" w:rsidRDefault="00000000" w:rsidRPr="00000000" w14:paraId="0000004F">
            <w:pPr>
              <w:rPr/>
            </w:pPr>
            <w:r w:rsidDel="00000000" w:rsidR="00000000" w:rsidRPr="00000000">
              <w:rPr>
                <w:rtl w:val="0"/>
              </w:rPr>
              <w:t xml:space="preserve">Up ↑</w:t>
            </w:r>
          </w:p>
        </w:tc>
      </w:tr>
      <w:tr>
        <w:trPr>
          <w:cantSplit w:val="0"/>
          <w:tblHeader w:val="0"/>
        </w:trPr>
        <w:tc>
          <w:tcPr/>
          <w:p w:rsidR="00000000" w:rsidDel="00000000" w:rsidP="00000000" w:rsidRDefault="00000000" w:rsidRPr="00000000" w14:paraId="00000050">
            <w:pPr>
              <w:rPr/>
            </w:pPr>
            <w:r w:rsidDel="00000000" w:rsidR="00000000" w:rsidRPr="00000000">
              <w:rPr>
                <w:rtl w:val="0"/>
              </w:rPr>
              <w:t xml:space="preserve">Operating Profit Margin</w:t>
            </w:r>
          </w:p>
        </w:tc>
        <w:tc>
          <w:tcPr/>
          <w:p w:rsidR="00000000" w:rsidDel="00000000" w:rsidP="00000000" w:rsidRDefault="00000000" w:rsidRPr="00000000" w14:paraId="00000051">
            <w:pPr>
              <w:rPr/>
            </w:pPr>
            <w:r w:rsidDel="00000000" w:rsidR="00000000" w:rsidRPr="00000000">
              <w:rPr>
                <w:rtl w:val="0"/>
              </w:rPr>
              <w:t xml:space="preserve">Operating Profit ÷ Revenue</w:t>
            </w:r>
          </w:p>
        </w:tc>
        <w:tc>
          <w:tcPr/>
          <w:p w:rsidR="00000000" w:rsidDel="00000000" w:rsidP="00000000" w:rsidRDefault="00000000" w:rsidRPr="00000000" w14:paraId="00000052">
            <w:pPr>
              <w:rPr/>
            </w:pPr>
            <w:r w:rsidDel="00000000" w:rsidR="00000000" w:rsidRPr="00000000">
              <w:rPr>
                <w:rtl w:val="0"/>
              </w:rPr>
              <w:t xml:space="preserve">2,711 ÷ 69,916 = 3.88%</w:t>
            </w:r>
          </w:p>
        </w:tc>
        <w:tc>
          <w:tcPr/>
          <w:p w:rsidR="00000000" w:rsidDel="00000000" w:rsidP="00000000" w:rsidRDefault="00000000" w:rsidRPr="00000000" w14:paraId="00000053">
            <w:pPr>
              <w:rPr/>
            </w:pPr>
            <w:r w:rsidDel="00000000" w:rsidR="00000000" w:rsidRPr="00000000">
              <w:rPr>
                <w:rtl w:val="0"/>
              </w:rPr>
              <w:t xml:space="preserve">2,821 ÷ 68,187 = 4.14%</w:t>
            </w:r>
          </w:p>
        </w:tc>
        <w:tc>
          <w:tcPr/>
          <w:p w:rsidR="00000000" w:rsidDel="00000000" w:rsidP="00000000" w:rsidRDefault="00000000" w:rsidRPr="00000000" w14:paraId="00000054">
            <w:pPr>
              <w:rPr/>
            </w:pPr>
            <w:r w:rsidDel="00000000" w:rsidR="00000000" w:rsidRPr="00000000">
              <w:rPr>
                <w:rtl w:val="0"/>
              </w:rPr>
              <w:t xml:space="preserve">Down ↓</w:t>
            </w:r>
          </w:p>
        </w:tc>
      </w:tr>
      <w:tr>
        <w:trPr>
          <w:cantSplit w:val="0"/>
          <w:tblHeader w:val="0"/>
        </w:trPr>
        <w:tc>
          <w:tcPr/>
          <w:p w:rsidR="00000000" w:rsidDel="00000000" w:rsidP="00000000" w:rsidRDefault="00000000" w:rsidRPr="00000000" w14:paraId="00000055">
            <w:pPr>
              <w:rPr/>
            </w:pPr>
            <w:r w:rsidDel="00000000" w:rsidR="00000000" w:rsidRPr="00000000">
              <w:rPr>
                <w:rtl w:val="0"/>
              </w:rPr>
              <w:t xml:space="preserve">Net Profit Margin</w:t>
            </w:r>
          </w:p>
        </w:tc>
        <w:tc>
          <w:tcPr/>
          <w:p w:rsidR="00000000" w:rsidDel="00000000" w:rsidP="00000000" w:rsidRDefault="00000000" w:rsidRPr="00000000" w14:paraId="00000056">
            <w:pPr>
              <w:rPr/>
            </w:pPr>
            <w:r w:rsidDel="00000000" w:rsidR="00000000" w:rsidRPr="00000000">
              <w:rPr>
                <w:rtl w:val="0"/>
              </w:rPr>
              <w:t xml:space="preserve">Profit for the Year ÷ Revenue</w:t>
            </w:r>
          </w:p>
        </w:tc>
        <w:tc>
          <w:tcPr/>
          <w:p w:rsidR="00000000" w:rsidDel="00000000" w:rsidP="00000000" w:rsidRDefault="00000000" w:rsidRPr="00000000" w14:paraId="00000057">
            <w:pPr>
              <w:rPr/>
            </w:pPr>
            <w:r w:rsidDel="00000000" w:rsidR="00000000" w:rsidRPr="00000000">
              <w:rPr>
                <w:rtl w:val="0"/>
              </w:rPr>
              <w:t xml:space="preserve">1,630 ÷ 69,916 = 2.33%</w:t>
            </w:r>
          </w:p>
        </w:tc>
        <w:tc>
          <w:tcPr/>
          <w:p w:rsidR="00000000" w:rsidDel="00000000" w:rsidP="00000000" w:rsidRDefault="00000000" w:rsidRPr="00000000" w14:paraId="00000058">
            <w:pPr>
              <w:rPr/>
            </w:pPr>
            <w:r w:rsidDel="00000000" w:rsidR="00000000" w:rsidRPr="00000000">
              <w:rPr>
                <w:rtl w:val="0"/>
              </w:rPr>
              <w:t xml:space="preserve">1,192 ÷ 68,187 = 1.75%</w:t>
            </w:r>
          </w:p>
        </w:tc>
        <w:tc>
          <w:tcPr/>
          <w:p w:rsidR="00000000" w:rsidDel="00000000" w:rsidP="00000000" w:rsidRDefault="00000000" w:rsidRPr="00000000" w14:paraId="00000059">
            <w:pPr>
              <w:rPr/>
            </w:pPr>
            <w:r w:rsidDel="00000000" w:rsidR="00000000" w:rsidRPr="00000000">
              <w:rPr>
                <w:rtl w:val="0"/>
              </w:rPr>
              <w:t xml:space="preserve">Up ↑</w:t>
            </w:r>
          </w:p>
        </w:tc>
      </w:tr>
      <w:tr>
        <w:trPr>
          <w:cantSplit w:val="0"/>
          <w:tblHeader w:val="0"/>
        </w:trPr>
        <w:tc>
          <w:tcPr/>
          <w:p w:rsidR="00000000" w:rsidDel="00000000" w:rsidP="00000000" w:rsidRDefault="00000000" w:rsidRPr="00000000" w14:paraId="0000005A">
            <w:pPr>
              <w:rPr/>
            </w:pPr>
            <w:r w:rsidDel="00000000" w:rsidR="00000000" w:rsidRPr="00000000">
              <w:rPr>
                <w:rtl w:val="0"/>
              </w:rPr>
              <w:t xml:space="preserve">Return on Assets (ROA)</w:t>
            </w:r>
          </w:p>
        </w:tc>
        <w:tc>
          <w:tcPr/>
          <w:p w:rsidR="00000000" w:rsidDel="00000000" w:rsidP="00000000" w:rsidRDefault="00000000" w:rsidRPr="00000000" w14:paraId="0000005B">
            <w:pPr>
              <w:rPr/>
            </w:pPr>
            <w:r w:rsidDel="00000000" w:rsidR="00000000" w:rsidRPr="00000000">
              <w:rPr>
                <w:rtl w:val="0"/>
              </w:rPr>
              <w:t xml:space="preserve">Profit for the Year ÷ Total Assets</w:t>
            </w:r>
          </w:p>
        </w:tc>
        <w:tc>
          <w:tcPr/>
          <w:p w:rsidR="00000000" w:rsidDel="00000000" w:rsidP="00000000" w:rsidRDefault="00000000" w:rsidRPr="00000000" w14:paraId="0000005C">
            <w:pPr>
              <w:rPr/>
            </w:pPr>
            <w:r w:rsidDel="00000000" w:rsidR="00000000" w:rsidRPr="00000000">
              <w:rPr>
                <w:rtl w:val="0"/>
              </w:rPr>
              <w:t xml:space="preserve">1,630 ÷ 38,840 = 4.20%</w:t>
            </w:r>
          </w:p>
        </w:tc>
        <w:tc>
          <w:tcPr/>
          <w:p w:rsidR="00000000" w:rsidDel="00000000" w:rsidP="00000000" w:rsidRDefault="00000000" w:rsidRPr="00000000" w14:paraId="0000005D">
            <w:pPr>
              <w:rPr/>
            </w:pPr>
            <w:r w:rsidDel="00000000" w:rsidR="00000000" w:rsidRPr="00000000">
              <w:rPr>
                <w:rtl w:val="0"/>
              </w:rPr>
              <w:t xml:space="preserve">1,192 ÷ 39,256 = 3.04%</w:t>
            </w:r>
          </w:p>
        </w:tc>
        <w:tc>
          <w:tcPr/>
          <w:p w:rsidR="00000000" w:rsidDel="00000000" w:rsidP="00000000" w:rsidRDefault="00000000" w:rsidRPr="00000000" w14:paraId="0000005E">
            <w:pPr>
              <w:rPr/>
            </w:pPr>
            <w:r w:rsidDel="00000000" w:rsidR="00000000" w:rsidRPr="00000000">
              <w:rPr>
                <w:rtl w:val="0"/>
              </w:rPr>
              <w:t xml:space="preserve">Up ↑</w:t>
            </w:r>
          </w:p>
        </w:tc>
      </w:tr>
      <w:tr>
        <w:trPr>
          <w:cantSplit w:val="0"/>
          <w:tblHeader w:val="0"/>
        </w:trPr>
        <w:tc>
          <w:tcPr/>
          <w:p w:rsidR="00000000" w:rsidDel="00000000" w:rsidP="00000000" w:rsidRDefault="00000000" w:rsidRPr="00000000" w14:paraId="0000005F">
            <w:pPr>
              <w:rPr/>
            </w:pPr>
            <w:r w:rsidDel="00000000" w:rsidR="00000000" w:rsidRPr="00000000">
              <w:rPr>
                <w:rtl w:val="0"/>
              </w:rPr>
              <w:t xml:space="preserve">Return on Equity (ROE)</w:t>
            </w:r>
          </w:p>
        </w:tc>
        <w:tc>
          <w:tcPr/>
          <w:p w:rsidR="00000000" w:rsidDel="00000000" w:rsidP="00000000" w:rsidRDefault="00000000" w:rsidRPr="00000000" w14:paraId="00000060">
            <w:pPr>
              <w:rPr/>
            </w:pPr>
            <w:r w:rsidDel="00000000" w:rsidR="00000000" w:rsidRPr="00000000">
              <w:rPr>
                <w:rtl w:val="0"/>
              </w:rPr>
              <w:t xml:space="preserve">Profit for the Year ÷ Total Equity</w:t>
            </w:r>
          </w:p>
        </w:tc>
        <w:tc>
          <w:tcPr/>
          <w:p w:rsidR="00000000" w:rsidDel="00000000" w:rsidP="00000000" w:rsidRDefault="00000000" w:rsidRPr="00000000" w14:paraId="00000061">
            <w:pPr>
              <w:rPr/>
            </w:pPr>
            <w:r w:rsidDel="00000000" w:rsidR="00000000" w:rsidRPr="00000000">
              <w:rPr>
                <w:rtl w:val="0"/>
              </w:rPr>
              <w:t xml:space="preserve">1,630 ÷ 11,662 = 13.98%</w:t>
            </w:r>
          </w:p>
        </w:tc>
        <w:tc>
          <w:tcPr/>
          <w:p w:rsidR="00000000" w:rsidDel="00000000" w:rsidP="00000000" w:rsidRDefault="00000000" w:rsidRPr="00000000" w14:paraId="00000062">
            <w:pPr>
              <w:rPr/>
            </w:pPr>
            <w:r w:rsidDel="00000000" w:rsidR="00000000" w:rsidRPr="00000000">
              <w:rPr>
                <w:rtl w:val="0"/>
              </w:rPr>
              <w:t xml:space="preserve">1,192 ÷ 11,665 = 10.22%</w:t>
            </w:r>
          </w:p>
        </w:tc>
        <w:tc>
          <w:tcPr/>
          <w:p w:rsidR="00000000" w:rsidDel="00000000" w:rsidP="00000000" w:rsidRDefault="00000000" w:rsidRPr="00000000" w14:paraId="00000063">
            <w:pPr>
              <w:rPr/>
            </w:pPr>
            <w:r w:rsidDel="00000000" w:rsidR="00000000" w:rsidRPr="00000000">
              <w:rPr>
                <w:rtl w:val="0"/>
              </w:rPr>
              <w:t xml:space="preserve">Up ↑</w:t>
            </w:r>
          </w:p>
        </w:tc>
      </w:tr>
      <w:tr>
        <w:trPr>
          <w:cantSplit w:val="0"/>
          <w:tblHeader w:val="0"/>
        </w:trPr>
        <w:tc>
          <w:tcPr/>
          <w:p w:rsidR="00000000" w:rsidDel="00000000" w:rsidP="00000000" w:rsidRDefault="00000000" w:rsidRPr="00000000" w14:paraId="00000064">
            <w:pPr>
              <w:rPr/>
            </w:pPr>
            <w:r w:rsidDel="00000000" w:rsidR="00000000" w:rsidRPr="00000000">
              <w:rPr>
                <w:rtl w:val="0"/>
              </w:rPr>
              <w:t xml:space="preserve">Return on Capital Employed (ROCE)</w:t>
            </w:r>
          </w:p>
        </w:tc>
        <w:tc>
          <w:tcPr/>
          <w:p w:rsidR="00000000" w:rsidDel="00000000" w:rsidP="00000000" w:rsidRDefault="00000000" w:rsidRPr="00000000" w14:paraId="00000065">
            <w:pPr>
              <w:rPr/>
            </w:pPr>
            <w:r w:rsidDel="00000000" w:rsidR="00000000" w:rsidRPr="00000000">
              <w:rPr>
                <w:rtl w:val="0"/>
              </w:rPr>
              <w:t xml:space="preserve">Operating Profit ÷ (Total Assets − Current Liabilities)</w:t>
            </w:r>
          </w:p>
        </w:tc>
        <w:tc>
          <w:tcPr/>
          <w:p w:rsidR="00000000" w:rsidDel="00000000" w:rsidP="00000000" w:rsidRDefault="00000000" w:rsidRPr="00000000" w14:paraId="00000066">
            <w:pPr>
              <w:rPr/>
            </w:pPr>
            <w:r w:rsidDel="00000000" w:rsidR="00000000" w:rsidRPr="00000000">
              <w:rPr>
                <w:rtl w:val="0"/>
              </w:rPr>
              <w:t xml:space="preserve">2,711 ÷ 25,020 = 10.84%</w:t>
            </w:r>
          </w:p>
        </w:tc>
        <w:tc>
          <w:tcPr/>
          <w:p w:rsidR="00000000" w:rsidDel="00000000" w:rsidP="00000000" w:rsidRDefault="00000000" w:rsidRPr="00000000" w14:paraId="00000067">
            <w:pPr>
              <w:rPr/>
            </w:pPr>
            <w:r w:rsidDel="00000000" w:rsidR="00000000" w:rsidRPr="00000000">
              <w:rPr>
                <w:rtl w:val="0"/>
              </w:rPr>
              <w:t xml:space="preserve">2,821 ÷ 25,906 = 10.89%</w:t>
            </w:r>
          </w:p>
        </w:tc>
        <w:tc>
          <w:tcPr/>
          <w:p w:rsidR="00000000" w:rsidDel="00000000" w:rsidP="00000000" w:rsidRDefault="00000000" w:rsidRPr="00000000" w14:paraId="00000068">
            <w:pPr>
              <w:rPr/>
            </w:pPr>
            <w:r w:rsidDel="00000000" w:rsidR="00000000" w:rsidRPr="00000000">
              <w:rPr>
                <w:rtl w:val="0"/>
              </w:rPr>
              <w:t xml:space="preserve">Neutral ↔</w:t>
            </w:r>
          </w:p>
        </w:tc>
      </w:tr>
    </w:tbl>
    <w:p w:rsidR="00000000" w:rsidDel="00000000" w:rsidP="00000000" w:rsidRDefault="00000000" w:rsidRPr="00000000" w14:paraId="00000069">
      <w:pPr>
        <w:rPr/>
      </w:pPr>
      <w:r w:rsidDel="00000000" w:rsidR="00000000" w:rsidRPr="00000000">
        <w:rPr>
          <w:rtl w:val="0"/>
        </w:rPr>
        <w:t xml:space="preserve">There was a slight improvement in the gross profit margin of 7.22% in 2025 compared to 7.115 in 2024, which shows that the management of the cost of sales or pricing efficiency has improved slightly. This implies that Tesco had a chance of having a higher command on cost of input or maximising its product mix even though it operated in a very competitive low-margin retailing environment. On the other hand, the operating profit margin fell to 3.88%, which means that operating costs increased at a higher rate than the revenue (Hayes, 2025). This can be a sign of the rising labour costs, rising energy prices, as well as ongoing investment in the operation of the stores and digital infrastructure, which puts operating-level profitability under strain. The net profit margin, which was 1.75 in 2024, was increased to 2.33 in 2025, which means that there are factors lower than the operating level that led to a better performance in terms of financing as compared to the previous year or rather, more favourable tax impacts. </w:t>
      </w:r>
    </w:p>
    <w:p w:rsidR="00000000" w:rsidDel="00000000" w:rsidP="00000000" w:rsidRDefault="00000000" w:rsidRPr="00000000" w14:paraId="0000006A">
      <w:pPr>
        <w:keepNext w:val="1"/>
        <w:jc w:val="center"/>
        <w:rPr/>
      </w:pPr>
      <w:r w:rsidDel="00000000" w:rsidR="00000000" w:rsidRPr="00000000">
        <w:rPr/>
        <w:drawing>
          <wp:inline distB="0" distT="0" distL="0" distR="0">
            <wp:extent cx="4572000" cy="2766060"/>
            <wp:effectExtent b="0" l="0" r="0" t="0"/>
            <wp:docPr id="2" name=""/>
            <a:graphic>
              <a:graphicData uri="http://schemas.openxmlformats.org/drawingml/2006/chart">
                <c:chart r:id="rId7"/>
              </a:graphicData>
            </a:graphic>
          </wp:inline>
        </w:drawing>
      </w:r>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Figure 1: Profitability Ratios</w:t>
      </w:r>
    </w:p>
    <w:p w:rsidR="00000000" w:rsidDel="00000000" w:rsidP="00000000" w:rsidRDefault="00000000" w:rsidRPr="00000000" w14:paraId="0000006C">
      <w:pPr>
        <w:rPr/>
      </w:pPr>
      <w:r w:rsidDel="00000000" w:rsidR="00000000" w:rsidRPr="00000000">
        <w:rPr>
          <w:rtl w:val="0"/>
        </w:rPr>
        <w:t xml:space="preserve">The returns on assets (ROA) and the returns on equity (ROE improved tremendously throughout (Nurapiah et al., 2024). The ROA has increased to 4.20, compared to 3.04, which is a sign of increased efficiency of the company in using its asset base to make profits. Likewise, ROE has risen by 10.22 to 13.98, which shows that better returns have been obtained on behalf of shareholders and higher shareholder value-creation in 2025. Lastly, the return on capital employed (ROCE) was maintained at a relatively constant rate of 10.89 (to 10.84) indicating that the overall profitability did increase, but not at the cost of the efficiency of the use of long-term capital.</w:t>
      </w:r>
    </w:p>
    <w:p w:rsidR="00000000" w:rsidDel="00000000" w:rsidP="00000000" w:rsidRDefault="00000000" w:rsidRPr="00000000" w14:paraId="0000006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Liquidity Ratios</w:t>
      </w:r>
    </w:p>
    <w:p w:rsidR="00000000" w:rsidDel="00000000" w:rsidP="00000000" w:rsidRDefault="00000000" w:rsidRPr="00000000" w14:paraId="0000006E">
      <w:pPr>
        <w:rPr/>
      </w:pPr>
      <w:r w:rsidDel="00000000" w:rsidR="00000000" w:rsidRPr="00000000">
        <w:rPr>
          <w:rtl w:val="0"/>
        </w:rPr>
        <w:t xml:space="preserve">Liquidity ratios determine how a business will be able to meet its short-term commitments as they become due through the use of its current assets (Durrah, 2016).</w:t>
      </w:r>
    </w:p>
    <w:p w:rsidR="00000000" w:rsidDel="00000000" w:rsidP="00000000" w:rsidRDefault="00000000" w:rsidRPr="00000000" w14:paraId="0000006F">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Table 2: Liquidity Ratio</w:t>
      </w:r>
    </w:p>
    <w:tbl>
      <w:tblPr>
        <w:tblStyle w:val="Table3"/>
        <w:tblW w:w="9016.0" w:type="dxa"/>
        <w:jc w:val="left"/>
        <w:tblBorders>
          <w:top w:color="999999" w:space="0" w:sz="4" w:val="single"/>
          <w:left w:color="999999" w:space="0" w:sz="4" w:val="single"/>
          <w:bottom w:color="999999" w:space="0" w:sz="4" w:val="single"/>
          <w:right w:color="999999" w:space="0" w:sz="4" w:val="single"/>
          <w:insideH w:color="999999" w:space="0" w:sz="4" w:val="single"/>
          <w:insideV w:color="999999" w:space="0" w:sz="4" w:val="single"/>
        </w:tblBorders>
        <w:tblLayout w:type="fixed"/>
        <w:tblLook w:val="04A0"/>
      </w:tblPr>
      <w:tblGrid>
        <w:gridCol w:w="1791"/>
        <w:gridCol w:w="2844"/>
        <w:gridCol w:w="1740"/>
        <w:gridCol w:w="1740"/>
        <w:gridCol w:w="901"/>
        <w:tblGridChange w:id="0">
          <w:tblGrid>
            <w:gridCol w:w="1791"/>
            <w:gridCol w:w="2844"/>
            <w:gridCol w:w="1740"/>
            <w:gridCol w:w="1740"/>
            <w:gridCol w:w="901"/>
          </w:tblGrid>
        </w:tblGridChange>
      </w:tblGrid>
      <w:tr>
        <w:trPr>
          <w:cantSplit w:val="0"/>
          <w:tblHeader w:val="0"/>
        </w:trPr>
        <w:tc>
          <w:tcPr/>
          <w:p w:rsidR="00000000" w:rsidDel="00000000" w:rsidP="00000000" w:rsidRDefault="00000000" w:rsidRPr="00000000" w14:paraId="00000070">
            <w:pPr>
              <w:rPr/>
            </w:pPr>
            <w:r w:rsidDel="00000000" w:rsidR="00000000" w:rsidRPr="00000000">
              <w:rPr>
                <w:rtl w:val="0"/>
              </w:rPr>
              <w:t xml:space="preserve">Liquidity Ratio</w:t>
            </w:r>
          </w:p>
        </w:tc>
        <w:tc>
          <w:tcPr/>
          <w:p w:rsidR="00000000" w:rsidDel="00000000" w:rsidP="00000000" w:rsidRDefault="00000000" w:rsidRPr="00000000" w14:paraId="00000071">
            <w:pPr>
              <w:rPr/>
            </w:pPr>
            <w:r w:rsidDel="00000000" w:rsidR="00000000" w:rsidRPr="00000000">
              <w:rPr>
                <w:rtl w:val="0"/>
              </w:rPr>
              <w:t xml:space="preserve">Breakdown (Formula Components)</w:t>
            </w:r>
          </w:p>
        </w:tc>
        <w:tc>
          <w:tcPr/>
          <w:p w:rsidR="00000000" w:rsidDel="00000000" w:rsidP="00000000" w:rsidRDefault="00000000" w:rsidRPr="00000000" w14:paraId="00000072">
            <w:pPr>
              <w:rPr/>
            </w:pPr>
            <w:r w:rsidDel="00000000" w:rsidR="00000000" w:rsidRPr="00000000">
              <w:rPr>
                <w:rtl w:val="0"/>
              </w:rPr>
              <w:t xml:space="preserve">2025</w:t>
            </w:r>
          </w:p>
        </w:tc>
        <w:tc>
          <w:tcPr/>
          <w:p w:rsidR="00000000" w:rsidDel="00000000" w:rsidP="00000000" w:rsidRDefault="00000000" w:rsidRPr="00000000" w14:paraId="00000073">
            <w:pPr>
              <w:rPr/>
            </w:pPr>
            <w:r w:rsidDel="00000000" w:rsidR="00000000" w:rsidRPr="00000000">
              <w:rPr>
                <w:rtl w:val="0"/>
              </w:rPr>
              <w:t xml:space="preserve">2024</w:t>
            </w:r>
          </w:p>
        </w:tc>
        <w:tc>
          <w:tcPr/>
          <w:p w:rsidR="00000000" w:rsidDel="00000000" w:rsidP="00000000" w:rsidRDefault="00000000" w:rsidRPr="00000000" w14:paraId="00000074">
            <w:pPr>
              <w:rPr/>
            </w:pPr>
            <w:r w:rsidDel="00000000" w:rsidR="00000000" w:rsidRPr="00000000">
              <w:rPr>
                <w:rtl w:val="0"/>
              </w:rPr>
              <w:t xml:space="preserve">Trend</w:t>
            </w:r>
          </w:p>
        </w:tc>
      </w:tr>
      <w:tr>
        <w:trPr>
          <w:cantSplit w:val="0"/>
          <w:tblHeader w:val="0"/>
        </w:trPr>
        <w:tc>
          <w:tcPr/>
          <w:p w:rsidR="00000000" w:rsidDel="00000000" w:rsidP="00000000" w:rsidRDefault="00000000" w:rsidRPr="00000000" w14:paraId="00000075">
            <w:pPr>
              <w:rPr/>
            </w:pPr>
            <w:r w:rsidDel="00000000" w:rsidR="00000000" w:rsidRPr="00000000">
              <w:rPr>
                <w:rtl w:val="0"/>
              </w:rPr>
              <w:t xml:space="preserve">Current Ratio</w:t>
            </w:r>
          </w:p>
        </w:tc>
        <w:tc>
          <w:tcPr/>
          <w:p w:rsidR="00000000" w:rsidDel="00000000" w:rsidP="00000000" w:rsidRDefault="00000000" w:rsidRPr="00000000" w14:paraId="00000076">
            <w:pPr>
              <w:rPr/>
            </w:pPr>
            <w:r w:rsidDel="00000000" w:rsidR="00000000" w:rsidRPr="00000000">
              <w:rPr>
                <w:rtl w:val="0"/>
              </w:rPr>
              <w:t xml:space="preserve">Current Assets ÷ Current Liabilities</w:t>
            </w:r>
          </w:p>
        </w:tc>
        <w:tc>
          <w:tcPr/>
          <w:p w:rsidR="00000000" w:rsidDel="00000000" w:rsidP="00000000" w:rsidRDefault="00000000" w:rsidRPr="00000000" w14:paraId="00000077">
            <w:pPr>
              <w:rPr/>
            </w:pPr>
            <w:r w:rsidDel="00000000" w:rsidR="00000000" w:rsidRPr="00000000">
              <w:rPr>
                <w:rtl w:val="0"/>
              </w:rPr>
              <w:t xml:space="preserve">8,806 ÷ 13,820 = 0.64</w:t>
            </w:r>
          </w:p>
        </w:tc>
        <w:tc>
          <w:tcPr/>
          <w:p w:rsidR="00000000" w:rsidDel="00000000" w:rsidP="00000000" w:rsidRDefault="00000000" w:rsidRPr="00000000" w14:paraId="00000078">
            <w:pPr>
              <w:rPr/>
            </w:pPr>
            <w:r w:rsidDel="00000000" w:rsidR="00000000" w:rsidRPr="00000000">
              <w:rPr>
                <w:rtl w:val="0"/>
              </w:rPr>
              <w:t xml:space="preserve">8,823 ÷ 13,350 = 0.66</w:t>
            </w:r>
          </w:p>
        </w:tc>
        <w:tc>
          <w:tcPr/>
          <w:p w:rsidR="00000000" w:rsidDel="00000000" w:rsidP="00000000" w:rsidRDefault="00000000" w:rsidRPr="00000000" w14:paraId="00000079">
            <w:pPr>
              <w:rPr/>
            </w:pPr>
            <w:r w:rsidDel="00000000" w:rsidR="00000000" w:rsidRPr="00000000">
              <w:rPr>
                <w:rtl w:val="0"/>
              </w:rPr>
              <w:t xml:space="preserve">Down ↓</w:t>
            </w:r>
          </w:p>
        </w:tc>
      </w:tr>
      <w:tr>
        <w:trPr>
          <w:cantSplit w:val="0"/>
          <w:tblHeader w:val="0"/>
        </w:trPr>
        <w:tc>
          <w:tcPr/>
          <w:p w:rsidR="00000000" w:rsidDel="00000000" w:rsidP="00000000" w:rsidRDefault="00000000" w:rsidRPr="00000000" w14:paraId="0000007A">
            <w:pPr>
              <w:rPr/>
            </w:pPr>
            <w:r w:rsidDel="00000000" w:rsidR="00000000" w:rsidRPr="00000000">
              <w:rPr>
                <w:rtl w:val="0"/>
              </w:rPr>
              <w:t xml:space="preserve">Quick Ratio</w:t>
            </w:r>
          </w:p>
        </w:tc>
        <w:tc>
          <w:tcPr/>
          <w:p w:rsidR="00000000" w:rsidDel="00000000" w:rsidP="00000000" w:rsidRDefault="00000000" w:rsidRPr="00000000" w14:paraId="0000007B">
            <w:pPr>
              <w:rPr/>
            </w:pPr>
            <w:r w:rsidDel="00000000" w:rsidR="00000000" w:rsidRPr="00000000">
              <w:rPr>
                <w:rtl w:val="0"/>
              </w:rPr>
              <w:t xml:space="preserve">(Current Assets − Inventories) ÷ Current Liabilities</w:t>
            </w:r>
          </w:p>
        </w:tc>
        <w:tc>
          <w:tcPr/>
          <w:p w:rsidR="00000000" w:rsidDel="00000000" w:rsidP="00000000" w:rsidRDefault="00000000" w:rsidRPr="00000000" w14:paraId="0000007C">
            <w:pPr>
              <w:rPr/>
            </w:pPr>
            <w:r w:rsidDel="00000000" w:rsidR="00000000" w:rsidRPr="00000000">
              <w:rPr>
                <w:rtl w:val="0"/>
              </w:rPr>
              <w:t xml:space="preserve">(8,806 − 2,768) ÷ 13,820 = 0.44</w:t>
            </w:r>
          </w:p>
        </w:tc>
        <w:tc>
          <w:tcPr/>
          <w:p w:rsidR="00000000" w:rsidDel="00000000" w:rsidP="00000000" w:rsidRDefault="00000000" w:rsidRPr="00000000" w14:paraId="0000007D">
            <w:pPr>
              <w:rPr/>
            </w:pPr>
            <w:r w:rsidDel="00000000" w:rsidR="00000000" w:rsidRPr="00000000">
              <w:rPr>
                <w:rtl w:val="0"/>
              </w:rPr>
              <w:t xml:space="preserve">(8,823 − 2,635) ÷ 13,350 = 0.46</w:t>
            </w:r>
          </w:p>
        </w:tc>
        <w:tc>
          <w:tcPr/>
          <w:p w:rsidR="00000000" w:rsidDel="00000000" w:rsidP="00000000" w:rsidRDefault="00000000" w:rsidRPr="00000000" w14:paraId="0000007E">
            <w:pPr>
              <w:rPr/>
            </w:pPr>
            <w:r w:rsidDel="00000000" w:rsidR="00000000" w:rsidRPr="00000000">
              <w:rPr>
                <w:rtl w:val="0"/>
              </w:rPr>
              <w:t xml:space="preserve">Down ↓</w:t>
            </w:r>
          </w:p>
        </w:tc>
      </w:tr>
      <w:tr>
        <w:trPr>
          <w:cantSplit w:val="0"/>
          <w:tblHeader w:val="0"/>
        </w:trPr>
        <w:tc>
          <w:tcPr/>
          <w:p w:rsidR="00000000" w:rsidDel="00000000" w:rsidP="00000000" w:rsidRDefault="00000000" w:rsidRPr="00000000" w14:paraId="0000007F">
            <w:pPr>
              <w:rPr/>
            </w:pPr>
            <w:r w:rsidDel="00000000" w:rsidR="00000000" w:rsidRPr="00000000">
              <w:rPr>
                <w:rtl w:val="0"/>
              </w:rPr>
              <w:t xml:space="preserve">Net Working Capital (£m)</w:t>
            </w:r>
          </w:p>
        </w:tc>
        <w:tc>
          <w:tcPr/>
          <w:p w:rsidR="00000000" w:rsidDel="00000000" w:rsidP="00000000" w:rsidRDefault="00000000" w:rsidRPr="00000000" w14:paraId="00000080">
            <w:pPr>
              <w:rPr/>
            </w:pPr>
            <w:r w:rsidDel="00000000" w:rsidR="00000000" w:rsidRPr="00000000">
              <w:rPr>
                <w:rtl w:val="0"/>
              </w:rPr>
              <w:t xml:space="preserve">Current Assets − Current Liabilities</w:t>
            </w:r>
          </w:p>
        </w:tc>
        <w:tc>
          <w:tcPr/>
          <w:p w:rsidR="00000000" w:rsidDel="00000000" w:rsidP="00000000" w:rsidRDefault="00000000" w:rsidRPr="00000000" w14:paraId="00000081">
            <w:pPr>
              <w:rPr/>
            </w:pPr>
            <w:r w:rsidDel="00000000" w:rsidR="00000000" w:rsidRPr="00000000">
              <w:rPr>
                <w:rtl w:val="0"/>
              </w:rPr>
              <w:t xml:space="preserve">−5,014</w:t>
            </w:r>
          </w:p>
        </w:tc>
        <w:tc>
          <w:tcPr/>
          <w:p w:rsidR="00000000" w:rsidDel="00000000" w:rsidP="00000000" w:rsidRDefault="00000000" w:rsidRPr="00000000" w14:paraId="00000082">
            <w:pPr>
              <w:rPr/>
            </w:pPr>
            <w:r w:rsidDel="00000000" w:rsidR="00000000" w:rsidRPr="00000000">
              <w:rPr>
                <w:rtl w:val="0"/>
              </w:rPr>
              <w:t xml:space="preserve">−4,527</w:t>
            </w:r>
          </w:p>
        </w:tc>
        <w:tc>
          <w:tcPr/>
          <w:p w:rsidR="00000000" w:rsidDel="00000000" w:rsidP="00000000" w:rsidRDefault="00000000" w:rsidRPr="00000000" w14:paraId="00000083">
            <w:pPr>
              <w:rPr/>
            </w:pPr>
            <w:r w:rsidDel="00000000" w:rsidR="00000000" w:rsidRPr="00000000">
              <w:rPr>
                <w:rtl w:val="0"/>
              </w:rPr>
              <w:t xml:space="preserve">Down ↓</w:t>
            </w:r>
          </w:p>
        </w:tc>
      </w:tr>
    </w:tbl>
    <w:p w:rsidR="00000000" w:rsidDel="00000000" w:rsidP="00000000" w:rsidRDefault="00000000" w:rsidRPr="00000000" w14:paraId="00000084">
      <w:pPr>
        <w:rPr>
          <w:b w:val="1"/>
          <w:bCs w:val="1"/>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The current ratio was also slightly reduced in 2025 as compared to that of 0.66 in 2024, which means that current liabilities again were more than the current assets in both 2024 and 2025 (Fernando, 2025). A ratio of less than 1.0 would normally indicate poor liquidity, but considering that the position is common among large retailers of supermarket stores, including Tesco plc, which enjoys high daily cash flow and long supplier credit, this is not a cause for concern.</w:t>
      </w:r>
    </w:p>
    <w:p w:rsidR="00000000" w:rsidDel="00000000" w:rsidP="00000000" w:rsidRDefault="00000000" w:rsidRPr="00000000" w14:paraId="00000086">
      <w:pPr>
        <w:rPr>
          <w:b w:val="1"/>
          <w:bCs w:val="1"/>
        </w:rPr>
      </w:pPr>
      <w:r w:rsidDel="00000000" w:rsidR="00000000" w:rsidRPr="00000000">
        <w:rPr>
          <w:rtl w:val="0"/>
        </w:rPr>
      </w:r>
    </w:p>
    <w:p w:rsidR="00000000" w:rsidDel="00000000" w:rsidP="00000000" w:rsidRDefault="00000000" w:rsidRPr="00000000" w14:paraId="00000087">
      <w:pPr>
        <w:keepNext w:val="1"/>
        <w:jc w:val="center"/>
        <w:rPr/>
      </w:pPr>
      <w:r w:rsidDel="00000000" w:rsidR="00000000" w:rsidRPr="00000000">
        <w:rPr/>
        <w:drawing>
          <wp:inline distB="0" distT="0" distL="0" distR="0">
            <wp:extent cx="4572000" cy="2720340"/>
            <wp:effectExtent b="3810" l="0" r="0" t="0"/>
            <wp:docPr id="1" name=""/>
            <a:graphic>
              <a:graphicData uri="http://schemas.openxmlformats.org/drawingml/2006/chart">
                <c:chart r:id="rId8"/>
              </a:graphicData>
            </a:graphic>
          </wp:inline>
        </w:drawing>
      </w:r>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Figure 2: Liquidity Ratios</w:t>
      </w:r>
    </w:p>
    <w:p w:rsidR="00000000" w:rsidDel="00000000" w:rsidP="00000000" w:rsidRDefault="00000000" w:rsidRPr="00000000" w14:paraId="00000089">
      <w:pPr>
        <w:rPr/>
      </w:pPr>
      <w:r w:rsidDel="00000000" w:rsidR="00000000" w:rsidRPr="00000000">
        <w:rPr>
          <w:rtl w:val="0"/>
        </w:rPr>
        <w:t xml:space="preserve">On the same note, the quick ratio dropped slightly by 0.46 to 0.44, affirming that Tesco hardly relied on highly liquid assets to settle the short-term debts. This is an indication of the fact that the company depends on the speed of its inventory turnover instead of having a large amount of cash or receivables. The net working capital continued to be negative and deteriorated to -5,014 million since it was -4,527 million, which means the company relied more on trade payables to fund its operations (Bailey, 2025). Although negative working capital can be an indicator of liquidity risk in other industries, in the case of a high-volume grocery retailer, it can be an effective working capital policy so long as cash flows are managed and the relationship with suppliers is well worked out.</w:t>
      </w:r>
    </w:p>
    <w:p w:rsidR="00000000" w:rsidDel="00000000" w:rsidP="00000000" w:rsidRDefault="00000000" w:rsidRPr="00000000" w14:paraId="0000008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Gearing Ratios</w:t>
      </w:r>
    </w:p>
    <w:p w:rsidR="00000000" w:rsidDel="00000000" w:rsidP="00000000" w:rsidRDefault="00000000" w:rsidRPr="00000000" w14:paraId="0000008B">
      <w:pPr>
        <w:rPr/>
      </w:pPr>
      <w:r w:rsidDel="00000000" w:rsidR="00000000" w:rsidRPr="00000000">
        <w:rPr>
          <w:rtl w:val="0"/>
        </w:rPr>
        <w:t xml:space="preserve">Gearing ratios investigate how much a business uses debt to finance its activities as compared to equity and how much risk it has in relation to the debt (Kenton, 2024). </w:t>
      </w:r>
    </w:p>
    <w:p w:rsidR="00000000" w:rsidDel="00000000" w:rsidP="00000000" w:rsidRDefault="00000000" w:rsidRPr="00000000" w14:paraId="0000008C">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Table 3: Gearing Ratio</w:t>
      </w:r>
    </w:p>
    <w:tbl>
      <w:tblPr>
        <w:tblStyle w:val="Table4"/>
        <w:tblW w:w="9243.0" w:type="dxa"/>
        <w:jc w:val="left"/>
        <w:tblBorders>
          <w:top w:color="999999" w:space="0" w:sz="4" w:val="single"/>
          <w:left w:color="999999" w:space="0" w:sz="4" w:val="single"/>
          <w:bottom w:color="999999" w:space="0" w:sz="4" w:val="single"/>
          <w:right w:color="999999" w:space="0" w:sz="4" w:val="single"/>
          <w:insideH w:color="999999" w:space="0" w:sz="4" w:val="single"/>
          <w:insideV w:color="999999" w:space="0" w:sz="4" w:val="single"/>
        </w:tblBorders>
        <w:tblLayout w:type="fixed"/>
        <w:tblLook w:val="04A0"/>
      </w:tblPr>
      <w:tblGrid>
        <w:gridCol w:w="1955"/>
        <w:gridCol w:w="2768"/>
        <w:gridCol w:w="1799"/>
        <w:gridCol w:w="1799"/>
        <w:gridCol w:w="922"/>
        <w:tblGridChange w:id="0">
          <w:tblGrid>
            <w:gridCol w:w="1955"/>
            <w:gridCol w:w="2768"/>
            <w:gridCol w:w="1799"/>
            <w:gridCol w:w="1799"/>
            <w:gridCol w:w="922"/>
          </w:tblGrid>
        </w:tblGridChange>
      </w:tblGrid>
      <w:tr>
        <w:trPr>
          <w:cantSplit w:val="0"/>
          <w:trHeight w:val="830" w:hRule="atLeast"/>
          <w:tblHeader w:val="0"/>
        </w:trPr>
        <w:tc>
          <w:tcPr/>
          <w:p w:rsidR="00000000" w:rsidDel="00000000" w:rsidP="00000000" w:rsidRDefault="00000000" w:rsidRPr="00000000" w14:paraId="0000008D">
            <w:pPr>
              <w:rPr/>
            </w:pPr>
            <w:r w:rsidDel="00000000" w:rsidR="00000000" w:rsidRPr="00000000">
              <w:rPr>
                <w:rtl w:val="0"/>
              </w:rPr>
              <w:t xml:space="preserve">Gearing Ratio</w:t>
            </w:r>
          </w:p>
        </w:tc>
        <w:tc>
          <w:tcPr/>
          <w:p w:rsidR="00000000" w:rsidDel="00000000" w:rsidP="00000000" w:rsidRDefault="00000000" w:rsidRPr="00000000" w14:paraId="0000008E">
            <w:pPr>
              <w:rPr/>
            </w:pPr>
            <w:r w:rsidDel="00000000" w:rsidR="00000000" w:rsidRPr="00000000">
              <w:rPr>
                <w:rtl w:val="0"/>
              </w:rPr>
              <w:t xml:space="preserve">Breakdown (Formula Components)</w:t>
            </w:r>
          </w:p>
        </w:tc>
        <w:tc>
          <w:tcPr/>
          <w:p w:rsidR="00000000" w:rsidDel="00000000" w:rsidP="00000000" w:rsidRDefault="00000000" w:rsidRPr="00000000" w14:paraId="0000008F">
            <w:pPr>
              <w:rPr/>
            </w:pPr>
            <w:r w:rsidDel="00000000" w:rsidR="00000000" w:rsidRPr="00000000">
              <w:rPr>
                <w:rtl w:val="0"/>
              </w:rPr>
              <w:t xml:space="preserve">2025</w:t>
            </w:r>
          </w:p>
        </w:tc>
        <w:tc>
          <w:tcPr/>
          <w:p w:rsidR="00000000" w:rsidDel="00000000" w:rsidP="00000000" w:rsidRDefault="00000000" w:rsidRPr="00000000" w14:paraId="00000090">
            <w:pPr>
              <w:rPr/>
            </w:pPr>
            <w:r w:rsidDel="00000000" w:rsidR="00000000" w:rsidRPr="00000000">
              <w:rPr>
                <w:rtl w:val="0"/>
              </w:rPr>
              <w:t xml:space="preserve">2024</w:t>
            </w:r>
          </w:p>
        </w:tc>
        <w:tc>
          <w:tcPr/>
          <w:p w:rsidR="00000000" w:rsidDel="00000000" w:rsidP="00000000" w:rsidRDefault="00000000" w:rsidRPr="00000000" w14:paraId="00000091">
            <w:pPr>
              <w:rPr/>
            </w:pPr>
            <w:r w:rsidDel="00000000" w:rsidR="00000000" w:rsidRPr="00000000">
              <w:rPr>
                <w:rtl w:val="0"/>
              </w:rPr>
              <w:t xml:space="preserve">Trend</w:t>
            </w:r>
          </w:p>
        </w:tc>
      </w:tr>
      <w:tr>
        <w:trPr>
          <w:cantSplit w:val="0"/>
          <w:trHeight w:val="818" w:hRule="atLeast"/>
          <w:tblHeader w:val="0"/>
        </w:trPr>
        <w:tc>
          <w:tcPr/>
          <w:p w:rsidR="00000000" w:rsidDel="00000000" w:rsidP="00000000" w:rsidRDefault="00000000" w:rsidRPr="00000000" w14:paraId="00000092">
            <w:pPr>
              <w:rPr/>
            </w:pPr>
            <w:r w:rsidDel="00000000" w:rsidR="00000000" w:rsidRPr="00000000">
              <w:rPr>
                <w:rtl w:val="0"/>
              </w:rPr>
              <w:t xml:space="preserve">Debt to Equity Ratio</w:t>
            </w:r>
          </w:p>
        </w:tc>
        <w:tc>
          <w:tcPr/>
          <w:p w:rsidR="00000000" w:rsidDel="00000000" w:rsidP="00000000" w:rsidRDefault="00000000" w:rsidRPr="00000000" w14:paraId="00000093">
            <w:pPr>
              <w:rPr/>
            </w:pPr>
            <w:r w:rsidDel="00000000" w:rsidR="00000000" w:rsidRPr="00000000">
              <w:rPr>
                <w:rtl w:val="0"/>
              </w:rPr>
              <w:t xml:space="preserve">Total Borrowings ÷ Total Equity</w:t>
            </w:r>
          </w:p>
        </w:tc>
        <w:tc>
          <w:tcPr/>
          <w:p w:rsidR="00000000" w:rsidDel="00000000" w:rsidP="00000000" w:rsidRDefault="00000000" w:rsidRPr="00000000" w14:paraId="00000094">
            <w:pPr>
              <w:rPr/>
            </w:pPr>
            <w:r w:rsidDel="00000000" w:rsidR="00000000" w:rsidRPr="00000000">
              <w:rPr>
                <w:rtl w:val="0"/>
              </w:rPr>
              <w:t xml:space="preserve">6,950 ÷ 11,662 = 0.60</w:t>
            </w:r>
          </w:p>
        </w:tc>
        <w:tc>
          <w:tcPr/>
          <w:p w:rsidR="00000000" w:rsidDel="00000000" w:rsidP="00000000" w:rsidRDefault="00000000" w:rsidRPr="00000000" w14:paraId="00000095">
            <w:pPr>
              <w:rPr/>
            </w:pPr>
            <w:r w:rsidDel="00000000" w:rsidR="00000000" w:rsidRPr="00000000">
              <w:rPr>
                <w:rtl w:val="0"/>
              </w:rPr>
              <w:t xml:space="preserve">7,219 ÷ 11,665 = 0.62</w:t>
            </w:r>
          </w:p>
        </w:tc>
        <w:tc>
          <w:tcPr/>
          <w:p w:rsidR="00000000" w:rsidDel="00000000" w:rsidP="00000000" w:rsidRDefault="00000000" w:rsidRPr="00000000" w14:paraId="00000096">
            <w:pPr>
              <w:rPr/>
            </w:pPr>
            <w:r w:rsidDel="00000000" w:rsidR="00000000" w:rsidRPr="00000000">
              <w:rPr>
                <w:rtl w:val="0"/>
              </w:rPr>
              <w:t xml:space="preserve">Down ↓</w:t>
            </w:r>
          </w:p>
        </w:tc>
      </w:tr>
      <w:tr>
        <w:trPr>
          <w:cantSplit w:val="0"/>
          <w:trHeight w:val="830" w:hRule="atLeast"/>
          <w:tblHeader w:val="0"/>
        </w:trPr>
        <w:tc>
          <w:tcPr/>
          <w:p w:rsidR="00000000" w:rsidDel="00000000" w:rsidP="00000000" w:rsidRDefault="00000000" w:rsidRPr="00000000" w14:paraId="00000097">
            <w:pPr>
              <w:rPr/>
            </w:pPr>
            <w:r w:rsidDel="00000000" w:rsidR="00000000" w:rsidRPr="00000000">
              <w:rPr>
                <w:rtl w:val="0"/>
              </w:rPr>
              <w:t xml:space="preserve">Interest Coverage Ratio</w:t>
            </w:r>
          </w:p>
        </w:tc>
        <w:tc>
          <w:tcPr/>
          <w:p w:rsidR="00000000" w:rsidDel="00000000" w:rsidP="00000000" w:rsidRDefault="00000000" w:rsidRPr="00000000" w14:paraId="00000098">
            <w:pPr>
              <w:rPr/>
            </w:pPr>
            <w:r w:rsidDel="00000000" w:rsidR="00000000" w:rsidRPr="00000000">
              <w:rPr>
                <w:rtl w:val="0"/>
              </w:rPr>
              <w:t xml:space="preserve">Operating Profit ÷ Finance Costs</w:t>
            </w:r>
          </w:p>
        </w:tc>
        <w:tc>
          <w:tcPr/>
          <w:p w:rsidR="00000000" w:rsidDel="00000000" w:rsidP="00000000" w:rsidRDefault="00000000" w:rsidRPr="00000000" w14:paraId="00000099">
            <w:pPr>
              <w:rPr/>
            </w:pPr>
            <w:r w:rsidDel="00000000" w:rsidR="00000000" w:rsidRPr="00000000">
              <w:rPr>
                <w:rtl w:val="0"/>
              </w:rPr>
              <w:t xml:space="preserve">2,711 ÷ 746 = 3.63×</w:t>
            </w:r>
          </w:p>
        </w:tc>
        <w:tc>
          <w:tcPr/>
          <w:p w:rsidR="00000000" w:rsidDel="00000000" w:rsidP="00000000" w:rsidRDefault="00000000" w:rsidRPr="00000000" w14:paraId="0000009A">
            <w:pPr>
              <w:rPr/>
            </w:pPr>
            <w:r w:rsidDel="00000000" w:rsidR="00000000" w:rsidRPr="00000000">
              <w:rPr>
                <w:rtl w:val="0"/>
              </w:rPr>
              <w:t xml:space="preserve">2,821 ÷ 805 = 3.51×</w:t>
            </w:r>
          </w:p>
        </w:tc>
        <w:tc>
          <w:tcPr/>
          <w:p w:rsidR="00000000" w:rsidDel="00000000" w:rsidP="00000000" w:rsidRDefault="00000000" w:rsidRPr="00000000" w14:paraId="0000009B">
            <w:pPr>
              <w:rPr/>
            </w:pPr>
            <w:r w:rsidDel="00000000" w:rsidR="00000000" w:rsidRPr="00000000">
              <w:rPr>
                <w:rtl w:val="0"/>
              </w:rPr>
              <w:t xml:space="preserve">Up ↑</w:t>
            </w:r>
          </w:p>
        </w:tc>
      </w:tr>
      <w:tr>
        <w:trPr>
          <w:cantSplit w:val="0"/>
          <w:trHeight w:val="830" w:hRule="atLeast"/>
          <w:tblHeader w:val="0"/>
        </w:trPr>
        <w:tc>
          <w:tcPr/>
          <w:p w:rsidR="00000000" w:rsidDel="00000000" w:rsidP="00000000" w:rsidRDefault="00000000" w:rsidRPr="00000000" w14:paraId="0000009C">
            <w:pPr>
              <w:rPr/>
            </w:pPr>
            <w:r w:rsidDel="00000000" w:rsidR="00000000" w:rsidRPr="00000000">
              <w:rPr>
                <w:rtl w:val="0"/>
              </w:rPr>
              <w:t xml:space="preserve">Equity Ratio</w:t>
            </w:r>
          </w:p>
        </w:tc>
        <w:tc>
          <w:tcPr/>
          <w:p w:rsidR="00000000" w:rsidDel="00000000" w:rsidP="00000000" w:rsidRDefault="00000000" w:rsidRPr="00000000" w14:paraId="0000009D">
            <w:pPr>
              <w:rPr/>
            </w:pPr>
            <w:r w:rsidDel="00000000" w:rsidR="00000000" w:rsidRPr="00000000">
              <w:rPr>
                <w:rtl w:val="0"/>
              </w:rPr>
              <w:t xml:space="preserve">Total Equity ÷ Total Assets</w:t>
            </w:r>
          </w:p>
        </w:tc>
        <w:tc>
          <w:tcPr/>
          <w:p w:rsidR="00000000" w:rsidDel="00000000" w:rsidP="00000000" w:rsidRDefault="00000000" w:rsidRPr="00000000" w14:paraId="0000009E">
            <w:pPr>
              <w:rPr/>
            </w:pPr>
            <w:r w:rsidDel="00000000" w:rsidR="00000000" w:rsidRPr="00000000">
              <w:rPr>
                <w:rtl w:val="0"/>
              </w:rPr>
              <w:t xml:space="preserve">11,662 ÷ 38,840 = 30.0%</w:t>
            </w:r>
          </w:p>
        </w:tc>
        <w:tc>
          <w:tcPr/>
          <w:p w:rsidR="00000000" w:rsidDel="00000000" w:rsidP="00000000" w:rsidRDefault="00000000" w:rsidRPr="00000000" w14:paraId="0000009F">
            <w:pPr>
              <w:rPr/>
            </w:pPr>
            <w:r w:rsidDel="00000000" w:rsidR="00000000" w:rsidRPr="00000000">
              <w:rPr>
                <w:rtl w:val="0"/>
              </w:rPr>
              <w:t xml:space="preserve">11,665 ÷ 39,256 = 29.7%</w:t>
            </w:r>
          </w:p>
        </w:tc>
        <w:tc>
          <w:tcPr/>
          <w:p w:rsidR="00000000" w:rsidDel="00000000" w:rsidP="00000000" w:rsidRDefault="00000000" w:rsidRPr="00000000" w14:paraId="000000A0">
            <w:pPr>
              <w:rPr/>
            </w:pPr>
            <w:r w:rsidDel="00000000" w:rsidR="00000000" w:rsidRPr="00000000">
              <w:rPr>
                <w:rtl w:val="0"/>
              </w:rPr>
              <w:t xml:space="preserve">Up ↑</w:t>
            </w:r>
          </w:p>
        </w:tc>
      </w:tr>
      <w:tr>
        <w:trPr>
          <w:cantSplit w:val="0"/>
          <w:trHeight w:val="818" w:hRule="atLeast"/>
          <w:tblHeader w:val="0"/>
        </w:trPr>
        <w:tc>
          <w:tcPr/>
          <w:p w:rsidR="00000000" w:rsidDel="00000000" w:rsidP="00000000" w:rsidRDefault="00000000" w:rsidRPr="00000000" w14:paraId="000000A1">
            <w:pPr>
              <w:rPr/>
            </w:pPr>
            <w:r w:rsidDel="00000000" w:rsidR="00000000" w:rsidRPr="00000000">
              <w:rPr>
                <w:rtl w:val="0"/>
              </w:rPr>
              <w:t xml:space="preserve">Debt Ratio</w:t>
            </w:r>
          </w:p>
        </w:tc>
        <w:tc>
          <w:tcPr/>
          <w:p w:rsidR="00000000" w:rsidDel="00000000" w:rsidP="00000000" w:rsidRDefault="00000000" w:rsidRPr="00000000" w14:paraId="000000A2">
            <w:pPr>
              <w:rPr/>
            </w:pPr>
            <w:r w:rsidDel="00000000" w:rsidR="00000000" w:rsidRPr="00000000">
              <w:rPr>
                <w:rtl w:val="0"/>
              </w:rPr>
              <w:t xml:space="preserve">Total Borrowings ÷ Total Assets</w:t>
            </w:r>
          </w:p>
        </w:tc>
        <w:tc>
          <w:tcPr/>
          <w:p w:rsidR="00000000" w:rsidDel="00000000" w:rsidP="00000000" w:rsidRDefault="00000000" w:rsidRPr="00000000" w14:paraId="000000A3">
            <w:pPr>
              <w:rPr/>
            </w:pPr>
            <w:r w:rsidDel="00000000" w:rsidR="00000000" w:rsidRPr="00000000">
              <w:rPr>
                <w:rtl w:val="0"/>
              </w:rPr>
              <w:t xml:space="preserve">6,950 ÷ 38,840 = 17.9%</w:t>
            </w:r>
          </w:p>
        </w:tc>
        <w:tc>
          <w:tcPr/>
          <w:p w:rsidR="00000000" w:rsidDel="00000000" w:rsidP="00000000" w:rsidRDefault="00000000" w:rsidRPr="00000000" w14:paraId="000000A4">
            <w:pPr>
              <w:rPr/>
            </w:pPr>
            <w:r w:rsidDel="00000000" w:rsidR="00000000" w:rsidRPr="00000000">
              <w:rPr>
                <w:rtl w:val="0"/>
              </w:rPr>
              <w:t xml:space="preserve">7,219 ÷ 39,256 = 18.4%</w:t>
            </w:r>
          </w:p>
        </w:tc>
        <w:tc>
          <w:tcPr/>
          <w:p w:rsidR="00000000" w:rsidDel="00000000" w:rsidP="00000000" w:rsidRDefault="00000000" w:rsidRPr="00000000" w14:paraId="000000A5">
            <w:pPr>
              <w:rPr/>
            </w:pPr>
            <w:r w:rsidDel="00000000" w:rsidR="00000000" w:rsidRPr="00000000">
              <w:rPr>
                <w:rtl w:val="0"/>
              </w:rPr>
              <w:t xml:space="preserve">Down ↓</w:t>
            </w:r>
          </w:p>
        </w:tc>
      </w:tr>
    </w:tbl>
    <w:p w:rsidR="00000000" w:rsidDel="00000000" w:rsidP="00000000" w:rsidRDefault="00000000" w:rsidRPr="00000000" w14:paraId="000000A6">
      <w:pPr>
        <w:rPr>
          <w:b w:val="1"/>
          <w:bCs w:val="1"/>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The debt-to-equity ratio decreased in 2024 to 0.62 and in 2025 to 0.60, which is a silent signal of a slight decrease in the use of debt financing of Tesco in comparison with funds provided by shareholders (Deng and Liu, 2024). It indicates an improvement in the capital structure and a decrease in the financial risk in the long run. The coverage ratio was also improved as the ratio rose to 3.63 times, which shows that the company had better capacity to cover its interest payments using operating profits. Though the increase is not great, it means that the earnings power of Tesco in terms of its finances and costs became stronger in 2025, which minimises the risk of financial distress.</w:t>
      </w:r>
    </w:p>
    <w:p w:rsidR="00000000" w:rsidDel="00000000" w:rsidP="00000000" w:rsidRDefault="00000000" w:rsidRPr="00000000" w14:paraId="000000A8">
      <w:pPr>
        <w:keepNext w:val="1"/>
        <w:jc w:val="center"/>
        <w:rPr/>
      </w:pPr>
      <w:r w:rsidDel="00000000" w:rsidR="00000000" w:rsidRPr="00000000">
        <w:rPr/>
        <w:drawing>
          <wp:inline distB="0" distT="0" distL="0" distR="0">
            <wp:extent cx="4572000" cy="2743200"/>
            <wp:effectExtent b="0" l="0" r="0" t="0"/>
            <wp:docPr id="4" name=""/>
            <a:graphic>
              <a:graphicData uri="http://schemas.openxmlformats.org/drawingml/2006/chart">
                <c:chart r:id="rId9"/>
              </a:graphicData>
            </a:graphic>
          </wp:inline>
        </w:drawing>
      </w:r>
      <w:r w:rsidDel="00000000" w:rsidR="00000000" w:rsidRPr="00000000">
        <w:rPr>
          <w:rtl w:val="0"/>
        </w:rPr>
      </w:r>
    </w:p>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Figure 3: Gearing Ratio</w:t>
      </w:r>
    </w:p>
    <w:p w:rsidR="00000000" w:rsidDel="00000000" w:rsidP="00000000" w:rsidRDefault="00000000" w:rsidRPr="00000000" w14:paraId="000000AA">
      <w:pPr>
        <w:rPr/>
      </w:pPr>
      <w:r w:rsidDel="00000000" w:rsidR="00000000" w:rsidRPr="00000000">
        <w:rPr>
          <w:rtl w:val="0"/>
        </w:rPr>
        <w:t xml:space="preserve">There was also a slight improvement in the ratio of equity, as it rose to 30.0% against 29.7 percent, which means that there was a slight shift in the assets financed by the shareholders' equity. This will help to note a healthier and stronger capital structure. On the other hand, the debt ratio decreased to 17.9% as compared to the 18.4%, which supports the fact that Tesco decreased the total leverage of the company in the year (CFI Team, 2025). When combined, these tendencies indicate that Tesco had an apprehensive attitude towards the management of financial risks, which enhanced its capacity to resist economic risks while also being able to access debt funds to sustain its activities.</w:t>
      </w:r>
    </w:p>
    <w:p w:rsidR="00000000" w:rsidDel="00000000" w:rsidP="00000000" w:rsidRDefault="00000000" w:rsidRPr="00000000" w14:paraId="000000A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Efficiency Ratios</w:t>
      </w:r>
    </w:p>
    <w:p w:rsidR="00000000" w:rsidDel="00000000" w:rsidP="00000000" w:rsidRDefault="00000000" w:rsidRPr="00000000" w14:paraId="000000AC">
      <w:pPr>
        <w:rPr/>
      </w:pPr>
      <w:r w:rsidDel="00000000" w:rsidR="00000000" w:rsidRPr="00000000">
        <w:rPr>
          <w:rtl w:val="0"/>
        </w:rPr>
        <w:t xml:space="preserve">Efficiency ratios determine the effectiveness of the company in terms of utilising the assets and working capital to generate revenue (CFI, 2022).</w:t>
      </w:r>
    </w:p>
    <w:p w:rsidR="00000000" w:rsidDel="00000000" w:rsidP="00000000" w:rsidRDefault="00000000" w:rsidRPr="00000000" w14:paraId="000000AD">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Table 4: Efficiency Ratios</w:t>
      </w:r>
    </w:p>
    <w:tbl>
      <w:tblPr>
        <w:tblStyle w:val="Table5"/>
        <w:tblW w:w="9016.0" w:type="dxa"/>
        <w:jc w:val="left"/>
        <w:tblBorders>
          <w:top w:color="999999" w:space="0" w:sz="4" w:val="single"/>
          <w:left w:color="999999" w:space="0" w:sz="4" w:val="single"/>
          <w:bottom w:color="999999" w:space="0" w:sz="4" w:val="single"/>
          <w:right w:color="999999" w:space="0" w:sz="4" w:val="single"/>
          <w:insideH w:color="999999" w:space="0" w:sz="4" w:val="single"/>
          <w:insideV w:color="999999" w:space="0" w:sz="4" w:val="single"/>
        </w:tblBorders>
        <w:tblLayout w:type="fixed"/>
        <w:tblLook w:val="04A0"/>
      </w:tblPr>
      <w:tblGrid>
        <w:gridCol w:w="1942"/>
        <w:gridCol w:w="2815"/>
        <w:gridCol w:w="2380"/>
        <w:gridCol w:w="958"/>
        <w:gridCol w:w="921"/>
        <w:tblGridChange w:id="0">
          <w:tblGrid>
            <w:gridCol w:w="1942"/>
            <w:gridCol w:w="2815"/>
            <w:gridCol w:w="2380"/>
            <w:gridCol w:w="958"/>
            <w:gridCol w:w="921"/>
          </w:tblGrid>
        </w:tblGridChange>
      </w:tblGrid>
      <w:tr>
        <w:trPr>
          <w:cantSplit w:val="0"/>
          <w:tblHeader w:val="0"/>
        </w:trPr>
        <w:tc>
          <w:tcPr/>
          <w:p w:rsidR="00000000" w:rsidDel="00000000" w:rsidP="00000000" w:rsidRDefault="00000000" w:rsidRPr="00000000" w14:paraId="000000AE">
            <w:pPr>
              <w:rPr/>
            </w:pPr>
            <w:r w:rsidDel="00000000" w:rsidR="00000000" w:rsidRPr="00000000">
              <w:rPr>
                <w:rtl w:val="0"/>
              </w:rPr>
              <w:t xml:space="preserve">Efficiency Ratio</w:t>
            </w:r>
          </w:p>
        </w:tc>
        <w:tc>
          <w:tcPr/>
          <w:p w:rsidR="00000000" w:rsidDel="00000000" w:rsidP="00000000" w:rsidRDefault="00000000" w:rsidRPr="00000000" w14:paraId="000000AF">
            <w:pPr>
              <w:rPr/>
            </w:pPr>
            <w:r w:rsidDel="00000000" w:rsidR="00000000" w:rsidRPr="00000000">
              <w:rPr>
                <w:rtl w:val="0"/>
              </w:rPr>
              <w:t xml:space="preserve">Breakdown (Formula Components)</w:t>
            </w:r>
          </w:p>
        </w:tc>
        <w:tc>
          <w:tcPr/>
          <w:p w:rsidR="00000000" w:rsidDel="00000000" w:rsidP="00000000" w:rsidRDefault="00000000" w:rsidRPr="00000000" w14:paraId="000000B0">
            <w:pPr>
              <w:rPr/>
            </w:pPr>
            <w:r w:rsidDel="00000000" w:rsidR="00000000" w:rsidRPr="00000000">
              <w:rPr>
                <w:rtl w:val="0"/>
              </w:rPr>
              <w:t xml:space="preserve">2025</w:t>
            </w:r>
          </w:p>
        </w:tc>
        <w:tc>
          <w:tcPr/>
          <w:p w:rsidR="00000000" w:rsidDel="00000000" w:rsidP="00000000" w:rsidRDefault="00000000" w:rsidRPr="00000000" w14:paraId="000000B1">
            <w:pPr>
              <w:rPr/>
            </w:pPr>
            <w:r w:rsidDel="00000000" w:rsidR="00000000" w:rsidRPr="00000000">
              <w:rPr>
                <w:rtl w:val="0"/>
              </w:rPr>
              <w:t xml:space="preserve">2024</w:t>
            </w:r>
          </w:p>
        </w:tc>
        <w:tc>
          <w:tcPr/>
          <w:p w:rsidR="00000000" w:rsidDel="00000000" w:rsidP="00000000" w:rsidRDefault="00000000" w:rsidRPr="00000000" w14:paraId="000000B2">
            <w:pPr>
              <w:rPr/>
            </w:pPr>
            <w:r w:rsidDel="00000000" w:rsidR="00000000" w:rsidRPr="00000000">
              <w:rPr>
                <w:rtl w:val="0"/>
              </w:rPr>
              <w:t xml:space="preserve">Trend</w:t>
            </w:r>
          </w:p>
        </w:tc>
      </w:tr>
      <w:tr>
        <w:trPr>
          <w:cantSplit w:val="0"/>
          <w:tblHeader w:val="0"/>
        </w:trPr>
        <w:tc>
          <w:tcPr/>
          <w:p w:rsidR="00000000" w:rsidDel="00000000" w:rsidP="00000000" w:rsidRDefault="00000000" w:rsidRPr="00000000" w14:paraId="000000B3">
            <w:pPr>
              <w:rPr/>
            </w:pPr>
            <w:r w:rsidDel="00000000" w:rsidR="00000000" w:rsidRPr="00000000">
              <w:rPr>
                <w:rtl w:val="0"/>
              </w:rPr>
              <w:t xml:space="preserve">Inventory Days</w:t>
            </w:r>
          </w:p>
        </w:tc>
        <w:tc>
          <w:tcPr/>
          <w:p w:rsidR="00000000" w:rsidDel="00000000" w:rsidP="00000000" w:rsidRDefault="00000000" w:rsidRPr="00000000" w14:paraId="000000B4">
            <w:pPr>
              <w:rPr/>
            </w:pPr>
            <w:r w:rsidDel="00000000" w:rsidR="00000000" w:rsidRPr="00000000">
              <w:rPr>
                <w:rtl w:val="0"/>
              </w:rPr>
              <w:t xml:space="preserve">(Inventory ÷ Cost of Sales) × 365</w:t>
            </w:r>
          </w:p>
        </w:tc>
        <w:tc>
          <w:tcPr/>
          <w:p w:rsidR="00000000" w:rsidDel="00000000" w:rsidP="00000000" w:rsidRDefault="00000000" w:rsidRPr="00000000" w14:paraId="000000B5">
            <w:pPr>
              <w:rPr/>
            </w:pPr>
            <w:r w:rsidDel="00000000" w:rsidR="00000000" w:rsidRPr="00000000">
              <w:rPr>
                <w:rtl w:val="0"/>
              </w:rPr>
              <w:t xml:space="preserve">(2,768 ÷ 64,205) × 365 = 15.7 days</w:t>
            </w:r>
          </w:p>
        </w:tc>
        <w:tc>
          <w:tcPr/>
          <w:p w:rsidR="00000000" w:rsidDel="00000000" w:rsidP="00000000" w:rsidRDefault="00000000" w:rsidRPr="00000000" w14:paraId="000000B6">
            <w:pPr>
              <w:rPr/>
            </w:pPr>
            <w:r w:rsidDel="00000000" w:rsidR="00000000" w:rsidRPr="00000000">
              <w:rPr>
                <w:rtl w:val="0"/>
              </w:rPr>
              <w:t xml:space="preserve">15.3 days</w:t>
            </w:r>
          </w:p>
        </w:tc>
        <w:tc>
          <w:tcPr/>
          <w:p w:rsidR="00000000" w:rsidDel="00000000" w:rsidP="00000000" w:rsidRDefault="00000000" w:rsidRPr="00000000" w14:paraId="000000B7">
            <w:pPr>
              <w:rPr/>
            </w:pPr>
            <w:r w:rsidDel="00000000" w:rsidR="00000000" w:rsidRPr="00000000">
              <w:rPr>
                <w:rtl w:val="0"/>
              </w:rPr>
              <w:t xml:space="preserve">Up ↑</w:t>
            </w:r>
          </w:p>
        </w:tc>
      </w:tr>
      <w:tr>
        <w:trPr>
          <w:cantSplit w:val="0"/>
          <w:tblHeader w:val="0"/>
        </w:trPr>
        <w:tc>
          <w:tcPr/>
          <w:p w:rsidR="00000000" w:rsidDel="00000000" w:rsidP="00000000" w:rsidRDefault="00000000" w:rsidRPr="00000000" w14:paraId="000000B8">
            <w:pPr>
              <w:rPr/>
            </w:pPr>
            <w:r w:rsidDel="00000000" w:rsidR="00000000" w:rsidRPr="00000000">
              <w:rPr>
                <w:rtl w:val="0"/>
              </w:rPr>
              <w:t xml:space="preserve">Receivables Days</w:t>
            </w:r>
          </w:p>
        </w:tc>
        <w:tc>
          <w:tcPr/>
          <w:p w:rsidR="00000000" w:rsidDel="00000000" w:rsidP="00000000" w:rsidRDefault="00000000" w:rsidRPr="00000000" w14:paraId="000000B9">
            <w:pPr>
              <w:rPr/>
            </w:pPr>
            <w:r w:rsidDel="00000000" w:rsidR="00000000" w:rsidRPr="00000000">
              <w:rPr>
                <w:rtl w:val="0"/>
              </w:rPr>
              <w:t xml:space="preserve">(Trade Receivables ÷ Revenue) × 365</w:t>
            </w:r>
          </w:p>
        </w:tc>
        <w:tc>
          <w:tcPr/>
          <w:p w:rsidR="00000000" w:rsidDel="00000000" w:rsidP="00000000" w:rsidRDefault="00000000" w:rsidRPr="00000000" w14:paraId="000000BA">
            <w:pPr>
              <w:rPr/>
            </w:pPr>
            <w:r w:rsidDel="00000000" w:rsidR="00000000" w:rsidRPr="00000000">
              <w:rPr>
                <w:rtl w:val="0"/>
              </w:rPr>
              <w:t xml:space="preserve">(1,210 ÷ 69,916) × 365 = 6.3 days</w:t>
            </w:r>
          </w:p>
        </w:tc>
        <w:tc>
          <w:tcPr/>
          <w:p w:rsidR="00000000" w:rsidDel="00000000" w:rsidP="00000000" w:rsidRDefault="00000000" w:rsidRPr="00000000" w14:paraId="000000BB">
            <w:pPr>
              <w:rPr/>
            </w:pPr>
            <w:r w:rsidDel="00000000" w:rsidR="00000000" w:rsidRPr="00000000">
              <w:rPr>
                <w:rtl w:val="0"/>
              </w:rPr>
              <w:t xml:space="preserve">7.2 days</w:t>
            </w:r>
          </w:p>
        </w:tc>
        <w:tc>
          <w:tcPr/>
          <w:p w:rsidR="00000000" w:rsidDel="00000000" w:rsidP="00000000" w:rsidRDefault="00000000" w:rsidRPr="00000000" w14:paraId="000000BC">
            <w:pPr>
              <w:rPr/>
            </w:pPr>
            <w:r w:rsidDel="00000000" w:rsidR="00000000" w:rsidRPr="00000000">
              <w:rPr>
                <w:rtl w:val="0"/>
              </w:rPr>
              <w:t xml:space="preserve">Down ↓</w:t>
            </w:r>
          </w:p>
        </w:tc>
      </w:tr>
      <w:tr>
        <w:trPr>
          <w:cantSplit w:val="0"/>
          <w:tblHeader w:val="0"/>
        </w:trPr>
        <w:tc>
          <w:tcPr/>
          <w:p w:rsidR="00000000" w:rsidDel="00000000" w:rsidP="00000000" w:rsidRDefault="00000000" w:rsidRPr="00000000" w14:paraId="000000BD">
            <w:pPr>
              <w:rPr/>
            </w:pPr>
            <w:r w:rsidDel="00000000" w:rsidR="00000000" w:rsidRPr="00000000">
              <w:rPr>
                <w:rtl w:val="0"/>
              </w:rPr>
              <w:t xml:space="preserve">Payables Days</w:t>
            </w:r>
          </w:p>
        </w:tc>
        <w:tc>
          <w:tcPr/>
          <w:p w:rsidR="00000000" w:rsidDel="00000000" w:rsidP="00000000" w:rsidRDefault="00000000" w:rsidRPr="00000000" w14:paraId="000000BE">
            <w:pPr>
              <w:rPr/>
            </w:pPr>
            <w:r w:rsidDel="00000000" w:rsidR="00000000" w:rsidRPr="00000000">
              <w:rPr>
                <w:rtl w:val="0"/>
              </w:rPr>
              <w:t xml:space="preserve">(Trade Payables ÷ Cost of Sales) × 365</w:t>
            </w:r>
          </w:p>
        </w:tc>
        <w:tc>
          <w:tcPr/>
          <w:p w:rsidR="00000000" w:rsidDel="00000000" w:rsidP="00000000" w:rsidRDefault="00000000" w:rsidRPr="00000000" w14:paraId="000000BF">
            <w:pPr>
              <w:rPr/>
            </w:pPr>
            <w:r w:rsidDel="00000000" w:rsidR="00000000" w:rsidRPr="00000000">
              <w:rPr>
                <w:rtl w:val="0"/>
              </w:rPr>
              <w:t xml:space="preserve">(10,364 ÷ 64,205) × 365 = 58.9 days</w:t>
            </w:r>
          </w:p>
        </w:tc>
        <w:tc>
          <w:tcPr/>
          <w:p w:rsidR="00000000" w:rsidDel="00000000" w:rsidP="00000000" w:rsidRDefault="00000000" w:rsidRPr="00000000" w14:paraId="000000C0">
            <w:pPr>
              <w:rPr/>
            </w:pPr>
            <w:r w:rsidDel="00000000" w:rsidR="00000000" w:rsidRPr="00000000">
              <w:rPr>
                <w:rtl w:val="0"/>
              </w:rPr>
              <w:t xml:space="preserve">59.7 days</w:t>
            </w:r>
          </w:p>
        </w:tc>
        <w:tc>
          <w:tcPr/>
          <w:p w:rsidR="00000000" w:rsidDel="00000000" w:rsidP="00000000" w:rsidRDefault="00000000" w:rsidRPr="00000000" w14:paraId="000000C1">
            <w:pPr>
              <w:rPr/>
            </w:pPr>
            <w:r w:rsidDel="00000000" w:rsidR="00000000" w:rsidRPr="00000000">
              <w:rPr>
                <w:rtl w:val="0"/>
              </w:rPr>
              <w:t xml:space="preserve">Down ↓</w:t>
            </w:r>
          </w:p>
        </w:tc>
      </w:tr>
      <w:tr>
        <w:trPr>
          <w:cantSplit w:val="0"/>
          <w:tblHeader w:val="0"/>
        </w:trPr>
        <w:tc>
          <w:tcPr/>
          <w:p w:rsidR="00000000" w:rsidDel="00000000" w:rsidP="00000000" w:rsidRDefault="00000000" w:rsidRPr="00000000" w14:paraId="000000C2">
            <w:pPr>
              <w:rPr/>
            </w:pPr>
            <w:r w:rsidDel="00000000" w:rsidR="00000000" w:rsidRPr="00000000">
              <w:rPr>
                <w:rtl w:val="0"/>
              </w:rPr>
              <w:t xml:space="preserve">Asset Turnover</w:t>
            </w:r>
          </w:p>
        </w:tc>
        <w:tc>
          <w:tcPr/>
          <w:p w:rsidR="00000000" w:rsidDel="00000000" w:rsidP="00000000" w:rsidRDefault="00000000" w:rsidRPr="00000000" w14:paraId="000000C3">
            <w:pPr>
              <w:rPr/>
            </w:pPr>
            <w:r w:rsidDel="00000000" w:rsidR="00000000" w:rsidRPr="00000000">
              <w:rPr>
                <w:rtl w:val="0"/>
              </w:rPr>
              <w:t xml:space="preserve">Revenue ÷ Total Assets</w:t>
            </w:r>
          </w:p>
        </w:tc>
        <w:tc>
          <w:tcPr/>
          <w:p w:rsidR="00000000" w:rsidDel="00000000" w:rsidP="00000000" w:rsidRDefault="00000000" w:rsidRPr="00000000" w14:paraId="000000C4">
            <w:pPr>
              <w:rPr/>
            </w:pPr>
            <w:r w:rsidDel="00000000" w:rsidR="00000000" w:rsidRPr="00000000">
              <w:rPr>
                <w:rtl w:val="0"/>
              </w:rPr>
              <w:t xml:space="preserve">69,916 ÷ 38,840 = 1.80×</w:t>
            </w:r>
          </w:p>
        </w:tc>
        <w:tc>
          <w:tcPr/>
          <w:p w:rsidR="00000000" w:rsidDel="00000000" w:rsidP="00000000" w:rsidRDefault="00000000" w:rsidRPr="00000000" w14:paraId="000000C5">
            <w:pPr>
              <w:rPr/>
            </w:pPr>
            <w:r w:rsidDel="00000000" w:rsidR="00000000" w:rsidRPr="00000000">
              <w:rPr>
                <w:rtl w:val="0"/>
              </w:rPr>
              <w:t xml:space="preserve">1.74×</w:t>
            </w:r>
          </w:p>
        </w:tc>
        <w:tc>
          <w:tcPr/>
          <w:p w:rsidR="00000000" w:rsidDel="00000000" w:rsidP="00000000" w:rsidRDefault="00000000" w:rsidRPr="00000000" w14:paraId="000000C6">
            <w:pPr>
              <w:rPr/>
            </w:pPr>
            <w:r w:rsidDel="00000000" w:rsidR="00000000" w:rsidRPr="00000000">
              <w:rPr>
                <w:rtl w:val="0"/>
              </w:rPr>
              <w:t xml:space="preserve">Up ↑</w:t>
            </w:r>
          </w:p>
        </w:tc>
      </w:tr>
      <w:tr>
        <w:trPr>
          <w:cantSplit w:val="0"/>
          <w:tblHeader w:val="0"/>
        </w:trPr>
        <w:tc>
          <w:tcPr/>
          <w:p w:rsidR="00000000" w:rsidDel="00000000" w:rsidP="00000000" w:rsidRDefault="00000000" w:rsidRPr="00000000" w14:paraId="000000C7">
            <w:pPr>
              <w:rPr/>
            </w:pPr>
            <w:r w:rsidDel="00000000" w:rsidR="00000000" w:rsidRPr="00000000">
              <w:rPr>
                <w:rtl w:val="0"/>
              </w:rPr>
              <w:t xml:space="preserve">Fixed Asset Turnover</w:t>
            </w:r>
          </w:p>
        </w:tc>
        <w:tc>
          <w:tcPr/>
          <w:p w:rsidR="00000000" w:rsidDel="00000000" w:rsidP="00000000" w:rsidRDefault="00000000" w:rsidRPr="00000000" w14:paraId="000000C8">
            <w:pPr>
              <w:rPr/>
            </w:pPr>
            <w:r w:rsidDel="00000000" w:rsidR="00000000" w:rsidRPr="00000000">
              <w:rPr>
                <w:rtl w:val="0"/>
              </w:rPr>
              <w:t xml:space="preserve">Revenue ÷ PPE</w:t>
            </w:r>
          </w:p>
        </w:tc>
        <w:tc>
          <w:tcPr/>
          <w:p w:rsidR="00000000" w:rsidDel="00000000" w:rsidP="00000000" w:rsidRDefault="00000000" w:rsidRPr="00000000" w14:paraId="000000C9">
            <w:pPr>
              <w:rPr/>
            </w:pPr>
            <w:r w:rsidDel="00000000" w:rsidR="00000000" w:rsidRPr="00000000">
              <w:rPr>
                <w:rtl w:val="0"/>
              </w:rPr>
              <w:t xml:space="preserve">69,916 ÷ 17,262 = 4.05×</w:t>
            </w:r>
          </w:p>
        </w:tc>
        <w:tc>
          <w:tcPr/>
          <w:p w:rsidR="00000000" w:rsidDel="00000000" w:rsidP="00000000" w:rsidRDefault="00000000" w:rsidRPr="00000000" w14:paraId="000000CA">
            <w:pPr>
              <w:rPr/>
            </w:pPr>
            <w:r w:rsidDel="00000000" w:rsidR="00000000" w:rsidRPr="00000000">
              <w:rPr>
                <w:rtl w:val="0"/>
              </w:rPr>
              <w:t xml:space="preserve">3.96×</w:t>
            </w:r>
          </w:p>
        </w:tc>
        <w:tc>
          <w:tcPr/>
          <w:p w:rsidR="00000000" w:rsidDel="00000000" w:rsidP="00000000" w:rsidRDefault="00000000" w:rsidRPr="00000000" w14:paraId="000000CB">
            <w:pPr>
              <w:rPr/>
            </w:pPr>
            <w:r w:rsidDel="00000000" w:rsidR="00000000" w:rsidRPr="00000000">
              <w:rPr>
                <w:rtl w:val="0"/>
              </w:rPr>
              <w:t xml:space="preserve">Up ↑</w:t>
            </w:r>
          </w:p>
        </w:tc>
      </w:tr>
    </w:tbl>
    <w:p w:rsidR="00000000" w:rsidDel="00000000" w:rsidP="00000000" w:rsidRDefault="00000000" w:rsidRPr="00000000" w14:paraId="000000CC">
      <w:pPr>
        <w:rPr>
          <w:b w:val="1"/>
          <w:bCs w:val="1"/>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t xml:space="preserve">The number of inventory days was observed to go slightly higher by 15.3 days in 2024 to 15.7days in 2025, which shows that stock was held slightly longer before being sold. Although this can imply a minor decrease in inventory efficiency, the alteration is insignificant and is a manifestation of the business reality of a large grocery retailer that has to preserve high product stocking. The receivables days were also reduced to 6.3 days as compared to 7.2 days, which indicates quicker collection of trade receivables (Kenton, 2025). This emphasises the fact that Tesco has a good cash-based sales model and better efficiency in its ability to convert credit sales into cash, which contributes to liquidity.</w:t>
      </w:r>
    </w:p>
    <w:p w:rsidR="00000000" w:rsidDel="00000000" w:rsidP="00000000" w:rsidRDefault="00000000" w:rsidRPr="00000000" w14:paraId="000000CE">
      <w:pPr>
        <w:keepNext w:val="1"/>
        <w:jc w:val="center"/>
        <w:rPr/>
      </w:pPr>
      <w:r w:rsidDel="00000000" w:rsidR="00000000" w:rsidRPr="00000000">
        <w:rPr/>
        <w:drawing>
          <wp:inline distB="0" distT="0" distL="0" distR="0">
            <wp:extent cx="4572000" cy="2773680"/>
            <wp:effectExtent b="7620" l="0" r="0" t="0"/>
            <wp:docPr id="3" name=""/>
            <a:graphic>
              <a:graphicData uri="http://schemas.openxmlformats.org/drawingml/2006/chart">
                <c:chart r:id="rId10"/>
              </a:graphicData>
            </a:graphic>
          </wp:inline>
        </w:drawing>
      </w:r>
      <w:r w:rsidDel="00000000" w:rsidR="00000000" w:rsidRPr="00000000">
        <w:rPr>
          <w:rtl w:val="0"/>
        </w:rPr>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Figure 4: Efficiency Ratios</w:t>
      </w:r>
    </w:p>
    <w:p w:rsidR="00000000" w:rsidDel="00000000" w:rsidP="00000000" w:rsidRDefault="00000000" w:rsidRPr="00000000" w14:paraId="000000D0">
      <w:pPr>
        <w:rPr/>
      </w:pPr>
      <w:r w:rsidDel="00000000" w:rsidR="00000000" w:rsidRPr="00000000">
        <w:rPr>
          <w:rtl w:val="0"/>
        </w:rPr>
        <w:t xml:space="preserve">The payables days reduced slightly to 58.9 days against 59.7 days, indicating that Tesco paid suppliers slightly on a faster day. This will decrease the rate of supplier financing, but the difference is minimal and does not significantly undermine the working capital position of the company. The asset turnover ratio improved from 1.74 times to 1.80 times, and this shows that Tesco made more revenue on every pound of assets utilised (Vikas Shrotriya, 2019). This is a pointer to better utilisation of the asset base and an efficient way of operating. In the same vein, the fixed asset turnover increased 3.96 times to 4.05 times, indicating better utilisation of property, plant and equipment, which was probably aided by the high store productivity and high volumes of sales.</w:t>
      </w:r>
    </w:p>
    <w:p w:rsidR="00000000" w:rsidDel="00000000" w:rsidP="00000000" w:rsidRDefault="00000000" w:rsidRPr="00000000" w14:paraId="000000D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Investor Ratios</w:t>
      </w:r>
    </w:p>
    <w:p w:rsidR="00000000" w:rsidDel="00000000" w:rsidP="00000000" w:rsidRDefault="00000000" w:rsidRPr="00000000" w14:paraId="000000D2">
      <w:pPr>
        <w:rPr/>
      </w:pPr>
      <w:r w:rsidDel="00000000" w:rsidR="00000000" w:rsidRPr="00000000">
        <w:rPr>
          <w:rtl w:val="0"/>
        </w:rPr>
        <w:t xml:space="preserve">Investor ratios analyse the returns generated to the shareholders and give an understanding of the performance of a company in terms of the earnings, dividend policy as well as being an attractive investment (Morris, 2011).</w:t>
      </w:r>
    </w:p>
    <w:p w:rsidR="00000000" w:rsidDel="00000000" w:rsidP="00000000" w:rsidRDefault="00000000" w:rsidRPr="00000000" w14:paraId="000000D3">
      <w:pPr>
        <w:keepNext w:val="1"/>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both"/>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Table 5: Investor Ratios</w:t>
      </w:r>
    </w:p>
    <w:tbl>
      <w:tblPr>
        <w:tblStyle w:val="Table6"/>
        <w:tblW w:w="8624.0" w:type="dxa"/>
        <w:jc w:val="center"/>
        <w:tblBorders>
          <w:top w:color="999999" w:space="0" w:sz="4" w:val="single"/>
          <w:left w:color="999999" w:space="0" w:sz="4" w:val="single"/>
          <w:bottom w:color="999999" w:space="0" w:sz="4" w:val="single"/>
          <w:right w:color="999999" w:space="0" w:sz="4" w:val="single"/>
          <w:insideH w:color="999999" w:space="0" w:sz="4" w:val="single"/>
          <w:insideV w:color="999999" w:space="0" w:sz="4" w:val="single"/>
        </w:tblBorders>
        <w:tblLayout w:type="fixed"/>
        <w:tblLook w:val="04A0"/>
      </w:tblPr>
      <w:tblGrid>
        <w:gridCol w:w="4243"/>
        <w:gridCol w:w="876"/>
        <w:gridCol w:w="876"/>
        <w:gridCol w:w="1012"/>
        <w:gridCol w:w="1617"/>
        <w:tblGridChange w:id="0">
          <w:tblGrid>
            <w:gridCol w:w="4243"/>
            <w:gridCol w:w="876"/>
            <w:gridCol w:w="876"/>
            <w:gridCol w:w="1012"/>
            <w:gridCol w:w="1617"/>
          </w:tblGrid>
        </w:tblGridChange>
      </w:tblGrid>
      <w:tr>
        <w:trPr>
          <w:cantSplit w:val="0"/>
          <w:tblHeader w:val="0"/>
        </w:trPr>
        <w:tc>
          <w:tcPr/>
          <w:p w:rsidR="00000000" w:rsidDel="00000000" w:rsidP="00000000" w:rsidRDefault="00000000" w:rsidRPr="00000000" w14:paraId="000000D4">
            <w:pPr>
              <w:rPr/>
            </w:pPr>
            <w:r w:rsidDel="00000000" w:rsidR="00000000" w:rsidRPr="00000000">
              <w:rPr>
                <w:rtl w:val="0"/>
              </w:rPr>
              <w:t xml:space="preserve">Investor Ratio</w:t>
            </w:r>
          </w:p>
        </w:tc>
        <w:tc>
          <w:tcPr/>
          <w:p w:rsidR="00000000" w:rsidDel="00000000" w:rsidP="00000000" w:rsidRDefault="00000000" w:rsidRPr="00000000" w14:paraId="000000D5">
            <w:pPr>
              <w:rPr/>
            </w:pPr>
            <w:r w:rsidDel="00000000" w:rsidR="00000000" w:rsidRPr="00000000">
              <w:rPr>
                <w:rtl w:val="0"/>
              </w:rPr>
              <w:t xml:space="preserve">2025</w:t>
            </w:r>
          </w:p>
        </w:tc>
        <w:tc>
          <w:tcPr/>
          <w:p w:rsidR="00000000" w:rsidDel="00000000" w:rsidP="00000000" w:rsidRDefault="00000000" w:rsidRPr="00000000" w14:paraId="000000D6">
            <w:pPr>
              <w:rPr/>
            </w:pPr>
            <w:r w:rsidDel="00000000" w:rsidR="00000000" w:rsidRPr="00000000">
              <w:rPr>
                <w:rtl w:val="0"/>
              </w:rPr>
              <w:t xml:space="preserve">2024</w:t>
            </w:r>
          </w:p>
        </w:tc>
        <w:tc>
          <w:tcPr/>
          <w:p w:rsidR="00000000" w:rsidDel="00000000" w:rsidP="00000000" w:rsidRDefault="00000000" w:rsidRPr="00000000" w14:paraId="000000D7">
            <w:pPr>
              <w:rPr/>
            </w:pPr>
            <w:r w:rsidDel="00000000" w:rsidR="00000000" w:rsidRPr="00000000">
              <w:rPr>
                <w:rtl w:val="0"/>
              </w:rPr>
              <w:t xml:space="preserve">Change</w:t>
            </w:r>
          </w:p>
        </w:tc>
        <w:tc>
          <w:tcPr/>
          <w:p w:rsidR="00000000" w:rsidDel="00000000" w:rsidP="00000000" w:rsidRDefault="00000000" w:rsidRPr="00000000" w14:paraId="000000D8">
            <w:pPr>
              <w:rPr/>
            </w:pPr>
            <w:r w:rsidDel="00000000" w:rsidR="00000000" w:rsidRPr="00000000">
              <w:rPr>
                <w:rtl w:val="0"/>
              </w:rPr>
              <w:t xml:space="preserve">Trend</w:t>
            </w:r>
          </w:p>
        </w:tc>
      </w:tr>
      <w:tr>
        <w:trPr>
          <w:cantSplit w:val="0"/>
          <w:tblHeader w:val="0"/>
        </w:trPr>
        <w:tc>
          <w:tcPr/>
          <w:p w:rsidR="00000000" w:rsidDel="00000000" w:rsidP="00000000" w:rsidRDefault="00000000" w:rsidRPr="00000000" w14:paraId="000000D9">
            <w:pPr>
              <w:rPr/>
            </w:pPr>
            <w:r w:rsidDel="00000000" w:rsidR="00000000" w:rsidRPr="00000000">
              <w:rPr>
                <w:rtl w:val="0"/>
              </w:rPr>
              <w:t xml:space="preserve">Earnings Per Share (EPS) – Basic (p)</w:t>
            </w:r>
          </w:p>
        </w:tc>
        <w:tc>
          <w:tcPr/>
          <w:p w:rsidR="00000000" w:rsidDel="00000000" w:rsidP="00000000" w:rsidRDefault="00000000" w:rsidRPr="00000000" w14:paraId="000000DA">
            <w:pPr>
              <w:rPr/>
            </w:pPr>
            <w:r w:rsidDel="00000000" w:rsidR="00000000" w:rsidRPr="00000000">
              <w:rPr>
                <w:rtl w:val="0"/>
              </w:rPr>
              <w:t xml:space="preserve">23.79</w:t>
            </w:r>
          </w:p>
        </w:tc>
        <w:tc>
          <w:tcPr/>
          <w:p w:rsidR="00000000" w:rsidDel="00000000" w:rsidP="00000000" w:rsidRDefault="00000000" w:rsidRPr="00000000" w14:paraId="000000DB">
            <w:pPr>
              <w:rPr/>
            </w:pPr>
            <w:r w:rsidDel="00000000" w:rsidR="00000000" w:rsidRPr="00000000">
              <w:rPr>
                <w:rtl w:val="0"/>
              </w:rPr>
              <w:t xml:space="preserve">16.74</w:t>
            </w:r>
          </w:p>
        </w:tc>
        <w:tc>
          <w:tcPr/>
          <w:p w:rsidR="00000000" w:rsidDel="00000000" w:rsidP="00000000" w:rsidRDefault="00000000" w:rsidRPr="00000000" w14:paraId="000000DC">
            <w:pPr>
              <w:rPr/>
            </w:pPr>
            <w:r w:rsidDel="00000000" w:rsidR="00000000" w:rsidRPr="00000000">
              <w:rPr>
                <w:rtl w:val="0"/>
              </w:rPr>
              <w:t xml:space="preserve">+7.05</w:t>
            </w:r>
          </w:p>
        </w:tc>
        <w:tc>
          <w:tcPr/>
          <w:p w:rsidR="00000000" w:rsidDel="00000000" w:rsidP="00000000" w:rsidRDefault="00000000" w:rsidRPr="00000000" w14:paraId="000000DD">
            <w:pPr>
              <w:rPr/>
            </w:pPr>
            <w:r w:rsidDel="00000000" w:rsidR="00000000" w:rsidRPr="00000000">
              <w:rPr>
                <w:rtl w:val="0"/>
              </w:rPr>
              <w:t xml:space="preserve">Up ↑</w:t>
            </w:r>
          </w:p>
        </w:tc>
      </w:tr>
      <w:tr>
        <w:trPr>
          <w:cantSplit w:val="0"/>
          <w:tblHeader w:val="0"/>
        </w:trPr>
        <w:tc>
          <w:tcPr/>
          <w:p w:rsidR="00000000" w:rsidDel="00000000" w:rsidP="00000000" w:rsidRDefault="00000000" w:rsidRPr="00000000" w14:paraId="000000DE">
            <w:pPr>
              <w:rPr/>
            </w:pPr>
            <w:r w:rsidDel="00000000" w:rsidR="00000000" w:rsidRPr="00000000">
              <w:rPr>
                <w:rtl w:val="0"/>
              </w:rPr>
              <w:t xml:space="preserve">Earnings Per Share (EPS) – Diluted (p)</w:t>
            </w:r>
          </w:p>
        </w:tc>
        <w:tc>
          <w:tcPr/>
          <w:p w:rsidR="00000000" w:rsidDel="00000000" w:rsidP="00000000" w:rsidRDefault="00000000" w:rsidRPr="00000000" w14:paraId="000000DF">
            <w:pPr>
              <w:rPr/>
            </w:pPr>
            <w:r w:rsidDel="00000000" w:rsidR="00000000" w:rsidRPr="00000000">
              <w:rPr>
                <w:rtl w:val="0"/>
              </w:rPr>
              <w:t xml:space="preserve">23.51</w:t>
            </w:r>
          </w:p>
        </w:tc>
        <w:tc>
          <w:tcPr/>
          <w:p w:rsidR="00000000" w:rsidDel="00000000" w:rsidP="00000000" w:rsidRDefault="00000000" w:rsidRPr="00000000" w14:paraId="000000E0">
            <w:pPr>
              <w:rPr/>
            </w:pPr>
            <w:r w:rsidDel="00000000" w:rsidR="00000000" w:rsidRPr="00000000">
              <w:rPr>
                <w:rtl w:val="0"/>
              </w:rPr>
              <w:t xml:space="preserve">16.56</w:t>
            </w:r>
          </w:p>
        </w:tc>
        <w:tc>
          <w:tcPr/>
          <w:p w:rsidR="00000000" w:rsidDel="00000000" w:rsidP="00000000" w:rsidRDefault="00000000" w:rsidRPr="00000000" w14:paraId="000000E1">
            <w:pPr>
              <w:rPr/>
            </w:pPr>
            <w:r w:rsidDel="00000000" w:rsidR="00000000" w:rsidRPr="00000000">
              <w:rPr>
                <w:rtl w:val="0"/>
              </w:rPr>
              <w:t xml:space="preserve">+6.95</w:t>
            </w:r>
          </w:p>
        </w:tc>
        <w:tc>
          <w:tcPr/>
          <w:p w:rsidR="00000000" w:rsidDel="00000000" w:rsidP="00000000" w:rsidRDefault="00000000" w:rsidRPr="00000000" w14:paraId="000000E2">
            <w:pPr>
              <w:rPr/>
            </w:pPr>
            <w:r w:rsidDel="00000000" w:rsidR="00000000" w:rsidRPr="00000000">
              <w:rPr>
                <w:rtl w:val="0"/>
              </w:rPr>
              <w:t xml:space="preserve">Up ↑</w:t>
            </w:r>
          </w:p>
        </w:tc>
      </w:tr>
      <w:tr>
        <w:trPr>
          <w:cantSplit w:val="0"/>
          <w:tblHeader w:val="0"/>
        </w:trPr>
        <w:tc>
          <w:tcPr/>
          <w:p w:rsidR="00000000" w:rsidDel="00000000" w:rsidP="00000000" w:rsidRDefault="00000000" w:rsidRPr="00000000" w14:paraId="000000E3">
            <w:pPr>
              <w:rPr/>
            </w:pPr>
            <w:r w:rsidDel="00000000" w:rsidR="00000000" w:rsidRPr="00000000">
              <w:rPr>
                <w:rtl w:val="0"/>
              </w:rPr>
              <w:t xml:space="preserve">Price–Earnings Ratio (P/E)</w:t>
            </w:r>
          </w:p>
        </w:tc>
        <w:tc>
          <w:tcPr/>
          <w:p w:rsidR="00000000" w:rsidDel="00000000" w:rsidP="00000000" w:rsidRDefault="00000000" w:rsidRPr="00000000" w14:paraId="000000E4">
            <w:pPr>
              <w:rPr/>
            </w:pPr>
            <w:r w:rsidDel="00000000" w:rsidR="00000000" w:rsidRPr="00000000">
              <w:rPr>
                <w:rtl w:val="0"/>
              </w:rPr>
              <w:t xml:space="preserve">15.98</w:t>
            </w:r>
          </w:p>
        </w:tc>
        <w:tc>
          <w:tcPr/>
          <w:p w:rsidR="00000000" w:rsidDel="00000000" w:rsidP="00000000" w:rsidRDefault="00000000" w:rsidRPr="00000000" w14:paraId="000000E5">
            <w:pPr>
              <w:rPr/>
            </w:pPr>
            <w:r w:rsidDel="00000000" w:rsidR="00000000" w:rsidRPr="00000000">
              <w:rPr>
                <w:rtl w:val="0"/>
              </w:rPr>
              <w:t xml:space="preserve">16.57</w:t>
            </w:r>
          </w:p>
        </w:tc>
        <w:tc>
          <w:tcPr/>
          <w:p w:rsidR="00000000" w:rsidDel="00000000" w:rsidP="00000000" w:rsidRDefault="00000000" w:rsidRPr="00000000" w14:paraId="000000E6">
            <w:pPr>
              <w:rPr/>
            </w:pPr>
            <w:r w:rsidDel="00000000" w:rsidR="00000000" w:rsidRPr="00000000">
              <w:rPr>
                <w:rtl w:val="0"/>
              </w:rPr>
              <w:t xml:space="preserve">−0.58</w:t>
            </w:r>
          </w:p>
        </w:tc>
        <w:tc>
          <w:tcPr/>
          <w:p w:rsidR="00000000" w:rsidDel="00000000" w:rsidP="00000000" w:rsidRDefault="00000000" w:rsidRPr="00000000" w14:paraId="000000E7">
            <w:pPr>
              <w:rPr/>
            </w:pPr>
            <w:r w:rsidDel="00000000" w:rsidR="00000000" w:rsidRPr="00000000">
              <w:rPr>
                <w:rtl w:val="0"/>
              </w:rPr>
              <w:t xml:space="preserve">Down ↓</w:t>
            </w:r>
          </w:p>
        </w:tc>
      </w:tr>
      <w:tr>
        <w:trPr>
          <w:cantSplit w:val="0"/>
          <w:tblHeader w:val="0"/>
        </w:trPr>
        <w:tc>
          <w:tcPr/>
          <w:p w:rsidR="00000000" w:rsidDel="00000000" w:rsidP="00000000" w:rsidRDefault="00000000" w:rsidRPr="00000000" w14:paraId="000000E8">
            <w:pPr>
              <w:rPr/>
            </w:pPr>
            <w:r w:rsidDel="00000000" w:rsidR="00000000" w:rsidRPr="00000000">
              <w:rPr>
                <w:rtl w:val="0"/>
              </w:rPr>
              <w:t xml:space="preserve">Dividend Yield</w:t>
            </w:r>
          </w:p>
        </w:tc>
        <w:tc>
          <w:tcPr/>
          <w:p w:rsidR="00000000" w:rsidDel="00000000" w:rsidP="00000000" w:rsidRDefault="00000000" w:rsidRPr="00000000" w14:paraId="000000E9">
            <w:pPr>
              <w:rPr/>
            </w:pPr>
            <w:r w:rsidDel="00000000" w:rsidR="00000000" w:rsidRPr="00000000">
              <w:rPr>
                <w:rtl w:val="0"/>
              </w:rPr>
              <w:t xml:space="preserve">4.0%</w:t>
            </w:r>
          </w:p>
        </w:tc>
        <w:tc>
          <w:tcPr/>
          <w:p w:rsidR="00000000" w:rsidDel="00000000" w:rsidP="00000000" w:rsidRDefault="00000000" w:rsidRPr="00000000" w14:paraId="000000EA">
            <w:pPr>
              <w:rPr/>
            </w:pPr>
            <w:r w:rsidDel="00000000" w:rsidR="00000000" w:rsidRPr="00000000">
              <w:rPr>
                <w:rtl w:val="0"/>
              </w:rPr>
              <w:t xml:space="preserve">4.1%</w:t>
            </w:r>
          </w:p>
        </w:tc>
        <w:tc>
          <w:tcPr/>
          <w:p w:rsidR="00000000" w:rsidDel="00000000" w:rsidP="00000000" w:rsidRDefault="00000000" w:rsidRPr="00000000" w14:paraId="000000EB">
            <w:pPr>
              <w:rPr/>
            </w:pPr>
            <w:r w:rsidDel="00000000" w:rsidR="00000000" w:rsidRPr="00000000">
              <w:rPr>
                <w:rtl w:val="0"/>
              </w:rPr>
              <w:t xml:space="preserve">−0.1%</w:t>
            </w:r>
          </w:p>
        </w:tc>
        <w:tc>
          <w:tcPr/>
          <w:p w:rsidR="00000000" w:rsidDel="00000000" w:rsidP="00000000" w:rsidRDefault="00000000" w:rsidRPr="00000000" w14:paraId="000000EC">
            <w:pPr>
              <w:rPr/>
            </w:pPr>
            <w:r w:rsidDel="00000000" w:rsidR="00000000" w:rsidRPr="00000000">
              <w:rPr>
                <w:rtl w:val="0"/>
              </w:rPr>
              <w:t xml:space="preserve">Slight Down ↓</w:t>
            </w:r>
          </w:p>
        </w:tc>
      </w:tr>
      <w:tr>
        <w:trPr>
          <w:cantSplit w:val="0"/>
          <w:tblHeader w:val="0"/>
        </w:trPr>
        <w:tc>
          <w:tcPr/>
          <w:p w:rsidR="00000000" w:rsidDel="00000000" w:rsidP="00000000" w:rsidRDefault="00000000" w:rsidRPr="00000000" w14:paraId="000000ED">
            <w:pPr>
              <w:rPr/>
            </w:pPr>
            <w:r w:rsidDel="00000000" w:rsidR="00000000" w:rsidRPr="00000000">
              <w:rPr>
                <w:rtl w:val="0"/>
              </w:rPr>
              <w:t xml:space="preserve">Market Price per Share (p)</w:t>
            </w:r>
          </w:p>
        </w:tc>
        <w:tc>
          <w:tcPr/>
          <w:p w:rsidR="00000000" w:rsidDel="00000000" w:rsidP="00000000" w:rsidRDefault="00000000" w:rsidRPr="00000000" w14:paraId="000000EE">
            <w:pPr>
              <w:rPr/>
            </w:pPr>
            <w:r w:rsidDel="00000000" w:rsidR="00000000" w:rsidRPr="00000000">
              <w:rPr>
                <w:rtl w:val="0"/>
              </w:rPr>
              <w:t xml:space="preserve">380.20</w:t>
            </w:r>
          </w:p>
        </w:tc>
        <w:tc>
          <w:tcPr/>
          <w:p w:rsidR="00000000" w:rsidDel="00000000" w:rsidP="00000000" w:rsidRDefault="00000000" w:rsidRPr="00000000" w14:paraId="000000EF">
            <w:pPr>
              <w:rPr/>
            </w:pPr>
            <w:r w:rsidDel="00000000" w:rsidR="00000000" w:rsidRPr="00000000">
              <w:rPr>
                <w:rtl w:val="0"/>
              </w:rPr>
              <w:t xml:space="preserve">277.30</w:t>
            </w:r>
          </w:p>
        </w:tc>
        <w:tc>
          <w:tcPr/>
          <w:p w:rsidR="00000000" w:rsidDel="00000000" w:rsidP="00000000" w:rsidRDefault="00000000" w:rsidRPr="00000000" w14:paraId="000000F0">
            <w:pPr>
              <w:rPr/>
            </w:pPr>
            <w:r w:rsidDel="00000000" w:rsidR="00000000" w:rsidRPr="00000000">
              <w:rPr>
                <w:rtl w:val="0"/>
              </w:rPr>
              <w:t xml:space="preserve">+102.90</w:t>
            </w:r>
          </w:p>
        </w:tc>
        <w:tc>
          <w:tcPr/>
          <w:p w:rsidR="00000000" w:rsidDel="00000000" w:rsidP="00000000" w:rsidRDefault="00000000" w:rsidRPr="00000000" w14:paraId="000000F1">
            <w:pPr>
              <w:rPr/>
            </w:pPr>
            <w:r w:rsidDel="00000000" w:rsidR="00000000" w:rsidRPr="00000000">
              <w:rPr>
                <w:rtl w:val="0"/>
              </w:rPr>
              <w:t xml:space="preserve">Up ↑</w:t>
            </w:r>
          </w:p>
        </w:tc>
      </w:tr>
    </w:tbl>
    <w:p w:rsidR="00000000" w:rsidDel="00000000" w:rsidP="00000000" w:rsidRDefault="00000000" w:rsidRPr="00000000" w14:paraId="000000F2">
      <w:pPr>
        <w:rPr>
          <w:b w:val="1"/>
          <w:bCs w:val="1"/>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t xml:space="preserve">The fundamental earnings per share (EPS) improved significantly, in 2024 (16.74p) to 23.79p in 2025, which is a growth of 7.05p (Fernando, 2023). This remarkable expansion represents a better earning potential for its shareholders and indicates better performance in earnings throughout the year. The same can be said about the diluted EPS, which increased by 16.56p to 23.51p and the earnings growth was not significantly diluted by the potential ordinary shares.</w:t>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keepNext w:val="1"/>
        <w:jc w:val="center"/>
        <w:rPr/>
      </w:pPr>
      <w:r w:rsidDel="00000000" w:rsidR="00000000" w:rsidRPr="00000000">
        <w:rPr/>
        <w:drawing>
          <wp:inline distB="0" distT="0" distL="0" distR="0">
            <wp:extent cx="4572000" cy="2743200"/>
            <wp:effectExtent b="0" l="0" r="0" t="0"/>
            <wp:docPr id="5" name=""/>
            <a:graphic>
              <a:graphicData uri="http://schemas.openxmlformats.org/drawingml/2006/chart">
                <c:chart r:id="rId11"/>
              </a:graphicData>
            </a:graphic>
          </wp:inline>
        </w:drawing>
      </w: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1"/>
          <w:bCs w:val="1"/>
          <w:i w:val="0"/>
          <w:iCs w:val="0"/>
          <w:smallCaps w:val="0"/>
          <w:strike w:val="0"/>
          <w:color w:val="0e2841"/>
          <w:sz w:val="20"/>
          <w:szCs w:val="20"/>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e2841"/>
          <w:sz w:val="20"/>
          <w:szCs w:val="20"/>
          <w:u w:val="none"/>
          <w:shd w:fill="auto" w:val="clear"/>
          <w:vertAlign w:val="baseline"/>
          <w:rtl w:val="0"/>
        </w:rPr>
        <w:t xml:space="preserve">Figure 5: Investor Ratios</w:t>
      </w:r>
    </w:p>
    <w:p w:rsidR="00000000" w:rsidDel="00000000" w:rsidP="00000000" w:rsidRDefault="00000000" w:rsidRPr="00000000" w14:paraId="000000F7">
      <w:pPr>
        <w:rPr/>
      </w:pPr>
      <w:r w:rsidDel="00000000" w:rsidR="00000000" w:rsidRPr="00000000">
        <w:rPr>
          <w:rtl w:val="0"/>
        </w:rPr>
        <w:t xml:space="preserve">The price-earnings (P/E) ratio decreased to 15.98 even though the increase in EPS was quite high (16.57). This implies that the share price of Tesco rose significantly, i.e. 277.30p to 380.20p, but the growth in earnings was more than the growth in market value (Fernando, 2024). The reduced P/E ratio can either represent reduced expectations of investors for future growth or a re-rating of the company to a more mature and stable earnings structure (Investing.com, 2025). The dividend yield dropped slightly to 4.0% of the previous 4.1% as a result of the significant increase in share price as compared to the increase in the dividend. Although the change is minimal, it indicates that shareholder returns of 2025 were mostly caused by capital appreciation and not dividend income. </w:t>
      </w:r>
    </w:p>
    <w:p w:rsidR="00000000" w:rsidDel="00000000" w:rsidP="00000000" w:rsidRDefault="00000000" w:rsidRPr="00000000" w14:paraId="000000F8">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F9">
      <w:pPr>
        <w:pStyle w:val="Heading2"/>
        <w:rPr/>
      </w:pPr>
      <w:bookmarkStart w:colFirst="0" w:colLast="0" w:name="_2ybrfq7dwgt7" w:id="3"/>
      <w:bookmarkEnd w:id="3"/>
      <w:r w:rsidDel="00000000" w:rsidR="00000000" w:rsidRPr="00000000">
        <w:rPr>
          <w:rtl w:val="0"/>
        </w:rPr>
        <w:t xml:space="preserve">3. Critical Evaluation of Ratio Changes and Limitations</w:t>
      </w:r>
    </w:p>
    <w:p w:rsidR="00000000" w:rsidDel="00000000" w:rsidP="00000000" w:rsidRDefault="00000000" w:rsidRPr="00000000" w14:paraId="000000FA">
      <w:pPr>
        <w:rPr/>
      </w:pPr>
      <w:r w:rsidDel="00000000" w:rsidR="00000000" w:rsidRPr="00000000">
        <w:rPr>
          <w:rtl w:val="0"/>
        </w:rPr>
        <w:t xml:space="preserve">The ratios analysis allows stating that the financial performance of Tesco was developed unevenly in 202425, which can be attributed to both the effects of operational improvements and cost pressure. There are mixed trends in the profitability ratio: the gross profit margin increased slightly, and the operating profit margin decreased slightly, too. This deviation indicates that Tesco had more effective control of cost of sales, albeit in the form of pricing discipline, supplier negotiations or product mix optimisation, but the benefits were neutralised by increasing operating costs. The compression of the operating margins is likely to be caused by increased labour costs, increased energy prices and ongoing investment in store operations and digital infrastructure (Herman, Nistor and Jula, 2023). Nonetheless, the rise in the net profit margin shows that the variables below the operating level, like a reduction in exceptional charges or better financing performance, had a positive effect on total profitability. Liquidity ratios were still poor, and they have worsened slightly in the course of time. The current ratio and quick ratio decreased, and the net working capital became negative, which indicates that it had become more dependent on supplier credit. This trend supports the strategy of Tesco's working capital to finance its operations using trade payables instead of liquid assets. Although this type of approach is not uncommon and tends to be highly effective in the supermarket business, as the cash inflows are high and the inventory turnover is high, it leaves one vulnerable to short-term liquidity risks in the event that the business environment becomes poorer or the supplier credit terms are tightened. Gearing ratios have had a slight improvement, as both the debt-to-equity ratio and debt ratio decreased, and interest coverage was stronger (Boyte-White, 2025). These developments imply a prudent management of the capital structure, which minimises financial risk, but leaves enough leverage to sustain the operations. The efficiency ratios also significantly rose in general, especially asset utilisation, receivables management, and this has led to increased returns on assets and equity. Investor ratios indicate the increased shareholder value creation. The earnings per share have gone up dramatically, which is backed up by a significant growth in share price. The price earnings ratio, however, decreased, showing that the growth in earnings exceeded the growth in the market value, which may be due to more pessimistic expectations of future growth in a mature retail economy by the investors. Even with these revelations, ratio analysis possesses significant drawbacks. Ratios are calculated on past financial records, and they might not be a good indication of what is going on in the market or what is going to happen. A year-on-year comparison is distorted by accounting policies, inflation and one-off items which can affect them. In addition, the ratios give a minimal information regarding the qualitative aspects like the intensity of competition, customer behaviour and strategic initiatives. Ratio analysis should therefore be used in combination with other financial, operational and strategic data in supporting management decisions.</w:t>
      </w:r>
    </w:p>
    <w:p w:rsidR="00000000" w:rsidDel="00000000" w:rsidP="00000000" w:rsidRDefault="00000000" w:rsidRPr="00000000" w14:paraId="000000FB">
      <w:pPr>
        <w:pStyle w:val="Heading2"/>
        <w:rPr/>
      </w:pPr>
      <w:bookmarkStart w:colFirst="0" w:colLast="0" w:name="_qdni12o0psf9" w:id="4"/>
      <w:bookmarkEnd w:id="4"/>
      <w:r w:rsidDel="00000000" w:rsidR="00000000" w:rsidRPr="00000000">
        <w:rPr>
          <w:rtl w:val="0"/>
        </w:rPr>
        <w:t xml:space="preserve">4. Recommendations for Improving Financial Management</w:t>
      </w:r>
    </w:p>
    <w:p w:rsidR="00000000" w:rsidDel="00000000" w:rsidP="00000000" w:rsidRDefault="00000000" w:rsidRPr="00000000" w14:paraId="000000FC">
      <w:pPr>
        <w:rPr/>
      </w:pPr>
      <w:r w:rsidDel="00000000" w:rsidR="00000000" w:rsidRPr="00000000">
        <w:rPr>
          <w:rtl w:val="0"/>
        </w:rPr>
        <w:t xml:space="preserve">The analysis reveals that Tesco needs to focus more on operating cost control to resolve the reduction in operating profit margin. Increased automation, energy efficiency and controlled labour costs would aid in saving margins without compromising service quality. Even though negative working capital is in line with the Tesco business model, the decline in the liquidity ratios indicates that closer working capital management is required (Panigrahi, 2014). It would lead to better demand forecasting and inventory optimisation, which would lower stock holding without affecting the available stock, although there would be a good relationship with suppliers to sustain the favourable credit terms. Considering the slight change in the gearing and interest coverage, Tesco ought to maintain a safe capital structure policy by restricting further borrowing and maximising retained earnings, especially in a volatile interest rate environment. Lastly, positive growth in EPS and a decreasing P/E ratio demonstrate the need to communicate to investors clearly. Better reporting of strategic priorities and cost management initiatives would assist in building on market confidence and benefiting sustainable shareholder value.</w:t>
      </w:r>
    </w:p>
    <w:p w:rsidR="00000000" w:rsidDel="00000000" w:rsidP="00000000" w:rsidRDefault="00000000" w:rsidRPr="00000000" w14:paraId="000000FD">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FE">
      <w:pPr>
        <w:pStyle w:val="Heading1"/>
        <w:rPr/>
      </w:pPr>
      <w:bookmarkStart w:colFirst="0" w:colLast="0" w:name="_owqbi13tknm" w:id="5"/>
      <w:bookmarkEnd w:id="5"/>
      <w:r w:rsidDel="00000000" w:rsidR="00000000" w:rsidRPr="00000000">
        <w:rPr>
          <w:rtl w:val="0"/>
        </w:rPr>
        <w:t xml:space="preserve">Part 02 </w:t>
      </w:r>
    </w:p>
    <w:p w:rsidR="00000000" w:rsidDel="00000000" w:rsidP="00000000" w:rsidRDefault="00000000" w:rsidRPr="00000000" w14:paraId="000000FF">
      <w:pPr>
        <w:rPr/>
      </w:pPr>
      <w:r w:rsidDel="00000000" w:rsidR="00000000" w:rsidRPr="00000000">
        <w:rPr>
          <w:rtl w:val="0"/>
        </w:rPr>
        <w:t xml:space="preserve">Investment Appraisal for Westward Plc</w:t>
      </w:r>
    </w:p>
    <w:p w:rsidR="00000000" w:rsidDel="00000000" w:rsidP="00000000" w:rsidRDefault="00000000" w:rsidRPr="00000000" w14:paraId="00000100">
      <w:pPr>
        <w:pStyle w:val="Heading2"/>
        <w:rPr/>
      </w:pPr>
      <w:bookmarkStart w:colFirst="0" w:colLast="0" w:name="_ms91tejv7ic8" w:id="6"/>
      <w:bookmarkEnd w:id="6"/>
      <w:r w:rsidDel="00000000" w:rsidR="00000000" w:rsidRPr="00000000">
        <w:rPr>
          <w:rtl w:val="0"/>
        </w:rPr>
        <w:t xml:space="preserve">1. Introduction</w:t>
      </w:r>
    </w:p>
    <w:p w:rsidR="00000000" w:rsidDel="00000000" w:rsidP="00000000" w:rsidRDefault="00000000" w:rsidRPr="00000000" w14:paraId="00000101">
      <w:pPr>
        <w:rPr/>
      </w:pPr>
      <w:r w:rsidDel="00000000" w:rsidR="00000000" w:rsidRPr="00000000">
        <w:rPr>
          <w:rtl w:val="0"/>
        </w:rPr>
        <w:t xml:space="preserve">Westward Plc is a producer of high-end curtains who are reviewing opportunities in which to develop its business. Based on the changing market environment and growth prospects, the managers are evaluating three independent investment opportunities under a strategic plan over a four-year horizon. The work will entail one of the following: expanding the current retail premises to create an internet sales facility, or to move into a new area and manufacture wooden and Roman blinds. Capital budgeting decisions are important for the success of the firm in the long run as they create a significant financial commitment and result into long term implications on risk, profitability and wealth of shareholders (Pinkasovitch, 2024). The objective of this report is to analyse the three options under consideration with suitable investment appraisal methods and to recommend which option would be most beneficial in terms of maximisation of shareholders' wealth. Capital rationing limitations are treated, and broader qualitative issues related to decision-making for management discussions.</w:t>
      </w:r>
    </w:p>
    <w:p w:rsidR="00000000" w:rsidDel="00000000" w:rsidP="00000000" w:rsidRDefault="00000000" w:rsidRPr="00000000" w14:paraId="00000102">
      <w:pPr>
        <w:pStyle w:val="Heading2"/>
        <w:rPr/>
      </w:pPr>
      <w:bookmarkStart w:colFirst="0" w:colLast="0" w:name="_i4lg8kpkk8xd" w:id="7"/>
      <w:bookmarkEnd w:id="7"/>
      <w:r w:rsidDel="00000000" w:rsidR="00000000" w:rsidRPr="00000000">
        <w:rPr>
          <w:rtl w:val="0"/>
        </w:rPr>
        <w:t xml:space="preserve">2. Overview of the Investment Proposals</w:t>
      </w:r>
    </w:p>
    <w:p w:rsidR="00000000" w:rsidDel="00000000" w:rsidP="00000000" w:rsidRDefault="00000000" w:rsidRPr="00000000" w14:paraId="00000103">
      <w:pPr>
        <w:rPr/>
      </w:pPr>
      <w:r w:rsidDel="00000000" w:rsidR="00000000" w:rsidRPr="00000000">
        <w:rPr>
          <w:rtl w:val="0"/>
        </w:rPr>
        <w:t xml:space="preserve">The directors of Westward Plc have identified three investment options, each with different initial capital requirements and expected cash inflows over a four-year period.</w:t>
      </w:r>
    </w:p>
    <w:p w:rsidR="00000000" w:rsidDel="00000000" w:rsidP="00000000" w:rsidRDefault="00000000" w:rsidRPr="00000000" w14:paraId="00000104">
      <w:pPr>
        <w:rPr>
          <w:b w:val="1"/>
          <w:bCs w:val="1"/>
        </w:rPr>
      </w:pPr>
      <w:r w:rsidDel="00000000" w:rsidR="00000000" w:rsidRPr="00000000">
        <w:rPr>
          <w:b w:val="1"/>
          <w:bCs w:val="1"/>
          <w:rtl w:val="0"/>
        </w:rPr>
        <w:t xml:space="preserve">Option A: Expansion of Existing Retail Outlet</w:t>
      </w:r>
    </w:p>
    <w:p w:rsidR="00000000" w:rsidDel="00000000" w:rsidP="00000000" w:rsidRDefault="00000000" w:rsidRPr="00000000" w14:paraId="00000105">
      <w:pPr>
        <w:numPr>
          <w:ilvl w:val="0"/>
          <w:numId w:val="3"/>
        </w:numPr>
        <w:ind w:left="720" w:hanging="360"/>
        <w:rPr/>
      </w:pPr>
      <w:r w:rsidDel="00000000" w:rsidR="00000000" w:rsidRPr="00000000">
        <w:rPr>
          <w:rtl w:val="0"/>
        </w:rPr>
        <w:t xml:space="preserve">Initial investment: </w:t>
      </w:r>
      <w:r w:rsidDel="00000000" w:rsidR="00000000" w:rsidRPr="00000000">
        <w:rPr>
          <w:b w:val="1"/>
          <w:bCs w:val="1"/>
          <w:rtl w:val="0"/>
        </w:rPr>
        <w:t xml:space="preserve">£600,000</w:t>
      </w:r>
      <w:r w:rsidDel="00000000" w:rsidR="00000000" w:rsidRPr="00000000">
        <w:rPr>
          <w:rtl w:val="0"/>
        </w:rPr>
      </w:r>
    </w:p>
    <w:p w:rsidR="00000000" w:rsidDel="00000000" w:rsidP="00000000" w:rsidRDefault="00000000" w:rsidRPr="00000000" w14:paraId="00000106">
      <w:pPr>
        <w:numPr>
          <w:ilvl w:val="0"/>
          <w:numId w:val="3"/>
        </w:numPr>
        <w:ind w:left="720" w:hanging="360"/>
        <w:rPr/>
      </w:pPr>
      <w:r w:rsidDel="00000000" w:rsidR="00000000" w:rsidRPr="00000000">
        <w:rPr>
          <w:rtl w:val="0"/>
        </w:rPr>
        <w:t xml:space="preserve">Objective: Expand the current retail outlet to include all products</w:t>
      </w:r>
    </w:p>
    <w:p w:rsidR="00000000" w:rsidDel="00000000" w:rsidP="00000000" w:rsidRDefault="00000000" w:rsidRPr="00000000" w14:paraId="00000107">
      <w:pPr>
        <w:numPr>
          <w:ilvl w:val="0"/>
          <w:numId w:val="3"/>
        </w:numPr>
        <w:ind w:left="720" w:hanging="360"/>
        <w:rPr/>
      </w:pPr>
      <w:r w:rsidDel="00000000" w:rsidR="00000000" w:rsidRPr="00000000">
        <w:rPr>
          <w:rtl w:val="0"/>
        </w:rPr>
        <w:t xml:space="preserve">Advantage: Lower capital outlay and reduced operational risk</w:t>
      </w:r>
    </w:p>
    <w:p w:rsidR="00000000" w:rsidDel="00000000" w:rsidP="00000000" w:rsidRDefault="00000000" w:rsidRPr="00000000" w14:paraId="00000108">
      <w:pPr>
        <w:rPr>
          <w:b w:val="1"/>
          <w:bCs w:val="1"/>
        </w:rPr>
      </w:pPr>
      <w:r w:rsidDel="00000000" w:rsidR="00000000" w:rsidRPr="00000000">
        <w:rPr>
          <w:b w:val="1"/>
          <w:bCs w:val="1"/>
          <w:rtl w:val="0"/>
        </w:rPr>
        <w:t xml:space="preserve">Option B: Development of Internet Sales</w:t>
      </w:r>
    </w:p>
    <w:p w:rsidR="00000000" w:rsidDel="00000000" w:rsidP="00000000" w:rsidRDefault="00000000" w:rsidRPr="00000000" w14:paraId="00000109">
      <w:pPr>
        <w:numPr>
          <w:ilvl w:val="0"/>
          <w:numId w:val="4"/>
        </w:numPr>
        <w:ind w:left="720" w:hanging="360"/>
        <w:rPr/>
      </w:pPr>
      <w:r w:rsidDel="00000000" w:rsidR="00000000" w:rsidRPr="00000000">
        <w:rPr>
          <w:rtl w:val="0"/>
        </w:rPr>
        <w:t xml:space="preserve">Initial investment: </w:t>
      </w:r>
      <w:r w:rsidDel="00000000" w:rsidR="00000000" w:rsidRPr="00000000">
        <w:rPr>
          <w:b w:val="1"/>
          <w:bCs w:val="1"/>
          <w:rtl w:val="0"/>
        </w:rPr>
        <w:t xml:space="preserve">£1,000,000</w:t>
      </w:r>
      <w:r w:rsidDel="00000000" w:rsidR="00000000" w:rsidRPr="00000000">
        <w:rPr>
          <w:rtl w:val="0"/>
        </w:rPr>
      </w:r>
    </w:p>
    <w:p w:rsidR="00000000" w:rsidDel="00000000" w:rsidP="00000000" w:rsidRDefault="00000000" w:rsidRPr="00000000" w14:paraId="0000010A">
      <w:pPr>
        <w:numPr>
          <w:ilvl w:val="0"/>
          <w:numId w:val="4"/>
        </w:numPr>
        <w:ind w:left="720" w:hanging="360"/>
        <w:rPr/>
      </w:pPr>
      <w:r w:rsidDel="00000000" w:rsidR="00000000" w:rsidRPr="00000000">
        <w:rPr>
          <w:rtl w:val="0"/>
        </w:rPr>
        <w:t xml:space="preserve">Objective: Expand into online sales channels</w:t>
      </w:r>
    </w:p>
    <w:p w:rsidR="00000000" w:rsidDel="00000000" w:rsidP="00000000" w:rsidRDefault="00000000" w:rsidRPr="00000000" w14:paraId="0000010B">
      <w:pPr>
        <w:numPr>
          <w:ilvl w:val="0"/>
          <w:numId w:val="4"/>
        </w:numPr>
        <w:ind w:left="720" w:hanging="360"/>
        <w:rPr/>
      </w:pPr>
      <w:r w:rsidDel="00000000" w:rsidR="00000000" w:rsidRPr="00000000">
        <w:rPr>
          <w:rtl w:val="0"/>
        </w:rPr>
        <w:t xml:space="preserve">Advantage: Access to a wider customer base and scalability</w:t>
      </w:r>
    </w:p>
    <w:p w:rsidR="00000000" w:rsidDel="00000000" w:rsidP="00000000" w:rsidRDefault="00000000" w:rsidRPr="00000000" w14:paraId="0000010C">
      <w:pPr>
        <w:rPr>
          <w:b w:val="1"/>
          <w:bCs w:val="1"/>
        </w:rPr>
      </w:pPr>
      <w:r w:rsidDel="00000000" w:rsidR="00000000" w:rsidRPr="00000000">
        <w:rPr>
          <w:b w:val="1"/>
          <w:bCs w:val="1"/>
          <w:rtl w:val="0"/>
        </w:rPr>
        <w:t xml:space="preserve">Option C: Production of Wooden and Roman Blinds</w:t>
      </w:r>
    </w:p>
    <w:p w:rsidR="00000000" w:rsidDel="00000000" w:rsidP="00000000" w:rsidRDefault="00000000" w:rsidRPr="00000000" w14:paraId="0000010D">
      <w:pPr>
        <w:numPr>
          <w:ilvl w:val="0"/>
          <w:numId w:val="5"/>
        </w:numPr>
        <w:ind w:left="720" w:hanging="360"/>
        <w:rPr/>
      </w:pPr>
      <w:r w:rsidDel="00000000" w:rsidR="00000000" w:rsidRPr="00000000">
        <w:rPr>
          <w:rtl w:val="0"/>
        </w:rPr>
        <w:t xml:space="preserve">Initial investment: </w:t>
      </w:r>
      <w:r w:rsidDel="00000000" w:rsidR="00000000" w:rsidRPr="00000000">
        <w:rPr>
          <w:b w:val="1"/>
          <w:bCs w:val="1"/>
          <w:rtl w:val="0"/>
        </w:rPr>
        <w:t xml:space="preserve">£1,600,000</w:t>
      </w:r>
      <w:r w:rsidDel="00000000" w:rsidR="00000000" w:rsidRPr="00000000">
        <w:rPr>
          <w:rtl w:val="0"/>
        </w:rPr>
      </w:r>
    </w:p>
    <w:p w:rsidR="00000000" w:rsidDel="00000000" w:rsidP="00000000" w:rsidRDefault="00000000" w:rsidRPr="00000000" w14:paraId="0000010E">
      <w:pPr>
        <w:numPr>
          <w:ilvl w:val="0"/>
          <w:numId w:val="5"/>
        </w:numPr>
        <w:ind w:left="720" w:hanging="360"/>
        <w:rPr/>
      </w:pPr>
      <w:r w:rsidDel="00000000" w:rsidR="00000000" w:rsidRPr="00000000">
        <w:rPr>
          <w:rtl w:val="0"/>
        </w:rPr>
        <w:t xml:space="preserve">Objective: Product diversification</w:t>
      </w:r>
    </w:p>
    <w:p w:rsidR="00000000" w:rsidDel="00000000" w:rsidP="00000000" w:rsidRDefault="00000000" w:rsidRPr="00000000" w14:paraId="0000010F">
      <w:pPr>
        <w:numPr>
          <w:ilvl w:val="0"/>
          <w:numId w:val="5"/>
        </w:numPr>
        <w:ind w:left="720" w:hanging="360"/>
        <w:rPr/>
      </w:pPr>
      <w:r w:rsidDel="00000000" w:rsidR="00000000" w:rsidRPr="00000000">
        <w:rPr>
          <w:rtl w:val="0"/>
        </w:rPr>
        <w:t xml:space="preserve">Advantage: Potentially higher returns but greater operational risk</w:t>
      </w:r>
    </w:p>
    <w:p w:rsidR="00000000" w:rsidDel="00000000" w:rsidP="00000000" w:rsidRDefault="00000000" w:rsidRPr="00000000" w14:paraId="00000110">
      <w:pPr>
        <w:rPr/>
      </w:pPr>
      <w:r w:rsidDel="00000000" w:rsidR="00000000" w:rsidRPr="00000000">
        <w:rPr>
          <w:rtl w:val="0"/>
        </w:rPr>
        <w:t xml:space="preserve">The expected annual cash inflows (in £000) are as follows:</w:t>
      </w:r>
    </w:p>
    <w:tbl>
      <w:tblPr>
        <w:tblStyle w:val="Table7"/>
        <w:tblW w:w="4220.0" w:type="dxa"/>
        <w:jc w:val="center"/>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723"/>
        <w:gridCol w:w="1170"/>
        <w:gridCol w:w="1157"/>
        <w:gridCol w:w="1170"/>
        <w:tblGridChange w:id="0">
          <w:tblGrid>
            <w:gridCol w:w="723"/>
            <w:gridCol w:w="1170"/>
            <w:gridCol w:w="1157"/>
            <w:gridCol w:w="1170"/>
          </w:tblGrid>
        </w:tblGridChange>
      </w:tblGrid>
      <w:tr>
        <w:trPr>
          <w:cantSplit w:val="0"/>
          <w:tblHeader w:val="0"/>
        </w:trPr>
        <w:tc>
          <w:tcPr/>
          <w:p w:rsidR="00000000" w:rsidDel="00000000" w:rsidP="00000000" w:rsidRDefault="00000000" w:rsidRPr="00000000" w14:paraId="00000111">
            <w:pPr>
              <w:rPr/>
            </w:pPr>
            <w:r w:rsidDel="00000000" w:rsidR="00000000" w:rsidRPr="00000000">
              <w:rPr>
                <w:rtl w:val="0"/>
              </w:rPr>
              <w:t xml:space="preserve">Year</w:t>
            </w:r>
          </w:p>
        </w:tc>
        <w:tc>
          <w:tcPr/>
          <w:p w:rsidR="00000000" w:rsidDel="00000000" w:rsidP="00000000" w:rsidRDefault="00000000" w:rsidRPr="00000000" w14:paraId="00000112">
            <w:pPr>
              <w:rPr/>
            </w:pPr>
            <w:r w:rsidDel="00000000" w:rsidR="00000000" w:rsidRPr="00000000">
              <w:rPr>
                <w:rtl w:val="0"/>
              </w:rPr>
              <w:t xml:space="preserve">Option A</w:t>
            </w:r>
          </w:p>
        </w:tc>
        <w:tc>
          <w:tcPr/>
          <w:p w:rsidR="00000000" w:rsidDel="00000000" w:rsidP="00000000" w:rsidRDefault="00000000" w:rsidRPr="00000000" w14:paraId="00000113">
            <w:pPr>
              <w:rPr/>
            </w:pPr>
            <w:r w:rsidDel="00000000" w:rsidR="00000000" w:rsidRPr="00000000">
              <w:rPr>
                <w:rtl w:val="0"/>
              </w:rPr>
              <w:t xml:space="preserve">Option B</w:t>
            </w:r>
          </w:p>
        </w:tc>
        <w:tc>
          <w:tcPr/>
          <w:p w:rsidR="00000000" w:rsidDel="00000000" w:rsidP="00000000" w:rsidRDefault="00000000" w:rsidRPr="00000000" w14:paraId="00000114">
            <w:pPr>
              <w:rPr/>
            </w:pPr>
            <w:r w:rsidDel="00000000" w:rsidR="00000000" w:rsidRPr="00000000">
              <w:rPr>
                <w:rtl w:val="0"/>
              </w:rPr>
              <w:t xml:space="preserve">Option C</w:t>
            </w:r>
          </w:p>
        </w:tc>
      </w:tr>
      <w:tr>
        <w:trPr>
          <w:cantSplit w:val="0"/>
          <w:tblHeader w:val="0"/>
        </w:trPr>
        <w:tc>
          <w:tcPr/>
          <w:p w:rsidR="00000000" w:rsidDel="00000000" w:rsidP="00000000" w:rsidRDefault="00000000" w:rsidRPr="00000000" w14:paraId="00000115">
            <w:pPr>
              <w:rPr/>
            </w:pPr>
            <w:r w:rsidDel="00000000" w:rsidR="00000000" w:rsidRPr="00000000">
              <w:rPr>
                <w:rtl w:val="0"/>
              </w:rPr>
              <w:t xml:space="preserve">1</w:t>
            </w:r>
          </w:p>
        </w:tc>
        <w:tc>
          <w:tcPr/>
          <w:p w:rsidR="00000000" w:rsidDel="00000000" w:rsidP="00000000" w:rsidRDefault="00000000" w:rsidRPr="00000000" w14:paraId="00000116">
            <w:pPr>
              <w:rPr/>
            </w:pPr>
            <w:r w:rsidDel="00000000" w:rsidR="00000000" w:rsidRPr="00000000">
              <w:rPr>
                <w:rtl w:val="0"/>
              </w:rPr>
              <w:t xml:space="preserve">200</w:t>
            </w:r>
          </w:p>
        </w:tc>
        <w:tc>
          <w:tcPr/>
          <w:p w:rsidR="00000000" w:rsidDel="00000000" w:rsidP="00000000" w:rsidRDefault="00000000" w:rsidRPr="00000000" w14:paraId="00000117">
            <w:pPr>
              <w:rPr/>
            </w:pPr>
            <w:r w:rsidDel="00000000" w:rsidR="00000000" w:rsidRPr="00000000">
              <w:rPr>
                <w:rtl w:val="0"/>
              </w:rPr>
              <w:t xml:space="preserve">400</w:t>
            </w:r>
          </w:p>
        </w:tc>
        <w:tc>
          <w:tcPr/>
          <w:p w:rsidR="00000000" w:rsidDel="00000000" w:rsidP="00000000" w:rsidRDefault="00000000" w:rsidRPr="00000000" w14:paraId="00000118">
            <w:pPr>
              <w:rPr/>
            </w:pPr>
            <w:r w:rsidDel="00000000" w:rsidR="00000000" w:rsidRPr="00000000">
              <w:rPr>
                <w:rtl w:val="0"/>
              </w:rPr>
              <w:t xml:space="preserve">450</w:t>
            </w:r>
          </w:p>
        </w:tc>
      </w:tr>
      <w:tr>
        <w:trPr>
          <w:cantSplit w:val="0"/>
          <w:tblHeader w:val="0"/>
        </w:trPr>
        <w:tc>
          <w:tcPr/>
          <w:p w:rsidR="00000000" w:rsidDel="00000000" w:rsidP="00000000" w:rsidRDefault="00000000" w:rsidRPr="00000000" w14:paraId="00000119">
            <w:pPr>
              <w:rPr/>
            </w:pPr>
            <w:r w:rsidDel="00000000" w:rsidR="00000000" w:rsidRPr="00000000">
              <w:rPr>
                <w:rtl w:val="0"/>
              </w:rPr>
              <w:t xml:space="preserve">2</w:t>
            </w:r>
          </w:p>
        </w:tc>
        <w:tc>
          <w:tcPr/>
          <w:p w:rsidR="00000000" w:rsidDel="00000000" w:rsidP="00000000" w:rsidRDefault="00000000" w:rsidRPr="00000000" w14:paraId="0000011A">
            <w:pPr>
              <w:rPr/>
            </w:pPr>
            <w:r w:rsidDel="00000000" w:rsidR="00000000" w:rsidRPr="00000000">
              <w:rPr>
                <w:rtl w:val="0"/>
              </w:rPr>
              <w:t xml:space="preserve">400</w:t>
            </w:r>
          </w:p>
        </w:tc>
        <w:tc>
          <w:tcPr/>
          <w:p w:rsidR="00000000" w:rsidDel="00000000" w:rsidP="00000000" w:rsidRDefault="00000000" w:rsidRPr="00000000" w14:paraId="0000011B">
            <w:pPr>
              <w:rPr/>
            </w:pPr>
            <w:r w:rsidDel="00000000" w:rsidR="00000000" w:rsidRPr="00000000">
              <w:rPr>
                <w:rtl w:val="0"/>
              </w:rPr>
              <w:t xml:space="preserve">450</w:t>
            </w:r>
          </w:p>
        </w:tc>
        <w:tc>
          <w:tcPr/>
          <w:p w:rsidR="00000000" w:rsidDel="00000000" w:rsidP="00000000" w:rsidRDefault="00000000" w:rsidRPr="00000000" w14:paraId="0000011C">
            <w:pPr>
              <w:rPr/>
            </w:pPr>
            <w:r w:rsidDel="00000000" w:rsidR="00000000" w:rsidRPr="00000000">
              <w:rPr>
                <w:rtl w:val="0"/>
              </w:rPr>
              <w:t xml:space="preserve">700</w:t>
            </w:r>
          </w:p>
        </w:tc>
      </w:tr>
      <w:tr>
        <w:trPr>
          <w:cantSplit w:val="0"/>
          <w:tblHeader w:val="0"/>
        </w:trPr>
        <w:tc>
          <w:tcPr/>
          <w:p w:rsidR="00000000" w:rsidDel="00000000" w:rsidP="00000000" w:rsidRDefault="00000000" w:rsidRPr="00000000" w14:paraId="0000011D">
            <w:pPr>
              <w:rPr/>
            </w:pPr>
            <w:r w:rsidDel="00000000" w:rsidR="00000000" w:rsidRPr="00000000">
              <w:rPr>
                <w:rtl w:val="0"/>
              </w:rPr>
              <w:t xml:space="preserve">3</w:t>
            </w:r>
          </w:p>
        </w:tc>
        <w:tc>
          <w:tcPr/>
          <w:p w:rsidR="00000000" w:rsidDel="00000000" w:rsidP="00000000" w:rsidRDefault="00000000" w:rsidRPr="00000000" w14:paraId="0000011E">
            <w:pPr>
              <w:rPr/>
            </w:pPr>
            <w:r w:rsidDel="00000000" w:rsidR="00000000" w:rsidRPr="00000000">
              <w:rPr>
                <w:rtl w:val="0"/>
              </w:rPr>
              <w:t xml:space="preserve">500</w:t>
            </w:r>
          </w:p>
        </w:tc>
        <w:tc>
          <w:tcPr/>
          <w:p w:rsidR="00000000" w:rsidDel="00000000" w:rsidP="00000000" w:rsidRDefault="00000000" w:rsidRPr="00000000" w14:paraId="0000011F">
            <w:pPr>
              <w:rPr/>
            </w:pPr>
            <w:r w:rsidDel="00000000" w:rsidR="00000000" w:rsidRPr="00000000">
              <w:rPr>
                <w:rtl w:val="0"/>
              </w:rPr>
              <w:t xml:space="preserve">720</w:t>
            </w:r>
          </w:p>
        </w:tc>
        <w:tc>
          <w:tcPr/>
          <w:p w:rsidR="00000000" w:rsidDel="00000000" w:rsidP="00000000" w:rsidRDefault="00000000" w:rsidRPr="00000000" w14:paraId="00000120">
            <w:pPr>
              <w:rPr/>
            </w:pPr>
            <w:r w:rsidDel="00000000" w:rsidR="00000000" w:rsidRPr="00000000">
              <w:rPr>
                <w:rtl w:val="0"/>
              </w:rPr>
              <w:t xml:space="preserve">900</w:t>
            </w:r>
          </w:p>
        </w:tc>
      </w:tr>
      <w:tr>
        <w:trPr>
          <w:cantSplit w:val="0"/>
          <w:tblHeader w:val="0"/>
        </w:trPr>
        <w:tc>
          <w:tcPr/>
          <w:p w:rsidR="00000000" w:rsidDel="00000000" w:rsidP="00000000" w:rsidRDefault="00000000" w:rsidRPr="00000000" w14:paraId="00000121">
            <w:pPr>
              <w:rPr/>
            </w:pPr>
            <w:r w:rsidDel="00000000" w:rsidR="00000000" w:rsidRPr="00000000">
              <w:rPr>
                <w:rtl w:val="0"/>
              </w:rPr>
              <w:t xml:space="preserve">4</w:t>
            </w:r>
          </w:p>
        </w:tc>
        <w:tc>
          <w:tcPr/>
          <w:p w:rsidR="00000000" w:rsidDel="00000000" w:rsidP="00000000" w:rsidRDefault="00000000" w:rsidRPr="00000000" w14:paraId="00000122">
            <w:pPr>
              <w:rPr/>
            </w:pPr>
            <w:r w:rsidDel="00000000" w:rsidR="00000000" w:rsidRPr="00000000">
              <w:rPr>
                <w:rtl w:val="0"/>
              </w:rPr>
              <w:t xml:space="preserve">700</w:t>
            </w:r>
          </w:p>
        </w:tc>
        <w:tc>
          <w:tcPr/>
          <w:p w:rsidR="00000000" w:rsidDel="00000000" w:rsidP="00000000" w:rsidRDefault="00000000" w:rsidRPr="00000000" w14:paraId="00000123">
            <w:pPr>
              <w:rPr/>
            </w:pPr>
            <w:r w:rsidDel="00000000" w:rsidR="00000000" w:rsidRPr="00000000">
              <w:rPr>
                <w:rtl w:val="0"/>
              </w:rPr>
              <w:t xml:space="preserve">980</w:t>
            </w:r>
          </w:p>
        </w:tc>
        <w:tc>
          <w:tcPr/>
          <w:p w:rsidR="00000000" w:rsidDel="00000000" w:rsidP="00000000" w:rsidRDefault="00000000" w:rsidRPr="00000000" w14:paraId="00000124">
            <w:pPr>
              <w:rPr/>
            </w:pPr>
            <w:r w:rsidDel="00000000" w:rsidR="00000000" w:rsidRPr="00000000">
              <w:rPr>
                <w:rtl w:val="0"/>
              </w:rPr>
              <w:t xml:space="preserve">1,200</w:t>
            </w:r>
          </w:p>
        </w:tc>
      </w:tr>
    </w:tbl>
    <w:p w:rsidR="00000000" w:rsidDel="00000000" w:rsidP="00000000" w:rsidRDefault="00000000" w:rsidRPr="00000000" w14:paraId="00000125">
      <w:pPr>
        <w:pStyle w:val="Heading2"/>
        <w:rPr/>
      </w:pPr>
      <w:bookmarkStart w:colFirst="0" w:colLast="0" w:name="_gbvfjx41b1lr" w:id="8"/>
      <w:bookmarkEnd w:id="8"/>
      <w:r w:rsidDel="00000000" w:rsidR="00000000" w:rsidRPr="00000000">
        <w:rPr>
          <w:rtl w:val="0"/>
        </w:rPr>
        <w:t xml:space="preserve">3. Assumptions Used in the Analysis</w:t>
      </w:r>
    </w:p>
    <w:p w:rsidR="00000000" w:rsidDel="00000000" w:rsidP="00000000" w:rsidRDefault="00000000" w:rsidRPr="00000000" w14:paraId="00000126">
      <w:pPr>
        <w:rPr/>
      </w:pPr>
      <w:r w:rsidDel="00000000" w:rsidR="00000000" w:rsidRPr="00000000">
        <w:rPr>
          <w:rtl w:val="0"/>
        </w:rPr>
        <w:t xml:space="preserve">The following assumptions apply to all projects:</w:t>
      </w:r>
    </w:p>
    <w:p w:rsidR="00000000" w:rsidDel="00000000" w:rsidP="00000000" w:rsidRDefault="00000000" w:rsidRPr="00000000" w14:paraId="00000127">
      <w:pPr>
        <w:numPr>
          <w:ilvl w:val="0"/>
          <w:numId w:val="6"/>
        </w:numPr>
        <w:ind w:left="720" w:hanging="360"/>
        <w:rPr/>
      </w:pPr>
      <w:r w:rsidDel="00000000" w:rsidR="00000000" w:rsidRPr="00000000">
        <w:rPr>
          <w:rtl w:val="0"/>
        </w:rPr>
        <w:t xml:space="preserve">Corporation tax rate: 25%</w:t>
      </w:r>
    </w:p>
    <w:p w:rsidR="00000000" w:rsidDel="00000000" w:rsidP="00000000" w:rsidRDefault="00000000" w:rsidRPr="00000000" w14:paraId="00000128">
      <w:pPr>
        <w:numPr>
          <w:ilvl w:val="0"/>
          <w:numId w:val="6"/>
        </w:numPr>
        <w:ind w:left="720" w:hanging="360"/>
        <w:rPr/>
      </w:pPr>
      <w:r w:rsidDel="00000000" w:rsidR="00000000" w:rsidRPr="00000000">
        <w:rPr>
          <w:rtl w:val="0"/>
        </w:rPr>
        <w:t xml:space="preserve">Capital allowances: 20% straight-line on initial investment</w:t>
      </w:r>
    </w:p>
    <w:p w:rsidR="00000000" w:rsidDel="00000000" w:rsidP="00000000" w:rsidRDefault="00000000" w:rsidRPr="00000000" w14:paraId="00000129">
      <w:pPr>
        <w:numPr>
          <w:ilvl w:val="0"/>
          <w:numId w:val="6"/>
        </w:numPr>
        <w:ind w:left="720" w:hanging="360"/>
        <w:rPr/>
      </w:pPr>
      <w:r w:rsidDel="00000000" w:rsidR="00000000" w:rsidRPr="00000000">
        <w:rPr>
          <w:rtl w:val="0"/>
        </w:rPr>
        <w:t xml:space="preserve">Cost of capital: 6%</w:t>
      </w:r>
    </w:p>
    <w:p w:rsidR="00000000" w:rsidDel="00000000" w:rsidP="00000000" w:rsidRDefault="00000000" w:rsidRPr="00000000" w14:paraId="0000012A">
      <w:pPr>
        <w:numPr>
          <w:ilvl w:val="0"/>
          <w:numId w:val="6"/>
        </w:numPr>
        <w:ind w:left="720" w:hanging="360"/>
        <w:rPr/>
      </w:pPr>
      <w:r w:rsidDel="00000000" w:rsidR="00000000" w:rsidRPr="00000000">
        <w:rPr>
          <w:rtl w:val="0"/>
        </w:rPr>
        <w:t xml:space="preserve">Project life: 4 years</w:t>
      </w:r>
    </w:p>
    <w:p w:rsidR="00000000" w:rsidDel="00000000" w:rsidP="00000000" w:rsidRDefault="00000000" w:rsidRPr="00000000" w14:paraId="0000012B">
      <w:pPr>
        <w:numPr>
          <w:ilvl w:val="0"/>
          <w:numId w:val="6"/>
        </w:numPr>
        <w:ind w:left="720" w:hanging="360"/>
        <w:rPr/>
      </w:pPr>
      <w:r w:rsidDel="00000000" w:rsidR="00000000" w:rsidRPr="00000000">
        <w:rPr>
          <w:rtl w:val="0"/>
        </w:rPr>
        <w:t xml:space="preserve">Cash flows occur at the end of each year</w:t>
      </w:r>
    </w:p>
    <w:p w:rsidR="00000000" w:rsidDel="00000000" w:rsidP="00000000" w:rsidRDefault="00000000" w:rsidRPr="00000000" w14:paraId="0000012C">
      <w:pPr>
        <w:numPr>
          <w:ilvl w:val="0"/>
          <w:numId w:val="6"/>
        </w:numPr>
        <w:ind w:left="720" w:hanging="360"/>
        <w:rPr/>
      </w:pPr>
      <w:r w:rsidDel="00000000" w:rsidR="00000000" w:rsidRPr="00000000">
        <w:rPr>
          <w:rtl w:val="0"/>
        </w:rPr>
        <w:t xml:space="preserve">No residual or scrap value</w:t>
      </w:r>
    </w:p>
    <w:p w:rsidR="00000000" w:rsidDel="00000000" w:rsidP="00000000" w:rsidRDefault="00000000" w:rsidRPr="00000000" w14:paraId="0000012D">
      <w:pPr>
        <w:numPr>
          <w:ilvl w:val="0"/>
          <w:numId w:val="6"/>
        </w:numPr>
        <w:ind w:left="720" w:hanging="360"/>
        <w:rPr/>
      </w:pPr>
      <w:r w:rsidDel="00000000" w:rsidR="00000000" w:rsidRPr="00000000">
        <w:rPr>
          <w:rtl w:val="0"/>
        </w:rPr>
        <w:t xml:space="preserve">All cash flows are before tax</w:t>
      </w:r>
    </w:p>
    <w:p w:rsidR="00000000" w:rsidDel="00000000" w:rsidP="00000000" w:rsidRDefault="00000000" w:rsidRPr="00000000" w14:paraId="0000012E">
      <w:pPr>
        <w:rPr/>
      </w:pPr>
      <w:r w:rsidDel="00000000" w:rsidR="00000000" w:rsidRPr="00000000">
        <w:rPr>
          <w:rtl w:val="0"/>
        </w:rPr>
        <w:t xml:space="preserve">These assumptions are necessary to ensure consistency and comparability across the three options.</w:t>
      </w:r>
    </w:p>
    <w:p w:rsidR="00000000" w:rsidDel="00000000" w:rsidP="00000000" w:rsidRDefault="00000000" w:rsidRPr="00000000" w14:paraId="0000012F">
      <w:pPr>
        <w:pStyle w:val="Heading2"/>
        <w:rPr/>
      </w:pPr>
      <w:bookmarkStart w:colFirst="0" w:colLast="0" w:name="_b97r1xmr5mwn" w:id="9"/>
      <w:bookmarkEnd w:id="9"/>
      <w:r w:rsidDel="00000000" w:rsidR="00000000" w:rsidRPr="00000000">
        <w:rPr>
          <w:rtl w:val="0"/>
        </w:rPr>
        <w:t xml:space="preserve">4. Investment Appraisal Technique: Net Present Value (NPV)</w:t>
      </w:r>
    </w:p>
    <w:p w:rsidR="00000000" w:rsidDel="00000000" w:rsidP="00000000" w:rsidRDefault="00000000" w:rsidRPr="00000000" w14:paraId="00000130">
      <w:pPr>
        <w:pStyle w:val="Heading3"/>
        <w:rPr/>
      </w:pPr>
      <w:bookmarkStart w:colFirst="0" w:colLast="0" w:name="_3k4rf453ngpb" w:id="10"/>
      <w:bookmarkEnd w:id="10"/>
      <w:r w:rsidDel="00000000" w:rsidR="00000000" w:rsidRPr="00000000">
        <w:rPr>
          <w:rtl w:val="0"/>
        </w:rPr>
        <w:t xml:space="preserve">4.1 Rationale for Using NPV</w:t>
      </w:r>
    </w:p>
    <w:p w:rsidR="00000000" w:rsidDel="00000000" w:rsidP="00000000" w:rsidRDefault="00000000" w:rsidRPr="00000000" w14:paraId="00000131">
      <w:pPr>
        <w:rPr/>
      </w:pPr>
      <w:r w:rsidDel="00000000" w:rsidR="00000000" w:rsidRPr="00000000">
        <w:rPr>
          <w:rtl w:val="0"/>
        </w:rPr>
        <w:t xml:space="preserve">Net Present Value (NPV) of the investment appraisal techniques we have considered, NPV is the best in theory (Lin, Dong and Zheng, 2025). This suggests that the only way to measure the absolute increase in shareholder wealth created by any project is to discount future cash flows at the company’s cost of capital. A project is acceptable if it has a positive NPV; it means that the returns are in excess of the required rate.</w:t>
      </w:r>
    </w:p>
    <w:p w:rsidR="00000000" w:rsidDel="00000000" w:rsidP="00000000" w:rsidRDefault="00000000" w:rsidRPr="00000000" w14:paraId="00000132">
      <w:pPr>
        <w:pStyle w:val="Heading2"/>
        <w:rPr/>
      </w:pPr>
      <w:bookmarkStart w:colFirst="0" w:colLast="0" w:name="_tb339jjep3vi" w:id="11"/>
      <w:bookmarkEnd w:id="11"/>
      <w:r w:rsidDel="00000000" w:rsidR="00000000" w:rsidRPr="00000000">
        <w:rPr>
          <w:rtl w:val="0"/>
        </w:rPr>
        <w:t xml:space="preserve">5. Detailed NPV Calculations</w:t>
      </w:r>
    </w:p>
    <w:p w:rsidR="00000000" w:rsidDel="00000000" w:rsidP="00000000" w:rsidRDefault="00000000" w:rsidRPr="00000000" w14:paraId="00000133">
      <w:pPr>
        <w:pStyle w:val="Heading3"/>
        <w:rPr/>
      </w:pPr>
      <w:bookmarkStart w:colFirst="0" w:colLast="0" w:name="_lqcnbafw8jin" w:id="12"/>
      <w:bookmarkEnd w:id="12"/>
      <w:r w:rsidDel="00000000" w:rsidR="00000000" w:rsidRPr="00000000">
        <w:rPr>
          <w:rtl w:val="0"/>
        </w:rPr>
        <w:t xml:space="preserve">5.1 After-Tax Cash Flow Calculation</w:t>
      </w:r>
    </w:p>
    <w:p w:rsidR="00000000" w:rsidDel="00000000" w:rsidP="00000000" w:rsidRDefault="00000000" w:rsidRPr="00000000" w14:paraId="00000134">
      <w:pPr>
        <w:rPr/>
      </w:pPr>
      <w:r w:rsidDel="00000000" w:rsidR="00000000" w:rsidRPr="00000000">
        <w:rPr>
          <w:rtl w:val="0"/>
        </w:rPr>
        <w:t xml:space="preserve">The after-tax cash flow for each year is calculated as:</w:t>
      </w:r>
    </w:p>
    <w:p w:rsidR="00000000" w:rsidDel="00000000" w:rsidP="00000000" w:rsidRDefault="00000000" w:rsidRPr="00000000" w14:paraId="00000135">
      <w:pPr>
        <w:jc w:val="center"/>
        <w:rPr>
          <w:rFonts w:ascii="Cambria Math" w:cs="Cambria Math" w:eastAsia="Cambria Math" w:hAnsi="Cambria Math"/>
        </w:rPr>
      </w:pPr>
      <m:oMath>
        <m:r>
          <w:rPr/>
          <m:t xml:space="preserve">After-tax Cash Flow</m:t>
        </m:r>
        <m:r>
          <w:rPr>
            <w:rFonts w:ascii="Cambria Math" w:cs="Cambria Math" w:eastAsia="Cambria Math" w:hAnsi="Cambria Math"/>
          </w:rPr>
          <m:t xml:space="preserve">=</m:t>
        </m:r>
        <m:r>
          <w:rPr/>
          <m:t xml:space="preserve">Cash Flow</m:t>
        </m:r>
        <m:r>
          <w:rPr>
            <w:rFonts w:ascii="Cambria Math" w:cs="Cambria Math" w:eastAsia="Cambria Math" w:hAnsi="Cambria Math"/>
          </w:rPr>
          <m:t xml:space="preserve">×(1-</m:t>
        </m:r>
        <m:r>
          <w:rPr/>
          <m:t xml:space="preserve">Tax Rate</m:t>
        </m:r>
        <m:r>
          <w:rPr>
            <w:rFonts w:ascii="Cambria Math" w:cs="Cambria Math" w:eastAsia="Cambria Math" w:hAnsi="Cambria Math"/>
          </w:rPr>
          <m:t xml:space="preserve">)+(</m:t>
        </m:r>
        <m:r>
          <w:rPr/>
          <m:t xml:space="preserve">Capital Allowance</m:t>
        </m:r>
        <m:r>
          <w:rPr/>
          <m:t>×</m:t>
        </m:r>
        <m:r>
          <w:rPr/>
          <m:t xml:space="preserve">Tax Rate</m:t>
        </m:r>
        <m:r>
          <w:rPr>
            <w:rFonts w:ascii="Cambria Math" w:cs="Cambria Math" w:eastAsia="Cambria Math" w:hAnsi="Cambria Math"/>
          </w:rPr>
          <m:t xml:space="preserve">)</m:t>
        </m:r>
      </m:oMath>
      <w:r w:rsidDel="00000000" w:rsidR="00000000" w:rsidRPr="00000000">
        <w:rPr>
          <w:rtl w:val="0"/>
        </w:rPr>
      </w:r>
    </w:p>
    <w:p w:rsidR="00000000" w:rsidDel="00000000" w:rsidP="00000000" w:rsidRDefault="00000000" w:rsidRPr="00000000" w14:paraId="00000136">
      <w:pPr>
        <w:pStyle w:val="Heading3"/>
        <w:rPr/>
      </w:pPr>
      <w:bookmarkStart w:colFirst="0" w:colLast="0" w:name="_4iy5trl44udi" w:id="13"/>
      <w:bookmarkEnd w:id="13"/>
      <w:r w:rsidDel="00000000" w:rsidR="00000000" w:rsidRPr="00000000">
        <w:rPr>
          <w:rtl w:val="0"/>
        </w:rPr>
        <w:t xml:space="preserve">5.2 Option A: Expansion of Retail Outlet</w:t>
      </w:r>
    </w:p>
    <w:p w:rsidR="00000000" w:rsidDel="00000000" w:rsidP="00000000" w:rsidRDefault="00000000" w:rsidRPr="00000000" w14:paraId="00000137">
      <w:pPr>
        <w:numPr>
          <w:ilvl w:val="0"/>
          <w:numId w:val="7"/>
        </w:numPr>
        <w:ind w:left="720" w:hanging="360"/>
        <w:rPr/>
      </w:pPr>
      <w:r w:rsidDel="00000000" w:rsidR="00000000" w:rsidRPr="00000000">
        <w:rPr>
          <w:rtl w:val="0"/>
        </w:rPr>
        <w:t xml:space="preserve">Initial investment: £600,000</w:t>
      </w:r>
    </w:p>
    <w:p w:rsidR="00000000" w:rsidDel="00000000" w:rsidP="00000000" w:rsidRDefault="00000000" w:rsidRPr="00000000" w14:paraId="00000138">
      <w:pPr>
        <w:numPr>
          <w:ilvl w:val="0"/>
          <w:numId w:val="7"/>
        </w:numPr>
        <w:ind w:left="720" w:hanging="360"/>
        <w:rPr/>
      </w:pPr>
      <w:r w:rsidDel="00000000" w:rsidR="00000000" w:rsidRPr="00000000">
        <w:rPr>
          <w:rtl w:val="0"/>
        </w:rPr>
        <w:t xml:space="preserve">Annual capital allowance: £600,000 × 20% = £120,000</w:t>
      </w:r>
    </w:p>
    <w:p w:rsidR="00000000" w:rsidDel="00000000" w:rsidP="00000000" w:rsidRDefault="00000000" w:rsidRPr="00000000" w14:paraId="00000139">
      <w:pPr>
        <w:numPr>
          <w:ilvl w:val="0"/>
          <w:numId w:val="7"/>
        </w:numPr>
        <w:ind w:left="720" w:hanging="360"/>
        <w:rPr/>
      </w:pPr>
      <w:r w:rsidDel="00000000" w:rsidR="00000000" w:rsidRPr="00000000">
        <w:rPr>
          <w:rtl w:val="0"/>
        </w:rPr>
        <w:t xml:space="preserve">Tax shield: £120,000 × 25% = £30,000</w:t>
      </w:r>
    </w:p>
    <w:tbl>
      <w:tblPr>
        <w:tblStyle w:val="Table8"/>
        <w:tblW w:w="9016.0" w:type="dxa"/>
        <w:jc w:val="left"/>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723"/>
        <w:gridCol w:w="1839"/>
        <w:gridCol w:w="2044"/>
        <w:gridCol w:w="2254"/>
        <w:gridCol w:w="2156"/>
        <w:tblGridChange w:id="0">
          <w:tblGrid>
            <w:gridCol w:w="723"/>
            <w:gridCol w:w="1839"/>
            <w:gridCol w:w="2044"/>
            <w:gridCol w:w="2254"/>
            <w:gridCol w:w="2156"/>
          </w:tblGrid>
        </w:tblGridChange>
      </w:tblGrid>
      <w:tr>
        <w:trPr>
          <w:cantSplit w:val="0"/>
          <w:tblHeader w:val="0"/>
        </w:trPr>
        <w:tc>
          <w:tcPr/>
          <w:p w:rsidR="00000000" w:rsidDel="00000000" w:rsidP="00000000" w:rsidRDefault="00000000" w:rsidRPr="00000000" w14:paraId="0000013A">
            <w:pPr>
              <w:rPr/>
            </w:pPr>
            <w:r w:rsidDel="00000000" w:rsidR="00000000" w:rsidRPr="00000000">
              <w:rPr>
                <w:rtl w:val="0"/>
              </w:rPr>
              <w:t xml:space="preserve">Year</w:t>
            </w:r>
          </w:p>
        </w:tc>
        <w:tc>
          <w:tcPr/>
          <w:p w:rsidR="00000000" w:rsidDel="00000000" w:rsidP="00000000" w:rsidRDefault="00000000" w:rsidRPr="00000000" w14:paraId="0000013B">
            <w:pPr>
              <w:rPr/>
            </w:pPr>
            <w:r w:rsidDel="00000000" w:rsidR="00000000" w:rsidRPr="00000000">
              <w:rPr>
                <w:rtl w:val="0"/>
              </w:rPr>
              <w:t xml:space="preserve">Cash Flow (£000)</w:t>
            </w:r>
          </w:p>
        </w:tc>
        <w:tc>
          <w:tcPr/>
          <w:p w:rsidR="00000000" w:rsidDel="00000000" w:rsidP="00000000" w:rsidRDefault="00000000" w:rsidRPr="00000000" w14:paraId="0000013C">
            <w:pPr>
              <w:rPr/>
            </w:pPr>
            <w:r w:rsidDel="00000000" w:rsidR="00000000" w:rsidRPr="00000000">
              <w:rPr>
                <w:rtl w:val="0"/>
              </w:rPr>
              <w:t xml:space="preserve">After-tax CF (£000)</w:t>
            </w:r>
          </w:p>
        </w:tc>
        <w:tc>
          <w:tcPr/>
          <w:p w:rsidR="00000000" w:rsidDel="00000000" w:rsidP="00000000" w:rsidRDefault="00000000" w:rsidRPr="00000000" w14:paraId="0000013D">
            <w:pPr>
              <w:rPr/>
            </w:pPr>
            <w:r w:rsidDel="00000000" w:rsidR="00000000" w:rsidRPr="00000000">
              <w:rPr>
                <w:rtl w:val="0"/>
              </w:rPr>
              <w:t xml:space="preserve">Discount Factor (6%)</w:t>
            </w:r>
          </w:p>
        </w:tc>
        <w:tc>
          <w:tcPr/>
          <w:p w:rsidR="00000000" w:rsidDel="00000000" w:rsidP="00000000" w:rsidRDefault="00000000" w:rsidRPr="00000000" w14:paraId="0000013E">
            <w:pPr>
              <w:rPr/>
            </w:pPr>
            <w:r w:rsidDel="00000000" w:rsidR="00000000" w:rsidRPr="00000000">
              <w:rPr>
                <w:rtl w:val="0"/>
              </w:rPr>
              <w:t xml:space="preserve">Present Value (£000)</w:t>
            </w:r>
          </w:p>
        </w:tc>
      </w:tr>
      <w:tr>
        <w:trPr>
          <w:cantSplit w:val="0"/>
          <w:tblHeader w:val="0"/>
        </w:trPr>
        <w:tc>
          <w:tcPr/>
          <w:p w:rsidR="00000000" w:rsidDel="00000000" w:rsidP="00000000" w:rsidRDefault="00000000" w:rsidRPr="00000000" w14:paraId="0000013F">
            <w:pPr>
              <w:rPr/>
            </w:pPr>
            <w:r w:rsidDel="00000000" w:rsidR="00000000" w:rsidRPr="00000000">
              <w:rPr>
                <w:rtl w:val="0"/>
              </w:rPr>
              <w:t xml:space="preserve">0</w:t>
            </w:r>
          </w:p>
        </w:tc>
        <w:tc>
          <w:tcPr/>
          <w:p w:rsidR="00000000" w:rsidDel="00000000" w:rsidP="00000000" w:rsidRDefault="00000000" w:rsidRPr="00000000" w14:paraId="00000140">
            <w:pPr>
              <w:rPr/>
            </w:pPr>
            <w:r w:rsidDel="00000000" w:rsidR="00000000" w:rsidRPr="00000000">
              <w:rPr>
                <w:rtl w:val="0"/>
              </w:rPr>
              <w:t xml:space="preserve">(600)</w:t>
            </w:r>
          </w:p>
        </w:tc>
        <w:tc>
          <w:tcPr/>
          <w:p w:rsidR="00000000" w:rsidDel="00000000" w:rsidP="00000000" w:rsidRDefault="00000000" w:rsidRPr="00000000" w14:paraId="00000141">
            <w:pPr>
              <w:rPr/>
            </w:pPr>
            <w:r w:rsidDel="00000000" w:rsidR="00000000" w:rsidRPr="00000000">
              <w:rPr>
                <w:rtl w:val="0"/>
              </w:rPr>
              <w:t xml:space="preserve">(600)</w:t>
            </w:r>
          </w:p>
        </w:tc>
        <w:tc>
          <w:tcPr/>
          <w:p w:rsidR="00000000" w:rsidDel="00000000" w:rsidP="00000000" w:rsidRDefault="00000000" w:rsidRPr="00000000" w14:paraId="00000142">
            <w:pPr>
              <w:rPr/>
            </w:pPr>
            <w:r w:rsidDel="00000000" w:rsidR="00000000" w:rsidRPr="00000000">
              <w:rPr>
                <w:rtl w:val="0"/>
              </w:rPr>
              <w:t xml:space="preserve">1.000</w:t>
            </w:r>
          </w:p>
        </w:tc>
        <w:tc>
          <w:tcPr/>
          <w:p w:rsidR="00000000" w:rsidDel="00000000" w:rsidP="00000000" w:rsidRDefault="00000000" w:rsidRPr="00000000" w14:paraId="00000143">
            <w:pPr>
              <w:rPr/>
            </w:pPr>
            <w:r w:rsidDel="00000000" w:rsidR="00000000" w:rsidRPr="00000000">
              <w:rPr>
                <w:rtl w:val="0"/>
              </w:rPr>
              <w:t xml:space="preserve">(600.0)</w:t>
            </w:r>
          </w:p>
        </w:tc>
      </w:tr>
      <w:tr>
        <w:trPr>
          <w:cantSplit w:val="0"/>
          <w:tblHeader w:val="0"/>
        </w:trPr>
        <w:tc>
          <w:tcPr/>
          <w:p w:rsidR="00000000" w:rsidDel="00000000" w:rsidP="00000000" w:rsidRDefault="00000000" w:rsidRPr="00000000" w14:paraId="00000144">
            <w:pPr>
              <w:rPr/>
            </w:pPr>
            <w:r w:rsidDel="00000000" w:rsidR="00000000" w:rsidRPr="00000000">
              <w:rPr>
                <w:rtl w:val="0"/>
              </w:rPr>
              <w:t xml:space="preserve">1</w:t>
            </w:r>
          </w:p>
        </w:tc>
        <w:tc>
          <w:tcPr/>
          <w:p w:rsidR="00000000" w:rsidDel="00000000" w:rsidP="00000000" w:rsidRDefault="00000000" w:rsidRPr="00000000" w14:paraId="00000145">
            <w:pPr>
              <w:rPr/>
            </w:pPr>
            <w:r w:rsidDel="00000000" w:rsidR="00000000" w:rsidRPr="00000000">
              <w:rPr>
                <w:rtl w:val="0"/>
              </w:rPr>
              <w:t xml:space="preserve">200</w:t>
            </w:r>
          </w:p>
        </w:tc>
        <w:tc>
          <w:tcPr/>
          <w:p w:rsidR="00000000" w:rsidDel="00000000" w:rsidP="00000000" w:rsidRDefault="00000000" w:rsidRPr="00000000" w14:paraId="00000146">
            <w:pPr>
              <w:rPr/>
            </w:pPr>
            <w:r w:rsidDel="00000000" w:rsidR="00000000" w:rsidRPr="00000000">
              <w:rPr>
                <w:rtl w:val="0"/>
              </w:rPr>
              <w:t xml:space="preserve">180</w:t>
            </w:r>
          </w:p>
        </w:tc>
        <w:tc>
          <w:tcPr/>
          <w:p w:rsidR="00000000" w:rsidDel="00000000" w:rsidP="00000000" w:rsidRDefault="00000000" w:rsidRPr="00000000" w14:paraId="00000147">
            <w:pPr>
              <w:rPr/>
            </w:pPr>
            <w:r w:rsidDel="00000000" w:rsidR="00000000" w:rsidRPr="00000000">
              <w:rPr>
                <w:rtl w:val="0"/>
              </w:rPr>
              <w:t xml:space="preserve">0.943</w:t>
            </w:r>
          </w:p>
        </w:tc>
        <w:tc>
          <w:tcPr/>
          <w:p w:rsidR="00000000" w:rsidDel="00000000" w:rsidP="00000000" w:rsidRDefault="00000000" w:rsidRPr="00000000" w14:paraId="00000148">
            <w:pPr>
              <w:rPr/>
            </w:pPr>
            <w:r w:rsidDel="00000000" w:rsidR="00000000" w:rsidRPr="00000000">
              <w:rPr>
                <w:rtl w:val="0"/>
              </w:rPr>
              <w:t xml:space="preserve">169.8</w:t>
            </w:r>
          </w:p>
        </w:tc>
      </w:tr>
      <w:tr>
        <w:trPr>
          <w:cantSplit w:val="0"/>
          <w:tblHeader w:val="0"/>
        </w:trPr>
        <w:tc>
          <w:tcPr/>
          <w:p w:rsidR="00000000" w:rsidDel="00000000" w:rsidP="00000000" w:rsidRDefault="00000000" w:rsidRPr="00000000" w14:paraId="00000149">
            <w:pPr>
              <w:rPr/>
            </w:pPr>
            <w:r w:rsidDel="00000000" w:rsidR="00000000" w:rsidRPr="00000000">
              <w:rPr>
                <w:rtl w:val="0"/>
              </w:rPr>
              <w:t xml:space="preserve">2</w:t>
            </w:r>
          </w:p>
        </w:tc>
        <w:tc>
          <w:tcPr/>
          <w:p w:rsidR="00000000" w:rsidDel="00000000" w:rsidP="00000000" w:rsidRDefault="00000000" w:rsidRPr="00000000" w14:paraId="0000014A">
            <w:pPr>
              <w:rPr/>
            </w:pPr>
            <w:r w:rsidDel="00000000" w:rsidR="00000000" w:rsidRPr="00000000">
              <w:rPr>
                <w:rtl w:val="0"/>
              </w:rPr>
              <w:t xml:space="preserve">400</w:t>
            </w:r>
          </w:p>
        </w:tc>
        <w:tc>
          <w:tcPr/>
          <w:p w:rsidR="00000000" w:rsidDel="00000000" w:rsidP="00000000" w:rsidRDefault="00000000" w:rsidRPr="00000000" w14:paraId="0000014B">
            <w:pPr>
              <w:rPr/>
            </w:pPr>
            <w:r w:rsidDel="00000000" w:rsidR="00000000" w:rsidRPr="00000000">
              <w:rPr>
                <w:rtl w:val="0"/>
              </w:rPr>
              <w:t xml:space="preserve">330</w:t>
            </w:r>
          </w:p>
        </w:tc>
        <w:tc>
          <w:tcPr/>
          <w:p w:rsidR="00000000" w:rsidDel="00000000" w:rsidP="00000000" w:rsidRDefault="00000000" w:rsidRPr="00000000" w14:paraId="0000014C">
            <w:pPr>
              <w:rPr/>
            </w:pPr>
            <w:r w:rsidDel="00000000" w:rsidR="00000000" w:rsidRPr="00000000">
              <w:rPr>
                <w:rtl w:val="0"/>
              </w:rPr>
              <w:t xml:space="preserve">0.890</w:t>
            </w:r>
          </w:p>
        </w:tc>
        <w:tc>
          <w:tcPr/>
          <w:p w:rsidR="00000000" w:rsidDel="00000000" w:rsidP="00000000" w:rsidRDefault="00000000" w:rsidRPr="00000000" w14:paraId="0000014D">
            <w:pPr>
              <w:rPr/>
            </w:pPr>
            <w:r w:rsidDel="00000000" w:rsidR="00000000" w:rsidRPr="00000000">
              <w:rPr>
                <w:rtl w:val="0"/>
              </w:rPr>
              <w:t xml:space="preserve">293.7</w:t>
            </w:r>
          </w:p>
        </w:tc>
      </w:tr>
      <w:tr>
        <w:trPr>
          <w:cantSplit w:val="0"/>
          <w:tblHeader w:val="0"/>
        </w:trPr>
        <w:tc>
          <w:tcPr/>
          <w:p w:rsidR="00000000" w:rsidDel="00000000" w:rsidP="00000000" w:rsidRDefault="00000000" w:rsidRPr="00000000" w14:paraId="0000014E">
            <w:pPr>
              <w:rPr/>
            </w:pPr>
            <w:r w:rsidDel="00000000" w:rsidR="00000000" w:rsidRPr="00000000">
              <w:rPr>
                <w:rtl w:val="0"/>
              </w:rPr>
              <w:t xml:space="preserve">3</w:t>
            </w:r>
          </w:p>
        </w:tc>
        <w:tc>
          <w:tcPr/>
          <w:p w:rsidR="00000000" w:rsidDel="00000000" w:rsidP="00000000" w:rsidRDefault="00000000" w:rsidRPr="00000000" w14:paraId="0000014F">
            <w:pPr>
              <w:rPr/>
            </w:pPr>
            <w:r w:rsidDel="00000000" w:rsidR="00000000" w:rsidRPr="00000000">
              <w:rPr>
                <w:rtl w:val="0"/>
              </w:rPr>
              <w:t xml:space="preserve">500</w:t>
            </w:r>
          </w:p>
        </w:tc>
        <w:tc>
          <w:tcPr/>
          <w:p w:rsidR="00000000" w:rsidDel="00000000" w:rsidP="00000000" w:rsidRDefault="00000000" w:rsidRPr="00000000" w14:paraId="00000150">
            <w:pPr>
              <w:rPr/>
            </w:pPr>
            <w:r w:rsidDel="00000000" w:rsidR="00000000" w:rsidRPr="00000000">
              <w:rPr>
                <w:rtl w:val="0"/>
              </w:rPr>
              <w:t xml:space="preserve">405</w:t>
            </w:r>
          </w:p>
        </w:tc>
        <w:tc>
          <w:tcPr/>
          <w:p w:rsidR="00000000" w:rsidDel="00000000" w:rsidP="00000000" w:rsidRDefault="00000000" w:rsidRPr="00000000" w14:paraId="00000151">
            <w:pPr>
              <w:rPr/>
            </w:pPr>
            <w:r w:rsidDel="00000000" w:rsidR="00000000" w:rsidRPr="00000000">
              <w:rPr>
                <w:rtl w:val="0"/>
              </w:rPr>
              <w:t xml:space="preserve">0.840</w:t>
            </w:r>
          </w:p>
        </w:tc>
        <w:tc>
          <w:tcPr/>
          <w:p w:rsidR="00000000" w:rsidDel="00000000" w:rsidP="00000000" w:rsidRDefault="00000000" w:rsidRPr="00000000" w14:paraId="00000152">
            <w:pPr>
              <w:rPr/>
            </w:pPr>
            <w:r w:rsidDel="00000000" w:rsidR="00000000" w:rsidRPr="00000000">
              <w:rPr>
                <w:rtl w:val="0"/>
              </w:rPr>
              <w:t xml:space="preserve">340.0</w:t>
            </w:r>
          </w:p>
        </w:tc>
      </w:tr>
      <w:tr>
        <w:trPr>
          <w:cantSplit w:val="0"/>
          <w:tblHeader w:val="0"/>
        </w:trPr>
        <w:tc>
          <w:tcPr/>
          <w:p w:rsidR="00000000" w:rsidDel="00000000" w:rsidP="00000000" w:rsidRDefault="00000000" w:rsidRPr="00000000" w14:paraId="00000153">
            <w:pPr>
              <w:rPr/>
            </w:pPr>
            <w:r w:rsidDel="00000000" w:rsidR="00000000" w:rsidRPr="00000000">
              <w:rPr>
                <w:rtl w:val="0"/>
              </w:rPr>
              <w:t xml:space="preserve">4</w:t>
            </w:r>
          </w:p>
        </w:tc>
        <w:tc>
          <w:tcPr/>
          <w:p w:rsidR="00000000" w:rsidDel="00000000" w:rsidP="00000000" w:rsidRDefault="00000000" w:rsidRPr="00000000" w14:paraId="00000154">
            <w:pPr>
              <w:rPr/>
            </w:pPr>
            <w:r w:rsidDel="00000000" w:rsidR="00000000" w:rsidRPr="00000000">
              <w:rPr>
                <w:rtl w:val="0"/>
              </w:rPr>
              <w:t xml:space="preserve">700</w:t>
            </w:r>
          </w:p>
        </w:tc>
        <w:tc>
          <w:tcPr/>
          <w:p w:rsidR="00000000" w:rsidDel="00000000" w:rsidP="00000000" w:rsidRDefault="00000000" w:rsidRPr="00000000" w14:paraId="00000155">
            <w:pPr>
              <w:rPr/>
            </w:pPr>
            <w:r w:rsidDel="00000000" w:rsidR="00000000" w:rsidRPr="00000000">
              <w:rPr>
                <w:rtl w:val="0"/>
              </w:rPr>
              <w:t xml:space="preserve">555</w:t>
            </w:r>
          </w:p>
        </w:tc>
        <w:tc>
          <w:tcPr/>
          <w:p w:rsidR="00000000" w:rsidDel="00000000" w:rsidP="00000000" w:rsidRDefault="00000000" w:rsidRPr="00000000" w14:paraId="00000156">
            <w:pPr>
              <w:rPr/>
            </w:pPr>
            <w:r w:rsidDel="00000000" w:rsidR="00000000" w:rsidRPr="00000000">
              <w:rPr>
                <w:rtl w:val="0"/>
              </w:rPr>
              <w:t xml:space="preserve">0.792</w:t>
            </w:r>
          </w:p>
        </w:tc>
        <w:tc>
          <w:tcPr/>
          <w:p w:rsidR="00000000" w:rsidDel="00000000" w:rsidP="00000000" w:rsidRDefault="00000000" w:rsidRPr="00000000" w14:paraId="00000157">
            <w:pPr>
              <w:rPr/>
            </w:pPr>
            <w:r w:rsidDel="00000000" w:rsidR="00000000" w:rsidRPr="00000000">
              <w:rPr>
                <w:rtl w:val="0"/>
              </w:rPr>
              <w:t xml:space="preserve">439.7</w:t>
            </w:r>
          </w:p>
        </w:tc>
      </w:tr>
      <w:tr>
        <w:trPr>
          <w:cantSplit w:val="0"/>
          <w:tblHeader w:val="0"/>
        </w:trPr>
        <w:tc>
          <w:tcPr/>
          <w:p w:rsidR="00000000" w:rsidDel="00000000" w:rsidP="00000000" w:rsidRDefault="00000000" w:rsidRPr="00000000" w14:paraId="00000158">
            <w:pPr>
              <w:rPr/>
            </w:pPr>
            <w:r w:rsidDel="00000000" w:rsidR="00000000" w:rsidRPr="00000000">
              <w:rPr>
                <w:rtl w:val="0"/>
              </w:rPr>
              <w:t xml:space="preserve">NPV</w:t>
            </w:r>
          </w:p>
        </w:tc>
        <w:tc>
          <w:tcPr/>
          <w:p w:rsidR="00000000" w:rsidDel="00000000" w:rsidP="00000000" w:rsidRDefault="00000000" w:rsidRPr="00000000" w14:paraId="00000159">
            <w:pPr>
              <w:rPr/>
            </w:pPr>
            <w:r w:rsidDel="00000000" w:rsidR="00000000" w:rsidRPr="00000000">
              <w:rPr>
                <w:rtl w:val="0"/>
              </w:rPr>
            </w:r>
          </w:p>
        </w:tc>
        <w:tc>
          <w:tcPr/>
          <w:p w:rsidR="00000000" w:rsidDel="00000000" w:rsidP="00000000" w:rsidRDefault="00000000" w:rsidRPr="00000000" w14:paraId="0000015A">
            <w:pPr>
              <w:rPr>
                <w:sz w:val="20"/>
                <w:szCs w:val="20"/>
              </w:rPr>
            </w:pPr>
            <w:r w:rsidDel="00000000" w:rsidR="00000000" w:rsidRPr="00000000">
              <w:rPr>
                <w:rtl w:val="0"/>
              </w:rPr>
            </w:r>
          </w:p>
        </w:tc>
        <w:tc>
          <w:tcPr/>
          <w:p w:rsidR="00000000" w:rsidDel="00000000" w:rsidP="00000000" w:rsidRDefault="00000000" w:rsidRPr="00000000" w14:paraId="0000015B">
            <w:pPr>
              <w:rPr>
                <w:sz w:val="20"/>
                <w:szCs w:val="20"/>
              </w:rPr>
            </w:pPr>
            <w:r w:rsidDel="00000000" w:rsidR="00000000" w:rsidRPr="00000000">
              <w:rPr>
                <w:rtl w:val="0"/>
              </w:rPr>
            </w:r>
          </w:p>
        </w:tc>
        <w:tc>
          <w:tcPr/>
          <w:p w:rsidR="00000000" w:rsidDel="00000000" w:rsidP="00000000" w:rsidRDefault="00000000" w:rsidRPr="00000000" w14:paraId="0000015C">
            <w:pPr>
              <w:rPr/>
            </w:pPr>
            <w:r w:rsidDel="00000000" w:rsidR="00000000" w:rsidRPr="00000000">
              <w:rPr>
                <w:rtl w:val="0"/>
              </w:rPr>
              <w:t xml:space="preserve">£643.2k</w:t>
            </w:r>
          </w:p>
        </w:tc>
      </w:tr>
    </w:tbl>
    <w:p w:rsidR="00000000" w:rsidDel="00000000" w:rsidP="00000000" w:rsidRDefault="00000000" w:rsidRPr="00000000" w14:paraId="0000015D">
      <w:pPr>
        <w:rPr/>
      </w:pPr>
      <w:r w:rsidDel="00000000" w:rsidR="00000000" w:rsidRPr="00000000">
        <w:rPr>
          <w:rtl w:val="0"/>
        </w:rPr>
      </w:r>
    </w:p>
    <w:p w:rsidR="00000000" w:rsidDel="00000000" w:rsidP="00000000" w:rsidRDefault="00000000" w:rsidRPr="00000000" w14:paraId="0000015E">
      <w:pPr>
        <w:pStyle w:val="Heading3"/>
        <w:numPr>
          <w:ilvl w:val="1"/>
          <w:numId w:val="1"/>
        </w:numPr>
        <w:ind w:left="732" w:hanging="372"/>
        <w:rPr/>
      </w:pPr>
      <w:bookmarkStart w:colFirst="0" w:colLast="0" w:name="_898t91i7dyna" w:id="14"/>
      <w:bookmarkEnd w:id="14"/>
      <w:r w:rsidDel="00000000" w:rsidR="00000000" w:rsidRPr="00000000">
        <w:rPr>
          <w:rtl w:val="0"/>
        </w:rPr>
        <w:t xml:space="preserve">Option B: Development of Internet Sales</w:t>
      </w:r>
    </w:p>
    <w:p w:rsidR="00000000" w:rsidDel="00000000" w:rsidP="00000000" w:rsidRDefault="00000000" w:rsidRPr="00000000" w14:paraId="0000015F">
      <w:pPr>
        <w:rPr/>
      </w:pPr>
      <w:r w:rsidDel="00000000" w:rsidR="00000000" w:rsidRPr="00000000">
        <w:rPr>
          <w:rtl w:val="0"/>
        </w:rPr>
        <w:t xml:space="preserve">Initial investment: £1,000,000</w:t>
      </w:r>
    </w:p>
    <w:p w:rsidR="00000000" w:rsidDel="00000000" w:rsidP="00000000" w:rsidRDefault="00000000" w:rsidRPr="00000000" w14:paraId="00000160">
      <w:pPr>
        <w:rPr/>
      </w:pPr>
      <w:r w:rsidDel="00000000" w:rsidR="00000000" w:rsidRPr="00000000">
        <w:rPr>
          <w:rtl w:val="0"/>
        </w:rPr>
        <w:t xml:space="preserve">Capital allowance: £1,000,000* 20% = £200,000 per year</w:t>
      </w:r>
    </w:p>
    <w:p w:rsidR="00000000" w:rsidDel="00000000" w:rsidP="00000000" w:rsidRDefault="00000000" w:rsidRPr="00000000" w14:paraId="00000161">
      <w:pPr>
        <w:rPr/>
      </w:pPr>
      <w:r w:rsidDel="00000000" w:rsidR="00000000" w:rsidRPr="00000000">
        <w:rPr>
          <w:rtl w:val="0"/>
        </w:rPr>
        <w:t xml:space="preserve">Tax shield: £50,000 per year</w:t>
      </w:r>
    </w:p>
    <w:tbl>
      <w:tblPr>
        <w:tblStyle w:val="Table9"/>
        <w:tblW w:w="9016.0" w:type="dxa"/>
        <w:jc w:val="left"/>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723"/>
        <w:gridCol w:w="1841"/>
        <w:gridCol w:w="2044"/>
        <w:gridCol w:w="2246"/>
        <w:gridCol w:w="2162"/>
        <w:tblGridChange w:id="0">
          <w:tblGrid>
            <w:gridCol w:w="723"/>
            <w:gridCol w:w="1841"/>
            <w:gridCol w:w="2044"/>
            <w:gridCol w:w="2246"/>
            <w:gridCol w:w="2162"/>
          </w:tblGrid>
        </w:tblGridChange>
      </w:tblGrid>
      <w:tr>
        <w:trPr>
          <w:cantSplit w:val="0"/>
          <w:tblHeader w:val="0"/>
        </w:trPr>
        <w:tc>
          <w:tcPr/>
          <w:p w:rsidR="00000000" w:rsidDel="00000000" w:rsidP="00000000" w:rsidRDefault="00000000" w:rsidRPr="00000000" w14:paraId="00000162">
            <w:pPr>
              <w:rPr/>
            </w:pPr>
            <w:r w:rsidDel="00000000" w:rsidR="00000000" w:rsidRPr="00000000">
              <w:rPr>
                <w:rtl w:val="0"/>
              </w:rPr>
              <w:t xml:space="preserve">Year</w:t>
            </w:r>
          </w:p>
        </w:tc>
        <w:tc>
          <w:tcPr/>
          <w:p w:rsidR="00000000" w:rsidDel="00000000" w:rsidP="00000000" w:rsidRDefault="00000000" w:rsidRPr="00000000" w14:paraId="00000163">
            <w:pPr>
              <w:rPr/>
            </w:pPr>
            <w:r w:rsidDel="00000000" w:rsidR="00000000" w:rsidRPr="00000000">
              <w:rPr>
                <w:rtl w:val="0"/>
              </w:rPr>
              <w:t xml:space="preserve">Cash Flow (£000)</w:t>
            </w:r>
          </w:p>
        </w:tc>
        <w:tc>
          <w:tcPr/>
          <w:p w:rsidR="00000000" w:rsidDel="00000000" w:rsidP="00000000" w:rsidRDefault="00000000" w:rsidRPr="00000000" w14:paraId="00000164">
            <w:pPr>
              <w:rPr/>
            </w:pPr>
            <w:r w:rsidDel="00000000" w:rsidR="00000000" w:rsidRPr="00000000">
              <w:rPr>
                <w:rtl w:val="0"/>
              </w:rPr>
              <w:t xml:space="preserve">After-tax CF (£000)</w:t>
            </w:r>
          </w:p>
        </w:tc>
        <w:tc>
          <w:tcPr/>
          <w:p w:rsidR="00000000" w:rsidDel="00000000" w:rsidP="00000000" w:rsidRDefault="00000000" w:rsidRPr="00000000" w14:paraId="00000165">
            <w:pPr>
              <w:rPr/>
            </w:pPr>
            <w:r w:rsidDel="00000000" w:rsidR="00000000" w:rsidRPr="00000000">
              <w:rPr>
                <w:rtl w:val="0"/>
              </w:rPr>
              <w:t xml:space="preserve">Discount Factor (6%)</w:t>
            </w:r>
          </w:p>
        </w:tc>
        <w:tc>
          <w:tcPr/>
          <w:p w:rsidR="00000000" w:rsidDel="00000000" w:rsidP="00000000" w:rsidRDefault="00000000" w:rsidRPr="00000000" w14:paraId="00000166">
            <w:pPr>
              <w:rPr/>
            </w:pPr>
            <w:r w:rsidDel="00000000" w:rsidR="00000000" w:rsidRPr="00000000">
              <w:rPr>
                <w:rtl w:val="0"/>
              </w:rPr>
              <w:t xml:space="preserve">Present Value (£000)</w:t>
            </w:r>
          </w:p>
        </w:tc>
      </w:tr>
      <w:tr>
        <w:trPr>
          <w:cantSplit w:val="0"/>
          <w:tblHeader w:val="0"/>
        </w:trPr>
        <w:tc>
          <w:tcPr/>
          <w:p w:rsidR="00000000" w:rsidDel="00000000" w:rsidP="00000000" w:rsidRDefault="00000000" w:rsidRPr="00000000" w14:paraId="00000167">
            <w:pPr>
              <w:rPr/>
            </w:pPr>
            <w:r w:rsidDel="00000000" w:rsidR="00000000" w:rsidRPr="00000000">
              <w:rPr>
                <w:rtl w:val="0"/>
              </w:rPr>
              <w:t xml:space="preserve">0</w:t>
            </w:r>
          </w:p>
        </w:tc>
        <w:tc>
          <w:tcPr/>
          <w:p w:rsidR="00000000" w:rsidDel="00000000" w:rsidP="00000000" w:rsidRDefault="00000000" w:rsidRPr="00000000" w14:paraId="00000168">
            <w:pPr>
              <w:rPr/>
            </w:pPr>
            <w:r w:rsidDel="00000000" w:rsidR="00000000" w:rsidRPr="00000000">
              <w:rPr>
                <w:rtl w:val="0"/>
              </w:rPr>
              <w:t xml:space="preserve">(1,000)</w:t>
            </w:r>
          </w:p>
        </w:tc>
        <w:tc>
          <w:tcPr/>
          <w:p w:rsidR="00000000" w:rsidDel="00000000" w:rsidP="00000000" w:rsidRDefault="00000000" w:rsidRPr="00000000" w14:paraId="00000169">
            <w:pPr>
              <w:rPr/>
            </w:pPr>
            <w:r w:rsidDel="00000000" w:rsidR="00000000" w:rsidRPr="00000000">
              <w:rPr>
                <w:rtl w:val="0"/>
              </w:rPr>
              <w:t xml:space="preserve">(1,000)</w:t>
            </w:r>
          </w:p>
        </w:tc>
        <w:tc>
          <w:tcPr/>
          <w:p w:rsidR="00000000" w:rsidDel="00000000" w:rsidP="00000000" w:rsidRDefault="00000000" w:rsidRPr="00000000" w14:paraId="0000016A">
            <w:pPr>
              <w:rPr/>
            </w:pPr>
            <w:r w:rsidDel="00000000" w:rsidR="00000000" w:rsidRPr="00000000">
              <w:rPr>
                <w:rtl w:val="0"/>
              </w:rPr>
              <w:t xml:space="preserve">1.000</w:t>
            </w:r>
          </w:p>
        </w:tc>
        <w:tc>
          <w:tcPr/>
          <w:p w:rsidR="00000000" w:rsidDel="00000000" w:rsidP="00000000" w:rsidRDefault="00000000" w:rsidRPr="00000000" w14:paraId="0000016B">
            <w:pPr>
              <w:rPr/>
            </w:pPr>
            <w:r w:rsidDel="00000000" w:rsidR="00000000" w:rsidRPr="00000000">
              <w:rPr>
                <w:rtl w:val="0"/>
              </w:rPr>
              <w:t xml:space="preserve">(1,000.0)</w:t>
            </w:r>
          </w:p>
        </w:tc>
      </w:tr>
      <w:tr>
        <w:trPr>
          <w:cantSplit w:val="0"/>
          <w:tblHeader w:val="0"/>
        </w:trPr>
        <w:tc>
          <w:tcPr/>
          <w:p w:rsidR="00000000" w:rsidDel="00000000" w:rsidP="00000000" w:rsidRDefault="00000000" w:rsidRPr="00000000" w14:paraId="0000016C">
            <w:pPr>
              <w:rPr/>
            </w:pPr>
            <w:r w:rsidDel="00000000" w:rsidR="00000000" w:rsidRPr="00000000">
              <w:rPr>
                <w:rtl w:val="0"/>
              </w:rPr>
              <w:t xml:space="preserve">1</w:t>
            </w:r>
          </w:p>
        </w:tc>
        <w:tc>
          <w:tcPr/>
          <w:p w:rsidR="00000000" w:rsidDel="00000000" w:rsidP="00000000" w:rsidRDefault="00000000" w:rsidRPr="00000000" w14:paraId="0000016D">
            <w:pPr>
              <w:rPr/>
            </w:pPr>
            <w:r w:rsidDel="00000000" w:rsidR="00000000" w:rsidRPr="00000000">
              <w:rPr>
                <w:rtl w:val="0"/>
              </w:rPr>
              <w:t xml:space="preserve">400</w:t>
            </w:r>
          </w:p>
        </w:tc>
        <w:tc>
          <w:tcPr/>
          <w:p w:rsidR="00000000" w:rsidDel="00000000" w:rsidP="00000000" w:rsidRDefault="00000000" w:rsidRPr="00000000" w14:paraId="0000016E">
            <w:pPr>
              <w:rPr/>
            </w:pPr>
            <w:r w:rsidDel="00000000" w:rsidR="00000000" w:rsidRPr="00000000">
              <w:rPr>
                <w:rtl w:val="0"/>
              </w:rPr>
              <w:t xml:space="preserve">350</w:t>
            </w:r>
          </w:p>
        </w:tc>
        <w:tc>
          <w:tcPr/>
          <w:p w:rsidR="00000000" w:rsidDel="00000000" w:rsidP="00000000" w:rsidRDefault="00000000" w:rsidRPr="00000000" w14:paraId="0000016F">
            <w:pPr>
              <w:rPr/>
            </w:pPr>
            <w:r w:rsidDel="00000000" w:rsidR="00000000" w:rsidRPr="00000000">
              <w:rPr>
                <w:rtl w:val="0"/>
              </w:rPr>
              <w:t xml:space="preserve">0.943</w:t>
            </w:r>
          </w:p>
        </w:tc>
        <w:tc>
          <w:tcPr/>
          <w:p w:rsidR="00000000" w:rsidDel="00000000" w:rsidP="00000000" w:rsidRDefault="00000000" w:rsidRPr="00000000" w14:paraId="00000170">
            <w:pPr>
              <w:rPr/>
            </w:pPr>
            <w:r w:rsidDel="00000000" w:rsidR="00000000" w:rsidRPr="00000000">
              <w:rPr>
                <w:rtl w:val="0"/>
              </w:rPr>
              <w:t xml:space="preserve">330.2</w:t>
            </w:r>
          </w:p>
        </w:tc>
      </w:tr>
      <w:tr>
        <w:trPr>
          <w:cantSplit w:val="0"/>
          <w:tblHeader w:val="0"/>
        </w:trPr>
        <w:tc>
          <w:tcPr/>
          <w:p w:rsidR="00000000" w:rsidDel="00000000" w:rsidP="00000000" w:rsidRDefault="00000000" w:rsidRPr="00000000" w14:paraId="00000171">
            <w:pPr>
              <w:rPr/>
            </w:pPr>
            <w:r w:rsidDel="00000000" w:rsidR="00000000" w:rsidRPr="00000000">
              <w:rPr>
                <w:rtl w:val="0"/>
              </w:rPr>
              <w:t xml:space="preserve">2</w:t>
            </w:r>
          </w:p>
        </w:tc>
        <w:tc>
          <w:tcPr/>
          <w:p w:rsidR="00000000" w:rsidDel="00000000" w:rsidP="00000000" w:rsidRDefault="00000000" w:rsidRPr="00000000" w14:paraId="00000172">
            <w:pPr>
              <w:rPr/>
            </w:pPr>
            <w:r w:rsidDel="00000000" w:rsidR="00000000" w:rsidRPr="00000000">
              <w:rPr>
                <w:rtl w:val="0"/>
              </w:rPr>
              <w:t xml:space="preserve">450</w:t>
            </w:r>
          </w:p>
        </w:tc>
        <w:tc>
          <w:tcPr/>
          <w:p w:rsidR="00000000" w:rsidDel="00000000" w:rsidP="00000000" w:rsidRDefault="00000000" w:rsidRPr="00000000" w14:paraId="00000173">
            <w:pPr>
              <w:rPr/>
            </w:pPr>
            <w:r w:rsidDel="00000000" w:rsidR="00000000" w:rsidRPr="00000000">
              <w:rPr>
                <w:rtl w:val="0"/>
              </w:rPr>
              <w:t xml:space="preserve">387.5</w:t>
            </w:r>
          </w:p>
        </w:tc>
        <w:tc>
          <w:tcPr/>
          <w:p w:rsidR="00000000" w:rsidDel="00000000" w:rsidP="00000000" w:rsidRDefault="00000000" w:rsidRPr="00000000" w14:paraId="00000174">
            <w:pPr>
              <w:rPr/>
            </w:pPr>
            <w:r w:rsidDel="00000000" w:rsidR="00000000" w:rsidRPr="00000000">
              <w:rPr>
                <w:rtl w:val="0"/>
              </w:rPr>
              <w:t xml:space="preserve">0.890</w:t>
            </w:r>
          </w:p>
        </w:tc>
        <w:tc>
          <w:tcPr/>
          <w:p w:rsidR="00000000" w:rsidDel="00000000" w:rsidP="00000000" w:rsidRDefault="00000000" w:rsidRPr="00000000" w14:paraId="00000175">
            <w:pPr>
              <w:rPr/>
            </w:pPr>
            <w:r w:rsidDel="00000000" w:rsidR="00000000" w:rsidRPr="00000000">
              <w:rPr>
                <w:rtl w:val="0"/>
              </w:rPr>
              <w:t xml:space="preserve">344.9</w:t>
            </w:r>
          </w:p>
        </w:tc>
      </w:tr>
      <w:tr>
        <w:trPr>
          <w:cantSplit w:val="0"/>
          <w:tblHeader w:val="0"/>
        </w:trPr>
        <w:tc>
          <w:tcPr/>
          <w:p w:rsidR="00000000" w:rsidDel="00000000" w:rsidP="00000000" w:rsidRDefault="00000000" w:rsidRPr="00000000" w14:paraId="00000176">
            <w:pPr>
              <w:rPr/>
            </w:pPr>
            <w:r w:rsidDel="00000000" w:rsidR="00000000" w:rsidRPr="00000000">
              <w:rPr>
                <w:rtl w:val="0"/>
              </w:rPr>
              <w:t xml:space="preserve">3</w:t>
            </w:r>
          </w:p>
        </w:tc>
        <w:tc>
          <w:tcPr/>
          <w:p w:rsidR="00000000" w:rsidDel="00000000" w:rsidP="00000000" w:rsidRDefault="00000000" w:rsidRPr="00000000" w14:paraId="00000177">
            <w:pPr>
              <w:rPr/>
            </w:pPr>
            <w:r w:rsidDel="00000000" w:rsidR="00000000" w:rsidRPr="00000000">
              <w:rPr>
                <w:rtl w:val="0"/>
              </w:rPr>
              <w:t xml:space="preserve">720</w:t>
            </w:r>
          </w:p>
        </w:tc>
        <w:tc>
          <w:tcPr/>
          <w:p w:rsidR="00000000" w:rsidDel="00000000" w:rsidP="00000000" w:rsidRDefault="00000000" w:rsidRPr="00000000" w14:paraId="00000178">
            <w:pPr>
              <w:rPr/>
            </w:pPr>
            <w:r w:rsidDel="00000000" w:rsidR="00000000" w:rsidRPr="00000000">
              <w:rPr>
                <w:rtl w:val="0"/>
              </w:rPr>
              <w:t xml:space="preserve">590</w:t>
            </w:r>
          </w:p>
        </w:tc>
        <w:tc>
          <w:tcPr/>
          <w:p w:rsidR="00000000" w:rsidDel="00000000" w:rsidP="00000000" w:rsidRDefault="00000000" w:rsidRPr="00000000" w14:paraId="00000179">
            <w:pPr>
              <w:rPr/>
            </w:pPr>
            <w:r w:rsidDel="00000000" w:rsidR="00000000" w:rsidRPr="00000000">
              <w:rPr>
                <w:rtl w:val="0"/>
              </w:rPr>
              <w:t xml:space="preserve">0.840</w:t>
            </w:r>
          </w:p>
        </w:tc>
        <w:tc>
          <w:tcPr/>
          <w:p w:rsidR="00000000" w:rsidDel="00000000" w:rsidP="00000000" w:rsidRDefault="00000000" w:rsidRPr="00000000" w14:paraId="0000017A">
            <w:pPr>
              <w:rPr/>
            </w:pPr>
            <w:r w:rsidDel="00000000" w:rsidR="00000000" w:rsidRPr="00000000">
              <w:rPr>
                <w:rtl w:val="0"/>
              </w:rPr>
              <w:t xml:space="preserve">495.4</w:t>
            </w:r>
          </w:p>
        </w:tc>
      </w:tr>
      <w:tr>
        <w:trPr>
          <w:cantSplit w:val="0"/>
          <w:tblHeader w:val="0"/>
        </w:trPr>
        <w:tc>
          <w:tcPr/>
          <w:p w:rsidR="00000000" w:rsidDel="00000000" w:rsidP="00000000" w:rsidRDefault="00000000" w:rsidRPr="00000000" w14:paraId="0000017B">
            <w:pPr>
              <w:rPr/>
            </w:pPr>
            <w:r w:rsidDel="00000000" w:rsidR="00000000" w:rsidRPr="00000000">
              <w:rPr>
                <w:rtl w:val="0"/>
              </w:rPr>
              <w:t xml:space="preserve">4</w:t>
            </w:r>
          </w:p>
        </w:tc>
        <w:tc>
          <w:tcPr/>
          <w:p w:rsidR="00000000" w:rsidDel="00000000" w:rsidP="00000000" w:rsidRDefault="00000000" w:rsidRPr="00000000" w14:paraId="0000017C">
            <w:pPr>
              <w:rPr/>
            </w:pPr>
            <w:r w:rsidDel="00000000" w:rsidR="00000000" w:rsidRPr="00000000">
              <w:rPr>
                <w:rtl w:val="0"/>
              </w:rPr>
              <w:t xml:space="preserve">980</w:t>
            </w:r>
          </w:p>
        </w:tc>
        <w:tc>
          <w:tcPr/>
          <w:p w:rsidR="00000000" w:rsidDel="00000000" w:rsidP="00000000" w:rsidRDefault="00000000" w:rsidRPr="00000000" w14:paraId="0000017D">
            <w:pPr>
              <w:rPr/>
            </w:pPr>
            <w:r w:rsidDel="00000000" w:rsidR="00000000" w:rsidRPr="00000000">
              <w:rPr>
                <w:rtl w:val="0"/>
              </w:rPr>
              <w:t xml:space="preserve">785</w:t>
            </w:r>
          </w:p>
        </w:tc>
        <w:tc>
          <w:tcPr/>
          <w:p w:rsidR="00000000" w:rsidDel="00000000" w:rsidP="00000000" w:rsidRDefault="00000000" w:rsidRPr="00000000" w14:paraId="0000017E">
            <w:pPr>
              <w:rPr/>
            </w:pPr>
            <w:r w:rsidDel="00000000" w:rsidR="00000000" w:rsidRPr="00000000">
              <w:rPr>
                <w:rtl w:val="0"/>
              </w:rPr>
              <w:t xml:space="preserve">0.792</w:t>
            </w:r>
          </w:p>
        </w:tc>
        <w:tc>
          <w:tcPr/>
          <w:p w:rsidR="00000000" w:rsidDel="00000000" w:rsidP="00000000" w:rsidRDefault="00000000" w:rsidRPr="00000000" w14:paraId="0000017F">
            <w:pPr>
              <w:rPr/>
            </w:pPr>
            <w:r w:rsidDel="00000000" w:rsidR="00000000" w:rsidRPr="00000000">
              <w:rPr>
                <w:rtl w:val="0"/>
              </w:rPr>
              <w:t xml:space="preserve">621.8</w:t>
            </w:r>
          </w:p>
        </w:tc>
      </w:tr>
      <w:tr>
        <w:trPr>
          <w:cantSplit w:val="0"/>
          <w:tblHeader w:val="0"/>
        </w:trPr>
        <w:tc>
          <w:tcPr/>
          <w:p w:rsidR="00000000" w:rsidDel="00000000" w:rsidP="00000000" w:rsidRDefault="00000000" w:rsidRPr="00000000" w14:paraId="00000180">
            <w:pPr>
              <w:rPr/>
            </w:pPr>
            <w:r w:rsidDel="00000000" w:rsidR="00000000" w:rsidRPr="00000000">
              <w:rPr>
                <w:rtl w:val="0"/>
              </w:rPr>
              <w:t xml:space="preserve">NPV</w:t>
            </w:r>
          </w:p>
        </w:tc>
        <w:tc>
          <w:tcPr/>
          <w:p w:rsidR="00000000" w:rsidDel="00000000" w:rsidP="00000000" w:rsidRDefault="00000000" w:rsidRPr="00000000" w14:paraId="00000181">
            <w:pPr>
              <w:rPr/>
            </w:pPr>
            <w:r w:rsidDel="00000000" w:rsidR="00000000" w:rsidRPr="00000000">
              <w:rPr>
                <w:rtl w:val="0"/>
              </w:rPr>
            </w:r>
          </w:p>
        </w:tc>
        <w:tc>
          <w:tcPr/>
          <w:p w:rsidR="00000000" w:rsidDel="00000000" w:rsidP="00000000" w:rsidRDefault="00000000" w:rsidRPr="00000000" w14:paraId="00000182">
            <w:pPr>
              <w:rPr>
                <w:sz w:val="20"/>
                <w:szCs w:val="20"/>
              </w:rPr>
            </w:pPr>
            <w:r w:rsidDel="00000000" w:rsidR="00000000" w:rsidRPr="00000000">
              <w:rPr>
                <w:rtl w:val="0"/>
              </w:rPr>
            </w:r>
          </w:p>
        </w:tc>
        <w:tc>
          <w:tcPr/>
          <w:p w:rsidR="00000000" w:rsidDel="00000000" w:rsidP="00000000" w:rsidRDefault="00000000" w:rsidRPr="00000000" w14:paraId="00000183">
            <w:pPr>
              <w:rPr>
                <w:sz w:val="20"/>
                <w:szCs w:val="20"/>
              </w:rPr>
            </w:pPr>
            <w:r w:rsidDel="00000000" w:rsidR="00000000" w:rsidRPr="00000000">
              <w:rPr>
                <w:rtl w:val="0"/>
              </w:rPr>
            </w:r>
          </w:p>
        </w:tc>
        <w:tc>
          <w:tcPr/>
          <w:p w:rsidR="00000000" w:rsidDel="00000000" w:rsidP="00000000" w:rsidRDefault="00000000" w:rsidRPr="00000000" w14:paraId="00000184">
            <w:pPr>
              <w:rPr/>
            </w:pPr>
            <w:r w:rsidDel="00000000" w:rsidR="00000000" w:rsidRPr="00000000">
              <w:rPr>
                <w:rtl w:val="0"/>
              </w:rPr>
              <w:t xml:space="preserve">£792.3k</w:t>
            </w:r>
          </w:p>
        </w:tc>
      </w:tr>
    </w:tbl>
    <w:p w:rsidR="00000000" w:rsidDel="00000000" w:rsidP="00000000" w:rsidRDefault="00000000" w:rsidRPr="00000000" w14:paraId="00000185">
      <w:pPr>
        <w:rPr/>
      </w:pPr>
      <w:r w:rsidDel="00000000" w:rsidR="00000000" w:rsidRPr="00000000">
        <w:rPr>
          <w:rtl w:val="0"/>
        </w:rPr>
      </w:r>
    </w:p>
    <w:p w:rsidR="00000000" w:rsidDel="00000000" w:rsidP="00000000" w:rsidRDefault="00000000" w:rsidRPr="00000000" w14:paraId="00000186">
      <w:pPr>
        <w:pStyle w:val="Heading3"/>
        <w:rPr/>
      </w:pPr>
      <w:bookmarkStart w:colFirst="0" w:colLast="0" w:name="_grbnwse373xf" w:id="15"/>
      <w:bookmarkEnd w:id="15"/>
      <w:r w:rsidDel="00000000" w:rsidR="00000000" w:rsidRPr="00000000">
        <w:rPr>
          <w:rtl w:val="0"/>
        </w:rPr>
        <w:t xml:space="preserve">5.4 Option C: Wooden and Roman Blinds</w:t>
      </w:r>
    </w:p>
    <w:p w:rsidR="00000000" w:rsidDel="00000000" w:rsidP="00000000" w:rsidRDefault="00000000" w:rsidRPr="00000000" w14:paraId="00000187">
      <w:pPr>
        <w:numPr>
          <w:ilvl w:val="0"/>
          <w:numId w:val="8"/>
        </w:numPr>
        <w:ind w:left="720" w:hanging="360"/>
        <w:rPr/>
      </w:pPr>
      <w:r w:rsidDel="00000000" w:rsidR="00000000" w:rsidRPr="00000000">
        <w:rPr>
          <w:rtl w:val="0"/>
        </w:rPr>
        <w:t xml:space="preserve">Initial investment: £1,600,000</w:t>
      </w:r>
    </w:p>
    <w:p w:rsidR="00000000" w:rsidDel="00000000" w:rsidP="00000000" w:rsidRDefault="00000000" w:rsidRPr="00000000" w14:paraId="00000188">
      <w:pPr>
        <w:numPr>
          <w:ilvl w:val="0"/>
          <w:numId w:val="8"/>
        </w:numPr>
        <w:ind w:left="720" w:hanging="360"/>
        <w:rPr/>
      </w:pPr>
      <w:r w:rsidDel="00000000" w:rsidR="00000000" w:rsidRPr="00000000">
        <w:rPr>
          <w:rtl w:val="0"/>
        </w:rPr>
        <w:t xml:space="preserve">Capital allowance: £1,600,000* 20%= £320,000 per year</w:t>
      </w:r>
    </w:p>
    <w:p w:rsidR="00000000" w:rsidDel="00000000" w:rsidP="00000000" w:rsidRDefault="00000000" w:rsidRPr="00000000" w14:paraId="00000189">
      <w:pPr>
        <w:numPr>
          <w:ilvl w:val="0"/>
          <w:numId w:val="8"/>
        </w:numPr>
        <w:ind w:left="720" w:hanging="360"/>
        <w:rPr/>
      </w:pPr>
      <w:r w:rsidDel="00000000" w:rsidR="00000000" w:rsidRPr="00000000">
        <w:rPr>
          <w:rtl w:val="0"/>
        </w:rPr>
        <w:t xml:space="preserve">Tax shield: £80,000 per year</w:t>
      </w:r>
    </w:p>
    <w:tbl>
      <w:tblPr>
        <w:tblStyle w:val="Table10"/>
        <w:tblW w:w="9016.0" w:type="dxa"/>
        <w:jc w:val="center"/>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723"/>
        <w:gridCol w:w="1841"/>
        <w:gridCol w:w="2044"/>
        <w:gridCol w:w="2246"/>
        <w:gridCol w:w="2162"/>
        <w:tblGridChange w:id="0">
          <w:tblGrid>
            <w:gridCol w:w="723"/>
            <w:gridCol w:w="1841"/>
            <w:gridCol w:w="2044"/>
            <w:gridCol w:w="2246"/>
            <w:gridCol w:w="2162"/>
          </w:tblGrid>
        </w:tblGridChange>
      </w:tblGrid>
      <w:tr>
        <w:trPr>
          <w:cantSplit w:val="0"/>
          <w:tblHeader w:val="0"/>
        </w:trPr>
        <w:tc>
          <w:tcPr/>
          <w:p w:rsidR="00000000" w:rsidDel="00000000" w:rsidP="00000000" w:rsidRDefault="00000000" w:rsidRPr="00000000" w14:paraId="0000018A">
            <w:pPr>
              <w:rPr/>
            </w:pPr>
            <w:r w:rsidDel="00000000" w:rsidR="00000000" w:rsidRPr="00000000">
              <w:rPr>
                <w:rtl w:val="0"/>
              </w:rPr>
              <w:t xml:space="preserve">Year</w:t>
            </w:r>
          </w:p>
        </w:tc>
        <w:tc>
          <w:tcPr/>
          <w:p w:rsidR="00000000" w:rsidDel="00000000" w:rsidP="00000000" w:rsidRDefault="00000000" w:rsidRPr="00000000" w14:paraId="0000018B">
            <w:pPr>
              <w:rPr/>
            </w:pPr>
            <w:r w:rsidDel="00000000" w:rsidR="00000000" w:rsidRPr="00000000">
              <w:rPr>
                <w:rtl w:val="0"/>
              </w:rPr>
              <w:t xml:space="preserve">Cash Flow (£000)</w:t>
            </w:r>
          </w:p>
        </w:tc>
        <w:tc>
          <w:tcPr/>
          <w:p w:rsidR="00000000" w:rsidDel="00000000" w:rsidP="00000000" w:rsidRDefault="00000000" w:rsidRPr="00000000" w14:paraId="0000018C">
            <w:pPr>
              <w:rPr/>
            </w:pPr>
            <w:r w:rsidDel="00000000" w:rsidR="00000000" w:rsidRPr="00000000">
              <w:rPr>
                <w:rtl w:val="0"/>
              </w:rPr>
              <w:t xml:space="preserve">After-tax CF (£000)</w:t>
            </w:r>
          </w:p>
        </w:tc>
        <w:tc>
          <w:tcPr/>
          <w:p w:rsidR="00000000" w:rsidDel="00000000" w:rsidP="00000000" w:rsidRDefault="00000000" w:rsidRPr="00000000" w14:paraId="0000018D">
            <w:pPr>
              <w:rPr/>
            </w:pPr>
            <w:r w:rsidDel="00000000" w:rsidR="00000000" w:rsidRPr="00000000">
              <w:rPr>
                <w:rtl w:val="0"/>
              </w:rPr>
              <w:t xml:space="preserve">Discount Factor (6%)</w:t>
            </w:r>
          </w:p>
        </w:tc>
        <w:tc>
          <w:tcPr/>
          <w:p w:rsidR="00000000" w:rsidDel="00000000" w:rsidP="00000000" w:rsidRDefault="00000000" w:rsidRPr="00000000" w14:paraId="0000018E">
            <w:pPr>
              <w:rPr/>
            </w:pPr>
            <w:r w:rsidDel="00000000" w:rsidR="00000000" w:rsidRPr="00000000">
              <w:rPr>
                <w:rtl w:val="0"/>
              </w:rPr>
              <w:t xml:space="preserve">Present Value (£000)</w:t>
            </w:r>
          </w:p>
        </w:tc>
      </w:tr>
      <w:tr>
        <w:trPr>
          <w:cantSplit w:val="0"/>
          <w:tblHeader w:val="0"/>
        </w:trPr>
        <w:tc>
          <w:tcPr/>
          <w:p w:rsidR="00000000" w:rsidDel="00000000" w:rsidP="00000000" w:rsidRDefault="00000000" w:rsidRPr="00000000" w14:paraId="0000018F">
            <w:pPr>
              <w:rPr/>
            </w:pPr>
            <w:r w:rsidDel="00000000" w:rsidR="00000000" w:rsidRPr="00000000">
              <w:rPr>
                <w:rtl w:val="0"/>
              </w:rPr>
              <w:t xml:space="preserve">0</w:t>
            </w:r>
          </w:p>
        </w:tc>
        <w:tc>
          <w:tcPr/>
          <w:p w:rsidR="00000000" w:rsidDel="00000000" w:rsidP="00000000" w:rsidRDefault="00000000" w:rsidRPr="00000000" w14:paraId="00000190">
            <w:pPr>
              <w:rPr/>
            </w:pPr>
            <w:r w:rsidDel="00000000" w:rsidR="00000000" w:rsidRPr="00000000">
              <w:rPr>
                <w:rtl w:val="0"/>
              </w:rPr>
              <w:t xml:space="preserve">(1,600)</w:t>
            </w:r>
          </w:p>
        </w:tc>
        <w:tc>
          <w:tcPr/>
          <w:p w:rsidR="00000000" w:rsidDel="00000000" w:rsidP="00000000" w:rsidRDefault="00000000" w:rsidRPr="00000000" w14:paraId="00000191">
            <w:pPr>
              <w:rPr/>
            </w:pPr>
            <w:r w:rsidDel="00000000" w:rsidR="00000000" w:rsidRPr="00000000">
              <w:rPr>
                <w:rtl w:val="0"/>
              </w:rPr>
              <w:t xml:space="preserve">(1,600)</w:t>
            </w:r>
          </w:p>
        </w:tc>
        <w:tc>
          <w:tcPr/>
          <w:p w:rsidR="00000000" w:rsidDel="00000000" w:rsidP="00000000" w:rsidRDefault="00000000" w:rsidRPr="00000000" w14:paraId="00000192">
            <w:pPr>
              <w:rPr/>
            </w:pPr>
            <w:r w:rsidDel="00000000" w:rsidR="00000000" w:rsidRPr="00000000">
              <w:rPr>
                <w:rtl w:val="0"/>
              </w:rPr>
              <w:t xml:space="preserve">1.000</w:t>
            </w:r>
          </w:p>
        </w:tc>
        <w:tc>
          <w:tcPr/>
          <w:p w:rsidR="00000000" w:rsidDel="00000000" w:rsidP="00000000" w:rsidRDefault="00000000" w:rsidRPr="00000000" w14:paraId="00000193">
            <w:pPr>
              <w:rPr/>
            </w:pPr>
            <w:r w:rsidDel="00000000" w:rsidR="00000000" w:rsidRPr="00000000">
              <w:rPr>
                <w:rtl w:val="0"/>
              </w:rPr>
              <w:t xml:space="preserve">(1,600.0)</w:t>
            </w:r>
          </w:p>
        </w:tc>
      </w:tr>
      <w:tr>
        <w:trPr>
          <w:cantSplit w:val="0"/>
          <w:tblHeader w:val="0"/>
        </w:trPr>
        <w:tc>
          <w:tcPr/>
          <w:p w:rsidR="00000000" w:rsidDel="00000000" w:rsidP="00000000" w:rsidRDefault="00000000" w:rsidRPr="00000000" w14:paraId="00000194">
            <w:pPr>
              <w:rPr/>
            </w:pPr>
            <w:r w:rsidDel="00000000" w:rsidR="00000000" w:rsidRPr="00000000">
              <w:rPr>
                <w:rtl w:val="0"/>
              </w:rPr>
              <w:t xml:space="preserve">1</w:t>
            </w:r>
          </w:p>
        </w:tc>
        <w:tc>
          <w:tcPr/>
          <w:p w:rsidR="00000000" w:rsidDel="00000000" w:rsidP="00000000" w:rsidRDefault="00000000" w:rsidRPr="00000000" w14:paraId="00000195">
            <w:pPr>
              <w:rPr/>
            </w:pPr>
            <w:r w:rsidDel="00000000" w:rsidR="00000000" w:rsidRPr="00000000">
              <w:rPr>
                <w:rtl w:val="0"/>
              </w:rPr>
              <w:t xml:space="preserve">450</w:t>
            </w:r>
          </w:p>
        </w:tc>
        <w:tc>
          <w:tcPr/>
          <w:p w:rsidR="00000000" w:rsidDel="00000000" w:rsidP="00000000" w:rsidRDefault="00000000" w:rsidRPr="00000000" w14:paraId="00000196">
            <w:pPr>
              <w:rPr/>
            </w:pPr>
            <w:r w:rsidDel="00000000" w:rsidR="00000000" w:rsidRPr="00000000">
              <w:rPr>
                <w:rtl w:val="0"/>
              </w:rPr>
              <w:t xml:space="preserve">417.5</w:t>
            </w:r>
          </w:p>
        </w:tc>
        <w:tc>
          <w:tcPr/>
          <w:p w:rsidR="00000000" w:rsidDel="00000000" w:rsidP="00000000" w:rsidRDefault="00000000" w:rsidRPr="00000000" w14:paraId="00000197">
            <w:pPr>
              <w:rPr/>
            </w:pPr>
            <w:r w:rsidDel="00000000" w:rsidR="00000000" w:rsidRPr="00000000">
              <w:rPr>
                <w:rtl w:val="0"/>
              </w:rPr>
              <w:t xml:space="preserve">0.943</w:t>
            </w:r>
          </w:p>
        </w:tc>
        <w:tc>
          <w:tcPr/>
          <w:p w:rsidR="00000000" w:rsidDel="00000000" w:rsidP="00000000" w:rsidRDefault="00000000" w:rsidRPr="00000000" w14:paraId="00000198">
            <w:pPr>
              <w:rPr/>
            </w:pPr>
            <w:r w:rsidDel="00000000" w:rsidR="00000000" w:rsidRPr="00000000">
              <w:rPr>
                <w:rtl w:val="0"/>
              </w:rPr>
              <w:t xml:space="preserve">393.9</w:t>
            </w:r>
          </w:p>
        </w:tc>
      </w:tr>
      <w:tr>
        <w:trPr>
          <w:cantSplit w:val="0"/>
          <w:tblHeader w:val="0"/>
        </w:trPr>
        <w:tc>
          <w:tcPr/>
          <w:p w:rsidR="00000000" w:rsidDel="00000000" w:rsidP="00000000" w:rsidRDefault="00000000" w:rsidRPr="00000000" w14:paraId="00000199">
            <w:pPr>
              <w:rPr/>
            </w:pPr>
            <w:r w:rsidDel="00000000" w:rsidR="00000000" w:rsidRPr="00000000">
              <w:rPr>
                <w:rtl w:val="0"/>
              </w:rPr>
              <w:t xml:space="preserve">2</w:t>
            </w:r>
          </w:p>
        </w:tc>
        <w:tc>
          <w:tcPr/>
          <w:p w:rsidR="00000000" w:rsidDel="00000000" w:rsidP="00000000" w:rsidRDefault="00000000" w:rsidRPr="00000000" w14:paraId="0000019A">
            <w:pPr>
              <w:rPr/>
            </w:pPr>
            <w:r w:rsidDel="00000000" w:rsidR="00000000" w:rsidRPr="00000000">
              <w:rPr>
                <w:rtl w:val="0"/>
              </w:rPr>
              <w:t xml:space="preserve">700</w:t>
            </w:r>
          </w:p>
        </w:tc>
        <w:tc>
          <w:tcPr/>
          <w:p w:rsidR="00000000" w:rsidDel="00000000" w:rsidP="00000000" w:rsidRDefault="00000000" w:rsidRPr="00000000" w14:paraId="0000019B">
            <w:pPr>
              <w:rPr/>
            </w:pPr>
            <w:r w:rsidDel="00000000" w:rsidR="00000000" w:rsidRPr="00000000">
              <w:rPr>
                <w:rtl w:val="0"/>
              </w:rPr>
              <w:t xml:space="preserve">605</w:t>
            </w:r>
          </w:p>
        </w:tc>
        <w:tc>
          <w:tcPr/>
          <w:p w:rsidR="00000000" w:rsidDel="00000000" w:rsidP="00000000" w:rsidRDefault="00000000" w:rsidRPr="00000000" w14:paraId="0000019C">
            <w:pPr>
              <w:rPr/>
            </w:pPr>
            <w:r w:rsidDel="00000000" w:rsidR="00000000" w:rsidRPr="00000000">
              <w:rPr>
                <w:rtl w:val="0"/>
              </w:rPr>
              <w:t xml:space="preserve">0.890</w:t>
            </w:r>
          </w:p>
        </w:tc>
        <w:tc>
          <w:tcPr/>
          <w:p w:rsidR="00000000" w:rsidDel="00000000" w:rsidP="00000000" w:rsidRDefault="00000000" w:rsidRPr="00000000" w14:paraId="0000019D">
            <w:pPr>
              <w:rPr/>
            </w:pPr>
            <w:r w:rsidDel="00000000" w:rsidR="00000000" w:rsidRPr="00000000">
              <w:rPr>
                <w:rtl w:val="0"/>
              </w:rPr>
              <w:t xml:space="preserve">538.5</w:t>
            </w:r>
          </w:p>
        </w:tc>
      </w:tr>
      <w:tr>
        <w:trPr>
          <w:cantSplit w:val="0"/>
          <w:tblHeader w:val="0"/>
        </w:trPr>
        <w:tc>
          <w:tcPr/>
          <w:p w:rsidR="00000000" w:rsidDel="00000000" w:rsidP="00000000" w:rsidRDefault="00000000" w:rsidRPr="00000000" w14:paraId="0000019E">
            <w:pPr>
              <w:rPr/>
            </w:pPr>
            <w:r w:rsidDel="00000000" w:rsidR="00000000" w:rsidRPr="00000000">
              <w:rPr>
                <w:rtl w:val="0"/>
              </w:rPr>
              <w:t xml:space="preserve">3</w:t>
            </w:r>
          </w:p>
        </w:tc>
        <w:tc>
          <w:tcPr/>
          <w:p w:rsidR="00000000" w:rsidDel="00000000" w:rsidP="00000000" w:rsidRDefault="00000000" w:rsidRPr="00000000" w14:paraId="0000019F">
            <w:pPr>
              <w:rPr/>
            </w:pPr>
            <w:r w:rsidDel="00000000" w:rsidR="00000000" w:rsidRPr="00000000">
              <w:rPr>
                <w:rtl w:val="0"/>
              </w:rPr>
              <w:t xml:space="preserve">900</w:t>
            </w:r>
          </w:p>
        </w:tc>
        <w:tc>
          <w:tcPr/>
          <w:p w:rsidR="00000000" w:rsidDel="00000000" w:rsidP="00000000" w:rsidRDefault="00000000" w:rsidRPr="00000000" w14:paraId="000001A0">
            <w:pPr>
              <w:rPr/>
            </w:pPr>
            <w:r w:rsidDel="00000000" w:rsidR="00000000" w:rsidRPr="00000000">
              <w:rPr>
                <w:rtl w:val="0"/>
              </w:rPr>
              <w:t xml:space="preserve">755</w:t>
            </w:r>
          </w:p>
        </w:tc>
        <w:tc>
          <w:tcPr/>
          <w:p w:rsidR="00000000" w:rsidDel="00000000" w:rsidP="00000000" w:rsidRDefault="00000000" w:rsidRPr="00000000" w14:paraId="000001A1">
            <w:pPr>
              <w:rPr/>
            </w:pPr>
            <w:r w:rsidDel="00000000" w:rsidR="00000000" w:rsidRPr="00000000">
              <w:rPr>
                <w:rtl w:val="0"/>
              </w:rPr>
              <w:t xml:space="preserve">0.840</w:t>
            </w:r>
          </w:p>
        </w:tc>
        <w:tc>
          <w:tcPr/>
          <w:p w:rsidR="00000000" w:rsidDel="00000000" w:rsidP="00000000" w:rsidRDefault="00000000" w:rsidRPr="00000000" w14:paraId="000001A2">
            <w:pPr>
              <w:rPr/>
            </w:pPr>
            <w:r w:rsidDel="00000000" w:rsidR="00000000" w:rsidRPr="00000000">
              <w:rPr>
                <w:rtl w:val="0"/>
              </w:rPr>
              <w:t xml:space="preserve">633.9</w:t>
            </w:r>
          </w:p>
        </w:tc>
      </w:tr>
      <w:tr>
        <w:trPr>
          <w:cantSplit w:val="0"/>
          <w:tblHeader w:val="0"/>
        </w:trPr>
        <w:tc>
          <w:tcPr/>
          <w:p w:rsidR="00000000" w:rsidDel="00000000" w:rsidP="00000000" w:rsidRDefault="00000000" w:rsidRPr="00000000" w14:paraId="000001A3">
            <w:pPr>
              <w:rPr/>
            </w:pPr>
            <w:r w:rsidDel="00000000" w:rsidR="00000000" w:rsidRPr="00000000">
              <w:rPr>
                <w:rtl w:val="0"/>
              </w:rPr>
              <w:t xml:space="preserve">4</w:t>
            </w:r>
          </w:p>
        </w:tc>
        <w:tc>
          <w:tcPr/>
          <w:p w:rsidR="00000000" w:rsidDel="00000000" w:rsidP="00000000" w:rsidRDefault="00000000" w:rsidRPr="00000000" w14:paraId="000001A4">
            <w:pPr>
              <w:rPr/>
            </w:pPr>
            <w:r w:rsidDel="00000000" w:rsidR="00000000" w:rsidRPr="00000000">
              <w:rPr>
                <w:rtl w:val="0"/>
              </w:rPr>
              <w:t xml:space="preserve">1,200</w:t>
            </w:r>
          </w:p>
        </w:tc>
        <w:tc>
          <w:tcPr/>
          <w:p w:rsidR="00000000" w:rsidDel="00000000" w:rsidP="00000000" w:rsidRDefault="00000000" w:rsidRPr="00000000" w14:paraId="000001A5">
            <w:pPr>
              <w:rPr/>
            </w:pPr>
            <w:r w:rsidDel="00000000" w:rsidR="00000000" w:rsidRPr="00000000">
              <w:rPr>
                <w:rtl w:val="0"/>
              </w:rPr>
              <w:t xml:space="preserve">980</w:t>
            </w:r>
          </w:p>
        </w:tc>
        <w:tc>
          <w:tcPr/>
          <w:p w:rsidR="00000000" w:rsidDel="00000000" w:rsidP="00000000" w:rsidRDefault="00000000" w:rsidRPr="00000000" w14:paraId="000001A6">
            <w:pPr>
              <w:rPr/>
            </w:pPr>
            <w:r w:rsidDel="00000000" w:rsidR="00000000" w:rsidRPr="00000000">
              <w:rPr>
                <w:rtl w:val="0"/>
              </w:rPr>
              <w:t xml:space="preserve">0.792</w:t>
            </w:r>
          </w:p>
        </w:tc>
        <w:tc>
          <w:tcPr/>
          <w:p w:rsidR="00000000" w:rsidDel="00000000" w:rsidP="00000000" w:rsidRDefault="00000000" w:rsidRPr="00000000" w14:paraId="000001A7">
            <w:pPr>
              <w:rPr/>
            </w:pPr>
            <w:r w:rsidDel="00000000" w:rsidR="00000000" w:rsidRPr="00000000">
              <w:rPr>
                <w:rtl w:val="0"/>
              </w:rPr>
              <w:t xml:space="preserve">776.3</w:t>
            </w:r>
          </w:p>
        </w:tc>
      </w:tr>
      <w:tr>
        <w:trPr>
          <w:cantSplit w:val="0"/>
          <w:tblHeader w:val="0"/>
        </w:trPr>
        <w:tc>
          <w:tcPr/>
          <w:p w:rsidR="00000000" w:rsidDel="00000000" w:rsidP="00000000" w:rsidRDefault="00000000" w:rsidRPr="00000000" w14:paraId="000001A8">
            <w:pPr>
              <w:rPr/>
            </w:pPr>
            <w:r w:rsidDel="00000000" w:rsidR="00000000" w:rsidRPr="00000000">
              <w:rPr>
                <w:rtl w:val="0"/>
              </w:rPr>
              <w:t xml:space="preserve">NPV</w:t>
            </w:r>
          </w:p>
        </w:tc>
        <w:tc>
          <w:tcPr/>
          <w:p w:rsidR="00000000" w:rsidDel="00000000" w:rsidP="00000000" w:rsidRDefault="00000000" w:rsidRPr="00000000" w14:paraId="000001A9">
            <w:pPr>
              <w:rPr/>
            </w:pPr>
            <w:r w:rsidDel="00000000" w:rsidR="00000000" w:rsidRPr="00000000">
              <w:rPr>
                <w:rtl w:val="0"/>
              </w:rPr>
            </w:r>
          </w:p>
        </w:tc>
        <w:tc>
          <w:tcPr/>
          <w:p w:rsidR="00000000" w:rsidDel="00000000" w:rsidP="00000000" w:rsidRDefault="00000000" w:rsidRPr="00000000" w14:paraId="000001AA">
            <w:pPr>
              <w:rPr>
                <w:sz w:val="20"/>
                <w:szCs w:val="20"/>
              </w:rPr>
            </w:pPr>
            <w:r w:rsidDel="00000000" w:rsidR="00000000" w:rsidRPr="00000000">
              <w:rPr>
                <w:rtl w:val="0"/>
              </w:rPr>
            </w:r>
          </w:p>
        </w:tc>
        <w:tc>
          <w:tcPr/>
          <w:p w:rsidR="00000000" w:rsidDel="00000000" w:rsidP="00000000" w:rsidRDefault="00000000" w:rsidRPr="00000000" w14:paraId="000001AB">
            <w:pPr>
              <w:rPr>
                <w:sz w:val="20"/>
                <w:szCs w:val="20"/>
              </w:rPr>
            </w:pPr>
            <w:r w:rsidDel="00000000" w:rsidR="00000000" w:rsidRPr="00000000">
              <w:rPr>
                <w:rtl w:val="0"/>
              </w:rPr>
            </w:r>
          </w:p>
        </w:tc>
        <w:tc>
          <w:tcPr/>
          <w:p w:rsidR="00000000" w:rsidDel="00000000" w:rsidP="00000000" w:rsidRDefault="00000000" w:rsidRPr="00000000" w14:paraId="000001AC">
            <w:pPr>
              <w:rPr/>
            </w:pPr>
            <w:r w:rsidDel="00000000" w:rsidR="00000000" w:rsidRPr="00000000">
              <w:rPr>
                <w:rtl w:val="0"/>
              </w:rPr>
              <w:t xml:space="preserve">£742.6k</w:t>
            </w:r>
          </w:p>
        </w:tc>
      </w:tr>
    </w:tbl>
    <w:p w:rsidR="00000000" w:rsidDel="00000000" w:rsidP="00000000" w:rsidRDefault="00000000" w:rsidRPr="00000000" w14:paraId="000001AD">
      <w:pPr>
        <w:rPr/>
      </w:pPr>
      <w:r w:rsidDel="00000000" w:rsidR="00000000" w:rsidRPr="00000000">
        <w:rPr>
          <w:rtl w:val="0"/>
        </w:rPr>
      </w:r>
    </w:p>
    <w:p w:rsidR="00000000" w:rsidDel="00000000" w:rsidP="00000000" w:rsidRDefault="00000000" w:rsidRPr="00000000" w14:paraId="000001AE">
      <w:pPr>
        <w:pStyle w:val="Heading2"/>
        <w:rPr/>
      </w:pPr>
      <w:bookmarkStart w:colFirst="0" w:colLast="0" w:name="_pn87hnwbfyyb" w:id="16"/>
      <w:bookmarkEnd w:id="16"/>
      <w:r w:rsidDel="00000000" w:rsidR="00000000" w:rsidRPr="00000000">
        <w:rPr>
          <w:rtl w:val="0"/>
        </w:rPr>
        <w:t xml:space="preserve">6. NPV-Based Recommendation</w:t>
      </w:r>
    </w:p>
    <w:p w:rsidR="00000000" w:rsidDel="00000000" w:rsidP="00000000" w:rsidRDefault="00000000" w:rsidRPr="00000000" w14:paraId="000001AF">
      <w:pPr>
        <w:rPr/>
      </w:pPr>
      <w:r w:rsidDel="00000000" w:rsidR="00000000" w:rsidRPr="00000000">
        <w:rPr>
          <w:rtl w:val="0"/>
        </w:rPr>
        <w:t xml:space="preserve">Based on NPV alone, Option B should be accepted as it generates the highest NPV (£792.3k) and therefore maximises shareholder wealth.</w:t>
      </w:r>
    </w:p>
    <w:p w:rsidR="00000000" w:rsidDel="00000000" w:rsidP="00000000" w:rsidRDefault="00000000" w:rsidRPr="00000000" w14:paraId="000001B0">
      <w:pPr>
        <w:pStyle w:val="Heading2"/>
        <w:numPr>
          <w:ilvl w:val="1"/>
          <w:numId w:val="4"/>
        </w:numPr>
        <w:ind w:left="1440" w:hanging="360"/>
        <w:rPr/>
      </w:pPr>
      <w:bookmarkStart w:colFirst="0" w:colLast="0" w:name="_we2gd6pgtoqe" w:id="17"/>
      <w:bookmarkEnd w:id="17"/>
      <w:r w:rsidDel="00000000" w:rsidR="00000000" w:rsidRPr="00000000">
        <w:rPr>
          <w:rtl w:val="0"/>
        </w:rPr>
        <w:t xml:space="preserve">Internal Rate of Return (IRR) – Detailed Formula and Calculation (Option B)</w:t>
      </w:r>
    </w:p>
    <w:p w:rsidR="00000000" w:rsidDel="00000000" w:rsidP="00000000" w:rsidRDefault="00000000" w:rsidRPr="00000000" w14:paraId="000001B1">
      <w:pPr>
        <w:rPr/>
      </w:pPr>
      <w:r w:rsidDel="00000000" w:rsidR="00000000" w:rsidRPr="00000000">
        <w:rPr>
          <w:rtl w:val="0"/>
        </w:rPr>
        <w:t xml:space="preserve">The IRR is the discount rate at which the NPV of a project equals zero (Huang, 2023). Since the IRR cannot necessarily be computed by a formula but must usually be solved by trial-and-error, it is typically calculated (as in this case) by linear interpolation between two discount rates that lead to NPV with opposite signs or NPVs that are tending to 0.</w:t>
      </w:r>
    </w:p>
    <w:p w:rsidR="00000000" w:rsidDel="00000000" w:rsidP="00000000" w:rsidRDefault="00000000" w:rsidRPr="00000000" w14:paraId="000001B2">
      <w:pPr>
        <w:rPr>
          <w:b w:val="1"/>
          <w:bCs w:val="1"/>
        </w:rPr>
      </w:pPr>
      <w:r w:rsidDel="00000000" w:rsidR="00000000" w:rsidRPr="00000000">
        <w:rPr>
          <w:b w:val="1"/>
          <w:bCs w:val="1"/>
          <w:rtl w:val="0"/>
        </w:rPr>
        <w:t xml:space="preserve">Interpolation Formula for IRR</w:t>
      </w:r>
    </w:p>
    <w:p w:rsidR="00000000" w:rsidDel="00000000" w:rsidP="00000000" w:rsidRDefault="00000000" w:rsidRPr="00000000" w14:paraId="000001B3">
      <w:pPr>
        <w:jc w:val="center"/>
        <w:rPr>
          <w:rFonts w:ascii="Cambria Math" w:cs="Cambria Math" w:eastAsia="Cambria Math" w:hAnsi="Cambria Math"/>
        </w:rPr>
      </w:pPr>
      <m:oMath>
        <m:r>
          <w:rPr/>
          <m:t xml:space="preserve">IRR</m:t>
        </m:r>
        <m:r>
          <w:rPr>
            <w:rFonts w:ascii="Cambria Math" w:cs="Cambria Math" w:eastAsia="Cambria Math" w:hAnsi="Cambria Math"/>
          </w:rPr>
          <m:t xml:space="preserve">=</m:t>
        </m:r>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1</m:t>
            </m:r>
          </m:sub>
        </m:sSub>
        <m:r>
          <w:rPr>
            <w:rFonts w:ascii="Cambria Math" w:cs="Cambria Math" w:eastAsia="Cambria Math" w:hAnsi="Cambria Math"/>
          </w:rPr>
          <m:t xml:space="preserve">+(</m:t>
        </m:r>
        <m:f>
          <m:fPr>
            <m:ctrlPr>
              <w:rPr>
                <w:rFonts w:ascii="Cambria Math" w:cs="Cambria Math" w:eastAsia="Cambria Math" w:hAnsi="Cambria Math"/>
              </w:rPr>
            </m:ctrlPr>
          </m:fPr>
          <m:num>
            <m:sSub>
              <m:sSubPr>
                <m:ctrlPr>
                  <w:rPr>
                    <w:rFonts w:ascii="Cambria Math" w:cs="Cambria Math" w:eastAsia="Cambria Math" w:hAnsi="Cambria Math"/>
                  </w:rPr>
                </m:ctrlPr>
              </m:sSubPr>
              <m:e>
                <m:r>
                  <w:rPr/>
                  <m:t xml:space="preserve">NPV</m:t>
                </m:r>
              </m:e>
              <m:sub>
                <m:r>
                  <w:rPr>
                    <w:rFonts w:ascii="Cambria Math" w:cs="Cambria Math" w:eastAsia="Cambria Math" w:hAnsi="Cambria Math"/>
                  </w:rPr>
                  <m:t xml:space="preserve">1</m:t>
                </m:r>
              </m:sub>
            </m:sSub>
          </m:num>
          <m:den>
            <m:sSub>
              <m:sSubPr>
                <m:ctrlPr>
                  <w:rPr>
                    <w:rFonts w:ascii="Cambria Math" w:cs="Cambria Math" w:eastAsia="Cambria Math" w:hAnsi="Cambria Math"/>
                  </w:rPr>
                </m:ctrlPr>
              </m:sSubPr>
              <m:e>
                <m:r>
                  <w:rPr/>
                  <m:t xml:space="preserve">NPV</m:t>
                </m:r>
              </m:e>
              <m:sub>
                <m:r>
                  <w:rPr>
                    <w:rFonts w:ascii="Cambria Math" w:cs="Cambria Math" w:eastAsia="Cambria Math" w:hAnsi="Cambria Math"/>
                  </w:rPr>
                  <m:t xml:space="preserve">1</m:t>
                </m:r>
              </m:sub>
            </m:sSub>
            <m:r>
              <w:rPr>
                <w:rFonts w:ascii="Cambria Math" w:cs="Cambria Math" w:eastAsia="Cambria Math" w:hAnsi="Cambria Math"/>
              </w:rPr>
              <m:t xml:space="preserve">-</m:t>
            </m:r>
            <m:sSub>
              <m:sSubPr>
                <m:ctrlPr>
                  <w:rPr>
                    <w:rFonts w:ascii="Cambria Math" w:cs="Cambria Math" w:eastAsia="Cambria Math" w:hAnsi="Cambria Math"/>
                  </w:rPr>
                </m:ctrlPr>
              </m:sSubPr>
              <m:e>
                <m:r>
                  <w:rPr/>
                  <m:t xml:space="preserve">NPV</m:t>
                </m:r>
              </m:e>
              <m:sub>
                <m:r>
                  <w:rPr>
                    <w:rFonts w:ascii="Cambria Math" w:cs="Cambria Math" w:eastAsia="Cambria Math" w:hAnsi="Cambria Math"/>
                  </w:rPr>
                  <m:t xml:space="preserve">2</m:t>
                </m:r>
              </m:sub>
            </m:sSub>
          </m:den>
        </m:f>
        <m:r>
          <w:rPr>
            <w:rFonts w:ascii="Cambria Math" w:cs="Cambria Math" w:eastAsia="Cambria Math" w:hAnsi="Cambria Math"/>
          </w:rPr>
          <m:t xml:space="preserve">)×(</m:t>
        </m:r>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2</m:t>
            </m:r>
          </m:sub>
        </m:sSub>
        <m:r>
          <w:rPr>
            <w:rFonts w:ascii="Cambria Math" w:cs="Cambria Math" w:eastAsia="Cambria Math" w:hAnsi="Cambria Math"/>
          </w:rPr>
          <m:t xml:space="preserve">-</m:t>
        </m:r>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1</m:t>
            </m:r>
          </m:sub>
        </m:sSub>
        <m:r>
          <w:rPr>
            <w:rFonts w:ascii="Cambria Math" w:cs="Cambria Math" w:eastAsia="Cambria Math" w:hAnsi="Cambria Math"/>
          </w:rPr>
          <m:t xml:space="preserve">)</m:t>
        </m:r>
      </m:oMath>
      <w:r w:rsidDel="00000000" w:rsidR="00000000" w:rsidRPr="00000000">
        <w:rPr>
          <w:rtl w:val="0"/>
        </w:rPr>
      </w:r>
    </w:p>
    <w:p w:rsidR="00000000" w:rsidDel="00000000" w:rsidP="00000000" w:rsidRDefault="00000000" w:rsidRPr="00000000" w14:paraId="000001B4">
      <w:pPr>
        <w:rPr/>
      </w:pPr>
      <w:r w:rsidDel="00000000" w:rsidR="00000000" w:rsidRPr="00000000">
        <w:rPr>
          <w:rtl w:val="0"/>
        </w:rPr>
        <w:t xml:space="preserve">Where:</w:t>
      </w:r>
    </w:p>
    <w:p w:rsidR="00000000" w:rsidDel="00000000" w:rsidP="00000000" w:rsidRDefault="00000000" w:rsidRPr="00000000" w14:paraId="000001B5">
      <w:pPr>
        <w:numPr>
          <w:ilvl w:val="0"/>
          <w:numId w:val="9"/>
        </w:numPr>
        <w:ind w:left="720" w:hanging="360"/>
        <w:rPr/>
      </w:pPr>
      <m:oMath>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1</m:t>
            </m:r>
          </m:sub>
        </m:sSub>
      </m:oMath>
      <w:r w:rsidDel="00000000" w:rsidR="00000000" w:rsidRPr="00000000">
        <w:rPr>
          <w:rtl w:val="0"/>
        </w:rPr>
        <w:t xml:space="preserve">= lower discount rate</w:t>
      </w:r>
    </w:p>
    <w:p w:rsidR="00000000" w:rsidDel="00000000" w:rsidP="00000000" w:rsidRDefault="00000000" w:rsidRPr="00000000" w14:paraId="000001B6">
      <w:pPr>
        <w:numPr>
          <w:ilvl w:val="0"/>
          <w:numId w:val="9"/>
        </w:numPr>
        <w:ind w:left="720" w:hanging="360"/>
        <w:rPr/>
      </w:pPr>
      <m:oMath>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2</m:t>
            </m:r>
          </m:sub>
        </m:sSub>
      </m:oMath>
      <w:r w:rsidDel="00000000" w:rsidR="00000000" w:rsidRPr="00000000">
        <w:rPr>
          <w:rtl w:val="0"/>
        </w:rPr>
        <w:t xml:space="preserve">= higher discount rate</w:t>
      </w:r>
    </w:p>
    <w:p w:rsidR="00000000" w:rsidDel="00000000" w:rsidP="00000000" w:rsidRDefault="00000000" w:rsidRPr="00000000" w14:paraId="000001B7">
      <w:pPr>
        <w:numPr>
          <w:ilvl w:val="0"/>
          <w:numId w:val="9"/>
        </w:numPr>
        <w:ind w:left="720" w:hanging="360"/>
        <w:rPr/>
      </w:pPr>
      <m:oMath>
        <m:sSub>
          <m:sSubPr>
            <m:ctrlPr>
              <w:rPr>
                <w:rFonts w:ascii="Cambria Math" w:cs="Cambria Math" w:eastAsia="Cambria Math" w:hAnsi="Cambria Math"/>
              </w:rPr>
            </m:ctrlPr>
          </m:sSubPr>
          <m:e>
            <m:r>
              <w:rPr/>
              <m:t xml:space="preserve">NPV</m:t>
            </m:r>
          </m:e>
          <m:sub>
            <m:r>
              <w:rPr>
                <w:rFonts w:ascii="Cambria Math" w:cs="Cambria Math" w:eastAsia="Cambria Math" w:hAnsi="Cambria Math"/>
              </w:rPr>
              <m:t xml:space="preserve">1</m:t>
            </m:r>
          </m:sub>
        </m:sSub>
      </m:oMath>
      <w:r w:rsidDel="00000000" w:rsidR="00000000" w:rsidRPr="00000000">
        <w:rPr>
          <w:rtl w:val="0"/>
        </w:rPr>
        <w:t xml:space="preserve">= NPV at </w:t>
      </w:r>
      <m:oMath>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1</m:t>
            </m:r>
          </m:sub>
        </m:sSub>
      </m:oMath>
      <w:r w:rsidDel="00000000" w:rsidR="00000000" w:rsidRPr="00000000">
        <w:rPr>
          <w:rtl w:val="0"/>
        </w:rPr>
      </w:r>
    </w:p>
    <w:p w:rsidR="00000000" w:rsidDel="00000000" w:rsidP="00000000" w:rsidRDefault="00000000" w:rsidRPr="00000000" w14:paraId="000001B8">
      <w:pPr>
        <w:numPr>
          <w:ilvl w:val="0"/>
          <w:numId w:val="9"/>
        </w:numPr>
        <w:ind w:left="720" w:hanging="360"/>
        <w:rPr/>
      </w:pPr>
      <m:oMath>
        <m:sSub>
          <m:sSubPr>
            <m:ctrlPr>
              <w:rPr>
                <w:rFonts w:ascii="Cambria Math" w:cs="Cambria Math" w:eastAsia="Cambria Math" w:hAnsi="Cambria Math"/>
              </w:rPr>
            </m:ctrlPr>
          </m:sSubPr>
          <m:e>
            <m:r>
              <w:rPr/>
              <m:t xml:space="preserve">NPV</m:t>
            </m:r>
          </m:e>
          <m:sub>
            <m:r>
              <w:rPr>
                <w:rFonts w:ascii="Cambria Math" w:cs="Cambria Math" w:eastAsia="Cambria Math" w:hAnsi="Cambria Math"/>
              </w:rPr>
              <m:t xml:space="preserve">2</m:t>
            </m:r>
          </m:sub>
        </m:sSub>
      </m:oMath>
      <w:r w:rsidDel="00000000" w:rsidR="00000000" w:rsidRPr="00000000">
        <w:rPr>
          <w:rtl w:val="0"/>
        </w:rPr>
        <w:t xml:space="preserve">= NPV at </w:t>
      </w:r>
      <m:oMath>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2</m:t>
            </m:r>
          </m:sub>
        </m:sSub>
      </m:oMath>
      <w:r w:rsidDel="00000000" w:rsidR="00000000" w:rsidRPr="00000000">
        <w:rPr>
          <w:rtl w:val="0"/>
        </w:rPr>
      </w:r>
    </w:p>
    <w:p w:rsidR="00000000" w:rsidDel="00000000" w:rsidP="00000000" w:rsidRDefault="00000000" w:rsidRPr="00000000" w14:paraId="000001B9">
      <w:pPr>
        <w:rPr/>
      </w:pPr>
      <w:r w:rsidDel="00000000" w:rsidR="00000000" w:rsidRPr="00000000">
        <w:rPr>
          <w:rtl w:val="0"/>
        </w:rPr>
        <w:t xml:space="preserve">Discounted Cash Flow at 20%</w:t>
      </w:r>
    </w:p>
    <w:tbl>
      <w:tblPr>
        <w:tblStyle w:val="Table11"/>
        <w:tblW w:w="8687.0" w:type="dxa"/>
        <w:jc w:val="center"/>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1533"/>
        <w:gridCol w:w="2242"/>
        <w:gridCol w:w="2563"/>
        <w:gridCol w:w="2349"/>
        <w:tblGridChange w:id="0">
          <w:tblGrid>
            <w:gridCol w:w="1533"/>
            <w:gridCol w:w="2242"/>
            <w:gridCol w:w="2563"/>
            <w:gridCol w:w="2349"/>
          </w:tblGrid>
        </w:tblGridChange>
      </w:tblGrid>
      <w:tr>
        <w:trPr>
          <w:cantSplit w:val="0"/>
          <w:tblHeader w:val="0"/>
        </w:trPr>
        <w:tc>
          <w:tcPr/>
          <w:p w:rsidR="00000000" w:rsidDel="00000000" w:rsidP="00000000" w:rsidRDefault="00000000" w:rsidRPr="00000000" w14:paraId="000001BA">
            <w:pPr>
              <w:rPr/>
            </w:pPr>
            <w:r w:rsidDel="00000000" w:rsidR="00000000" w:rsidRPr="00000000">
              <w:rPr>
                <w:rtl w:val="0"/>
              </w:rPr>
              <w:t xml:space="preserve">Year</w:t>
            </w:r>
          </w:p>
        </w:tc>
        <w:tc>
          <w:tcPr/>
          <w:p w:rsidR="00000000" w:rsidDel="00000000" w:rsidP="00000000" w:rsidRDefault="00000000" w:rsidRPr="00000000" w14:paraId="000001BB">
            <w:pPr>
              <w:rPr/>
            </w:pPr>
            <w:r w:rsidDel="00000000" w:rsidR="00000000" w:rsidRPr="00000000">
              <w:rPr>
                <w:rtl w:val="0"/>
              </w:rPr>
              <w:t xml:space="preserve">After-tax CF (£000)</w:t>
            </w:r>
          </w:p>
        </w:tc>
        <w:tc>
          <w:tcPr/>
          <w:p w:rsidR="00000000" w:rsidDel="00000000" w:rsidP="00000000" w:rsidRDefault="00000000" w:rsidRPr="00000000" w14:paraId="000001BC">
            <w:pPr>
              <w:rPr/>
            </w:pPr>
            <w:r w:rsidDel="00000000" w:rsidR="00000000" w:rsidRPr="00000000">
              <w:rPr>
                <w:rtl w:val="0"/>
              </w:rPr>
              <w:t xml:space="preserve">Discount Factor (20%)</w:t>
            </w:r>
          </w:p>
        </w:tc>
        <w:tc>
          <w:tcPr/>
          <w:p w:rsidR="00000000" w:rsidDel="00000000" w:rsidP="00000000" w:rsidRDefault="00000000" w:rsidRPr="00000000" w14:paraId="000001BD">
            <w:pPr>
              <w:rPr/>
            </w:pPr>
            <w:r w:rsidDel="00000000" w:rsidR="00000000" w:rsidRPr="00000000">
              <w:rPr>
                <w:rtl w:val="0"/>
              </w:rPr>
              <w:t xml:space="preserve">Present Value (£000)</w:t>
            </w:r>
          </w:p>
        </w:tc>
      </w:tr>
      <w:tr>
        <w:trPr>
          <w:cantSplit w:val="0"/>
          <w:tblHeader w:val="0"/>
        </w:trPr>
        <w:tc>
          <w:tcPr/>
          <w:p w:rsidR="00000000" w:rsidDel="00000000" w:rsidP="00000000" w:rsidRDefault="00000000" w:rsidRPr="00000000" w14:paraId="000001BE">
            <w:pPr>
              <w:rPr/>
            </w:pPr>
            <w:r w:rsidDel="00000000" w:rsidR="00000000" w:rsidRPr="00000000">
              <w:rPr>
                <w:rtl w:val="0"/>
              </w:rPr>
              <w:t xml:space="preserve">0</w:t>
            </w:r>
          </w:p>
        </w:tc>
        <w:tc>
          <w:tcPr/>
          <w:p w:rsidR="00000000" w:rsidDel="00000000" w:rsidP="00000000" w:rsidRDefault="00000000" w:rsidRPr="00000000" w14:paraId="000001BF">
            <w:pPr>
              <w:rPr/>
            </w:pPr>
            <w:r w:rsidDel="00000000" w:rsidR="00000000" w:rsidRPr="00000000">
              <w:rPr>
                <w:rtl w:val="0"/>
              </w:rPr>
              <w:t xml:space="preserve">(1,000)</w:t>
            </w:r>
          </w:p>
        </w:tc>
        <w:tc>
          <w:tcPr/>
          <w:p w:rsidR="00000000" w:rsidDel="00000000" w:rsidP="00000000" w:rsidRDefault="00000000" w:rsidRPr="00000000" w14:paraId="000001C0">
            <w:pPr>
              <w:rPr/>
            </w:pPr>
            <w:r w:rsidDel="00000000" w:rsidR="00000000" w:rsidRPr="00000000">
              <w:rPr>
                <w:rtl w:val="0"/>
              </w:rPr>
              <w:t xml:space="preserve">1.000</w:t>
            </w:r>
          </w:p>
        </w:tc>
        <w:tc>
          <w:tcPr/>
          <w:p w:rsidR="00000000" w:rsidDel="00000000" w:rsidP="00000000" w:rsidRDefault="00000000" w:rsidRPr="00000000" w14:paraId="000001C1">
            <w:pPr>
              <w:rPr/>
            </w:pPr>
            <w:r w:rsidDel="00000000" w:rsidR="00000000" w:rsidRPr="00000000">
              <w:rPr>
                <w:rtl w:val="0"/>
              </w:rPr>
              <w:t xml:space="preserve">(1,000.0)</w:t>
            </w:r>
          </w:p>
        </w:tc>
      </w:tr>
      <w:tr>
        <w:trPr>
          <w:cantSplit w:val="0"/>
          <w:tblHeader w:val="0"/>
        </w:trPr>
        <w:tc>
          <w:tcPr/>
          <w:p w:rsidR="00000000" w:rsidDel="00000000" w:rsidP="00000000" w:rsidRDefault="00000000" w:rsidRPr="00000000" w14:paraId="000001C2">
            <w:pPr>
              <w:rPr/>
            </w:pPr>
            <w:r w:rsidDel="00000000" w:rsidR="00000000" w:rsidRPr="00000000">
              <w:rPr>
                <w:rtl w:val="0"/>
              </w:rPr>
              <w:t xml:space="preserve">1</w:t>
            </w:r>
          </w:p>
        </w:tc>
        <w:tc>
          <w:tcPr/>
          <w:p w:rsidR="00000000" w:rsidDel="00000000" w:rsidP="00000000" w:rsidRDefault="00000000" w:rsidRPr="00000000" w14:paraId="000001C3">
            <w:pPr>
              <w:rPr/>
            </w:pPr>
            <w:r w:rsidDel="00000000" w:rsidR="00000000" w:rsidRPr="00000000">
              <w:rPr>
                <w:rtl w:val="0"/>
              </w:rPr>
              <w:t xml:space="preserve">350</w:t>
            </w:r>
          </w:p>
        </w:tc>
        <w:tc>
          <w:tcPr/>
          <w:p w:rsidR="00000000" w:rsidDel="00000000" w:rsidP="00000000" w:rsidRDefault="00000000" w:rsidRPr="00000000" w14:paraId="000001C4">
            <w:pPr>
              <w:rPr/>
            </w:pPr>
            <w:r w:rsidDel="00000000" w:rsidR="00000000" w:rsidRPr="00000000">
              <w:rPr>
                <w:rtl w:val="0"/>
              </w:rPr>
              <w:t xml:space="preserve">0.833</w:t>
            </w:r>
          </w:p>
        </w:tc>
        <w:tc>
          <w:tcPr/>
          <w:p w:rsidR="00000000" w:rsidDel="00000000" w:rsidP="00000000" w:rsidRDefault="00000000" w:rsidRPr="00000000" w14:paraId="000001C5">
            <w:pPr>
              <w:rPr/>
            </w:pPr>
            <w:r w:rsidDel="00000000" w:rsidR="00000000" w:rsidRPr="00000000">
              <w:rPr>
                <w:rtl w:val="0"/>
              </w:rPr>
              <w:t xml:space="preserve">291.6</w:t>
            </w:r>
          </w:p>
        </w:tc>
      </w:tr>
      <w:tr>
        <w:trPr>
          <w:cantSplit w:val="0"/>
          <w:tblHeader w:val="0"/>
        </w:trPr>
        <w:tc>
          <w:tcPr/>
          <w:p w:rsidR="00000000" w:rsidDel="00000000" w:rsidP="00000000" w:rsidRDefault="00000000" w:rsidRPr="00000000" w14:paraId="000001C6">
            <w:pPr>
              <w:rPr/>
            </w:pPr>
            <w:r w:rsidDel="00000000" w:rsidR="00000000" w:rsidRPr="00000000">
              <w:rPr>
                <w:rtl w:val="0"/>
              </w:rPr>
              <w:t xml:space="preserve">2</w:t>
            </w:r>
          </w:p>
        </w:tc>
        <w:tc>
          <w:tcPr/>
          <w:p w:rsidR="00000000" w:rsidDel="00000000" w:rsidP="00000000" w:rsidRDefault="00000000" w:rsidRPr="00000000" w14:paraId="000001C7">
            <w:pPr>
              <w:rPr/>
            </w:pPr>
            <w:r w:rsidDel="00000000" w:rsidR="00000000" w:rsidRPr="00000000">
              <w:rPr>
                <w:rtl w:val="0"/>
              </w:rPr>
              <w:t xml:space="preserve">387.5</w:t>
            </w:r>
          </w:p>
        </w:tc>
        <w:tc>
          <w:tcPr/>
          <w:p w:rsidR="00000000" w:rsidDel="00000000" w:rsidP="00000000" w:rsidRDefault="00000000" w:rsidRPr="00000000" w14:paraId="000001C8">
            <w:pPr>
              <w:rPr/>
            </w:pPr>
            <w:r w:rsidDel="00000000" w:rsidR="00000000" w:rsidRPr="00000000">
              <w:rPr>
                <w:rtl w:val="0"/>
              </w:rPr>
              <w:t xml:space="preserve">0.694</w:t>
            </w:r>
          </w:p>
        </w:tc>
        <w:tc>
          <w:tcPr/>
          <w:p w:rsidR="00000000" w:rsidDel="00000000" w:rsidP="00000000" w:rsidRDefault="00000000" w:rsidRPr="00000000" w14:paraId="000001C9">
            <w:pPr>
              <w:rPr/>
            </w:pPr>
            <w:r w:rsidDel="00000000" w:rsidR="00000000" w:rsidRPr="00000000">
              <w:rPr>
                <w:rtl w:val="0"/>
              </w:rPr>
              <w:t xml:space="preserve">269.0</w:t>
            </w:r>
          </w:p>
        </w:tc>
      </w:tr>
      <w:tr>
        <w:trPr>
          <w:cantSplit w:val="0"/>
          <w:tblHeader w:val="0"/>
        </w:trPr>
        <w:tc>
          <w:tcPr/>
          <w:p w:rsidR="00000000" w:rsidDel="00000000" w:rsidP="00000000" w:rsidRDefault="00000000" w:rsidRPr="00000000" w14:paraId="000001CA">
            <w:pPr>
              <w:rPr/>
            </w:pPr>
            <w:r w:rsidDel="00000000" w:rsidR="00000000" w:rsidRPr="00000000">
              <w:rPr>
                <w:rtl w:val="0"/>
              </w:rPr>
              <w:t xml:space="preserve">3</w:t>
            </w:r>
          </w:p>
        </w:tc>
        <w:tc>
          <w:tcPr/>
          <w:p w:rsidR="00000000" w:rsidDel="00000000" w:rsidP="00000000" w:rsidRDefault="00000000" w:rsidRPr="00000000" w14:paraId="000001CB">
            <w:pPr>
              <w:rPr/>
            </w:pPr>
            <w:r w:rsidDel="00000000" w:rsidR="00000000" w:rsidRPr="00000000">
              <w:rPr>
                <w:rtl w:val="0"/>
              </w:rPr>
              <w:t xml:space="preserve">590</w:t>
            </w:r>
          </w:p>
        </w:tc>
        <w:tc>
          <w:tcPr/>
          <w:p w:rsidR="00000000" w:rsidDel="00000000" w:rsidP="00000000" w:rsidRDefault="00000000" w:rsidRPr="00000000" w14:paraId="000001CC">
            <w:pPr>
              <w:rPr/>
            </w:pPr>
            <w:r w:rsidDel="00000000" w:rsidR="00000000" w:rsidRPr="00000000">
              <w:rPr>
                <w:rtl w:val="0"/>
              </w:rPr>
              <w:t xml:space="preserve">0.579</w:t>
            </w:r>
          </w:p>
        </w:tc>
        <w:tc>
          <w:tcPr/>
          <w:p w:rsidR="00000000" w:rsidDel="00000000" w:rsidP="00000000" w:rsidRDefault="00000000" w:rsidRPr="00000000" w14:paraId="000001CD">
            <w:pPr>
              <w:rPr/>
            </w:pPr>
            <w:r w:rsidDel="00000000" w:rsidR="00000000" w:rsidRPr="00000000">
              <w:rPr>
                <w:rtl w:val="0"/>
              </w:rPr>
              <w:t xml:space="preserve">341.6</w:t>
            </w:r>
          </w:p>
        </w:tc>
      </w:tr>
      <w:tr>
        <w:trPr>
          <w:cantSplit w:val="0"/>
          <w:tblHeader w:val="0"/>
        </w:trPr>
        <w:tc>
          <w:tcPr/>
          <w:p w:rsidR="00000000" w:rsidDel="00000000" w:rsidP="00000000" w:rsidRDefault="00000000" w:rsidRPr="00000000" w14:paraId="000001CE">
            <w:pPr>
              <w:rPr/>
            </w:pPr>
            <w:r w:rsidDel="00000000" w:rsidR="00000000" w:rsidRPr="00000000">
              <w:rPr>
                <w:rtl w:val="0"/>
              </w:rPr>
              <w:t xml:space="preserve">4</w:t>
            </w:r>
          </w:p>
        </w:tc>
        <w:tc>
          <w:tcPr/>
          <w:p w:rsidR="00000000" w:rsidDel="00000000" w:rsidP="00000000" w:rsidRDefault="00000000" w:rsidRPr="00000000" w14:paraId="000001CF">
            <w:pPr>
              <w:rPr/>
            </w:pPr>
            <w:r w:rsidDel="00000000" w:rsidR="00000000" w:rsidRPr="00000000">
              <w:rPr>
                <w:rtl w:val="0"/>
              </w:rPr>
              <w:t xml:space="preserve">785</w:t>
            </w:r>
          </w:p>
        </w:tc>
        <w:tc>
          <w:tcPr/>
          <w:p w:rsidR="00000000" w:rsidDel="00000000" w:rsidP="00000000" w:rsidRDefault="00000000" w:rsidRPr="00000000" w14:paraId="000001D0">
            <w:pPr>
              <w:rPr/>
            </w:pPr>
            <w:r w:rsidDel="00000000" w:rsidR="00000000" w:rsidRPr="00000000">
              <w:rPr>
                <w:rtl w:val="0"/>
              </w:rPr>
              <w:t xml:space="preserve">0.482</w:t>
            </w:r>
          </w:p>
        </w:tc>
        <w:tc>
          <w:tcPr/>
          <w:p w:rsidR="00000000" w:rsidDel="00000000" w:rsidP="00000000" w:rsidRDefault="00000000" w:rsidRPr="00000000" w14:paraId="000001D1">
            <w:pPr>
              <w:rPr/>
            </w:pPr>
            <w:r w:rsidDel="00000000" w:rsidR="00000000" w:rsidRPr="00000000">
              <w:rPr>
                <w:rtl w:val="0"/>
              </w:rPr>
              <w:t xml:space="preserve">378.5</w:t>
            </w:r>
          </w:p>
        </w:tc>
      </w:tr>
      <w:tr>
        <w:trPr>
          <w:cantSplit w:val="0"/>
          <w:tblHeader w:val="0"/>
        </w:trPr>
        <w:tc>
          <w:tcPr/>
          <w:p w:rsidR="00000000" w:rsidDel="00000000" w:rsidP="00000000" w:rsidRDefault="00000000" w:rsidRPr="00000000" w14:paraId="000001D2">
            <w:pPr>
              <w:rPr/>
            </w:pPr>
            <w:r w:rsidDel="00000000" w:rsidR="00000000" w:rsidRPr="00000000">
              <w:rPr>
                <w:rtl w:val="0"/>
              </w:rPr>
              <w:t xml:space="preserve">NPV @ 20%</w:t>
            </w:r>
          </w:p>
        </w:tc>
        <w:tc>
          <w:tcPr/>
          <w:p w:rsidR="00000000" w:rsidDel="00000000" w:rsidP="00000000" w:rsidRDefault="00000000" w:rsidRPr="00000000" w14:paraId="000001D3">
            <w:pPr>
              <w:rPr/>
            </w:pPr>
            <w:r w:rsidDel="00000000" w:rsidR="00000000" w:rsidRPr="00000000">
              <w:rPr>
                <w:rtl w:val="0"/>
              </w:rPr>
            </w:r>
          </w:p>
        </w:tc>
        <w:tc>
          <w:tcPr/>
          <w:p w:rsidR="00000000" w:rsidDel="00000000" w:rsidP="00000000" w:rsidRDefault="00000000" w:rsidRPr="00000000" w14:paraId="000001D4">
            <w:pPr>
              <w:rPr>
                <w:sz w:val="20"/>
                <w:szCs w:val="20"/>
              </w:rPr>
            </w:pPr>
            <w:r w:rsidDel="00000000" w:rsidR="00000000" w:rsidRPr="00000000">
              <w:rPr>
                <w:rtl w:val="0"/>
              </w:rPr>
            </w:r>
          </w:p>
        </w:tc>
        <w:tc>
          <w:tcPr/>
          <w:p w:rsidR="00000000" w:rsidDel="00000000" w:rsidP="00000000" w:rsidRDefault="00000000" w:rsidRPr="00000000" w14:paraId="000001D5">
            <w:pPr>
              <w:rPr/>
            </w:pPr>
            <w:r w:rsidDel="00000000" w:rsidR="00000000" w:rsidRPr="00000000">
              <w:rPr>
                <w:rtl w:val="0"/>
              </w:rPr>
              <w:t xml:space="preserve">+280.7</w:t>
            </w:r>
          </w:p>
        </w:tc>
      </w:tr>
    </w:tbl>
    <w:p w:rsidR="00000000" w:rsidDel="00000000" w:rsidP="00000000" w:rsidRDefault="00000000" w:rsidRPr="00000000" w14:paraId="000001D6">
      <w:pPr>
        <w:rPr/>
      </w:pPr>
      <w:r w:rsidDel="00000000" w:rsidR="00000000" w:rsidRPr="00000000">
        <w:rPr>
          <w:rtl w:val="0"/>
        </w:rPr>
      </w:r>
    </w:p>
    <w:p w:rsidR="00000000" w:rsidDel="00000000" w:rsidP="00000000" w:rsidRDefault="00000000" w:rsidRPr="00000000" w14:paraId="000001D7">
      <w:pPr>
        <w:rPr/>
      </w:pPr>
      <w:r w:rsidDel="00000000" w:rsidR="00000000" w:rsidRPr="00000000">
        <w:rPr>
          <w:rtl w:val="0"/>
        </w:rPr>
        <w:t xml:space="preserve">Discounted Cash Flow at 35%</w:t>
      </w:r>
    </w:p>
    <w:tbl>
      <w:tblPr>
        <w:tblStyle w:val="Table12"/>
        <w:tblW w:w="8687.0" w:type="dxa"/>
        <w:jc w:val="left"/>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1533"/>
        <w:gridCol w:w="2242"/>
        <w:gridCol w:w="2563"/>
        <w:gridCol w:w="2349"/>
        <w:tblGridChange w:id="0">
          <w:tblGrid>
            <w:gridCol w:w="1533"/>
            <w:gridCol w:w="2242"/>
            <w:gridCol w:w="2563"/>
            <w:gridCol w:w="2349"/>
          </w:tblGrid>
        </w:tblGridChange>
      </w:tblGrid>
      <w:tr>
        <w:trPr>
          <w:cantSplit w:val="0"/>
          <w:tblHeader w:val="0"/>
        </w:trPr>
        <w:tc>
          <w:tcPr/>
          <w:p w:rsidR="00000000" w:rsidDel="00000000" w:rsidP="00000000" w:rsidRDefault="00000000" w:rsidRPr="00000000" w14:paraId="000001D8">
            <w:pPr>
              <w:rPr/>
            </w:pPr>
            <w:r w:rsidDel="00000000" w:rsidR="00000000" w:rsidRPr="00000000">
              <w:rPr>
                <w:rtl w:val="0"/>
              </w:rPr>
              <w:t xml:space="preserve">Year</w:t>
            </w:r>
          </w:p>
        </w:tc>
        <w:tc>
          <w:tcPr/>
          <w:p w:rsidR="00000000" w:rsidDel="00000000" w:rsidP="00000000" w:rsidRDefault="00000000" w:rsidRPr="00000000" w14:paraId="000001D9">
            <w:pPr>
              <w:rPr/>
            </w:pPr>
            <w:r w:rsidDel="00000000" w:rsidR="00000000" w:rsidRPr="00000000">
              <w:rPr>
                <w:rtl w:val="0"/>
              </w:rPr>
              <w:t xml:space="preserve">After-tax CF (£000)</w:t>
            </w:r>
          </w:p>
        </w:tc>
        <w:tc>
          <w:tcPr/>
          <w:p w:rsidR="00000000" w:rsidDel="00000000" w:rsidP="00000000" w:rsidRDefault="00000000" w:rsidRPr="00000000" w14:paraId="000001DA">
            <w:pPr>
              <w:rPr/>
            </w:pPr>
            <w:r w:rsidDel="00000000" w:rsidR="00000000" w:rsidRPr="00000000">
              <w:rPr>
                <w:rtl w:val="0"/>
              </w:rPr>
              <w:t xml:space="preserve">Discount Factor (35%)</w:t>
            </w:r>
          </w:p>
        </w:tc>
        <w:tc>
          <w:tcPr/>
          <w:p w:rsidR="00000000" w:rsidDel="00000000" w:rsidP="00000000" w:rsidRDefault="00000000" w:rsidRPr="00000000" w14:paraId="000001DB">
            <w:pPr>
              <w:rPr/>
            </w:pPr>
            <w:r w:rsidDel="00000000" w:rsidR="00000000" w:rsidRPr="00000000">
              <w:rPr>
                <w:rtl w:val="0"/>
              </w:rPr>
              <w:t xml:space="preserve">Present Value (£000)</w:t>
            </w:r>
          </w:p>
        </w:tc>
      </w:tr>
      <w:tr>
        <w:trPr>
          <w:cantSplit w:val="0"/>
          <w:tblHeader w:val="0"/>
        </w:trPr>
        <w:tc>
          <w:tcPr/>
          <w:p w:rsidR="00000000" w:rsidDel="00000000" w:rsidP="00000000" w:rsidRDefault="00000000" w:rsidRPr="00000000" w14:paraId="000001DC">
            <w:pPr>
              <w:rPr/>
            </w:pPr>
            <w:r w:rsidDel="00000000" w:rsidR="00000000" w:rsidRPr="00000000">
              <w:rPr>
                <w:rtl w:val="0"/>
              </w:rPr>
              <w:t xml:space="preserve">0</w:t>
            </w:r>
          </w:p>
        </w:tc>
        <w:tc>
          <w:tcPr/>
          <w:p w:rsidR="00000000" w:rsidDel="00000000" w:rsidP="00000000" w:rsidRDefault="00000000" w:rsidRPr="00000000" w14:paraId="000001DD">
            <w:pPr>
              <w:rPr/>
            </w:pPr>
            <w:r w:rsidDel="00000000" w:rsidR="00000000" w:rsidRPr="00000000">
              <w:rPr>
                <w:rtl w:val="0"/>
              </w:rPr>
              <w:t xml:space="preserve">(1,000)</w:t>
            </w:r>
          </w:p>
        </w:tc>
        <w:tc>
          <w:tcPr/>
          <w:p w:rsidR="00000000" w:rsidDel="00000000" w:rsidP="00000000" w:rsidRDefault="00000000" w:rsidRPr="00000000" w14:paraId="000001DE">
            <w:pPr>
              <w:rPr/>
            </w:pPr>
            <w:r w:rsidDel="00000000" w:rsidR="00000000" w:rsidRPr="00000000">
              <w:rPr>
                <w:rtl w:val="0"/>
              </w:rPr>
              <w:t xml:space="preserve">1.000</w:t>
            </w:r>
          </w:p>
        </w:tc>
        <w:tc>
          <w:tcPr/>
          <w:p w:rsidR="00000000" w:rsidDel="00000000" w:rsidP="00000000" w:rsidRDefault="00000000" w:rsidRPr="00000000" w14:paraId="000001DF">
            <w:pPr>
              <w:rPr/>
            </w:pPr>
            <w:r w:rsidDel="00000000" w:rsidR="00000000" w:rsidRPr="00000000">
              <w:rPr>
                <w:rtl w:val="0"/>
              </w:rPr>
              <w:t xml:space="preserve">(1,000.0)</w:t>
            </w:r>
          </w:p>
        </w:tc>
      </w:tr>
      <w:tr>
        <w:trPr>
          <w:cantSplit w:val="0"/>
          <w:tblHeader w:val="0"/>
        </w:trPr>
        <w:tc>
          <w:tcPr/>
          <w:p w:rsidR="00000000" w:rsidDel="00000000" w:rsidP="00000000" w:rsidRDefault="00000000" w:rsidRPr="00000000" w14:paraId="000001E0">
            <w:pPr>
              <w:rPr/>
            </w:pPr>
            <w:r w:rsidDel="00000000" w:rsidR="00000000" w:rsidRPr="00000000">
              <w:rPr>
                <w:rtl w:val="0"/>
              </w:rPr>
              <w:t xml:space="preserve">1</w:t>
            </w:r>
          </w:p>
        </w:tc>
        <w:tc>
          <w:tcPr/>
          <w:p w:rsidR="00000000" w:rsidDel="00000000" w:rsidP="00000000" w:rsidRDefault="00000000" w:rsidRPr="00000000" w14:paraId="000001E1">
            <w:pPr>
              <w:rPr/>
            </w:pPr>
            <w:r w:rsidDel="00000000" w:rsidR="00000000" w:rsidRPr="00000000">
              <w:rPr>
                <w:rtl w:val="0"/>
              </w:rPr>
              <w:t xml:space="preserve">350</w:t>
            </w:r>
          </w:p>
        </w:tc>
        <w:tc>
          <w:tcPr/>
          <w:p w:rsidR="00000000" w:rsidDel="00000000" w:rsidP="00000000" w:rsidRDefault="00000000" w:rsidRPr="00000000" w14:paraId="000001E2">
            <w:pPr>
              <w:rPr/>
            </w:pPr>
            <w:r w:rsidDel="00000000" w:rsidR="00000000" w:rsidRPr="00000000">
              <w:rPr>
                <w:rtl w:val="0"/>
              </w:rPr>
              <w:t xml:space="preserve">0.741</w:t>
            </w:r>
          </w:p>
        </w:tc>
        <w:tc>
          <w:tcPr/>
          <w:p w:rsidR="00000000" w:rsidDel="00000000" w:rsidP="00000000" w:rsidRDefault="00000000" w:rsidRPr="00000000" w14:paraId="000001E3">
            <w:pPr>
              <w:rPr/>
            </w:pPr>
            <w:r w:rsidDel="00000000" w:rsidR="00000000" w:rsidRPr="00000000">
              <w:rPr>
                <w:rtl w:val="0"/>
              </w:rPr>
              <w:t xml:space="preserve">259.4</w:t>
            </w:r>
          </w:p>
        </w:tc>
      </w:tr>
      <w:tr>
        <w:trPr>
          <w:cantSplit w:val="0"/>
          <w:tblHeader w:val="0"/>
        </w:trPr>
        <w:tc>
          <w:tcPr/>
          <w:p w:rsidR="00000000" w:rsidDel="00000000" w:rsidP="00000000" w:rsidRDefault="00000000" w:rsidRPr="00000000" w14:paraId="000001E4">
            <w:pPr>
              <w:rPr/>
            </w:pPr>
            <w:r w:rsidDel="00000000" w:rsidR="00000000" w:rsidRPr="00000000">
              <w:rPr>
                <w:rtl w:val="0"/>
              </w:rPr>
              <w:t xml:space="preserve">2</w:t>
            </w:r>
          </w:p>
        </w:tc>
        <w:tc>
          <w:tcPr/>
          <w:p w:rsidR="00000000" w:rsidDel="00000000" w:rsidP="00000000" w:rsidRDefault="00000000" w:rsidRPr="00000000" w14:paraId="000001E5">
            <w:pPr>
              <w:rPr/>
            </w:pPr>
            <w:r w:rsidDel="00000000" w:rsidR="00000000" w:rsidRPr="00000000">
              <w:rPr>
                <w:rtl w:val="0"/>
              </w:rPr>
              <w:t xml:space="preserve">387.5</w:t>
            </w:r>
          </w:p>
        </w:tc>
        <w:tc>
          <w:tcPr/>
          <w:p w:rsidR="00000000" w:rsidDel="00000000" w:rsidP="00000000" w:rsidRDefault="00000000" w:rsidRPr="00000000" w14:paraId="000001E6">
            <w:pPr>
              <w:rPr/>
            </w:pPr>
            <w:r w:rsidDel="00000000" w:rsidR="00000000" w:rsidRPr="00000000">
              <w:rPr>
                <w:rtl w:val="0"/>
              </w:rPr>
              <w:t xml:space="preserve">0.549</w:t>
            </w:r>
          </w:p>
        </w:tc>
        <w:tc>
          <w:tcPr/>
          <w:p w:rsidR="00000000" w:rsidDel="00000000" w:rsidP="00000000" w:rsidRDefault="00000000" w:rsidRPr="00000000" w14:paraId="000001E7">
            <w:pPr>
              <w:rPr/>
            </w:pPr>
            <w:r w:rsidDel="00000000" w:rsidR="00000000" w:rsidRPr="00000000">
              <w:rPr>
                <w:rtl w:val="0"/>
              </w:rPr>
              <w:t xml:space="preserve">212.7</w:t>
            </w:r>
          </w:p>
        </w:tc>
      </w:tr>
      <w:tr>
        <w:trPr>
          <w:cantSplit w:val="0"/>
          <w:tblHeader w:val="0"/>
        </w:trPr>
        <w:tc>
          <w:tcPr/>
          <w:p w:rsidR="00000000" w:rsidDel="00000000" w:rsidP="00000000" w:rsidRDefault="00000000" w:rsidRPr="00000000" w14:paraId="000001E8">
            <w:pPr>
              <w:rPr/>
            </w:pPr>
            <w:r w:rsidDel="00000000" w:rsidR="00000000" w:rsidRPr="00000000">
              <w:rPr>
                <w:rtl w:val="0"/>
              </w:rPr>
              <w:t xml:space="preserve">3</w:t>
            </w:r>
          </w:p>
        </w:tc>
        <w:tc>
          <w:tcPr/>
          <w:p w:rsidR="00000000" w:rsidDel="00000000" w:rsidP="00000000" w:rsidRDefault="00000000" w:rsidRPr="00000000" w14:paraId="000001E9">
            <w:pPr>
              <w:rPr/>
            </w:pPr>
            <w:r w:rsidDel="00000000" w:rsidR="00000000" w:rsidRPr="00000000">
              <w:rPr>
                <w:rtl w:val="0"/>
              </w:rPr>
              <w:t xml:space="preserve">590</w:t>
            </w:r>
          </w:p>
        </w:tc>
        <w:tc>
          <w:tcPr/>
          <w:p w:rsidR="00000000" w:rsidDel="00000000" w:rsidP="00000000" w:rsidRDefault="00000000" w:rsidRPr="00000000" w14:paraId="000001EA">
            <w:pPr>
              <w:rPr/>
            </w:pPr>
            <w:r w:rsidDel="00000000" w:rsidR="00000000" w:rsidRPr="00000000">
              <w:rPr>
                <w:rtl w:val="0"/>
              </w:rPr>
              <w:t xml:space="preserve">0.406</w:t>
            </w:r>
          </w:p>
        </w:tc>
        <w:tc>
          <w:tcPr/>
          <w:p w:rsidR="00000000" w:rsidDel="00000000" w:rsidP="00000000" w:rsidRDefault="00000000" w:rsidRPr="00000000" w14:paraId="000001EB">
            <w:pPr>
              <w:rPr/>
            </w:pPr>
            <w:r w:rsidDel="00000000" w:rsidR="00000000" w:rsidRPr="00000000">
              <w:rPr>
                <w:rtl w:val="0"/>
              </w:rPr>
              <w:t xml:space="preserve">239.5</w:t>
            </w:r>
          </w:p>
        </w:tc>
      </w:tr>
      <w:tr>
        <w:trPr>
          <w:cantSplit w:val="0"/>
          <w:tblHeader w:val="0"/>
        </w:trPr>
        <w:tc>
          <w:tcPr/>
          <w:p w:rsidR="00000000" w:rsidDel="00000000" w:rsidP="00000000" w:rsidRDefault="00000000" w:rsidRPr="00000000" w14:paraId="000001EC">
            <w:pPr>
              <w:rPr/>
            </w:pPr>
            <w:r w:rsidDel="00000000" w:rsidR="00000000" w:rsidRPr="00000000">
              <w:rPr>
                <w:rtl w:val="0"/>
              </w:rPr>
              <w:t xml:space="preserve">4</w:t>
            </w:r>
          </w:p>
        </w:tc>
        <w:tc>
          <w:tcPr/>
          <w:p w:rsidR="00000000" w:rsidDel="00000000" w:rsidP="00000000" w:rsidRDefault="00000000" w:rsidRPr="00000000" w14:paraId="000001ED">
            <w:pPr>
              <w:rPr/>
            </w:pPr>
            <w:r w:rsidDel="00000000" w:rsidR="00000000" w:rsidRPr="00000000">
              <w:rPr>
                <w:rtl w:val="0"/>
              </w:rPr>
              <w:t xml:space="preserve">785</w:t>
            </w:r>
          </w:p>
        </w:tc>
        <w:tc>
          <w:tcPr/>
          <w:p w:rsidR="00000000" w:rsidDel="00000000" w:rsidP="00000000" w:rsidRDefault="00000000" w:rsidRPr="00000000" w14:paraId="000001EE">
            <w:pPr>
              <w:rPr/>
            </w:pPr>
            <w:r w:rsidDel="00000000" w:rsidR="00000000" w:rsidRPr="00000000">
              <w:rPr>
                <w:rtl w:val="0"/>
              </w:rPr>
              <w:t xml:space="preserve">0.301</w:t>
            </w:r>
          </w:p>
        </w:tc>
        <w:tc>
          <w:tcPr/>
          <w:p w:rsidR="00000000" w:rsidDel="00000000" w:rsidP="00000000" w:rsidRDefault="00000000" w:rsidRPr="00000000" w14:paraId="000001EF">
            <w:pPr>
              <w:rPr/>
            </w:pPr>
            <w:r w:rsidDel="00000000" w:rsidR="00000000" w:rsidRPr="00000000">
              <w:rPr>
                <w:rtl w:val="0"/>
              </w:rPr>
              <w:t xml:space="preserve">236.3</w:t>
            </w:r>
          </w:p>
        </w:tc>
      </w:tr>
      <w:tr>
        <w:trPr>
          <w:cantSplit w:val="0"/>
          <w:tblHeader w:val="0"/>
        </w:trPr>
        <w:tc>
          <w:tcPr/>
          <w:p w:rsidR="00000000" w:rsidDel="00000000" w:rsidP="00000000" w:rsidRDefault="00000000" w:rsidRPr="00000000" w14:paraId="000001F0">
            <w:pPr>
              <w:rPr/>
            </w:pPr>
            <w:r w:rsidDel="00000000" w:rsidR="00000000" w:rsidRPr="00000000">
              <w:rPr>
                <w:rtl w:val="0"/>
              </w:rPr>
              <w:t xml:space="preserve">NPV @ 35%</w:t>
            </w:r>
          </w:p>
        </w:tc>
        <w:tc>
          <w:tcPr/>
          <w:p w:rsidR="00000000" w:rsidDel="00000000" w:rsidP="00000000" w:rsidRDefault="00000000" w:rsidRPr="00000000" w14:paraId="000001F1">
            <w:pPr>
              <w:rPr/>
            </w:pPr>
            <w:r w:rsidDel="00000000" w:rsidR="00000000" w:rsidRPr="00000000">
              <w:rPr>
                <w:rtl w:val="0"/>
              </w:rPr>
            </w:r>
          </w:p>
        </w:tc>
        <w:tc>
          <w:tcPr/>
          <w:p w:rsidR="00000000" w:rsidDel="00000000" w:rsidP="00000000" w:rsidRDefault="00000000" w:rsidRPr="00000000" w14:paraId="000001F2">
            <w:pPr>
              <w:rPr>
                <w:sz w:val="20"/>
                <w:szCs w:val="20"/>
              </w:rPr>
            </w:pPr>
            <w:r w:rsidDel="00000000" w:rsidR="00000000" w:rsidRPr="00000000">
              <w:rPr>
                <w:rtl w:val="0"/>
              </w:rPr>
            </w:r>
          </w:p>
        </w:tc>
        <w:tc>
          <w:tcPr/>
          <w:p w:rsidR="00000000" w:rsidDel="00000000" w:rsidP="00000000" w:rsidRDefault="00000000" w:rsidRPr="00000000" w14:paraId="000001F3">
            <w:pPr>
              <w:rPr/>
            </w:pPr>
            <w:r w:rsidDel="00000000" w:rsidR="00000000" w:rsidRPr="00000000">
              <w:rPr>
                <w:rtl w:val="0"/>
              </w:rPr>
              <w:t xml:space="preserve">−52.1</w:t>
            </w:r>
          </w:p>
        </w:tc>
      </w:tr>
    </w:tbl>
    <w:p w:rsidR="00000000" w:rsidDel="00000000" w:rsidP="00000000" w:rsidRDefault="00000000" w:rsidRPr="00000000" w14:paraId="000001F4">
      <w:pPr>
        <w:rPr/>
      </w:pPr>
      <w:r w:rsidDel="00000000" w:rsidR="00000000" w:rsidRPr="00000000">
        <w:rPr>
          <w:rtl w:val="0"/>
        </w:rPr>
      </w:r>
    </w:p>
    <w:p w:rsidR="00000000" w:rsidDel="00000000" w:rsidP="00000000" w:rsidRDefault="00000000" w:rsidRPr="00000000" w14:paraId="000001F5">
      <w:pPr>
        <w:jc w:val="center"/>
        <w:rPr>
          <w:rFonts w:ascii="Cambria Math" w:cs="Cambria Math" w:eastAsia="Cambria Math" w:hAnsi="Cambria Math"/>
        </w:rPr>
      </w:pPr>
      <m:oMath>
        <m:r>
          <w:rPr/>
          <m:t xml:space="preserve">IRR</m:t>
        </m:r>
        <m:r>
          <w:rPr>
            <w:rFonts w:ascii="Cambria Math" w:cs="Cambria Math" w:eastAsia="Cambria Math" w:hAnsi="Cambria Math"/>
          </w:rPr>
          <m:t xml:space="preserve">=</m:t>
        </m:r>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1</m:t>
            </m:r>
          </m:sub>
        </m:sSub>
        <m:r>
          <w:rPr>
            <w:rFonts w:ascii="Cambria Math" w:cs="Cambria Math" w:eastAsia="Cambria Math" w:hAnsi="Cambria Math"/>
          </w:rPr>
          <m:t xml:space="preserve">+(</m:t>
        </m:r>
        <m:f>
          <m:fPr>
            <m:ctrlPr>
              <w:rPr>
                <w:rFonts w:ascii="Cambria Math" w:cs="Cambria Math" w:eastAsia="Cambria Math" w:hAnsi="Cambria Math"/>
              </w:rPr>
            </m:ctrlPr>
          </m:fPr>
          <m:num>
            <m:sSub>
              <m:sSubPr>
                <m:ctrlPr>
                  <w:rPr>
                    <w:rFonts w:ascii="Cambria Math" w:cs="Cambria Math" w:eastAsia="Cambria Math" w:hAnsi="Cambria Math"/>
                  </w:rPr>
                </m:ctrlPr>
              </m:sSubPr>
              <m:e>
                <m:r>
                  <w:rPr/>
                  <m:t xml:space="preserve">NPV</m:t>
                </m:r>
              </m:e>
              <m:sub>
                <m:r>
                  <w:rPr>
                    <w:rFonts w:ascii="Cambria Math" w:cs="Cambria Math" w:eastAsia="Cambria Math" w:hAnsi="Cambria Math"/>
                  </w:rPr>
                  <m:t xml:space="preserve">1</m:t>
                </m:r>
              </m:sub>
            </m:sSub>
          </m:num>
          <m:den>
            <m:sSub>
              <m:sSubPr>
                <m:ctrlPr>
                  <w:rPr>
                    <w:rFonts w:ascii="Cambria Math" w:cs="Cambria Math" w:eastAsia="Cambria Math" w:hAnsi="Cambria Math"/>
                  </w:rPr>
                </m:ctrlPr>
              </m:sSubPr>
              <m:e>
                <m:r>
                  <w:rPr/>
                  <m:t xml:space="preserve">NPV</m:t>
                </m:r>
              </m:e>
              <m:sub>
                <m:r>
                  <w:rPr>
                    <w:rFonts w:ascii="Cambria Math" w:cs="Cambria Math" w:eastAsia="Cambria Math" w:hAnsi="Cambria Math"/>
                  </w:rPr>
                  <m:t xml:space="preserve">1</m:t>
                </m:r>
              </m:sub>
            </m:sSub>
            <m:r>
              <w:rPr>
                <w:rFonts w:ascii="Cambria Math" w:cs="Cambria Math" w:eastAsia="Cambria Math" w:hAnsi="Cambria Math"/>
              </w:rPr>
              <m:t xml:space="preserve">-</m:t>
            </m:r>
            <m:sSub>
              <m:sSubPr>
                <m:ctrlPr>
                  <w:rPr>
                    <w:rFonts w:ascii="Cambria Math" w:cs="Cambria Math" w:eastAsia="Cambria Math" w:hAnsi="Cambria Math"/>
                  </w:rPr>
                </m:ctrlPr>
              </m:sSubPr>
              <m:e>
                <m:r>
                  <w:rPr/>
                  <m:t xml:space="preserve">NPV</m:t>
                </m:r>
              </m:e>
              <m:sub>
                <m:r>
                  <w:rPr>
                    <w:rFonts w:ascii="Cambria Math" w:cs="Cambria Math" w:eastAsia="Cambria Math" w:hAnsi="Cambria Math"/>
                  </w:rPr>
                  <m:t xml:space="preserve">2</m:t>
                </m:r>
              </m:sub>
            </m:sSub>
          </m:den>
        </m:f>
        <m:r>
          <w:rPr>
            <w:rFonts w:ascii="Cambria Math" w:cs="Cambria Math" w:eastAsia="Cambria Math" w:hAnsi="Cambria Math"/>
          </w:rPr>
          <m:t xml:space="preserve">)×(</m:t>
        </m:r>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2</m:t>
            </m:r>
          </m:sub>
        </m:sSub>
        <m:r>
          <w:rPr>
            <w:rFonts w:ascii="Cambria Math" w:cs="Cambria Math" w:eastAsia="Cambria Math" w:hAnsi="Cambria Math"/>
          </w:rPr>
          <m:t xml:space="preserve">-</m:t>
        </m:r>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1</m:t>
            </m:r>
          </m:sub>
        </m:sSub>
        <m:r>
          <w:rPr>
            <w:rFonts w:ascii="Cambria Math" w:cs="Cambria Math" w:eastAsia="Cambria Math" w:hAnsi="Cambria Math"/>
          </w:rPr>
          <m:t xml:space="preserve">)</m:t>
        </m:r>
      </m:oMath>
      <w:r w:rsidDel="00000000" w:rsidR="00000000" w:rsidRPr="00000000">
        <w:rPr>
          <w:rtl w:val="0"/>
        </w:rPr>
      </w:r>
    </w:p>
    <w:p w:rsidR="00000000" w:rsidDel="00000000" w:rsidP="00000000" w:rsidRDefault="00000000" w:rsidRPr="00000000" w14:paraId="000001F6">
      <w:pPr>
        <w:rPr/>
      </w:pPr>
      <w:r w:rsidDel="00000000" w:rsidR="00000000" w:rsidRPr="00000000">
        <w:rPr>
          <w:rtl w:val="0"/>
        </w:rPr>
        <w:t xml:space="preserve">Where:</w:t>
      </w:r>
    </w:p>
    <w:p w:rsidR="00000000" w:rsidDel="00000000" w:rsidP="00000000" w:rsidRDefault="00000000" w:rsidRPr="00000000" w14:paraId="000001F7">
      <w:pPr>
        <w:numPr>
          <w:ilvl w:val="0"/>
          <w:numId w:val="10"/>
        </w:numPr>
        <w:ind w:left="720" w:hanging="360"/>
        <w:rPr/>
      </w:pPr>
      <m:oMath>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1</m:t>
            </m:r>
          </m:sub>
        </m:sSub>
        <m:r>
          <w:rPr>
            <w:rFonts w:ascii="Cambria Math" w:cs="Cambria Math" w:eastAsia="Cambria Math" w:hAnsi="Cambria Math"/>
          </w:rPr>
          <m:t xml:space="preserve">=20%</m:t>
        </m:r>
      </m:oMath>
      <w:r w:rsidDel="00000000" w:rsidR="00000000" w:rsidRPr="00000000">
        <w:rPr>
          <w:rtl w:val="0"/>
        </w:rPr>
        <w:t xml:space="preserve">, </w:t>
      </w:r>
      <m:oMath>
        <m:sSub>
          <m:sSubPr>
            <m:ctrlPr>
              <w:rPr>
                <w:rFonts w:ascii="Cambria Math" w:cs="Cambria Math" w:eastAsia="Cambria Math" w:hAnsi="Cambria Math"/>
              </w:rPr>
            </m:ctrlPr>
          </m:sSubPr>
          <m:e>
            <m:r>
              <w:rPr/>
              <m:t xml:space="preserve">NPV</m:t>
            </m:r>
          </m:e>
          <m:sub>
            <m:r>
              <w:rPr>
                <w:rFonts w:ascii="Cambria Math" w:cs="Cambria Math" w:eastAsia="Cambria Math" w:hAnsi="Cambria Math"/>
              </w:rPr>
              <m:t xml:space="preserve">1</m:t>
            </m:r>
          </m:sub>
        </m:sSub>
        <m:r>
          <w:rPr>
            <w:rFonts w:ascii="Cambria Math" w:cs="Cambria Math" w:eastAsia="Cambria Math" w:hAnsi="Cambria Math"/>
          </w:rPr>
          <m:t xml:space="preserve">=+280.7</m:t>
        </m:r>
      </m:oMath>
      <w:r w:rsidDel="00000000" w:rsidR="00000000" w:rsidRPr="00000000">
        <w:rPr>
          <w:rtl w:val="0"/>
        </w:rPr>
      </w:r>
    </w:p>
    <w:p w:rsidR="00000000" w:rsidDel="00000000" w:rsidP="00000000" w:rsidRDefault="00000000" w:rsidRPr="00000000" w14:paraId="000001F8">
      <w:pPr>
        <w:numPr>
          <w:ilvl w:val="0"/>
          <w:numId w:val="10"/>
        </w:numPr>
        <w:ind w:left="720" w:hanging="360"/>
        <w:rPr/>
      </w:pPr>
      <m:oMath>
        <m:sSub>
          <m:sSubPr>
            <m:ctrlPr>
              <w:rPr>
                <w:rFonts w:ascii="Cambria Math" w:cs="Cambria Math" w:eastAsia="Cambria Math" w:hAnsi="Cambria Math"/>
              </w:rPr>
            </m:ctrlPr>
          </m:sSubPr>
          <m:e>
            <m:r>
              <w:rPr>
                <w:rFonts w:ascii="Cambria Math" w:cs="Cambria Math" w:eastAsia="Cambria Math" w:hAnsi="Cambria Math"/>
              </w:rPr>
              <m:t xml:space="preserve">r</m:t>
            </m:r>
          </m:e>
          <m:sub>
            <m:r>
              <w:rPr>
                <w:rFonts w:ascii="Cambria Math" w:cs="Cambria Math" w:eastAsia="Cambria Math" w:hAnsi="Cambria Math"/>
              </w:rPr>
              <m:t xml:space="preserve">2</m:t>
            </m:r>
          </m:sub>
        </m:sSub>
        <m:r>
          <w:rPr>
            <w:rFonts w:ascii="Cambria Math" w:cs="Cambria Math" w:eastAsia="Cambria Math" w:hAnsi="Cambria Math"/>
          </w:rPr>
          <m:t xml:space="preserve">=35%</m:t>
        </m:r>
      </m:oMath>
      <w:r w:rsidDel="00000000" w:rsidR="00000000" w:rsidRPr="00000000">
        <w:rPr>
          <w:rtl w:val="0"/>
        </w:rPr>
        <w:t xml:space="preserve">, </w:t>
      </w:r>
      <m:oMath>
        <m:sSub>
          <m:sSubPr>
            <m:ctrlPr>
              <w:rPr>
                <w:rFonts w:ascii="Cambria Math" w:cs="Cambria Math" w:eastAsia="Cambria Math" w:hAnsi="Cambria Math"/>
              </w:rPr>
            </m:ctrlPr>
          </m:sSubPr>
          <m:e>
            <m:r>
              <w:rPr/>
              <m:t xml:space="preserve">NPV</m:t>
            </m:r>
          </m:e>
          <m:sub>
            <m:r>
              <w:rPr>
                <w:rFonts w:ascii="Cambria Math" w:cs="Cambria Math" w:eastAsia="Cambria Math" w:hAnsi="Cambria Math"/>
              </w:rPr>
              <m:t xml:space="preserve">2</m:t>
            </m:r>
          </m:sub>
        </m:sSub>
        <m:r>
          <w:rPr>
            <w:rFonts w:ascii="Cambria Math" w:cs="Cambria Math" w:eastAsia="Cambria Math" w:hAnsi="Cambria Math"/>
          </w:rPr>
          <m:t xml:space="preserve">=-52.1</m:t>
        </m:r>
      </m:oMath>
      <w:r w:rsidDel="00000000" w:rsidR="00000000" w:rsidRPr="00000000">
        <w:rPr>
          <w:rtl w:val="0"/>
        </w:rPr>
      </w:r>
    </w:p>
    <w:p w:rsidR="00000000" w:rsidDel="00000000" w:rsidP="00000000" w:rsidRDefault="00000000" w:rsidRPr="00000000" w14:paraId="000001F9">
      <w:pPr>
        <w:rPr>
          <w:b w:val="1"/>
          <w:bCs w:val="1"/>
        </w:rPr>
      </w:pPr>
      <w:r w:rsidDel="00000000" w:rsidR="00000000" w:rsidRPr="00000000">
        <w:rPr>
          <w:b w:val="1"/>
          <w:bCs w:val="1"/>
          <w:rtl w:val="0"/>
        </w:rPr>
        <w:t xml:space="preserve">Substitution</w:t>
      </w:r>
    </w:p>
    <w:p w:rsidR="00000000" w:rsidDel="00000000" w:rsidP="00000000" w:rsidRDefault="00000000" w:rsidRPr="00000000" w14:paraId="000001FA">
      <w:pPr>
        <w:jc w:val="center"/>
        <w:rPr>
          <w:rFonts w:ascii="Cambria Math" w:cs="Cambria Math" w:eastAsia="Cambria Math" w:hAnsi="Cambria Math"/>
        </w:rPr>
      </w:pPr>
      <m:oMath>
        <m:r>
          <w:rPr/>
          <m:t xml:space="preserve">IRR</m:t>
        </m:r>
        <m:r>
          <w:rPr>
            <w:rFonts w:ascii="Cambria Math" w:cs="Cambria Math" w:eastAsia="Cambria Math" w:hAnsi="Cambria Math"/>
          </w:rPr>
          <m:t xml:space="preserve">=20%+(</m:t>
        </m:r>
        <m:f>
          <m:fPr>
            <m:ctrlPr>
              <w:rPr>
                <w:rFonts w:ascii="Cambria Math" w:cs="Cambria Math" w:eastAsia="Cambria Math" w:hAnsi="Cambria Math"/>
              </w:rPr>
            </m:ctrlPr>
          </m:fPr>
          <m:num>
            <m:r>
              <w:rPr>
                <w:rFonts w:ascii="Cambria Math" w:cs="Cambria Math" w:eastAsia="Cambria Math" w:hAnsi="Cambria Math"/>
              </w:rPr>
              <m:t xml:space="preserve">280.7</m:t>
            </m:r>
          </m:num>
          <m:den>
            <m:r>
              <w:rPr>
                <w:rFonts w:ascii="Cambria Math" w:cs="Cambria Math" w:eastAsia="Cambria Math" w:hAnsi="Cambria Math"/>
              </w:rPr>
              <m:t xml:space="preserve">280.7-(-52.1)</m:t>
            </m:r>
          </m:den>
        </m:f>
        <m:r>
          <w:rPr>
            <w:rFonts w:ascii="Cambria Math" w:cs="Cambria Math" w:eastAsia="Cambria Math" w:hAnsi="Cambria Math"/>
          </w:rPr>
          <m:t xml:space="preserve">)×(35%-20%)</m:t>
        </m:r>
      </m:oMath>
      <w:r w:rsidDel="00000000" w:rsidR="00000000" w:rsidRPr="00000000">
        <w:rPr>
          <w:rtl w:val="0"/>
        </w:rPr>
      </w:r>
    </w:p>
    <w:p w:rsidR="00000000" w:rsidDel="00000000" w:rsidP="00000000" w:rsidRDefault="00000000" w:rsidRPr="00000000" w14:paraId="000001FB">
      <w:pPr>
        <w:jc w:val="center"/>
        <w:rPr>
          <w:rFonts w:ascii="Cambria Math" w:cs="Cambria Math" w:eastAsia="Cambria Math" w:hAnsi="Cambria Math"/>
        </w:rPr>
      </w:pPr>
      <m:oMath>
        <m:r>
          <w:rPr/>
          <m:t xml:space="preserve">IRR</m:t>
        </m:r>
        <m:r>
          <w:rPr>
            <w:rFonts w:ascii="Cambria Math" w:cs="Cambria Math" w:eastAsia="Cambria Math" w:hAnsi="Cambria Math"/>
          </w:rPr>
          <m:t xml:space="preserve">=20%+(</m:t>
        </m:r>
        <m:f>
          <m:fPr>
            <m:ctrlPr>
              <w:rPr>
                <w:rFonts w:ascii="Cambria Math" w:cs="Cambria Math" w:eastAsia="Cambria Math" w:hAnsi="Cambria Math"/>
              </w:rPr>
            </m:ctrlPr>
          </m:fPr>
          <m:num>
            <m:r>
              <w:rPr>
                <w:rFonts w:ascii="Cambria Math" w:cs="Cambria Math" w:eastAsia="Cambria Math" w:hAnsi="Cambria Math"/>
              </w:rPr>
              <m:t xml:space="preserve">280.7</m:t>
            </m:r>
          </m:num>
          <m:den>
            <m:r>
              <w:rPr>
                <w:rFonts w:ascii="Cambria Math" w:cs="Cambria Math" w:eastAsia="Cambria Math" w:hAnsi="Cambria Math"/>
              </w:rPr>
              <m:t xml:space="preserve">332.8</m:t>
            </m:r>
          </m:den>
        </m:f>
        <m:r>
          <w:rPr>
            <w:rFonts w:ascii="Cambria Math" w:cs="Cambria Math" w:eastAsia="Cambria Math" w:hAnsi="Cambria Math"/>
          </w:rPr>
          <m:t xml:space="preserve">)×15%</m:t>
        </m:r>
        <m:r>
          <w:rPr/>
          <m:t xml:space="preserve">IRR</m:t>
        </m:r>
        <m:r>
          <w:rPr>
            <w:rFonts w:ascii="Cambria Math" w:cs="Cambria Math" w:eastAsia="Cambria Math" w:hAnsi="Cambria Math"/>
          </w:rPr>
          <m:t xml:space="preserve">=20%+(0.843×15%)</m:t>
        </m:r>
        <m:r>
          <w:rPr/>
          <m:t xml:space="preserve">IRR</m:t>
        </m:r>
        <m:r>
          <w:rPr>
            <w:rFonts w:ascii="Cambria Math" w:cs="Cambria Math" w:eastAsia="Cambria Math" w:hAnsi="Cambria Math"/>
          </w:rPr>
          <m:t xml:space="preserve">=20%+12.65%</m:t>
        </m:r>
      </m:oMath>
      <w:r w:rsidDel="00000000" w:rsidR="00000000" w:rsidRPr="00000000">
        <w:rPr>
          <w:rtl w:val="0"/>
        </w:rPr>
      </w:r>
    </w:p>
    <w:p w:rsidR="00000000" w:rsidDel="00000000" w:rsidP="00000000" w:rsidRDefault="00000000" w:rsidRPr="00000000" w14:paraId="000001FC">
      <w:pPr>
        <w:rPr/>
      </w:pPr>
      <w:r w:rsidDel="00000000" w:rsidR="00000000" w:rsidRPr="00000000">
        <w:rPr>
          <w:rtl w:val="0"/>
        </w:rPr>
        <w:t xml:space="preserve">The internal rate of return for Option B is approximately 32.65%, which is substantially higher than the company’s cost of capital of 6%. This confirms that the project generates returns well in excess of the minimum required rate and is therefore financially acceptable under the IRR decision rule.</w:t>
      </w:r>
    </w:p>
    <w:p w:rsidR="00000000" w:rsidDel="00000000" w:rsidP="00000000" w:rsidRDefault="00000000" w:rsidRPr="00000000" w14:paraId="000001FD">
      <w:pPr>
        <w:pStyle w:val="Heading2"/>
        <w:rPr/>
      </w:pPr>
      <w:bookmarkStart w:colFirst="0" w:colLast="0" w:name="_mmy1e7q8b7ml" w:id="18"/>
      <w:bookmarkEnd w:id="18"/>
      <w:r w:rsidDel="00000000" w:rsidR="00000000" w:rsidRPr="00000000">
        <w:rPr>
          <w:rtl w:val="0"/>
        </w:rPr>
        <w:t xml:space="preserve">8. Interpretation of Results for Management</w:t>
      </w:r>
    </w:p>
    <w:p w:rsidR="00000000" w:rsidDel="00000000" w:rsidP="00000000" w:rsidRDefault="00000000" w:rsidRPr="00000000" w14:paraId="000001FE">
      <w:pPr>
        <w:rPr>
          <w:b w:val="1"/>
          <w:bCs w:val="1"/>
        </w:rPr>
      </w:pPr>
      <w:r w:rsidDel="00000000" w:rsidR="00000000" w:rsidRPr="00000000">
        <w:rPr>
          <w:b w:val="1"/>
          <w:bCs w:val="1"/>
          <w:rtl w:val="0"/>
        </w:rPr>
        <w:t xml:space="preserve">(i) Why Net Present Value (NPV) is the Best Method of Investment Appraisal</w:t>
      </w:r>
    </w:p>
    <w:p w:rsidR="00000000" w:rsidDel="00000000" w:rsidP="00000000" w:rsidRDefault="00000000" w:rsidRPr="00000000" w14:paraId="000001FF">
      <w:pPr>
        <w:rPr/>
      </w:pPr>
      <w:r w:rsidDel="00000000" w:rsidR="00000000" w:rsidRPr="00000000">
        <w:rPr>
          <w:rtl w:val="0"/>
        </w:rPr>
        <w:t xml:space="preserve">NPV is also considered theoretically superior since the inflows, outflows and discount factors are all adjusted for the time value of money in NPV (Chen, 2022). It takes into account the concept of the value for money; £1 received today is worth more than £1 received in future. NPV likewise presents the sum of all project cash flows to the company’s overall cash flow over the duration of a project, discounted by the costs of capital. Crucially, the NPV decision rule is transparent and straightforward: accept projects with NPV &gt; 0 and reject those with NPV &lt; 0; with mutually exclusive projects, choose the one with the largest NPV (it creates the most value).</w:t>
      </w:r>
    </w:p>
    <w:p w:rsidR="00000000" w:rsidDel="00000000" w:rsidP="00000000" w:rsidRDefault="00000000" w:rsidRPr="00000000" w14:paraId="00000200">
      <w:pPr>
        <w:rPr>
          <w:b w:val="1"/>
          <w:bCs w:val="1"/>
        </w:rPr>
      </w:pPr>
      <w:r w:rsidDel="00000000" w:rsidR="00000000" w:rsidRPr="00000000">
        <w:rPr>
          <w:b w:val="1"/>
          <w:bCs w:val="1"/>
          <w:rtl w:val="0"/>
        </w:rPr>
        <w:t xml:space="preserve">(ii) Why Non-Discounting Methods Remain Popular</w:t>
      </w:r>
    </w:p>
    <w:p w:rsidR="00000000" w:rsidDel="00000000" w:rsidP="00000000" w:rsidRDefault="00000000" w:rsidRPr="00000000" w14:paraId="00000201">
      <w:pPr>
        <w:rPr/>
      </w:pPr>
      <w:r w:rsidDel="00000000" w:rsidR="00000000" w:rsidRPr="00000000">
        <w:rPr>
          <w:rtl w:val="0"/>
        </w:rPr>
        <w:t xml:space="preserve">In spite of their shortcomings, non-discounting techniques (such as payback and ARR) are still popular due to their ease of use, the rapidity in providing results, and the straightforwardness involved (Sharma, 2025). Payback is common to use payback to screen an investment for liquidity and risk, particularly when managers are concerned with the timing of short-term recovery of cash flows, or there is a high degree of uncertainty (Kagan, 2025). ARR excites because it relies upon accounting profits and can be linked to management performance indicators. Its two major weaknesses, however, are: the time value of money is not considered (payback and ARR), and payback ignores cash flows that occur after the payback period, which might cause suboptimal decision making.</w:t>
      </w:r>
    </w:p>
    <w:p w:rsidR="00000000" w:rsidDel="00000000" w:rsidP="00000000" w:rsidRDefault="00000000" w:rsidRPr="00000000" w14:paraId="00000202">
      <w:pPr>
        <w:rPr>
          <w:b w:val="1"/>
          <w:bCs w:val="1"/>
        </w:rPr>
      </w:pPr>
      <w:r w:rsidDel="00000000" w:rsidR="00000000" w:rsidRPr="00000000">
        <w:rPr>
          <w:b w:val="1"/>
          <w:bCs w:val="1"/>
          <w:rtl w:val="0"/>
        </w:rPr>
        <w:t xml:space="preserve">(iii) Other Factors to Consider Before a Final Investment Decision</w:t>
      </w:r>
    </w:p>
    <w:p w:rsidR="00000000" w:rsidDel="00000000" w:rsidP="00000000" w:rsidRDefault="00000000" w:rsidRPr="00000000" w14:paraId="00000203">
      <w:pPr>
        <w:rPr/>
      </w:pPr>
      <w:r w:rsidDel="00000000" w:rsidR="00000000" w:rsidRPr="00000000">
        <w:rPr>
          <w:rtl w:val="0"/>
        </w:rPr>
        <w:t xml:space="preserve">Management should consider various qualitative and risk considerations including, but not limited to: strategic fit with Westward’s long-term direction; operational feasibility and capability; market demand uncertainty; competitive response; execution and implementation risk; supply chain and manufacturing constraints (particularly for Option C); reputational and customer impact; regulatory environment considerations; and sensitivity to key assumptions (e.g., sales volumes, margins, cost inflation factors, interest rate changes) (Mannawaduge et al., 2024). It may be sensible to carry out scenario analysis and sensitivity testing to ensure that the preferred solution is not one-sided in bad times.</w:t>
      </w:r>
    </w:p>
    <w:p w:rsidR="00000000" w:rsidDel="00000000" w:rsidP="00000000" w:rsidRDefault="00000000" w:rsidRPr="00000000" w14:paraId="00000204">
      <w:pPr>
        <w:pStyle w:val="Heading2"/>
        <w:numPr>
          <w:ilvl w:val="1"/>
          <w:numId w:val="3"/>
        </w:numPr>
        <w:ind w:left="1440" w:hanging="360"/>
        <w:rPr/>
      </w:pPr>
      <w:bookmarkStart w:colFirst="0" w:colLast="0" w:name="_mg682ga0mj0d" w:id="19"/>
      <w:bookmarkEnd w:id="19"/>
      <w:r w:rsidDel="00000000" w:rsidR="00000000" w:rsidRPr="00000000">
        <w:rPr>
          <w:rtl w:val="0"/>
        </w:rPr>
        <w:t xml:space="preserve">Capital Rationing: Funds Limited to £2,500,000 (Projects Divisible)</w:t>
      </w:r>
    </w:p>
    <w:p w:rsidR="00000000" w:rsidDel="00000000" w:rsidP="00000000" w:rsidRDefault="00000000" w:rsidRPr="00000000" w14:paraId="00000205">
      <w:pPr>
        <w:rPr>
          <w:b w:val="1"/>
          <w:bCs w:val="1"/>
        </w:rPr>
      </w:pPr>
      <w:r w:rsidDel="00000000" w:rsidR="00000000" w:rsidRPr="00000000">
        <w:rPr>
          <w:b w:val="1"/>
          <w:bCs w:val="1"/>
          <w:rtl w:val="0"/>
        </w:rPr>
        <w:t xml:space="preserve">Step 1: Use Profitability Index (PI) to Rank Projects</w:t>
      </w:r>
    </w:p>
    <w:p w:rsidR="00000000" w:rsidDel="00000000" w:rsidP="00000000" w:rsidRDefault="00000000" w:rsidRPr="00000000" w14:paraId="00000206">
      <w:pPr>
        <w:jc w:val="center"/>
        <w:rPr/>
      </w:pPr>
      <m:oMath>
        <m:r>
          <w:rPr>
            <w:rFonts w:ascii="Cambria Math" w:cs="Cambria Math" w:eastAsia="Cambria Math" w:hAnsi="Cambria Math"/>
          </w:rPr>
          <m:t xml:space="preserve">PI=</m:t>
        </m:r>
        <m:f>
          <m:fPr>
            <m:ctrlPr>
              <w:rPr/>
            </m:ctrlPr>
          </m:fPr>
          <m:num>
            <m:r>
              <w:rPr/>
              <m:t xml:space="preserve">NPV</m:t>
            </m:r>
          </m:num>
          <m:den>
            <m:r>
              <w:rPr/>
              <m:t xml:space="preserve">Initial Investment</m:t>
            </m:r>
          </m:den>
        </m:f>
      </m:oMath>
      <w:r w:rsidDel="00000000" w:rsidR="00000000" w:rsidRPr="00000000">
        <w:rPr>
          <w:rtl w:val="0"/>
        </w:rPr>
      </w:r>
    </w:p>
    <w:tbl>
      <w:tblPr>
        <w:tblStyle w:val="Table13"/>
        <w:tblW w:w="5703.0" w:type="dxa"/>
        <w:jc w:val="center"/>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937"/>
        <w:gridCol w:w="1843"/>
        <w:gridCol w:w="1183"/>
        <w:gridCol w:w="1740"/>
        <w:tblGridChange w:id="0">
          <w:tblGrid>
            <w:gridCol w:w="937"/>
            <w:gridCol w:w="1843"/>
            <w:gridCol w:w="1183"/>
            <w:gridCol w:w="1740"/>
          </w:tblGrid>
        </w:tblGridChange>
      </w:tblGrid>
      <w:tr>
        <w:trPr>
          <w:cantSplit w:val="0"/>
          <w:tblHeader w:val="0"/>
        </w:trPr>
        <w:tc>
          <w:tcPr/>
          <w:p w:rsidR="00000000" w:rsidDel="00000000" w:rsidP="00000000" w:rsidRDefault="00000000" w:rsidRPr="00000000" w14:paraId="00000207">
            <w:pPr>
              <w:rPr/>
            </w:pPr>
            <w:r w:rsidDel="00000000" w:rsidR="00000000" w:rsidRPr="00000000">
              <w:rPr>
                <w:rtl w:val="0"/>
              </w:rPr>
              <w:t xml:space="preserve">Option</w:t>
            </w:r>
          </w:p>
        </w:tc>
        <w:tc>
          <w:tcPr/>
          <w:p w:rsidR="00000000" w:rsidDel="00000000" w:rsidP="00000000" w:rsidRDefault="00000000" w:rsidRPr="00000000" w14:paraId="00000208">
            <w:pPr>
              <w:rPr/>
            </w:pPr>
            <w:r w:rsidDel="00000000" w:rsidR="00000000" w:rsidRPr="00000000">
              <w:rPr>
                <w:rtl w:val="0"/>
              </w:rPr>
              <w:t xml:space="preserve">Initial Cost (£k)</w:t>
            </w:r>
          </w:p>
        </w:tc>
        <w:tc>
          <w:tcPr/>
          <w:p w:rsidR="00000000" w:rsidDel="00000000" w:rsidP="00000000" w:rsidRDefault="00000000" w:rsidRPr="00000000" w14:paraId="00000209">
            <w:pPr>
              <w:rPr/>
            </w:pPr>
            <w:r w:rsidDel="00000000" w:rsidR="00000000" w:rsidRPr="00000000">
              <w:rPr>
                <w:rtl w:val="0"/>
              </w:rPr>
              <w:t xml:space="preserve">NPV (£k)</w:t>
            </w:r>
          </w:p>
        </w:tc>
        <w:tc>
          <w:tcPr/>
          <w:p w:rsidR="00000000" w:rsidDel="00000000" w:rsidP="00000000" w:rsidRDefault="00000000" w:rsidRPr="00000000" w14:paraId="0000020A">
            <w:pPr>
              <w:rPr/>
            </w:pPr>
            <w:r w:rsidDel="00000000" w:rsidR="00000000" w:rsidRPr="00000000">
              <w:rPr>
                <w:rtl w:val="0"/>
              </w:rPr>
              <w:t xml:space="preserve">PI = NPV/Cost</w:t>
            </w:r>
          </w:p>
        </w:tc>
      </w:tr>
      <w:tr>
        <w:trPr>
          <w:cantSplit w:val="0"/>
          <w:tblHeader w:val="0"/>
        </w:trPr>
        <w:tc>
          <w:tcPr/>
          <w:p w:rsidR="00000000" w:rsidDel="00000000" w:rsidP="00000000" w:rsidRDefault="00000000" w:rsidRPr="00000000" w14:paraId="0000020B">
            <w:pPr>
              <w:rPr/>
            </w:pPr>
            <w:r w:rsidDel="00000000" w:rsidR="00000000" w:rsidRPr="00000000">
              <w:rPr>
                <w:rtl w:val="0"/>
              </w:rPr>
              <w:t xml:space="preserve">A</w:t>
            </w:r>
          </w:p>
        </w:tc>
        <w:tc>
          <w:tcPr/>
          <w:p w:rsidR="00000000" w:rsidDel="00000000" w:rsidP="00000000" w:rsidRDefault="00000000" w:rsidRPr="00000000" w14:paraId="0000020C">
            <w:pPr>
              <w:rPr/>
            </w:pPr>
            <w:r w:rsidDel="00000000" w:rsidR="00000000" w:rsidRPr="00000000">
              <w:rPr>
                <w:rtl w:val="0"/>
              </w:rPr>
              <w:t xml:space="preserve">600</w:t>
            </w:r>
          </w:p>
        </w:tc>
        <w:tc>
          <w:tcPr/>
          <w:p w:rsidR="00000000" w:rsidDel="00000000" w:rsidP="00000000" w:rsidRDefault="00000000" w:rsidRPr="00000000" w14:paraId="0000020D">
            <w:pPr>
              <w:rPr/>
            </w:pPr>
            <w:r w:rsidDel="00000000" w:rsidR="00000000" w:rsidRPr="00000000">
              <w:rPr>
                <w:rtl w:val="0"/>
              </w:rPr>
              <w:t xml:space="preserve">643.2</w:t>
            </w:r>
          </w:p>
        </w:tc>
        <w:tc>
          <w:tcPr/>
          <w:p w:rsidR="00000000" w:rsidDel="00000000" w:rsidP="00000000" w:rsidRDefault="00000000" w:rsidRPr="00000000" w14:paraId="0000020E">
            <w:pPr>
              <w:rPr/>
            </w:pPr>
            <w:r w:rsidDel="00000000" w:rsidR="00000000" w:rsidRPr="00000000">
              <w:rPr>
                <w:rtl w:val="0"/>
              </w:rPr>
              <w:t xml:space="preserve">1.072</w:t>
            </w:r>
          </w:p>
        </w:tc>
      </w:tr>
      <w:tr>
        <w:trPr>
          <w:cantSplit w:val="0"/>
          <w:tblHeader w:val="0"/>
        </w:trPr>
        <w:tc>
          <w:tcPr/>
          <w:p w:rsidR="00000000" w:rsidDel="00000000" w:rsidP="00000000" w:rsidRDefault="00000000" w:rsidRPr="00000000" w14:paraId="0000020F">
            <w:pPr>
              <w:rPr/>
            </w:pPr>
            <w:r w:rsidDel="00000000" w:rsidR="00000000" w:rsidRPr="00000000">
              <w:rPr>
                <w:rtl w:val="0"/>
              </w:rPr>
              <w:t xml:space="preserve">B</w:t>
            </w:r>
          </w:p>
        </w:tc>
        <w:tc>
          <w:tcPr/>
          <w:p w:rsidR="00000000" w:rsidDel="00000000" w:rsidP="00000000" w:rsidRDefault="00000000" w:rsidRPr="00000000" w14:paraId="00000210">
            <w:pPr>
              <w:rPr/>
            </w:pPr>
            <w:r w:rsidDel="00000000" w:rsidR="00000000" w:rsidRPr="00000000">
              <w:rPr>
                <w:rtl w:val="0"/>
              </w:rPr>
              <w:t xml:space="preserve">1,000</w:t>
            </w:r>
          </w:p>
        </w:tc>
        <w:tc>
          <w:tcPr/>
          <w:p w:rsidR="00000000" w:rsidDel="00000000" w:rsidP="00000000" w:rsidRDefault="00000000" w:rsidRPr="00000000" w14:paraId="00000211">
            <w:pPr>
              <w:rPr/>
            </w:pPr>
            <w:r w:rsidDel="00000000" w:rsidR="00000000" w:rsidRPr="00000000">
              <w:rPr>
                <w:rtl w:val="0"/>
              </w:rPr>
              <w:t xml:space="preserve">792.3</w:t>
            </w:r>
          </w:p>
        </w:tc>
        <w:tc>
          <w:tcPr/>
          <w:p w:rsidR="00000000" w:rsidDel="00000000" w:rsidP="00000000" w:rsidRDefault="00000000" w:rsidRPr="00000000" w14:paraId="00000212">
            <w:pPr>
              <w:rPr/>
            </w:pPr>
            <w:r w:rsidDel="00000000" w:rsidR="00000000" w:rsidRPr="00000000">
              <w:rPr>
                <w:rtl w:val="0"/>
              </w:rPr>
              <w:t xml:space="preserve">0.792</w:t>
            </w:r>
          </w:p>
        </w:tc>
      </w:tr>
      <w:tr>
        <w:trPr>
          <w:cantSplit w:val="0"/>
          <w:tblHeader w:val="0"/>
        </w:trPr>
        <w:tc>
          <w:tcPr/>
          <w:p w:rsidR="00000000" w:rsidDel="00000000" w:rsidP="00000000" w:rsidRDefault="00000000" w:rsidRPr="00000000" w14:paraId="00000213">
            <w:pPr>
              <w:rPr/>
            </w:pPr>
            <w:r w:rsidDel="00000000" w:rsidR="00000000" w:rsidRPr="00000000">
              <w:rPr>
                <w:rtl w:val="0"/>
              </w:rPr>
              <w:t xml:space="preserve">C</w:t>
            </w:r>
          </w:p>
        </w:tc>
        <w:tc>
          <w:tcPr/>
          <w:p w:rsidR="00000000" w:rsidDel="00000000" w:rsidP="00000000" w:rsidRDefault="00000000" w:rsidRPr="00000000" w14:paraId="00000214">
            <w:pPr>
              <w:rPr/>
            </w:pPr>
            <w:r w:rsidDel="00000000" w:rsidR="00000000" w:rsidRPr="00000000">
              <w:rPr>
                <w:rtl w:val="0"/>
              </w:rPr>
              <w:t xml:space="preserve">1,600</w:t>
            </w:r>
          </w:p>
        </w:tc>
        <w:tc>
          <w:tcPr/>
          <w:p w:rsidR="00000000" w:rsidDel="00000000" w:rsidP="00000000" w:rsidRDefault="00000000" w:rsidRPr="00000000" w14:paraId="00000215">
            <w:pPr>
              <w:rPr/>
            </w:pPr>
            <w:r w:rsidDel="00000000" w:rsidR="00000000" w:rsidRPr="00000000">
              <w:rPr>
                <w:rtl w:val="0"/>
              </w:rPr>
              <w:t xml:space="preserve">742.6</w:t>
            </w:r>
          </w:p>
        </w:tc>
        <w:tc>
          <w:tcPr/>
          <w:p w:rsidR="00000000" w:rsidDel="00000000" w:rsidP="00000000" w:rsidRDefault="00000000" w:rsidRPr="00000000" w14:paraId="00000216">
            <w:pPr>
              <w:rPr/>
            </w:pPr>
            <w:r w:rsidDel="00000000" w:rsidR="00000000" w:rsidRPr="00000000">
              <w:rPr>
                <w:rtl w:val="0"/>
              </w:rPr>
              <w:t xml:space="preserve">0.464</w:t>
            </w:r>
          </w:p>
        </w:tc>
      </w:tr>
    </w:tbl>
    <w:p w:rsidR="00000000" w:rsidDel="00000000" w:rsidP="00000000" w:rsidRDefault="00000000" w:rsidRPr="00000000" w14:paraId="00000217">
      <w:pPr>
        <w:rPr/>
      </w:pPr>
      <w:r w:rsidDel="00000000" w:rsidR="00000000" w:rsidRPr="00000000">
        <w:rPr>
          <w:rtl w:val="0"/>
        </w:rPr>
      </w:r>
    </w:p>
    <w:p w:rsidR="00000000" w:rsidDel="00000000" w:rsidP="00000000" w:rsidRDefault="00000000" w:rsidRPr="00000000" w14:paraId="00000218">
      <w:pPr>
        <w:rPr/>
      </w:pPr>
      <w:r w:rsidDel="00000000" w:rsidR="00000000" w:rsidRPr="00000000">
        <w:rPr>
          <w:rtl w:val="0"/>
        </w:rPr>
        <w:t xml:space="preserve">Ranking: A (best) → B → C</w:t>
      </w:r>
    </w:p>
    <w:p w:rsidR="00000000" w:rsidDel="00000000" w:rsidP="00000000" w:rsidRDefault="00000000" w:rsidRPr="00000000" w14:paraId="00000219">
      <w:pPr>
        <w:rPr>
          <w:b w:val="1"/>
          <w:bCs w:val="1"/>
        </w:rPr>
      </w:pPr>
      <w:r w:rsidDel="00000000" w:rsidR="00000000" w:rsidRPr="00000000">
        <w:rPr>
          <w:b w:val="1"/>
          <w:bCs w:val="1"/>
          <w:rtl w:val="0"/>
        </w:rPr>
        <w:t xml:space="preserve">Step 2: Allocate the £2.5m Budget Optimally</w:t>
      </w:r>
    </w:p>
    <w:p w:rsidR="00000000" w:rsidDel="00000000" w:rsidP="00000000" w:rsidRDefault="00000000" w:rsidRPr="00000000" w14:paraId="0000021A">
      <w:pPr>
        <w:numPr>
          <w:ilvl w:val="0"/>
          <w:numId w:val="2"/>
        </w:numPr>
        <w:ind w:left="720" w:hanging="360"/>
        <w:rPr/>
      </w:pPr>
      <w:r w:rsidDel="00000000" w:rsidR="00000000" w:rsidRPr="00000000">
        <w:rPr>
          <w:rtl w:val="0"/>
        </w:rPr>
        <w:t xml:space="preserve">Take </w:t>
      </w:r>
      <w:r w:rsidDel="00000000" w:rsidR="00000000" w:rsidRPr="00000000">
        <w:rPr>
          <w:b w:val="1"/>
          <w:bCs w:val="1"/>
          <w:rtl w:val="0"/>
        </w:rPr>
        <w:t xml:space="preserve">A: </w:t>
      </w:r>
      <w:r w:rsidDel="00000000" w:rsidR="00000000" w:rsidRPr="00000000">
        <w:rPr>
          <w:rtl w:val="0"/>
        </w:rPr>
        <w:t xml:space="preserve">cost £600k, NPV £643.2k</w:t>
      </w:r>
    </w:p>
    <w:p w:rsidR="00000000" w:rsidDel="00000000" w:rsidP="00000000" w:rsidRDefault="00000000" w:rsidRPr="00000000" w14:paraId="0000021B">
      <w:pPr>
        <w:numPr>
          <w:ilvl w:val="0"/>
          <w:numId w:val="2"/>
        </w:numPr>
        <w:ind w:left="720" w:hanging="360"/>
        <w:rPr/>
      </w:pPr>
      <w:r w:rsidDel="00000000" w:rsidR="00000000" w:rsidRPr="00000000">
        <w:rPr>
          <w:rtl w:val="0"/>
        </w:rPr>
        <w:t xml:space="preserve">Take </w:t>
      </w:r>
      <w:r w:rsidDel="00000000" w:rsidR="00000000" w:rsidRPr="00000000">
        <w:rPr>
          <w:b w:val="1"/>
          <w:bCs w:val="1"/>
          <w:rtl w:val="0"/>
        </w:rPr>
        <w:t xml:space="preserve">B:</w:t>
      </w:r>
      <w:r w:rsidDel="00000000" w:rsidR="00000000" w:rsidRPr="00000000">
        <w:rPr>
          <w:rtl w:val="0"/>
        </w:rPr>
        <w:t xml:space="preserve"> cost £1,000k, NPV £792.3k</w:t>
      </w:r>
    </w:p>
    <w:p w:rsidR="00000000" w:rsidDel="00000000" w:rsidP="00000000" w:rsidRDefault="00000000" w:rsidRPr="00000000" w14:paraId="0000021C">
      <w:pPr>
        <w:numPr>
          <w:ilvl w:val="0"/>
          <w:numId w:val="2"/>
        </w:numPr>
        <w:ind w:left="720" w:hanging="360"/>
        <w:rPr/>
      </w:pPr>
      <w:r w:rsidDel="00000000" w:rsidR="00000000" w:rsidRPr="00000000">
        <w:rPr>
          <w:rtl w:val="0"/>
        </w:rPr>
        <w:t xml:space="preserve">Funds used so far: £1,600k</w:t>
      </w:r>
    </w:p>
    <w:p w:rsidR="00000000" w:rsidDel="00000000" w:rsidP="00000000" w:rsidRDefault="00000000" w:rsidRPr="00000000" w14:paraId="0000021D">
      <w:pPr>
        <w:numPr>
          <w:ilvl w:val="0"/>
          <w:numId w:val="2"/>
        </w:numPr>
        <w:ind w:left="720" w:hanging="360"/>
        <w:rPr/>
      </w:pPr>
      <w:r w:rsidDel="00000000" w:rsidR="00000000" w:rsidRPr="00000000">
        <w:rPr>
          <w:rtl w:val="0"/>
        </w:rPr>
        <w:t xml:space="preserve">Remaining funds: £2,500k − £1,600k = </w:t>
      </w:r>
      <w:r w:rsidDel="00000000" w:rsidR="00000000" w:rsidRPr="00000000">
        <w:rPr>
          <w:b w:val="1"/>
          <w:bCs w:val="1"/>
          <w:rtl w:val="0"/>
        </w:rPr>
        <w:t xml:space="preserve">£900k</w:t>
      </w:r>
      <w:r w:rsidDel="00000000" w:rsidR="00000000" w:rsidRPr="00000000">
        <w:rPr>
          <w:rtl w:val="0"/>
        </w:rPr>
      </w:r>
    </w:p>
    <w:p w:rsidR="00000000" w:rsidDel="00000000" w:rsidP="00000000" w:rsidRDefault="00000000" w:rsidRPr="00000000" w14:paraId="0000021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Option C costs £1,600k, but projects are divisible, so invest a fraction:</w:t>
      </w:r>
    </w:p>
    <w:p w:rsidR="00000000" w:rsidDel="00000000" w:rsidP="00000000" w:rsidRDefault="00000000" w:rsidRPr="00000000" w14:paraId="0000021F">
      <w:pPr>
        <w:jc w:val="center"/>
        <w:rPr>
          <w:rFonts w:ascii="Cambria Math" w:cs="Cambria Math" w:eastAsia="Cambria Math" w:hAnsi="Cambria Math"/>
        </w:rPr>
      </w:pPr>
      <m:oMath>
        <m:r>
          <w:rPr/>
          <m:t xml:space="preserve">Fraction of C</m:t>
        </m:r>
        <m:r>
          <w:rPr>
            <w:rFonts w:ascii="Cambria Math" w:cs="Cambria Math" w:eastAsia="Cambria Math" w:hAnsi="Cambria Math"/>
          </w:rPr>
          <m:t xml:space="preserve">=</m:t>
        </m:r>
        <m:f>
          <m:fPr>
            <m:ctrlPr>
              <w:rPr>
                <w:rFonts w:ascii="Cambria Math" w:cs="Cambria Math" w:eastAsia="Cambria Math" w:hAnsi="Cambria Math"/>
              </w:rPr>
            </m:ctrlPr>
          </m:fPr>
          <m:num>
            <m:r>
              <w:rPr>
                <w:rFonts w:ascii="Cambria Math" w:cs="Cambria Math" w:eastAsia="Cambria Math" w:hAnsi="Cambria Math"/>
              </w:rPr>
              <m:t xml:space="preserve">900</m:t>
            </m:r>
          </m:num>
          <m:den>
            <m:r>
              <w:rPr>
                <w:rFonts w:ascii="Cambria Math" w:cs="Cambria Math" w:eastAsia="Cambria Math" w:hAnsi="Cambria Math"/>
              </w:rPr>
              <m:t xml:space="preserve">1600</m:t>
            </m:r>
          </m:den>
        </m:f>
        <m:r>
          <w:rPr>
            <w:rFonts w:ascii="Cambria Math" w:cs="Cambria Math" w:eastAsia="Cambria Math" w:hAnsi="Cambria Math"/>
          </w:rPr>
          <m:t xml:space="preserve">=0.5625</m:t>
        </m:r>
        <m:r>
          <w:rPr/>
          <m:t xml:space="preserve">  </m:t>
        </m:r>
        <m:r>
          <w:rPr>
            <w:rFonts w:ascii="Cambria Math" w:cs="Cambria Math" w:eastAsia="Cambria Math" w:hAnsi="Cambria Math"/>
          </w:rPr>
          <m:t xml:space="preserve">(56.25%)</m:t>
        </m:r>
      </m:oMath>
      <w:r w:rsidDel="00000000" w:rsidR="00000000" w:rsidRPr="00000000">
        <w:rPr>
          <w:rtl w:val="0"/>
        </w:rPr>
      </w:r>
    </w:p>
    <w:p w:rsidR="00000000" w:rsidDel="00000000" w:rsidP="00000000" w:rsidRDefault="00000000" w:rsidRPr="00000000" w14:paraId="0000022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NPV contributed by fraction of C:</w:t>
      </w:r>
    </w:p>
    <w:p w:rsidR="00000000" w:rsidDel="00000000" w:rsidP="00000000" w:rsidRDefault="00000000" w:rsidRPr="00000000" w14:paraId="00000221">
      <w:pPr>
        <w:jc w:val="center"/>
        <w:rPr/>
      </w:pPr>
      <m:oMath>
        <m:r>
          <w:rPr/>
          <m:t xml:space="preserve">NPV from C fraction</m:t>
        </m:r>
        <m:r>
          <w:rPr>
            <w:rFonts w:ascii="Cambria Math" w:cs="Cambria Math" w:eastAsia="Cambria Math" w:hAnsi="Cambria Math"/>
          </w:rPr>
          <m:t xml:space="preserve">=0.5625×742.6=417.7</m:t>
        </m:r>
        <m:r>
          <w:rPr/>
          <m:t xml:space="preserve"> (£k, approx.)</m:t>
        </m:r>
      </m:oMath>
      <w:r w:rsidDel="00000000" w:rsidR="00000000" w:rsidRPr="00000000">
        <w:rPr>
          <w:rtl w:val="0"/>
        </w:rPr>
      </w:r>
    </w:p>
    <w:p w:rsidR="00000000" w:rsidDel="00000000" w:rsidP="00000000" w:rsidRDefault="00000000" w:rsidRPr="00000000" w14:paraId="00000222">
      <w:pPr>
        <w:pStyle w:val="Heading3"/>
        <w:rPr/>
      </w:pPr>
      <w:bookmarkStart w:colFirst="0" w:colLast="0" w:name="_7mjdkzphullg" w:id="20"/>
      <w:bookmarkEnd w:id="20"/>
      <w:r w:rsidDel="00000000" w:rsidR="00000000" w:rsidRPr="00000000">
        <w:rPr>
          <w:rtl w:val="0"/>
        </w:rPr>
        <w:t xml:space="preserve">Step 3: Total NPV Under Capital Rationing</w:t>
      </w:r>
    </w:p>
    <w:p w:rsidR="00000000" w:rsidDel="00000000" w:rsidP="00000000" w:rsidRDefault="00000000" w:rsidRPr="00000000" w14:paraId="00000223">
      <w:pPr>
        <w:jc w:val="center"/>
        <w:rPr>
          <w:rFonts w:ascii="Cambria Math" w:cs="Cambria Math" w:eastAsia="Cambria Math" w:hAnsi="Cambria Math"/>
        </w:rPr>
      </w:pPr>
      <m:oMath>
        <m:r>
          <w:rPr/>
          <m:t xml:space="preserve">Total NPV</m:t>
        </m:r>
        <m:r>
          <w:rPr>
            <w:rFonts w:ascii="Cambria Math" w:cs="Cambria Math" w:eastAsia="Cambria Math" w:hAnsi="Cambria Math"/>
          </w:rPr>
          <m:t xml:space="preserve">=643.2+792.3+417.7=1,853.2</m:t>
        </m:r>
        <m:r>
          <w:rPr/>
          <m:t xml:space="preserve">  </m:t>
        </m:r>
        <m:r>
          <w:rPr>
            <w:rFonts w:ascii="Cambria Math" w:cs="Cambria Math" w:eastAsia="Cambria Math" w:hAnsi="Cambria Math"/>
          </w:rPr>
          <m:t xml:space="preserve">(£k)</m:t>
        </m:r>
      </m:oMath>
      <w:r w:rsidDel="00000000" w:rsidR="00000000" w:rsidRPr="00000000">
        <w:rPr>
          <w:rtl w:val="0"/>
        </w:rPr>
      </w:r>
    </w:p>
    <w:p w:rsidR="00000000" w:rsidDel="00000000" w:rsidP="00000000" w:rsidRDefault="00000000" w:rsidRPr="00000000" w14:paraId="0000022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Optimal policy: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Invest in A + B + 56.25% of C, generating a total NPV of approximately £1.85m</w:t>
      </w:r>
    </w:p>
    <w:p w:rsidR="00000000" w:rsidDel="00000000" w:rsidP="00000000" w:rsidRDefault="00000000" w:rsidRPr="00000000" w14:paraId="00000225">
      <w:pPr>
        <w:rPr>
          <w:b w:val="1"/>
          <w:bCs w:val="1"/>
        </w:rPr>
      </w:pPr>
      <w:r w:rsidDel="00000000" w:rsidR="00000000" w:rsidRPr="00000000">
        <w:rPr>
          <w:b w:val="1"/>
          <w:bCs w:val="1"/>
          <w:rtl w:val="0"/>
        </w:rPr>
        <w:t xml:space="preserve">Conclusion and Financing Advice to the Board</w:t>
      </w:r>
    </w:p>
    <w:p w:rsidR="00000000" w:rsidDel="00000000" w:rsidP="00000000" w:rsidRDefault="00000000" w:rsidRPr="00000000" w14:paraId="00000226">
      <w:pPr>
        <w:rPr/>
      </w:pPr>
      <w:r w:rsidDel="00000000" w:rsidR="00000000" w:rsidRPr="00000000">
        <w:rPr>
          <w:rtl w:val="0"/>
        </w:rPr>
        <w:t xml:space="preserve">Using the NPV method (at 6% cost of capital), Option B is the best independent project, with the highest NPV hence it provides maximum wealth to shareholder. When capital is limited to £2.5mil and separate projects are feasible, the optimal investment policy which maximises value is as follows: execute Options A and B in full funding the deficit (if required) through some proportion of Option C with resulting NPV somewhat more than about £1.85mil; When carrying out the investment plan proposed, the Board shall also specify a funding policy (Le, 2021). The principal sources of finance that are available to Westward Plc, and the major advantages and disadvantages of each, are outlined below.</w:t>
      </w:r>
    </w:p>
    <w:p w:rsidR="00000000" w:rsidDel="00000000" w:rsidP="00000000" w:rsidRDefault="00000000" w:rsidRPr="00000000" w14:paraId="00000227">
      <w:pPr>
        <w:rPr/>
      </w:pPr>
      <w:r w:rsidDel="00000000" w:rsidR="00000000" w:rsidRPr="00000000">
        <w:rPr>
          <w:rtl w:val="0"/>
        </w:rPr>
        <w:t xml:space="preserve">Financing Options for the Investment Programme:</w:t>
      </w:r>
    </w:p>
    <w:tbl>
      <w:tblPr>
        <w:tblStyle w:val="Table14"/>
        <w:tblW w:w="9016.0" w:type="dxa"/>
        <w:jc w:val="left"/>
        <w:tblBorders>
          <w:top w:color="60cbf3" w:space="0" w:sz="4" w:val="single"/>
          <w:left w:color="60cbf3" w:space="0" w:sz="4" w:val="single"/>
          <w:bottom w:color="60cbf3" w:space="0" w:sz="4" w:val="single"/>
          <w:right w:color="60cbf3" w:space="0" w:sz="4" w:val="single"/>
          <w:insideH w:color="60cbf3" w:space="0" w:sz="4" w:val="single"/>
          <w:insideV w:color="60cbf3" w:space="0" w:sz="4" w:val="single"/>
        </w:tblBorders>
        <w:tblLayout w:type="fixed"/>
        <w:tblLook w:val="04A0"/>
      </w:tblPr>
      <w:tblGrid>
        <w:gridCol w:w="1420"/>
        <w:gridCol w:w="3820"/>
        <w:gridCol w:w="3776"/>
        <w:tblGridChange w:id="0">
          <w:tblGrid>
            <w:gridCol w:w="1420"/>
            <w:gridCol w:w="3820"/>
            <w:gridCol w:w="3776"/>
          </w:tblGrid>
        </w:tblGridChange>
      </w:tblGrid>
      <w:tr>
        <w:trPr>
          <w:cantSplit w:val="0"/>
          <w:tblHeader w:val="0"/>
        </w:trPr>
        <w:tc>
          <w:tcPr/>
          <w:p w:rsidR="00000000" w:rsidDel="00000000" w:rsidP="00000000" w:rsidRDefault="00000000" w:rsidRPr="00000000" w14:paraId="00000228">
            <w:pPr>
              <w:rPr/>
            </w:pPr>
            <w:r w:rsidDel="00000000" w:rsidR="00000000" w:rsidRPr="00000000">
              <w:rPr>
                <w:rtl w:val="0"/>
              </w:rPr>
              <w:t xml:space="preserve">Source of Finance</w:t>
            </w:r>
          </w:p>
        </w:tc>
        <w:tc>
          <w:tcPr/>
          <w:p w:rsidR="00000000" w:rsidDel="00000000" w:rsidP="00000000" w:rsidRDefault="00000000" w:rsidRPr="00000000" w14:paraId="00000229">
            <w:pPr>
              <w:rPr/>
            </w:pPr>
            <w:r w:rsidDel="00000000" w:rsidR="00000000" w:rsidRPr="00000000">
              <w:rPr>
                <w:rtl w:val="0"/>
              </w:rPr>
              <w:t xml:space="preserve">Advantages</w:t>
            </w:r>
          </w:p>
        </w:tc>
        <w:tc>
          <w:tcPr/>
          <w:p w:rsidR="00000000" w:rsidDel="00000000" w:rsidP="00000000" w:rsidRDefault="00000000" w:rsidRPr="00000000" w14:paraId="0000022A">
            <w:pPr>
              <w:rPr/>
            </w:pPr>
            <w:r w:rsidDel="00000000" w:rsidR="00000000" w:rsidRPr="00000000">
              <w:rPr>
                <w:rtl w:val="0"/>
              </w:rPr>
              <w:t xml:space="preserve">Disadvantages</w:t>
            </w:r>
          </w:p>
        </w:tc>
      </w:tr>
      <w:tr>
        <w:trPr>
          <w:cantSplit w:val="0"/>
          <w:tblHeader w:val="0"/>
        </w:trPr>
        <w:tc>
          <w:tcPr/>
          <w:p w:rsidR="00000000" w:rsidDel="00000000" w:rsidP="00000000" w:rsidRDefault="00000000" w:rsidRPr="00000000" w14:paraId="0000022B">
            <w:pPr>
              <w:rPr/>
            </w:pPr>
            <w:r w:rsidDel="00000000" w:rsidR="00000000" w:rsidRPr="00000000">
              <w:rPr>
                <w:rtl w:val="0"/>
              </w:rPr>
              <w:t xml:space="preserve">Retained Earnings</w:t>
            </w:r>
          </w:p>
        </w:tc>
        <w:tc>
          <w:tcPr/>
          <w:p w:rsidR="00000000" w:rsidDel="00000000" w:rsidP="00000000" w:rsidRDefault="00000000" w:rsidRPr="00000000" w14:paraId="0000022C">
            <w:pPr>
              <w:rPr/>
            </w:pPr>
            <w:r w:rsidDel="00000000" w:rsidR="00000000" w:rsidRPr="00000000">
              <w:rPr>
                <w:rtl w:val="0"/>
              </w:rPr>
              <w:t xml:space="preserve">• Lowest cost of finance as no issue costs are incurred </w:t>
            </w:r>
          </w:p>
          <w:p w:rsidR="00000000" w:rsidDel="00000000" w:rsidP="00000000" w:rsidRDefault="00000000" w:rsidRPr="00000000" w14:paraId="0000022D">
            <w:pPr>
              <w:rPr/>
            </w:pPr>
            <w:r w:rsidDel="00000000" w:rsidR="00000000" w:rsidRPr="00000000">
              <w:rPr>
                <w:rtl w:val="0"/>
              </w:rPr>
              <w:t xml:space="preserve">• No dilution of ownership or control • Improves financial independence and flexibility (de Bodt, Cousin and Officer, 2022)</w:t>
            </w:r>
          </w:p>
        </w:tc>
        <w:tc>
          <w:tcPr/>
          <w:p w:rsidR="00000000" w:rsidDel="00000000" w:rsidP="00000000" w:rsidRDefault="00000000" w:rsidRPr="00000000" w14:paraId="0000022E">
            <w:pPr>
              <w:rPr/>
            </w:pPr>
            <w:r w:rsidDel="00000000" w:rsidR="00000000" w:rsidRPr="00000000">
              <w:rPr>
                <w:rtl w:val="0"/>
              </w:rPr>
              <w:t xml:space="preserve">• Reduces funds available for dividend payments </w:t>
            </w:r>
          </w:p>
          <w:p w:rsidR="00000000" w:rsidDel="00000000" w:rsidP="00000000" w:rsidRDefault="00000000" w:rsidRPr="00000000" w14:paraId="0000022F">
            <w:pPr>
              <w:rPr/>
            </w:pPr>
            <w:r w:rsidDel="00000000" w:rsidR="00000000" w:rsidRPr="00000000">
              <w:rPr>
                <w:rtl w:val="0"/>
              </w:rPr>
              <w:t xml:space="preserve">• May weaken short-term liquidity </w:t>
            </w:r>
          </w:p>
          <w:p w:rsidR="00000000" w:rsidDel="00000000" w:rsidP="00000000" w:rsidRDefault="00000000" w:rsidRPr="00000000" w14:paraId="00000230">
            <w:pPr>
              <w:rPr/>
            </w:pPr>
            <w:r w:rsidDel="00000000" w:rsidR="00000000" w:rsidRPr="00000000">
              <w:rPr>
                <w:rtl w:val="0"/>
              </w:rPr>
              <w:t xml:space="preserve">• Opportunity cost for shareholders seeking immediate returns</w:t>
            </w:r>
          </w:p>
        </w:tc>
      </w:tr>
      <w:tr>
        <w:trPr>
          <w:cantSplit w:val="0"/>
          <w:tblHeader w:val="0"/>
        </w:trPr>
        <w:tc>
          <w:tcPr/>
          <w:p w:rsidR="00000000" w:rsidDel="00000000" w:rsidP="00000000" w:rsidRDefault="00000000" w:rsidRPr="00000000" w14:paraId="00000231">
            <w:pPr>
              <w:rPr/>
            </w:pPr>
            <w:r w:rsidDel="00000000" w:rsidR="00000000" w:rsidRPr="00000000">
              <w:rPr>
                <w:rtl w:val="0"/>
              </w:rPr>
              <w:t xml:space="preserve">Debt Finance</w:t>
            </w:r>
          </w:p>
        </w:tc>
        <w:tc>
          <w:tcPr/>
          <w:p w:rsidR="00000000" w:rsidDel="00000000" w:rsidP="00000000" w:rsidRDefault="00000000" w:rsidRPr="00000000" w14:paraId="00000232">
            <w:pPr>
              <w:rPr/>
            </w:pPr>
            <w:r w:rsidDel="00000000" w:rsidR="00000000" w:rsidRPr="00000000">
              <w:rPr>
                <w:rtl w:val="0"/>
              </w:rPr>
              <w:t xml:space="preserve">• Interest payments are tax-deductible, reducing effective cost (Corporate Finance Institute, 2022)</w:t>
            </w:r>
          </w:p>
          <w:p w:rsidR="00000000" w:rsidDel="00000000" w:rsidP="00000000" w:rsidRDefault="00000000" w:rsidRPr="00000000" w14:paraId="00000233">
            <w:pPr>
              <w:rPr/>
            </w:pPr>
            <w:r w:rsidDel="00000000" w:rsidR="00000000" w:rsidRPr="00000000">
              <w:rPr>
                <w:rtl w:val="0"/>
              </w:rPr>
              <w:t xml:space="preserve">• No dilution of ownership or control </w:t>
            </w:r>
          </w:p>
          <w:p w:rsidR="00000000" w:rsidDel="00000000" w:rsidP="00000000" w:rsidRDefault="00000000" w:rsidRPr="00000000" w14:paraId="00000234">
            <w:pPr>
              <w:rPr/>
            </w:pPr>
            <w:r w:rsidDel="00000000" w:rsidR="00000000" w:rsidRPr="00000000">
              <w:rPr>
                <w:rtl w:val="0"/>
              </w:rPr>
              <w:t xml:space="preserve">• Can enhance returns to shareholders through gearing</w:t>
            </w:r>
          </w:p>
        </w:tc>
        <w:tc>
          <w:tcPr/>
          <w:p w:rsidR="00000000" w:rsidDel="00000000" w:rsidP="00000000" w:rsidRDefault="00000000" w:rsidRPr="00000000" w14:paraId="00000235">
            <w:pPr>
              <w:rPr/>
            </w:pPr>
            <w:r w:rsidDel="00000000" w:rsidR="00000000" w:rsidRPr="00000000">
              <w:rPr>
                <w:rtl w:val="0"/>
              </w:rPr>
              <w:t xml:space="preserve">• Increases financial risk and fixed repayment obligations </w:t>
            </w:r>
          </w:p>
          <w:p w:rsidR="00000000" w:rsidDel="00000000" w:rsidP="00000000" w:rsidRDefault="00000000" w:rsidRPr="00000000" w14:paraId="00000236">
            <w:pPr>
              <w:rPr/>
            </w:pPr>
            <w:r w:rsidDel="00000000" w:rsidR="00000000" w:rsidRPr="00000000">
              <w:rPr>
                <w:rtl w:val="0"/>
              </w:rPr>
              <w:t xml:space="preserve">• Higher gearing may reduce financial flexibility </w:t>
            </w:r>
          </w:p>
          <w:p w:rsidR="00000000" w:rsidDel="00000000" w:rsidP="00000000" w:rsidRDefault="00000000" w:rsidRPr="00000000" w14:paraId="00000237">
            <w:pPr>
              <w:rPr/>
            </w:pPr>
            <w:r w:rsidDel="00000000" w:rsidR="00000000" w:rsidRPr="00000000">
              <w:rPr>
                <w:rtl w:val="0"/>
              </w:rPr>
              <w:t xml:space="preserve">• Exposure to interest rate fluctuations</w:t>
            </w:r>
          </w:p>
        </w:tc>
      </w:tr>
      <w:tr>
        <w:trPr>
          <w:cantSplit w:val="0"/>
          <w:tblHeader w:val="0"/>
        </w:trPr>
        <w:tc>
          <w:tcPr/>
          <w:p w:rsidR="00000000" w:rsidDel="00000000" w:rsidP="00000000" w:rsidRDefault="00000000" w:rsidRPr="00000000" w14:paraId="00000238">
            <w:pPr>
              <w:rPr/>
            </w:pPr>
            <w:r w:rsidDel="00000000" w:rsidR="00000000" w:rsidRPr="00000000">
              <w:rPr>
                <w:rtl w:val="0"/>
              </w:rPr>
              <w:t xml:space="preserve">Equity Finance</w:t>
            </w:r>
          </w:p>
        </w:tc>
        <w:tc>
          <w:tcPr/>
          <w:p w:rsidR="00000000" w:rsidDel="00000000" w:rsidP="00000000" w:rsidRDefault="00000000" w:rsidRPr="00000000" w14:paraId="00000239">
            <w:pPr>
              <w:rPr/>
            </w:pPr>
            <w:r w:rsidDel="00000000" w:rsidR="00000000" w:rsidRPr="00000000">
              <w:rPr>
                <w:rtl w:val="0"/>
              </w:rPr>
              <w:t xml:space="preserve">• No mandatory repayment or interest obligations </w:t>
            </w:r>
          </w:p>
          <w:p w:rsidR="00000000" w:rsidDel="00000000" w:rsidP="00000000" w:rsidRDefault="00000000" w:rsidRPr="00000000" w14:paraId="0000023A">
            <w:pPr>
              <w:rPr/>
            </w:pPr>
            <w:r w:rsidDel="00000000" w:rsidR="00000000" w:rsidRPr="00000000">
              <w:rPr>
                <w:rtl w:val="0"/>
              </w:rPr>
              <w:t xml:space="preserve">• Reduces financial risk and improves gearing ratios </w:t>
            </w:r>
          </w:p>
          <w:p w:rsidR="00000000" w:rsidDel="00000000" w:rsidP="00000000" w:rsidRDefault="00000000" w:rsidRPr="00000000" w14:paraId="0000023B">
            <w:pPr>
              <w:rPr/>
            </w:pPr>
            <w:r w:rsidDel="00000000" w:rsidR="00000000" w:rsidRPr="00000000">
              <w:rPr>
                <w:rtl w:val="0"/>
              </w:rPr>
              <w:t xml:space="preserve">• Strengthens long-term solvency</w:t>
            </w:r>
          </w:p>
        </w:tc>
        <w:tc>
          <w:tcPr/>
          <w:p w:rsidR="00000000" w:rsidDel="00000000" w:rsidP="00000000" w:rsidRDefault="00000000" w:rsidRPr="00000000" w14:paraId="0000023C">
            <w:pPr>
              <w:rPr/>
            </w:pPr>
            <w:r w:rsidDel="00000000" w:rsidR="00000000" w:rsidRPr="00000000">
              <w:rPr>
                <w:rtl w:val="0"/>
              </w:rPr>
              <w:t xml:space="preserve">• Dilutes existing shareholders’ ownership and control </w:t>
            </w:r>
          </w:p>
          <w:p w:rsidR="00000000" w:rsidDel="00000000" w:rsidP="00000000" w:rsidRDefault="00000000" w:rsidRPr="00000000" w14:paraId="0000023D">
            <w:pPr>
              <w:rPr/>
            </w:pPr>
            <w:r w:rsidDel="00000000" w:rsidR="00000000" w:rsidRPr="00000000">
              <w:rPr>
                <w:rtl w:val="0"/>
              </w:rPr>
              <w:t xml:space="preserve">• Dividends are not tax-deductible (Corporate Finance Institute, 2022)</w:t>
            </w:r>
          </w:p>
          <w:p w:rsidR="00000000" w:rsidDel="00000000" w:rsidP="00000000" w:rsidRDefault="00000000" w:rsidRPr="00000000" w14:paraId="0000023E">
            <w:pPr>
              <w:rPr/>
            </w:pPr>
            <w:r w:rsidDel="00000000" w:rsidR="00000000" w:rsidRPr="00000000">
              <w:rPr>
                <w:rtl w:val="0"/>
              </w:rPr>
              <w:t xml:space="preserve">• Can be expensive if shares are issued when undervalued</w:t>
            </w:r>
          </w:p>
        </w:tc>
      </w:tr>
    </w:tbl>
    <w:p w:rsidR="00000000" w:rsidDel="00000000" w:rsidP="00000000" w:rsidRDefault="00000000" w:rsidRPr="00000000" w14:paraId="0000023F">
      <w:pPr>
        <w:rPr/>
      </w:pPr>
      <w:r w:rsidDel="00000000" w:rsidR="00000000" w:rsidRPr="00000000">
        <w:rPr>
          <w:rtl w:val="0"/>
        </w:rPr>
      </w:r>
    </w:p>
    <w:p w:rsidR="00000000" w:rsidDel="00000000" w:rsidP="00000000" w:rsidRDefault="00000000" w:rsidRPr="00000000" w14:paraId="00000240">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241">
      <w:pPr>
        <w:pStyle w:val="Heading1"/>
        <w:rPr/>
      </w:pPr>
      <w:bookmarkStart w:colFirst="0" w:colLast="0" w:name="_txj7a55ok527" w:id="21"/>
      <w:bookmarkEnd w:id="21"/>
      <w:r w:rsidDel="00000000" w:rsidR="00000000" w:rsidRPr="00000000">
        <w:rPr>
          <w:rtl w:val="0"/>
        </w:rPr>
        <w:t xml:space="preserve">References</w:t>
      </w:r>
    </w:p>
    <w:p w:rsidR="00000000" w:rsidDel="00000000" w:rsidP="00000000" w:rsidRDefault="00000000" w:rsidRPr="00000000" w14:paraId="00000242">
      <w:pPr>
        <w:spacing w:after="240" w:lineRule="auto"/>
        <w:jc w:val="left"/>
        <w:rPr/>
      </w:pPr>
      <w:r w:rsidDel="00000000" w:rsidR="00000000" w:rsidRPr="00000000">
        <w:rPr>
          <w:rtl w:val="0"/>
        </w:rPr>
        <w:t xml:space="preserve">Bailey, K. (2025). </w:t>
      </w:r>
      <w:r w:rsidDel="00000000" w:rsidR="00000000" w:rsidRPr="00000000">
        <w:rPr>
          <w:i w:val="1"/>
          <w:iCs w:val="1"/>
          <w:rtl w:val="0"/>
        </w:rPr>
        <w:t xml:space="preserve">Negative Working Capital: Strength or a Warning Sign?</w:t>
      </w:r>
      <w:r w:rsidDel="00000000" w:rsidR="00000000" w:rsidRPr="00000000">
        <w:rPr>
          <w:rtl w:val="0"/>
        </w:rPr>
        <w:t xml:space="preserve"> [online] Corporate Finance Institute. Available at: https://corporatefinanceinstitute.com/resources/financial-modeling/negative-working-capital-analysis/.</w:t>
      </w:r>
    </w:p>
    <w:p w:rsidR="00000000" w:rsidDel="00000000" w:rsidP="00000000" w:rsidRDefault="00000000" w:rsidRPr="00000000" w14:paraId="00000243">
      <w:pPr>
        <w:spacing w:after="240" w:lineRule="auto"/>
        <w:jc w:val="left"/>
        <w:rPr/>
      </w:pPr>
      <w:r w:rsidDel="00000000" w:rsidR="00000000" w:rsidRPr="00000000">
        <w:rPr>
          <w:rtl w:val="0"/>
        </w:rPr>
        <w:t xml:space="preserve">Boyte-White, C. (2025). </w:t>
      </w:r>
      <w:r w:rsidDel="00000000" w:rsidR="00000000" w:rsidRPr="00000000">
        <w:rPr>
          <w:i w:val="1"/>
          <w:iCs w:val="1"/>
          <w:rtl w:val="0"/>
        </w:rPr>
        <w:t xml:space="preserve">Gearing Ratios: What Is a Good Ratio, and How to Calculate It</w:t>
      </w:r>
      <w:r w:rsidDel="00000000" w:rsidR="00000000" w:rsidRPr="00000000">
        <w:rPr>
          <w:rtl w:val="0"/>
        </w:rPr>
        <w:t xml:space="preserve">. [online] Investopedia. Available at: https://www.investopedia.com/ask/answers/121814/what-good-gearing-ratio.asp.</w:t>
      </w:r>
    </w:p>
    <w:p w:rsidR="00000000" w:rsidDel="00000000" w:rsidP="00000000" w:rsidRDefault="00000000" w:rsidRPr="00000000" w14:paraId="00000244">
      <w:pPr>
        <w:spacing w:after="240" w:lineRule="auto"/>
        <w:jc w:val="left"/>
        <w:rPr/>
      </w:pPr>
      <w:r w:rsidDel="00000000" w:rsidR="00000000" w:rsidRPr="00000000">
        <w:rPr>
          <w:rtl w:val="0"/>
        </w:rPr>
        <w:t xml:space="preserve">CFI (2022). </w:t>
      </w:r>
      <w:r w:rsidDel="00000000" w:rsidR="00000000" w:rsidRPr="00000000">
        <w:rPr>
          <w:i w:val="1"/>
          <w:iCs w:val="1"/>
          <w:rtl w:val="0"/>
        </w:rPr>
        <w:t xml:space="preserve">Efficiency Ratios</w:t>
      </w:r>
      <w:r w:rsidDel="00000000" w:rsidR="00000000" w:rsidRPr="00000000">
        <w:rPr>
          <w:rtl w:val="0"/>
        </w:rPr>
        <w:t xml:space="preserve">. [online] Corporate Finance Institute. Available at: https://corporatefinanceinstitute.com/resources/accounting/efficiency-ratios/.</w:t>
      </w:r>
    </w:p>
    <w:p w:rsidR="00000000" w:rsidDel="00000000" w:rsidP="00000000" w:rsidRDefault="00000000" w:rsidRPr="00000000" w14:paraId="00000245">
      <w:pPr>
        <w:spacing w:after="240" w:lineRule="auto"/>
        <w:jc w:val="left"/>
        <w:rPr/>
      </w:pPr>
      <w:r w:rsidDel="00000000" w:rsidR="00000000" w:rsidRPr="00000000">
        <w:rPr>
          <w:rtl w:val="0"/>
        </w:rPr>
        <w:t xml:space="preserve">CFI Team (2025). </w:t>
      </w:r>
      <w:r w:rsidDel="00000000" w:rsidR="00000000" w:rsidRPr="00000000">
        <w:rPr>
          <w:i w:val="1"/>
          <w:iCs w:val="1"/>
          <w:rtl w:val="0"/>
        </w:rPr>
        <w:t xml:space="preserve">Debt to equity ratio</w:t>
      </w:r>
      <w:r w:rsidDel="00000000" w:rsidR="00000000" w:rsidRPr="00000000">
        <w:rPr>
          <w:rtl w:val="0"/>
        </w:rPr>
        <w:t xml:space="preserve">. [online] Corporate Finance Institute. Available at: https://corporatefinanceinstitute.com/resources/commercial-lending/debt-to-equity-ratio-formula/.</w:t>
      </w:r>
    </w:p>
    <w:p w:rsidR="00000000" w:rsidDel="00000000" w:rsidP="00000000" w:rsidRDefault="00000000" w:rsidRPr="00000000" w14:paraId="00000246">
      <w:pPr>
        <w:spacing w:after="240" w:lineRule="auto"/>
        <w:jc w:val="left"/>
        <w:rPr/>
      </w:pPr>
      <w:r w:rsidDel="00000000" w:rsidR="00000000" w:rsidRPr="00000000">
        <w:rPr>
          <w:rtl w:val="0"/>
        </w:rPr>
        <w:t xml:space="preserve">Chen, J. (2025). </w:t>
      </w:r>
      <w:r w:rsidDel="00000000" w:rsidR="00000000" w:rsidRPr="00000000">
        <w:rPr>
          <w:i w:val="1"/>
          <w:iCs w:val="1"/>
          <w:rtl w:val="0"/>
        </w:rPr>
        <w:t xml:space="preserve">Debt Financing</w:t>
      </w:r>
      <w:r w:rsidDel="00000000" w:rsidR="00000000" w:rsidRPr="00000000">
        <w:rPr>
          <w:rtl w:val="0"/>
        </w:rPr>
        <w:t xml:space="preserve">. [online] Investopedia. Available at: https://www.investopedia.com/terms/d/debtfinancing.asp.</w:t>
      </w:r>
    </w:p>
    <w:p w:rsidR="00000000" w:rsidDel="00000000" w:rsidP="00000000" w:rsidRDefault="00000000" w:rsidRPr="00000000" w14:paraId="00000247">
      <w:pPr>
        <w:spacing w:after="240" w:lineRule="auto"/>
        <w:jc w:val="left"/>
        <w:rPr/>
      </w:pPr>
      <w:r w:rsidDel="00000000" w:rsidR="00000000" w:rsidRPr="00000000">
        <w:rPr>
          <w:rtl w:val="0"/>
        </w:rPr>
        <w:t xml:space="preserve">Chen, X. (2022). Theoretical analysis of Net Present Value. </w:t>
      </w:r>
      <w:r w:rsidDel="00000000" w:rsidR="00000000" w:rsidRPr="00000000">
        <w:rPr>
          <w:i w:val="1"/>
          <w:iCs w:val="1"/>
          <w:rtl w:val="0"/>
        </w:rPr>
        <w:t xml:space="preserve">BCP Business &amp; Management</w:t>
      </w:r>
      <w:r w:rsidDel="00000000" w:rsidR="00000000" w:rsidRPr="00000000">
        <w:rPr>
          <w:rtl w:val="0"/>
        </w:rPr>
        <w:t xml:space="preserve">, [online] 30(1), pp.683–687. doi:https://doi.org/10.54691/bcpbm.v30i.2517.</w:t>
      </w:r>
    </w:p>
    <w:p w:rsidR="00000000" w:rsidDel="00000000" w:rsidP="00000000" w:rsidRDefault="00000000" w:rsidRPr="00000000" w14:paraId="00000248">
      <w:pPr>
        <w:spacing w:after="240" w:lineRule="auto"/>
        <w:jc w:val="left"/>
        <w:rPr/>
      </w:pPr>
      <w:r w:rsidDel="00000000" w:rsidR="00000000" w:rsidRPr="00000000">
        <w:rPr>
          <w:rtl w:val="0"/>
        </w:rPr>
        <w:t xml:space="preserve">Corporate Finance Institute (2022). </w:t>
      </w:r>
      <w:r w:rsidDel="00000000" w:rsidR="00000000" w:rsidRPr="00000000">
        <w:rPr>
          <w:i w:val="1"/>
          <w:iCs w:val="1"/>
          <w:rtl w:val="0"/>
        </w:rPr>
        <w:t xml:space="preserve">Sources of Funding</w:t>
      </w:r>
      <w:r w:rsidDel="00000000" w:rsidR="00000000" w:rsidRPr="00000000">
        <w:rPr>
          <w:rtl w:val="0"/>
        </w:rPr>
        <w:t xml:space="preserve">. [online] Corporate Finance Institute. Available at: https://corporatefinanceinstitute.com/resources/accounting/sources-of-funding/.</w:t>
      </w:r>
    </w:p>
    <w:p w:rsidR="00000000" w:rsidDel="00000000" w:rsidP="00000000" w:rsidRDefault="00000000" w:rsidRPr="00000000" w14:paraId="00000249">
      <w:pPr>
        <w:spacing w:after="240" w:lineRule="auto"/>
        <w:jc w:val="left"/>
        <w:rPr/>
      </w:pPr>
      <w:r w:rsidDel="00000000" w:rsidR="00000000" w:rsidRPr="00000000">
        <w:rPr>
          <w:rtl w:val="0"/>
        </w:rPr>
        <w:t xml:space="preserve">Dai, H., Li, N., Wang, Y. and Zhao, X. (2022). </w:t>
      </w:r>
      <w:r w:rsidDel="00000000" w:rsidR="00000000" w:rsidRPr="00000000">
        <w:rPr>
          <w:i w:val="1"/>
          <w:iCs w:val="1"/>
          <w:rtl w:val="0"/>
        </w:rPr>
        <w:t xml:space="preserve">The Analysis of Three Main Investment Criteria: NPV IRR and Payback Period</w:t>
      </w:r>
      <w:r w:rsidDel="00000000" w:rsidR="00000000" w:rsidRPr="00000000">
        <w:rPr>
          <w:rtl w:val="0"/>
        </w:rPr>
        <w:t xml:space="preserve">. [online] Advances in Economics, Business and Management Research. doi:https://doi.org/10.2991/aebmr.k.220307.028.</w:t>
      </w:r>
    </w:p>
    <w:p w:rsidR="00000000" w:rsidDel="00000000" w:rsidP="00000000" w:rsidRDefault="00000000" w:rsidRPr="00000000" w14:paraId="0000024A">
      <w:pPr>
        <w:spacing w:after="240" w:lineRule="auto"/>
        <w:jc w:val="left"/>
        <w:rPr/>
      </w:pPr>
      <w:r w:rsidDel="00000000" w:rsidR="00000000" w:rsidRPr="00000000">
        <w:rPr>
          <w:rtl w:val="0"/>
        </w:rPr>
        <w:t xml:space="preserve">de Bodt, E., Cousin, J.-G. and Officer, M.S. (2022). Financial constraints, ownership dilution, and the method of payment in M&amp;A transactions. </w:t>
      </w:r>
      <w:r w:rsidDel="00000000" w:rsidR="00000000" w:rsidRPr="00000000">
        <w:rPr>
          <w:i w:val="1"/>
          <w:iCs w:val="1"/>
          <w:rtl w:val="0"/>
        </w:rPr>
        <w:t xml:space="preserve">Journal of Corporate Finance</w:t>
      </w:r>
      <w:r w:rsidDel="00000000" w:rsidR="00000000" w:rsidRPr="00000000">
        <w:rPr>
          <w:rtl w:val="0"/>
        </w:rPr>
        <w:t xml:space="preserve">, 75, p.102250. doi:https://doi.org/10.1016/j.jcorpfin.2022.102250.</w:t>
      </w:r>
    </w:p>
    <w:p w:rsidR="00000000" w:rsidDel="00000000" w:rsidP="00000000" w:rsidRDefault="00000000" w:rsidRPr="00000000" w14:paraId="0000024B">
      <w:pPr>
        <w:spacing w:after="240" w:lineRule="auto"/>
        <w:jc w:val="left"/>
        <w:rPr/>
      </w:pPr>
      <w:r w:rsidDel="00000000" w:rsidR="00000000" w:rsidRPr="00000000">
        <w:rPr>
          <w:rtl w:val="0"/>
        </w:rPr>
        <w:t xml:space="preserve">Deng, M. and Liu, C. (2024). Sovereign risk and intangible investment. </w:t>
      </w:r>
      <w:r w:rsidDel="00000000" w:rsidR="00000000" w:rsidRPr="00000000">
        <w:rPr>
          <w:i w:val="1"/>
          <w:iCs w:val="1"/>
          <w:rtl w:val="0"/>
        </w:rPr>
        <w:t xml:space="preserve">Journal of International Economics</w:t>
      </w:r>
      <w:r w:rsidDel="00000000" w:rsidR="00000000" w:rsidRPr="00000000">
        <w:rPr>
          <w:rtl w:val="0"/>
        </w:rPr>
        <w:t xml:space="preserve">, [online] 152, p.104009. doi:https://doi.org/10.1016/j.jinteco.2024.104009.</w:t>
      </w:r>
    </w:p>
    <w:p w:rsidR="00000000" w:rsidDel="00000000" w:rsidP="00000000" w:rsidRDefault="00000000" w:rsidRPr="00000000" w14:paraId="0000024C">
      <w:pPr>
        <w:spacing w:after="240" w:lineRule="auto"/>
        <w:jc w:val="left"/>
        <w:rPr/>
      </w:pPr>
      <w:r w:rsidDel="00000000" w:rsidR="00000000" w:rsidRPr="00000000">
        <w:rPr>
          <w:rtl w:val="0"/>
        </w:rPr>
        <w:t xml:space="preserve">Durrah, O. (2016). </w:t>
      </w:r>
      <w:r w:rsidDel="00000000" w:rsidR="00000000" w:rsidRPr="00000000">
        <w:rPr>
          <w:i w:val="1"/>
          <w:iCs w:val="1"/>
          <w:rtl w:val="0"/>
        </w:rPr>
        <w:t xml:space="preserve">Exploring the Relationship between Liquidity Ratios and Indicators of Financial Performance: an Analytical Study on Food Industrial Companies Listed in Amman Bursa</w:t>
      </w:r>
      <w:r w:rsidDel="00000000" w:rsidR="00000000" w:rsidRPr="00000000">
        <w:rPr>
          <w:rtl w:val="0"/>
        </w:rPr>
        <w:t xml:space="preserve">. [online] ResearchGate. Available at: https://www.researchgate.net/publication/297158263_Exploring_the_Relationship_between_Liquidity_Ratios_and_Indicators_of_Financial_Performance_An_Analytical_Study_on_Food_Industrial_Companies_Listed_in_Amman_Bursa.</w:t>
      </w:r>
    </w:p>
    <w:p w:rsidR="00000000" w:rsidDel="00000000" w:rsidP="00000000" w:rsidRDefault="00000000" w:rsidRPr="00000000" w14:paraId="0000024D">
      <w:pPr>
        <w:spacing w:after="240" w:lineRule="auto"/>
        <w:jc w:val="left"/>
        <w:rPr/>
      </w:pPr>
      <w:r w:rsidDel="00000000" w:rsidR="00000000" w:rsidRPr="00000000">
        <w:rPr>
          <w:rtl w:val="0"/>
        </w:rPr>
        <w:t xml:space="preserve">Faello, J. (2015). </w:t>
      </w:r>
      <w:r w:rsidDel="00000000" w:rsidR="00000000" w:rsidRPr="00000000">
        <w:rPr>
          <w:i w:val="1"/>
          <w:iCs w:val="1"/>
          <w:rtl w:val="0"/>
        </w:rPr>
        <w:t xml:space="preserve">Understanding the limitations of financial ratios</w:t>
      </w:r>
      <w:r w:rsidDel="00000000" w:rsidR="00000000" w:rsidRPr="00000000">
        <w:rPr>
          <w:rtl w:val="0"/>
        </w:rPr>
        <w:t xml:space="preserve">. [online] ResearchGate. Available at: https://www.researchgate.net/publication/330988084_Understanding_the_limitations_of_financial_ratios.</w:t>
      </w:r>
    </w:p>
    <w:p w:rsidR="00000000" w:rsidDel="00000000" w:rsidP="00000000" w:rsidRDefault="00000000" w:rsidRPr="00000000" w14:paraId="0000024E">
      <w:pPr>
        <w:spacing w:after="240" w:lineRule="auto"/>
        <w:jc w:val="left"/>
        <w:rPr/>
      </w:pPr>
      <w:r w:rsidDel="00000000" w:rsidR="00000000" w:rsidRPr="00000000">
        <w:rPr>
          <w:rtl w:val="0"/>
        </w:rPr>
        <w:t xml:space="preserve">Fernando, J. (2021). </w:t>
      </w:r>
      <w:r w:rsidDel="00000000" w:rsidR="00000000" w:rsidRPr="00000000">
        <w:rPr>
          <w:i w:val="1"/>
          <w:iCs w:val="1"/>
          <w:rtl w:val="0"/>
        </w:rPr>
        <w:t xml:space="preserve">Opportunity Cost: Definition, Calculation Formula, and Examples</w:t>
      </w:r>
      <w:r w:rsidDel="00000000" w:rsidR="00000000" w:rsidRPr="00000000">
        <w:rPr>
          <w:rtl w:val="0"/>
        </w:rPr>
        <w:t xml:space="preserve">. [online] Investopedia. Available at: https://www.investopedia.com/terms/o/opportunitycost.asp.</w:t>
      </w:r>
    </w:p>
    <w:p w:rsidR="00000000" w:rsidDel="00000000" w:rsidP="00000000" w:rsidRDefault="00000000" w:rsidRPr="00000000" w14:paraId="0000024F">
      <w:pPr>
        <w:spacing w:after="240" w:lineRule="auto"/>
        <w:jc w:val="left"/>
        <w:rPr/>
      </w:pPr>
      <w:r w:rsidDel="00000000" w:rsidR="00000000" w:rsidRPr="00000000">
        <w:rPr>
          <w:rtl w:val="0"/>
        </w:rPr>
        <w:t xml:space="preserve">Fernando, J. (2023). </w:t>
      </w:r>
      <w:r w:rsidDel="00000000" w:rsidR="00000000" w:rsidRPr="00000000">
        <w:rPr>
          <w:i w:val="1"/>
          <w:iCs w:val="1"/>
          <w:rtl w:val="0"/>
        </w:rPr>
        <w:t xml:space="preserve">Earnings Per Share (EPS): What It Means and How to Calculate It</w:t>
      </w:r>
      <w:r w:rsidDel="00000000" w:rsidR="00000000" w:rsidRPr="00000000">
        <w:rPr>
          <w:rtl w:val="0"/>
        </w:rPr>
        <w:t xml:space="preserve">. [online] Investopedia. Available at: https://www.investopedia.com/terms/e/eps.asp.</w:t>
      </w:r>
    </w:p>
    <w:p w:rsidR="00000000" w:rsidDel="00000000" w:rsidP="00000000" w:rsidRDefault="00000000" w:rsidRPr="00000000" w14:paraId="00000250">
      <w:pPr>
        <w:spacing w:after="240" w:lineRule="auto"/>
        <w:jc w:val="left"/>
        <w:rPr/>
      </w:pPr>
      <w:r w:rsidDel="00000000" w:rsidR="00000000" w:rsidRPr="00000000">
        <w:rPr>
          <w:rtl w:val="0"/>
        </w:rPr>
        <w:t xml:space="preserve">Fernando, J. (2024). </w:t>
      </w:r>
      <w:r w:rsidDel="00000000" w:rsidR="00000000" w:rsidRPr="00000000">
        <w:rPr>
          <w:i w:val="1"/>
          <w:iCs w:val="1"/>
          <w:rtl w:val="0"/>
        </w:rPr>
        <w:t xml:space="preserve">Price-to-Earnings (P/E) Ratio: Definition, Formula, and Examples</w:t>
      </w:r>
      <w:r w:rsidDel="00000000" w:rsidR="00000000" w:rsidRPr="00000000">
        <w:rPr>
          <w:rtl w:val="0"/>
        </w:rPr>
        <w:t xml:space="preserve">. [online] Investopedia. Available at: https://www.investopedia.com/terms/p/price-earningsratio.asp.</w:t>
      </w:r>
    </w:p>
    <w:p w:rsidR="00000000" w:rsidDel="00000000" w:rsidP="00000000" w:rsidRDefault="00000000" w:rsidRPr="00000000" w14:paraId="00000251">
      <w:pPr>
        <w:spacing w:after="240" w:lineRule="auto"/>
        <w:jc w:val="left"/>
        <w:rPr/>
      </w:pPr>
      <w:r w:rsidDel="00000000" w:rsidR="00000000" w:rsidRPr="00000000">
        <w:rPr>
          <w:rtl w:val="0"/>
        </w:rPr>
        <w:t xml:space="preserve">Fernando, J. (2025). </w:t>
      </w:r>
      <w:r w:rsidDel="00000000" w:rsidR="00000000" w:rsidRPr="00000000">
        <w:rPr>
          <w:i w:val="1"/>
          <w:iCs w:val="1"/>
          <w:rtl w:val="0"/>
        </w:rPr>
        <w:t xml:space="preserve">Current Ratio Explained with Formula and Examples</w:t>
      </w:r>
      <w:r w:rsidDel="00000000" w:rsidR="00000000" w:rsidRPr="00000000">
        <w:rPr>
          <w:rtl w:val="0"/>
        </w:rPr>
        <w:t xml:space="preserve">. [online] Investopedia. Available at: https://www.investopedia.com/terms/c/currentratio.asp.</w:t>
      </w:r>
    </w:p>
    <w:p w:rsidR="00000000" w:rsidDel="00000000" w:rsidP="00000000" w:rsidRDefault="00000000" w:rsidRPr="00000000" w14:paraId="00000252">
      <w:pPr>
        <w:spacing w:after="240" w:lineRule="auto"/>
        <w:jc w:val="left"/>
        <w:rPr/>
      </w:pPr>
      <w:r w:rsidDel="00000000" w:rsidR="00000000" w:rsidRPr="00000000">
        <w:rPr>
          <w:rtl w:val="0"/>
        </w:rPr>
        <w:t xml:space="preserve">Ferniawan, M.F., Kusumawati, A. and Madein, A. (2024). The Influence of Earnings Per Share (EPS), Price Earnings Ratio (PER), Price to Book Value (PBV), And Debt Equity Ratio (DER) On The Stock Return. </w:t>
      </w:r>
      <w:r w:rsidDel="00000000" w:rsidR="00000000" w:rsidRPr="00000000">
        <w:rPr>
          <w:i w:val="1"/>
          <w:iCs w:val="1"/>
          <w:rtl w:val="0"/>
        </w:rPr>
        <w:t xml:space="preserve">Akrual: Jurnal Bisnis dan Akuntansi Kontemporer</w:t>
      </w:r>
      <w:r w:rsidDel="00000000" w:rsidR="00000000" w:rsidRPr="00000000">
        <w:rPr>
          <w:rtl w:val="0"/>
        </w:rPr>
        <w:t xml:space="preserve">, [online] pp.114–130. doi:https://doi.org/10.26487/akrual.v17i01.32073.</w:t>
      </w:r>
    </w:p>
    <w:p w:rsidR="00000000" w:rsidDel="00000000" w:rsidP="00000000" w:rsidRDefault="00000000" w:rsidRPr="00000000" w14:paraId="00000253">
      <w:pPr>
        <w:spacing w:after="240" w:lineRule="auto"/>
        <w:jc w:val="left"/>
        <w:rPr/>
      </w:pPr>
      <w:r w:rsidDel="00000000" w:rsidR="00000000" w:rsidRPr="00000000">
        <w:rPr>
          <w:rtl w:val="0"/>
        </w:rPr>
        <w:t xml:space="preserve">Flynn, A. and Li, Q. (2023). Determinants of Supplier Payment Times before and during the pandemic: Empirical Evidence from UK Firms. </w:t>
      </w:r>
      <w:r w:rsidDel="00000000" w:rsidR="00000000" w:rsidRPr="00000000">
        <w:rPr>
          <w:i w:val="1"/>
          <w:iCs w:val="1"/>
          <w:rtl w:val="0"/>
        </w:rPr>
        <w:t xml:space="preserve">Journal of Purchasing and Supply Management</w:t>
      </w:r>
      <w:r w:rsidDel="00000000" w:rsidR="00000000" w:rsidRPr="00000000">
        <w:rPr>
          <w:rtl w:val="0"/>
        </w:rPr>
        <w:t xml:space="preserve">, [online] 29(4), p.100850. doi:https://doi.org/10.1016/j.pursup.2023.100850.</w:t>
      </w:r>
    </w:p>
    <w:p w:rsidR="00000000" w:rsidDel="00000000" w:rsidP="00000000" w:rsidRDefault="00000000" w:rsidRPr="00000000" w14:paraId="00000254">
      <w:pPr>
        <w:spacing w:after="240" w:lineRule="auto"/>
        <w:jc w:val="left"/>
        <w:rPr/>
      </w:pPr>
      <w:r w:rsidDel="00000000" w:rsidR="00000000" w:rsidRPr="00000000">
        <w:rPr>
          <w:rtl w:val="0"/>
        </w:rPr>
        <w:t xml:space="preserve">Gan, W. and Yan, C. (2023). </w:t>
      </w:r>
      <w:r w:rsidDel="00000000" w:rsidR="00000000" w:rsidRPr="00000000">
        <w:rPr>
          <w:i w:val="1"/>
          <w:iCs w:val="1"/>
          <w:rtl w:val="0"/>
        </w:rPr>
        <w:t xml:space="preserve">Financial Analysis and Development Study of Tesco PLC</w:t>
      </w:r>
      <w:r w:rsidDel="00000000" w:rsidR="00000000" w:rsidRPr="00000000">
        <w:rPr>
          <w:rtl w:val="0"/>
        </w:rPr>
        <w:t xml:space="preserve">. [online] ResearchGate. Available at: https://www.researchgate.net/publication/370713310_Financial_Analysis_and_Development_Study_of_Tesco_PLC.</w:t>
      </w:r>
    </w:p>
    <w:p w:rsidR="00000000" w:rsidDel="00000000" w:rsidP="00000000" w:rsidRDefault="00000000" w:rsidRPr="00000000" w14:paraId="00000255">
      <w:pPr>
        <w:spacing w:after="240" w:lineRule="auto"/>
        <w:jc w:val="left"/>
        <w:rPr/>
      </w:pPr>
      <w:r w:rsidDel="00000000" w:rsidR="00000000" w:rsidRPr="00000000">
        <w:rPr>
          <w:rtl w:val="0"/>
        </w:rPr>
        <w:t xml:space="preserve">Global Management Academy (2024). </w:t>
      </w:r>
      <w:r w:rsidDel="00000000" w:rsidR="00000000" w:rsidRPr="00000000">
        <w:rPr>
          <w:i w:val="1"/>
          <w:iCs w:val="1"/>
          <w:rtl w:val="0"/>
        </w:rPr>
        <w:t xml:space="preserve">The Limitations of Ratio Analysis: A Critical View for Senior Managers - Global Management Academy</w:t>
      </w:r>
      <w:r w:rsidDel="00000000" w:rsidR="00000000" w:rsidRPr="00000000">
        <w:rPr>
          <w:rtl w:val="0"/>
        </w:rPr>
        <w:t xml:space="preserve">. [online] Global Management Academy. Available at: https://globalmanagementacademy.com/limitations-of-ratio-analysis/.</w:t>
      </w:r>
    </w:p>
    <w:p w:rsidR="00000000" w:rsidDel="00000000" w:rsidP="00000000" w:rsidRDefault="00000000" w:rsidRPr="00000000" w14:paraId="00000256">
      <w:pPr>
        <w:spacing w:after="240" w:lineRule="auto"/>
        <w:jc w:val="left"/>
        <w:rPr/>
      </w:pPr>
      <w:r w:rsidDel="00000000" w:rsidR="00000000" w:rsidRPr="00000000">
        <w:rPr>
          <w:rtl w:val="0"/>
        </w:rPr>
        <w:t xml:space="preserve">Goldenberg, J., Libai, B., Moldovan, S. and Muller, E. (2007). The NPV of bad news. </w:t>
      </w:r>
      <w:r w:rsidDel="00000000" w:rsidR="00000000" w:rsidRPr="00000000">
        <w:rPr>
          <w:i w:val="1"/>
          <w:iCs w:val="1"/>
          <w:rtl w:val="0"/>
        </w:rPr>
        <w:t xml:space="preserve">International Journal of Research in Marketing</w:t>
      </w:r>
      <w:r w:rsidDel="00000000" w:rsidR="00000000" w:rsidRPr="00000000">
        <w:rPr>
          <w:rtl w:val="0"/>
        </w:rPr>
        <w:t xml:space="preserve">, 24(3), pp.186–200. doi:https://doi.org/10.1016/j.ijresmar.2007.02.003.</w:t>
      </w:r>
    </w:p>
    <w:p w:rsidR="00000000" w:rsidDel="00000000" w:rsidP="00000000" w:rsidRDefault="00000000" w:rsidRPr="00000000" w14:paraId="00000257">
      <w:pPr>
        <w:spacing w:after="240" w:lineRule="auto"/>
        <w:jc w:val="left"/>
        <w:rPr/>
      </w:pPr>
      <w:r w:rsidDel="00000000" w:rsidR="00000000" w:rsidRPr="00000000">
        <w:rPr>
          <w:rtl w:val="0"/>
        </w:rPr>
        <w:t xml:space="preserve">Hayes, A. (2015). </w:t>
      </w:r>
      <w:r w:rsidDel="00000000" w:rsidR="00000000" w:rsidRPr="00000000">
        <w:rPr>
          <w:i w:val="1"/>
          <w:iCs w:val="1"/>
          <w:rtl w:val="0"/>
        </w:rPr>
        <w:t xml:space="preserve">Corporate finance</w:t>
      </w:r>
      <w:r w:rsidDel="00000000" w:rsidR="00000000" w:rsidRPr="00000000">
        <w:rPr>
          <w:rtl w:val="0"/>
        </w:rPr>
        <w:t xml:space="preserve">. [online] Investopedia. Available at: https://www.investopedia.com/terms/c/corporatefinance.asp.</w:t>
      </w:r>
    </w:p>
    <w:p w:rsidR="00000000" w:rsidDel="00000000" w:rsidP="00000000" w:rsidRDefault="00000000" w:rsidRPr="00000000" w14:paraId="00000258">
      <w:pPr>
        <w:spacing w:after="240" w:lineRule="auto"/>
        <w:jc w:val="left"/>
        <w:rPr/>
      </w:pPr>
      <w:r w:rsidDel="00000000" w:rsidR="00000000" w:rsidRPr="00000000">
        <w:rPr>
          <w:rtl w:val="0"/>
        </w:rPr>
        <w:t xml:space="preserve">Hayes, A. (2025). </w:t>
      </w:r>
      <w:r w:rsidDel="00000000" w:rsidR="00000000" w:rsidRPr="00000000">
        <w:rPr>
          <w:i w:val="1"/>
          <w:iCs w:val="1"/>
          <w:rtl w:val="0"/>
        </w:rPr>
        <w:t xml:space="preserve">Operating Margin: What It Is and the Formula for Calculating It, With Examples</w:t>
      </w:r>
      <w:r w:rsidDel="00000000" w:rsidR="00000000" w:rsidRPr="00000000">
        <w:rPr>
          <w:rtl w:val="0"/>
        </w:rPr>
        <w:t xml:space="preserve">. [online] Investopedia. Available at: https://www.investopedia.com/terms/o/operatingmargin.asp.</w:t>
      </w:r>
    </w:p>
    <w:p w:rsidR="00000000" w:rsidDel="00000000" w:rsidP="00000000" w:rsidRDefault="00000000" w:rsidRPr="00000000" w14:paraId="00000259">
      <w:pPr>
        <w:spacing w:after="240" w:lineRule="auto"/>
        <w:jc w:val="left"/>
        <w:rPr/>
      </w:pPr>
      <w:r w:rsidDel="00000000" w:rsidR="00000000" w:rsidRPr="00000000">
        <w:rPr>
          <w:rtl w:val="0"/>
        </w:rPr>
        <w:t xml:space="preserve">Herman, R., Nistor, C. and Jula, N.-M. (2023). The Influence of the Increase in Energy Prices on the Profitability of Companies in the European Union. </w:t>
      </w:r>
      <w:r w:rsidDel="00000000" w:rsidR="00000000" w:rsidRPr="00000000">
        <w:rPr>
          <w:i w:val="1"/>
          <w:iCs w:val="1"/>
          <w:rtl w:val="0"/>
        </w:rPr>
        <w:t xml:space="preserve">Sustainability</w:t>
      </w:r>
      <w:r w:rsidDel="00000000" w:rsidR="00000000" w:rsidRPr="00000000">
        <w:rPr>
          <w:rtl w:val="0"/>
        </w:rPr>
        <w:t xml:space="preserve">, [online] 15(21), pp.15404–15404. Available at: https://www.mdpi.com/2071-1050/15/21/15404.</w:t>
      </w:r>
    </w:p>
    <w:p w:rsidR="00000000" w:rsidDel="00000000" w:rsidP="00000000" w:rsidRDefault="00000000" w:rsidRPr="00000000" w14:paraId="0000025A">
      <w:pPr>
        <w:spacing w:after="240" w:lineRule="auto"/>
        <w:jc w:val="left"/>
        <w:rPr/>
      </w:pPr>
      <w:r w:rsidDel="00000000" w:rsidR="00000000" w:rsidRPr="00000000">
        <w:rPr>
          <w:rtl w:val="0"/>
        </w:rPr>
        <w:t xml:space="preserve">Huang, J. (2023). Comparison Between NPV and IRR: Evaluation of Investment. </w:t>
      </w:r>
      <w:r w:rsidDel="00000000" w:rsidR="00000000" w:rsidRPr="00000000">
        <w:rPr>
          <w:i w:val="1"/>
          <w:iCs w:val="1"/>
          <w:rtl w:val="0"/>
        </w:rPr>
        <w:t xml:space="preserve">BCP Business &amp; Management</w:t>
      </w:r>
      <w:r w:rsidDel="00000000" w:rsidR="00000000" w:rsidRPr="00000000">
        <w:rPr>
          <w:rtl w:val="0"/>
        </w:rPr>
        <w:t xml:space="preserve">, [online] 40, pp.149–154. doi:https://doi.org/10.54691/bcpbm.v40i.4373.</w:t>
      </w:r>
    </w:p>
    <w:p w:rsidR="00000000" w:rsidDel="00000000" w:rsidP="00000000" w:rsidRDefault="00000000" w:rsidRPr="00000000" w14:paraId="0000025B">
      <w:pPr>
        <w:spacing w:after="240" w:lineRule="auto"/>
        <w:jc w:val="left"/>
        <w:rPr/>
      </w:pPr>
      <w:r w:rsidDel="00000000" w:rsidR="00000000" w:rsidRPr="00000000">
        <w:rPr>
          <w:rtl w:val="0"/>
        </w:rPr>
        <w:t xml:space="preserve">Investing.com (2025). </w:t>
      </w:r>
      <w:r w:rsidDel="00000000" w:rsidR="00000000" w:rsidRPr="00000000">
        <w:rPr>
          <w:i w:val="1"/>
          <w:iCs w:val="1"/>
          <w:rtl w:val="0"/>
        </w:rPr>
        <w:t xml:space="preserve">Tesco PLC Historical Price Data (TSCO)</w:t>
      </w:r>
      <w:r w:rsidDel="00000000" w:rsidR="00000000" w:rsidRPr="00000000">
        <w:rPr>
          <w:rtl w:val="0"/>
        </w:rPr>
        <w:t xml:space="preserve">. [online] Investing.com. Available at: https://www.investing.com/equities/tesco-historical-data.</w:t>
      </w:r>
    </w:p>
    <w:p w:rsidR="00000000" w:rsidDel="00000000" w:rsidP="00000000" w:rsidRDefault="00000000" w:rsidRPr="00000000" w14:paraId="0000025C">
      <w:pPr>
        <w:spacing w:after="240" w:lineRule="auto"/>
        <w:jc w:val="left"/>
        <w:rPr/>
      </w:pPr>
      <w:r w:rsidDel="00000000" w:rsidR="00000000" w:rsidRPr="00000000">
        <w:rPr>
          <w:rtl w:val="0"/>
        </w:rPr>
        <w:t xml:space="preserve">Ismail, R. (2018). </w:t>
      </w:r>
      <w:r w:rsidDel="00000000" w:rsidR="00000000" w:rsidRPr="00000000">
        <w:rPr>
          <w:i w:val="1"/>
          <w:iCs w:val="1"/>
          <w:rtl w:val="0"/>
        </w:rPr>
        <w:t xml:space="preserve">An Overview of International Financial Reporting Standards (IFRS)</w:t>
      </w:r>
      <w:r w:rsidDel="00000000" w:rsidR="00000000" w:rsidRPr="00000000">
        <w:rPr>
          <w:rtl w:val="0"/>
        </w:rPr>
        <w:t xml:space="preserve">. [online] ResearchGate. Available at: https://www.researchgate.net/publication/328305250_An_Overview_of_International_Financial_Reporting_Standards_IFRS.</w:t>
      </w:r>
    </w:p>
    <w:p w:rsidR="00000000" w:rsidDel="00000000" w:rsidP="00000000" w:rsidRDefault="00000000" w:rsidRPr="00000000" w14:paraId="0000025D">
      <w:pPr>
        <w:spacing w:after="240" w:lineRule="auto"/>
        <w:jc w:val="left"/>
        <w:rPr/>
      </w:pPr>
      <w:r w:rsidDel="00000000" w:rsidR="00000000" w:rsidRPr="00000000">
        <w:rPr>
          <w:rtl w:val="0"/>
        </w:rPr>
        <w:t xml:space="preserve">Kagan, J. (2025). </w:t>
      </w:r>
      <w:r w:rsidDel="00000000" w:rsidR="00000000" w:rsidRPr="00000000">
        <w:rPr>
          <w:i w:val="1"/>
          <w:iCs w:val="1"/>
          <w:rtl w:val="0"/>
        </w:rPr>
        <w:t xml:space="preserve">Payback period: Definition, formula, and calculation</w:t>
      </w:r>
      <w:r w:rsidDel="00000000" w:rsidR="00000000" w:rsidRPr="00000000">
        <w:rPr>
          <w:rtl w:val="0"/>
        </w:rPr>
        <w:t xml:space="preserve">. [online] Investopedia. Available at: https://www.investopedia.com/terms/p/paybackperiod.asp.</w:t>
      </w:r>
    </w:p>
    <w:p w:rsidR="00000000" w:rsidDel="00000000" w:rsidP="00000000" w:rsidRDefault="00000000" w:rsidRPr="00000000" w14:paraId="0000025E">
      <w:pPr>
        <w:spacing w:after="240" w:lineRule="auto"/>
        <w:jc w:val="left"/>
        <w:rPr/>
      </w:pPr>
      <w:r w:rsidDel="00000000" w:rsidR="00000000" w:rsidRPr="00000000">
        <w:rPr>
          <w:rtl w:val="0"/>
        </w:rPr>
        <w:t xml:space="preserve">Kenton, W. (2024). </w:t>
      </w:r>
      <w:r w:rsidDel="00000000" w:rsidR="00000000" w:rsidRPr="00000000">
        <w:rPr>
          <w:i w:val="1"/>
          <w:iCs w:val="1"/>
          <w:rtl w:val="0"/>
        </w:rPr>
        <w:t xml:space="preserve">How the Gearing Ratio Works</w:t>
      </w:r>
      <w:r w:rsidDel="00000000" w:rsidR="00000000" w:rsidRPr="00000000">
        <w:rPr>
          <w:rtl w:val="0"/>
        </w:rPr>
        <w:t xml:space="preserve">. [online] Investopedia. Available at: https://www.investopedia.com/terms/g/gearingratio.asp.</w:t>
      </w:r>
    </w:p>
    <w:p w:rsidR="00000000" w:rsidDel="00000000" w:rsidP="00000000" w:rsidRDefault="00000000" w:rsidRPr="00000000" w14:paraId="0000025F">
      <w:pPr>
        <w:spacing w:after="240" w:lineRule="auto"/>
        <w:jc w:val="left"/>
        <w:rPr/>
      </w:pPr>
      <w:r w:rsidDel="00000000" w:rsidR="00000000" w:rsidRPr="00000000">
        <w:rPr>
          <w:rtl w:val="0"/>
        </w:rPr>
        <w:t xml:space="preserve">Kenton, W. (2025). </w:t>
      </w:r>
      <w:r w:rsidDel="00000000" w:rsidR="00000000" w:rsidRPr="00000000">
        <w:rPr>
          <w:i w:val="1"/>
          <w:iCs w:val="1"/>
          <w:rtl w:val="0"/>
        </w:rPr>
        <w:t xml:space="preserve">Average Collection Period Formula, How It Works, Example</w:t>
      </w:r>
      <w:r w:rsidDel="00000000" w:rsidR="00000000" w:rsidRPr="00000000">
        <w:rPr>
          <w:rtl w:val="0"/>
        </w:rPr>
        <w:t xml:space="preserve">. [online] Investopedia. Available at: https://www.investopedia.com/terms/a/average_collection_period.asp.</w:t>
      </w:r>
    </w:p>
    <w:p w:rsidR="00000000" w:rsidDel="00000000" w:rsidP="00000000" w:rsidRDefault="00000000" w:rsidRPr="00000000" w14:paraId="00000260">
      <w:pPr>
        <w:spacing w:after="240" w:lineRule="auto"/>
        <w:jc w:val="left"/>
        <w:rPr/>
      </w:pPr>
      <w:r w:rsidDel="00000000" w:rsidR="00000000" w:rsidRPr="00000000">
        <w:rPr>
          <w:rtl w:val="0"/>
        </w:rPr>
        <w:t xml:space="preserve">Le, S. (2021). </w:t>
      </w:r>
      <w:r w:rsidDel="00000000" w:rsidR="00000000" w:rsidRPr="00000000">
        <w:rPr>
          <w:i w:val="1"/>
          <w:iCs w:val="1"/>
          <w:rtl w:val="0"/>
        </w:rPr>
        <w:t xml:space="preserve">The Applications of NPV in Different Types of Markets</w:t>
      </w:r>
      <w:r w:rsidDel="00000000" w:rsidR="00000000" w:rsidRPr="00000000">
        <w:rPr>
          <w:rtl w:val="0"/>
        </w:rPr>
        <w:t xml:space="preserve">. [online] www.atlantis-press.com. doi:https://doi.org/10.2991/assehr.k.211209.171.</w:t>
      </w:r>
    </w:p>
    <w:p w:rsidR="00000000" w:rsidDel="00000000" w:rsidP="00000000" w:rsidRDefault="00000000" w:rsidRPr="00000000" w14:paraId="00000261">
      <w:pPr>
        <w:spacing w:after="240" w:lineRule="auto"/>
        <w:jc w:val="left"/>
        <w:rPr/>
      </w:pPr>
      <w:r w:rsidDel="00000000" w:rsidR="00000000" w:rsidRPr="00000000">
        <w:rPr>
          <w:rtl w:val="0"/>
        </w:rPr>
        <w:t xml:space="preserve">Lee, M. (2026). </w:t>
      </w:r>
      <w:r w:rsidDel="00000000" w:rsidR="00000000" w:rsidRPr="00000000">
        <w:rPr>
          <w:i w:val="1"/>
          <w:iCs w:val="1"/>
          <w:rtl w:val="0"/>
        </w:rPr>
        <w:t xml:space="preserve">Can a corporation deduct dividend payments before its taxes are calculated?</w:t>
      </w:r>
      <w:r w:rsidDel="00000000" w:rsidR="00000000" w:rsidRPr="00000000">
        <w:rPr>
          <w:rtl w:val="0"/>
        </w:rPr>
        <w:t xml:space="preserve"> [online] Investopedia. Available at: https://www.investopedia.com/ask/answers/06/deductdividendpayments.asp.</w:t>
      </w:r>
    </w:p>
    <w:p w:rsidR="00000000" w:rsidDel="00000000" w:rsidP="00000000" w:rsidRDefault="00000000" w:rsidRPr="00000000" w14:paraId="00000262">
      <w:pPr>
        <w:spacing w:after="240" w:lineRule="auto"/>
        <w:jc w:val="left"/>
        <w:rPr/>
      </w:pPr>
      <w:r w:rsidDel="00000000" w:rsidR="00000000" w:rsidRPr="00000000">
        <w:rPr>
          <w:rtl w:val="0"/>
        </w:rPr>
        <w:t xml:space="preserve">Lin, J., Dong, J. and Zheng, Y. (2025). Net Present Value As a Decision Tool During Investment: Evaluating the Effectiveness of Net Present Value (NPV) Against Traditional Investment Appraisal Techniques in Predicting the Financial Success of Technology Startups. </w:t>
      </w:r>
      <w:r w:rsidDel="00000000" w:rsidR="00000000" w:rsidRPr="00000000">
        <w:rPr>
          <w:i w:val="1"/>
          <w:iCs w:val="1"/>
          <w:rtl w:val="0"/>
        </w:rPr>
        <w:t xml:space="preserve">Advances in Economics, Management and Political Sciences</w:t>
      </w:r>
      <w:r w:rsidDel="00000000" w:rsidR="00000000" w:rsidRPr="00000000">
        <w:rPr>
          <w:rtl w:val="0"/>
        </w:rPr>
        <w:t xml:space="preserve">, [online] 217, pp.41–60. doi:https://doi.org/10.54254/2754-1169/2024.26903.</w:t>
      </w:r>
    </w:p>
    <w:p w:rsidR="00000000" w:rsidDel="00000000" w:rsidP="00000000" w:rsidRDefault="00000000" w:rsidRPr="00000000" w14:paraId="00000263">
      <w:pPr>
        <w:spacing w:after="240" w:lineRule="auto"/>
        <w:jc w:val="left"/>
        <w:rPr/>
      </w:pPr>
      <w:r w:rsidDel="00000000" w:rsidR="00000000" w:rsidRPr="00000000">
        <w:rPr>
          <w:rtl w:val="0"/>
        </w:rPr>
        <w:t xml:space="preserve">London Stock Exchange (2025). </w:t>
      </w:r>
      <w:r w:rsidDel="00000000" w:rsidR="00000000" w:rsidRPr="00000000">
        <w:rPr>
          <w:i w:val="1"/>
          <w:iCs w:val="1"/>
          <w:rtl w:val="0"/>
        </w:rPr>
        <w:t xml:space="preserve">TESCO PLC TSCO Stock | London Stock Exchange</w:t>
      </w:r>
      <w:r w:rsidDel="00000000" w:rsidR="00000000" w:rsidRPr="00000000">
        <w:rPr>
          <w:rtl w:val="0"/>
        </w:rPr>
        <w:t xml:space="preserve">. [online] www.londonstockexchange.com. Available at: https://www.londonstockexchange.com/stock/TSCO/tesco-plc/company-page.</w:t>
      </w:r>
    </w:p>
    <w:p w:rsidR="00000000" w:rsidDel="00000000" w:rsidP="00000000" w:rsidRDefault="00000000" w:rsidRPr="00000000" w14:paraId="00000264">
      <w:pPr>
        <w:spacing w:after="240" w:lineRule="auto"/>
        <w:jc w:val="left"/>
        <w:rPr/>
      </w:pPr>
      <w:r w:rsidDel="00000000" w:rsidR="00000000" w:rsidRPr="00000000">
        <w:rPr>
          <w:rtl w:val="0"/>
        </w:rPr>
        <w:t xml:space="preserve">Majka, M. (2024). </w:t>
      </w:r>
      <w:r w:rsidDel="00000000" w:rsidR="00000000" w:rsidRPr="00000000">
        <w:rPr>
          <w:i w:val="1"/>
          <w:iCs w:val="1"/>
          <w:rtl w:val="0"/>
        </w:rPr>
        <w:t xml:space="preserve">Understanding Efficiency Ratios</w:t>
      </w:r>
      <w:r w:rsidDel="00000000" w:rsidR="00000000" w:rsidRPr="00000000">
        <w:rPr>
          <w:rtl w:val="0"/>
        </w:rPr>
        <w:t xml:space="preserve">. [online] ResearchGate. Available at: https://www.researchgate.net/publication/381402363_Understanding_Efficiency_Ratios.</w:t>
      </w:r>
    </w:p>
    <w:p w:rsidR="00000000" w:rsidDel="00000000" w:rsidP="00000000" w:rsidRDefault="00000000" w:rsidRPr="00000000" w14:paraId="00000265">
      <w:pPr>
        <w:spacing w:after="240" w:lineRule="auto"/>
        <w:jc w:val="left"/>
        <w:rPr/>
      </w:pPr>
      <w:r w:rsidDel="00000000" w:rsidR="00000000" w:rsidRPr="00000000">
        <w:rPr>
          <w:rtl w:val="0"/>
        </w:rPr>
        <w:t xml:space="preserve">Mannawaduge, C.D., Pignata, S., Banks, S. and Dorrian, J. (2024). Evaluating fatigue management regulations for flight crew in Australia using a new Fatigue Regulation Evaluation Framework (FREF). </w:t>
      </w:r>
      <w:r w:rsidDel="00000000" w:rsidR="00000000" w:rsidRPr="00000000">
        <w:rPr>
          <w:i w:val="1"/>
          <w:iCs w:val="1"/>
          <w:rtl w:val="0"/>
        </w:rPr>
        <w:t xml:space="preserve">Transport policy</w:t>
      </w:r>
      <w:r w:rsidDel="00000000" w:rsidR="00000000" w:rsidRPr="00000000">
        <w:rPr>
          <w:rtl w:val="0"/>
        </w:rPr>
        <w:t xml:space="preserve">. doi:https://doi.org/10.1016/j.tranpol.2024.02.002.</w:t>
      </w:r>
    </w:p>
    <w:p w:rsidR="00000000" w:rsidDel="00000000" w:rsidP="00000000" w:rsidRDefault="00000000" w:rsidRPr="00000000" w14:paraId="00000266">
      <w:pPr>
        <w:spacing w:after="240" w:lineRule="auto"/>
        <w:jc w:val="left"/>
        <w:rPr/>
      </w:pPr>
      <w:r w:rsidDel="00000000" w:rsidR="00000000" w:rsidRPr="00000000">
        <w:rPr>
          <w:rtl w:val="0"/>
        </w:rPr>
        <w:t xml:space="preserve">Mordi, A.K., E Jeroh and Ebiaghan, O.F. (2025). </w:t>
      </w:r>
      <w:r w:rsidDel="00000000" w:rsidR="00000000" w:rsidRPr="00000000">
        <w:rPr>
          <w:i w:val="1"/>
          <w:iCs w:val="1"/>
          <w:rtl w:val="0"/>
        </w:rPr>
        <w:t xml:space="preserve">Financial Flexibility in R&amp;D Investment: A Study of Operating Cash Flow, Earnings before Interest and Tax and Gearing Ratio</w:t>
      </w:r>
      <w:r w:rsidDel="00000000" w:rsidR="00000000" w:rsidRPr="00000000">
        <w:rPr>
          <w:rtl w:val="0"/>
        </w:rPr>
        <w:t xml:space="preserve">. [online] doi:https://doi.org/10.5281/zenodo.15620179.</w:t>
      </w:r>
    </w:p>
    <w:p w:rsidR="00000000" w:rsidDel="00000000" w:rsidP="00000000" w:rsidRDefault="00000000" w:rsidRPr="00000000" w14:paraId="00000267">
      <w:pPr>
        <w:spacing w:after="240" w:lineRule="auto"/>
        <w:jc w:val="left"/>
        <w:rPr/>
      </w:pPr>
      <w:r w:rsidDel="00000000" w:rsidR="00000000" w:rsidRPr="00000000">
        <w:rPr>
          <w:rtl w:val="0"/>
        </w:rPr>
        <w:t xml:space="preserve">Morris, G.D. (2011). </w:t>
      </w:r>
      <w:r w:rsidDel="00000000" w:rsidR="00000000" w:rsidRPr="00000000">
        <w:rPr>
          <w:i w:val="1"/>
          <w:iCs w:val="1"/>
          <w:rtl w:val="0"/>
        </w:rPr>
        <w:t xml:space="preserve">Investment Ratio - an overview | ScienceDirect Topics</w:t>
      </w:r>
      <w:r w:rsidDel="00000000" w:rsidR="00000000" w:rsidRPr="00000000">
        <w:rPr>
          <w:rtl w:val="0"/>
        </w:rPr>
        <w:t xml:space="preserve">. [online] Sciencedirect.com. Available at: https://www.sciencedirect.com/topics/social-sciences/investment-ratio.</w:t>
      </w:r>
    </w:p>
    <w:p w:rsidR="00000000" w:rsidDel="00000000" w:rsidP="00000000" w:rsidRDefault="00000000" w:rsidRPr="00000000" w14:paraId="00000268">
      <w:pPr>
        <w:spacing w:after="240" w:lineRule="auto"/>
        <w:jc w:val="left"/>
        <w:rPr/>
      </w:pPr>
      <w:r w:rsidDel="00000000" w:rsidR="00000000" w:rsidRPr="00000000">
        <w:rPr>
          <w:rtl w:val="0"/>
        </w:rPr>
        <w:t xml:space="preserve">Nurapiah, Rukhayati, Qosim, N. and Latoki, L. (2024). The Influence of Return On Assets (ROA), Return On Equity (ROE), Return On Investment (ROI), and Earning Per Share (EPS) on Company Value in the Automotive industry and its components listed on the BE. </w:t>
      </w:r>
      <w:r w:rsidDel="00000000" w:rsidR="00000000" w:rsidRPr="00000000">
        <w:rPr>
          <w:i w:val="1"/>
          <w:iCs w:val="1"/>
          <w:rtl w:val="0"/>
        </w:rPr>
        <w:t xml:space="preserve">Jurnal Sinar Manajemen</w:t>
      </w:r>
      <w:r w:rsidDel="00000000" w:rsidR="00000000" w:rsidRPr="00000000">
        <w:rPr>
          <w:rtl w:val="0"/>
        </w:rPr>
        <w:t xml:space="preserve">, [online] 11(2), pp.114–126. doi:https://doi.org/10.56338/jsm.v11i2.5489.</w:t>
      </w:r>
    </w:p>
    <w:p w:rsidR="00000000" w:rsidDel="00000000" w:rsidP="00000000" w:rsidRDefault="00000000" w:rsidRPr="00000000" w14:paraId="00000269">
      <w:pPr>
        <w:spacing w:after="240" w:lineRule="auto"/>
        <w:jc w:val="left"/>
        <w:rPr/>
      </w:pPr>
      <w:r w:rsidDel="00000000" w:rsidR="00000000" w:rsidRPr="00000000">
        <w:rPr>
          <w:rtl w:val="0"/>
        </w:rPr>
        <w:t xml:space="preserve">Osborne, M.J. (2010). A resolution to the NPV–IRR debate? </w:t>
      </w:r>
      <w:r w:rsidDel="00000000" w:rsidR="00000000" w:rsidRPr="00000000">
        <w:rPr>
          <w:i w:val="1"/>
          <w:iCs w:val="1"/>
          <w:rtl w:val="0"/>
        </w:rPr>
        <w:t xml:space="preserve">The Quarterly Review of Economics and Finance</w:t>
      </w:r>
      <w:r w:rsidDel="00000000" w:rsidR="00000000" w:rsidRPr="00000000">
        <w:rPr>
          <w:rtl w:val="0"/>
        </w:rPr>
        <w:t xml:space="preserve">, [online] 50(2), pp.234–239. doi:https://doi.org/10.1016/j.qref.2010.01.002.</w:t>
      </w:r>
    </w:p>
    <w:p w:rsidR="00000000" w:rsidDel="00000000" w:rsidP="00000000" w:rsidRDefault="00000000" w:rsidRPr="00000000" w14:paraId="0000026A">
      <w:pPr>
        <w:spacing w:after="240" w:lineRule="auto"/>
        <w:jc w:val="left"/>
        <w:rPr/>
      </w:pPr>
      <w:r w:rsidDel="00000000" w:rsidR="00000000" w:rsidRPr="00000000">
        <w:rPr>
          <w:rtl w:val="0"/>
        </w:rPr>
        <w:t xml:space="preserve">Panigrahi, A.K. (2014). Impact of Negative Working Capital on Liquidity and Profitability: A Case Study of ACC Limited. </w:t>
      </w:r>
      <w:r w:rsidDel="00000000" w:rsidR="00000000" w:rsidRPr="00000000">
        <w:rPr>
          <w:i w:val="1"/>
          <w:iCs w:val="1"/>
          <w:rtl w:val="0"/>
        </w:rPr>
        <w:t xml:space="preserve">SSRN Electronic Journal</w:t>
      </w:r>
      <w:r w:rsidDel="00000000" w:rsidR="00000000" w:rsidRPr="00000000">
        <w:rPr>
          <w:rtl w:val="0"/>
        </w:rPr>
        <w:t xml:space="preserve">. doi:https://doi.org/10.2139/ssrn.2398413.</w:t>
      </w:r>
    </w:p>
    <w:p w:rsidR="00000000" w:rsidDel="00000000" w:rsidP="00000000" w:rsidRDefault="00000000" w:rsidRPr="00000000" w14:paraId="0000026B">
      <w:pPr>
        <w:spacing w:after="240" w:lineRule="auto"/>
        <w:jc w:val="left"/>
        <w:rPr/>
      </w:pPr>
      <w:r w:rsidDel="00000000" w:rsidR="00000000" w:rsidRPr="00000000">
        <w:rPr>
          <w:rtl w:val="0"/>
        </w:rPr>
        <w:t xml:space="preserve">Pereira, A.V., João Barroca, Dias, R.T., Varela, M. and Galvão, R.M. (2024). Methodologies for Determining the Opportunity Cost of Capital: Financing in the Selection of Investments. </w:t>
      </w:r>
      <w:r w:rsidDel="00000000" w:rsidR="00000000" w:rsidRPr="00000000">
        <w:rPr>
          <w:i w:val="1"/>
          <w:iCs w:val="1"/>
          <w:rtl w:val="0"/>
        </w:rPr>
        <w:t xml:space="preserve">Revista de Gestão Ambiental e Sustentabilidade</w:t>
      </w:r>
      <w:r w:rsidDel="00000000" w:rsidR="00000000" w:rsidRPr="00000000">
        <w:rPr>
          <w:rtl w:val="0"/>
        </w:rPr>
        <w:t xml:space="preserve">, [online] 18(6). doi:https://doi.org/10.24857/rgsa.v18n6-185.</w:t>
      </w:r>
    </w:p>
    <w:p w:rsidR="00000000" w:rsidDel="00000000" w:rsidP="00000000" w:rsidRDefault="00000000" w:rsidRPr="00000000" w14:paraId="0000026C">
      <w:pPr>
        <w:spacing w:after="240" w:lineRule="auto"/>
        <w:jc w:val="left"/>
        <w:rPr/>
      </w:pPr>
      <w:r w:rsidDel="00000000" w:rsidR="00000000" w:rsidRPr="00000000">
        <w:rPr>
          <w:rtl w:val="0"/>
        </w:rPr>
        <w:t xml:space="preserve">Pinkasovitch, A. (2024). </w:t>
      </w:r>
      <w:r w:rsidDel="00000000" w:rsidR="00000000" w:rsidRPr="00000000">
        <w:rPr>
          <w:i w:val="1"/>
          <w:iCs w:val="1"/>
          <w:rtl w:val="0"/>
        </w:rPr>
        <w:t xml:space="preserve">Capital Budgeting: What It Is and How It Works</w:t>
      </w:r>
      <w:r w:rsidDel="00000000" w:rsidR="00000000" w:rsidRPr="00000000">
        <w:rPr>
          <w:rtl w:val="0"/>
        </w:rPr>
        <w:t xml:space="preserve">. [online] Investopedia. Available at: https://www.investopedia.com/articles/financial-theory/11/corporate-project-valuation-methods.asp.</w:t>
      </w:r>
    </w:p>
    <w:p w:rsidR="00000000" w:rsidDel="00000000" w:rsidP="00000000" w:rsidRDefault="00000000" w:rsidRPr="00000000" w14:paraId="0000026D">
      <w:pPr>
        <w:spacing w:after="240" w:lineRule="auto"/>
        <w:jc w:val="left"/>
        <w:rPr/>
      </w:pPr>
      <w:r w:rsidDel="00000000" w:rsidR="00000000" w:rsidRPr="00000000">
        <w:rPr>
          <w:rtl w:val="0"/>
        </w:rPr>
        <w:t xml:space="preserve">Powell, S. (2023). </w:t>
      </w:r>
      <w:r w:rsidDel="00000000" w:rsidR="00000000" w:rsidRPr="00000000">
        <w:rPr>
          <w:i w:val="1"/>
          <w:iCs w:val="1"/>
          <w:rtl w:val="0"/>
        </w:rPr>
        <w:t xml:space="preserve">Corporate finance overview</w:t>
      </w:r>
      <w:r w:rsidDel="00000000" w:rsidR="00000000" w:rsidRPr="00000000">
        <w:rPr>
          <w:rtl w:val="0"/>
        </w:rPr>
        <w:t xml:space="preserve">. [online] Corporate Finance Institute. Available at: https://corporatefinanceinstitute.com/resources/fpa/corporate-finance-industry/.</w:t>
      </w:r>
    </w:p>
    <w:p w:rsidR="00000000" w:rsidDel="00000000" w:rsidP="00000000" w:rsidRDefault="00000000" w:rsidRPr="00000000" w14:paraId="0000026E">
      <w:pPr>
        <w:spacing w:after="240" w:lineRule="auto"/>
        <w:jc w:val="left"/>
        <w:rPr/>
      </w:pPr>
      <w:r w:rsidDel="00000000" w:rsidR="00000000" w:rsidRPr="00000000">
        <w:rPr>
          <w:rtl w:val="0"/>
        </w:rPr>
        <w:t xml:space="preserve">Sari, R. (2021). Analysis of the Effect of Earnings per share, Price earning ratio and Price to book value on the stock prices of state-owned enterprises. </w:t>
      </w:r>
      <w:r w:rsidDel="00000000" w:rsidR="00000000" w:rsidRPr="00000000">
        <w:rPr>
          <w:i w:val="1"/>
          <w:iCs w:val="1"/>
          <w:rtl w:val="0"/>
        </w:rPr>
        <w:t xml:space="preserve">Golden Ratio of Finance Management</w:t>
      </w:r>
      <w:r w:rsidDel="00000000" w:rsidR="00000000" w:rsidRPr="00000000">
        <w:rPr>
          <w:rtl w:val="0"/>
        </w:rPr>
        <w:t xml:space="preserve">, 1(1), pp.25–32. doi:https://doi.org/10.52970/grfm.v1i1.117.</w:t>
      </w:r>
    </w:p>
    <w:p w:rsidR="00000000" w:rsidDel="00000000" w:rsidP="00000000" w:rsidRDefault="00000000" w:rsidRPr="00000000" w14:paraId="0000026F">
      <w:pPr>
        <w:spacing w:after="240" w:lineRule="auto"/>
        <w:jc w:val="left"/>
        <w:rPr/>
      </w:pPr>
      <w:r w:rsidDel="00000000" w:rsidR="00000000" w:rsidRPr="00000000">
        <w:rPr>
          <w:rtl w:val="0"/>
        </w:rPr>
        <w:t xml:space="preserve">Sharma, P. (2025). Capital Budgeting Techniques: Learn the Methods Businesses Use to Evaluate Potential Investments. </w:t>
      </w:r>
      <w:r w:rsidDel="00000000" w:rsidR="00000000" w:rsidRPr="00000000">
        <w:rPr>
          <w:i w:val="1"/>
          <w:iCs w:val="1"/>
          <w:rtl w:val="0"/>
        </w:rPr>
        <w:t xml:space="preserve">Advances in consumer research. Association for Consumer Research (U.S.)</w:t>
      </w:r>
      <w:r w:rsidDel="00000000" w:rsidR="00000000" w:rsidRPr="00000000">
        <w:rPr>
          <w:rtl w:val="0"/>
        </w:rPr>
        <w:t xml:space="preserve">, [online] 2(2), pp.519–530. Available at: https://www.researchgate.net/publication/390371106_Capital_Budgeting_Techniques_Learn_the_Methods_Businesses_Use_to_Evaluate_Potential_Investments.</w:t>
      </w:r>
    </w:p>
    <w:p w:rsidR="00000000" w:rsidDel="00000000" w:rsidP="00000000" w:rsidRDefault="00000000" w:rsidRPr="00000000" w14:paraId="00000270">
      <w:pPr>
        <w:spacing w:after="240" w:lineRule="auto"/>
        <w:jc w:val="left"/>
        <w:rPr/>
      </w:pPr>
      <w:r w:rsidDel="00000000" w:rsidR="00000000" w:rsidRPr="00000000">
        <w:rPr>
          <w:rtl w:val="0"/>
        </w:rPr>
        <w:t xml:space="preserve">Tesco PLC (2025). </w:t>
      </w:r>
      <w:r w:rsidDel="00000000" w:rsidR="00000000" w:rsidRPr="00000000">
        <w:rPr>
          <w:i w:val="1"/>
          <w:iCs w:val="1"/>
          <w:rtl w:val="0"/>
        </w:rPr>
        <w:t xml:space="preserve">Annual Report 2025</w:t>
      </w:r>
      <w:r w:rsidDel="00000000" w:rsidR="00000000" w:rsidRPr="00000000">
        <w:rPr>
          <w:rtl w:val="0"/>
        </w:rPr>
        <w:t xml:space="preserve">. [online] Tescoplc.com. Available at: https://www.tescoplc.com/investors/reports-results-and-presentations/annual-report-2025.</w:t>
      </w:r>
    </w:p>
    <w:p w:rsidR="00000000" w:rsidDel="00000000" w:rsidP="00000000" w:rsidRDefault="00000000" w:rsidRPr="00000000" w14:paraId="00000271">
      <w:pPr>
        <w:spacing w:after="240" w:lineRule="auto"/>
        <w:jc w:val="left"/>
        <w:rPr/>
      </w:pPr>
      <w:r w:rsidDel="00000000" w:rsidR="00000000" w:rsidRPr="00000000">
        <w:rPr>
          <w:rtl w:val="0"/>
        </w:rPr>
        <w:t xml:space="preserve">Vikas Shrotriya (2019). </w:t>
      </w:r>
      <w:r w:rsidDel="00000000" w:rsidR="00000000" w:rsidRPr="00000000">
        <w:rPr>
          <w:i w:val="1"/>
          <w:iCs w:val="1"/>
          <w:rtl w:val="0"/>
        </w:rPr>
        <w:t xml:space="preserve">Analysis of Assets Turnover Ratios of National Fertilizers Limited Subject: Management (Management Accounting)</w:t>
      </w:r>
      <w:r w:rsidDel="00000000" w:rsidR="00000000" w:rsidRPr="00000000">
        <w:rPr>
          <w:rtl w:val="0"/>
        </w:rPr>
        <w:t xml:space="preserve">. [online] Available at: https://www.researchgate.net/publication/337465120_Analysis_of_Assets_Turnover_Ratios_of_National_Fertilizers_Limited_Subject_Management_Management_Accounting.</w:t>
      </w:r>
    </w:p>
    <w:p w:rsidR="00000000" w:rsidDel="00000000" w:rsidP="00000000" w:rsidRDefault="00000000" w:rsidRPr="00000000" w14:paraId="00000272">
      <w:pPr>
        <w:spacing w:after="240" w:lineRule="auto"/>
        <w:jc w:val="left"/>
        <w:rPr/>
      </w:pPr>
      <w:r w:rsidDel="00000000" w:rsidR="00000000" w:rsidRPr="00000000">
        <w:rPr>
          <w:rtl w:val="0"/>
        </w:rPr>
        <w:t xml:space="preserve">Vipond, T. (2024). </w:t>
      </w:r>
      <w:r w:rsidDel="00000000" w:rsidR="00000000" w:rsidRPr="00000000">
        <w:rPr>
          <w:i w:val="1"/>
          <w:iCs w:val="1"/>
          <w:rtl w:val="0"/>
        </w:rPr>
        <w:t xml:space="preserve">Profitability Ratios</w:t>
      </w:r>
      <w:r w:rsidDel="00000000" w:rsidR="00000000" w:rsidRPr="00000000">
        <w:rPr>
          <w:rtl w:val="0"/>
        </w:rPr>
        <w:t xml:space="preserve">. [online] Corporate Finance Institute. Available at: https://corporatefinanceinstitute.com/resources/accounting/profitability-ratios/.</w:t>
      </w:r>
    </w:p>
    <w:p w:rsidR="00000000" w:rsidDel="00000000" w:rsidP="00000000" w:rsidRDefault="00000000" w:rsidRPr="00000000" w14:paraId="00000273">
      <w:pPr>
        <w:spacing w:after="240" w:lineRule="auto"/>
        <w:jc w:val="left"/>
        <w:rPr/>
      </w:pPr>
      <w:r w:rsidDel="00000000" w:rsidR="00000000" w:rsidRPr="00000000">
        <w:rPr>
          <w:rtl w:val="0"/>
        </w:rPr>
        <w:t xml:space="preserve">Ye, S. and Tiong, R.L.K. (2000). NPV-at-Risk Method in Infrastructure Project Investment Evaluation. </w:t>
      </w:r>
      <w:r w:rsidDel="00000000" w:rsidR="00000000" w:rsidRPr="00000000">
        <w:rPr>
          <w:i w:val="1"/>
          <w:iCs w:val="1"/>
          <w:rtl w:val="0"/>
        </w:rPr>
        <w:t xml:space="preserve">Journal of Construction Engineering and Management</w:t>
      </w:r>
      <w:r w:rsidDel="00000000" w:rsidR="00000000" w:rsidRPr="00000000">
        <w:rPr>
          <w:rtl w:val="0"/>
        </w:rPr>
        <w:t xml:space="preserve">, 126(3), pp.227–233. doi:https://doi.org/10.1061/(asce)0733-9364(2000)126:3(227).</w:t>
      </w:r>
    </w:p>
    <w:p w:rsidR="00000000" w:rsidDel="00000000" w:rsidP="00000000" w:rsidRDefault="00000000" w:rsidRPr="00000000" w14:paraId="00000274">
      <w:pPr>
        <w:pStyle w:val="Heading1"/>
        <w:rPr/>
      </w:pPr>
      <w:r w:rsidDel="00000000" w:rsidR="00000000" w:rsidRPr="00000000">
        <w:br w:type="page"/>
      </w:r>
      <w:r w:rsidDel="00000000" w:rsidR="00000000" w:rsidRPr="00000000">
        <w:rPr>
          <w:rtl w:val="0"/>
        </w:rPr>
      </w:r>
    </w:p>
    <w:p w:rsidR="00000000" w:rsidDel="00000000" w:rsidP="00000000" w:rsidRDefault="00000000" w:rsidRPr="00000000" w14:paraId="00000275">
      <w:pPr>
        <w:pStyle w:val="Heading1"/>
        <w:rPr/>
      </w:pPr>
      <w:bookmarkStart w:colFirst="0" w:colLast="0" w:name="_y0fprberwe98" w:id="22"/>
      <w:bookmarkEnd w:id="22"/>
      <w:r w:rsidDel="00000000" w:rsidR="00000000" w:rsidRPr="00000000">
        <w:rPr>
          <w:rtl w:val="0"/>
        </w:rPr>
        <w:t xml:space="preserve">Appendices</w:t>
      </w:r>
    </w:p>
    <w:p w:rsidR="00000000" w:rsidDel="00000000" w:rsidP="00000000" w:rsidRDefault="00000000" w:rsidRPr="00000000" w14:paraId="00000276">
      <w:pPr>
        <w:pStyle w:val="Heading2"/>
        <w:rPr/>
      </w:pPr>
      <w:bookmarkStart w:colFirst="0" w:colLast="0" w:name="_56k9ra7hdxqb" w:id="23"/>
      <w:bookmarkEnd w:id="23"/>
      <w:r w:rsidDel="00000000" w:rsidR="00000000" w:rsidRPr="00000000">
        <w:rPr>
          <w:rtl w:val="0"/>
        </w:rPr>
        <w:t xml:space="preserve">Income Statement </w:t>
      </w:r>
    </w:p>
    <w:p w:rsidR="00000000" w:rsidDel="00000000" w:rsidP="00000000" w:rsidRDefault="00000000" w:rsidRPr="00000000" w14:paraId="00000277">
      <w:pPr>
        <w:rPr/>
      </w:pPr>
      <w:r w:rsidDel="00000000" w:rsidR="00000000" w:rsidRPr="00000000">
        <w:rPr/>
        <w:drawing>
          <wp:inline distB="0" distT="0" distL="0" distR="0">
            <wp:extent cx="5731510" cy="3909060"/>
            <wp:effectExtent b="0" l="0" r="0" t="0"/>
            <wp:docPr id="7"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5731510" cy="3909060"/>
                    </a:xfrm>
                    <a:prstGeom prst="rect"/>
                    <a:ln/>
                  </pic:spPr>
                </pic:pic>
              </a:graphicData>
            </a:graphic>
          </wp:inline>
        </w:drawing>
      </w:r>
      <w:r w:rsidDel="00000000" w:rsidR="00000000" w:rsidRPr="00000000">
        <w:rPr>
          <w:rtl w:val="0"/>
        </w:rPr>
      </w:r>
    </w:p>
    <w:p w:rsidR="00000000" w:rsidDel="00000000" w:rsidP="00000000" w:rsidRDefault="00000000" w:rsidRPr="00000000" w14:paraId="00000278">
      <w:pPr>
        <w:spacing w:line="259" w:lineRule="auto"/>
        <w:jc w:val="left"/>
        <w:rPr>
          <w:rFonts w:ascii="Play" w:cs="Play" w:eastAsia="Play" w:hAnsi="Play"/>
          <w:b w:val="1"/>
          <w:bCs w:val="1"/>
          <w:color w:val="0f4761"/>
          <w:sz w:val="27"/>
          <w:szCs w:val="27"/>
        </w:rPr>
      </w:pPr>
      <w:r w:rsidDel="00000000" w:rsidR="00000000" w:rsidRPr="00000000">
        <w:br w:type="page"/>
      </w:r>
      <w:r w:rsidDel="00000000" w:rsidR="00000000" w:rsidRPr="00000000">
        <w:rPr>
          <w:rtl w:val="0"/>
        </w:rPr>
      </w:r>
    </w:p>
    <w:p w:rsidR="00000000" w:rsidDel="00000000" w:rsidP="00000000" w:rsidRDefault="00000000" w:rsidRPr="00000000" w14:paraId="00000279">
      <w:pPr>
        <w:pStyle w:val="Heading2"/>
        <w:rPr/>
      </w:pPr>
      <w:bookmarkStart w:colFirst="0" w:colLast="0" w:name="_ugyyr4sb1noq" w:id="24"/>
      <w:bookmarkEnd w:id="24"/>
      <w:r w:rsidDel="00000000" w:rsidR="00000000" w:rsidRPr="00000000">
        <w:rPr>
          <w:rtl w:val="0"/>
        </w:rPr>
        <w:t xml:space="preserve">Balance Sheet</w:t>
      </w:r>
    </w:p>
    <w:p w:rsidR="00000000" w:rsidDel="00000000" w:rsidP="00000000" w:rsidRDefault="00000000" w:rsidRPr="00000000" w14:paraId="0000027A">
      <w:pPr>
        <w:rPr/>
      </w:pPr>
      <w:r w:rsidDel="00000000" w:rsidR="00000000" w:rsidRPr="00000000">
        <w:rPr/>
        <w:drawing>
          <wp:inline distB="0" distT="0" distL="0" distR="0">
            <wp:extent cx="5731510" cy="3433445"/>
            <wp:effectExtent b="0" l="0" r="0" t="0"/>
            <wp:docPr id="8"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5731510" cy="3433445"/>
                    </a:xfrm>
                    <a:prstGeom prst="rect"/>
                    <a:ln/>
                  </pic:spPr>
                </pic:pic>
              </a:graphicData>
            </a:graphic>
          </wp:inline>
        </w:drawing>
      </w:r>
      <w:r w:rsidDel="00000000" w:rsidR="00000000" w:rsidRPr="00000000">
        <w:rPr>
          <w:rtl w:val="0"/>
        </w:rPr>
      </w:r>
    </w:p>
    <w:p w:rsidR="00000000" w:rsidDel="00000000" w:rsidP="00000000" w:rsidRDefault="00000000" w:rsidRPr="00000000" w14:paraId="0000027B">
      <w:pPr>
        <w:rPr/>
      </w:pPr>
      <w:r w:rsidDel="00000000" w:rsidR="00000000" w:rsidRPr="00000000">
        <w:rPr>
          <w:rtl w:val="0"/>
        </w:rPr>
      </w:r>
    </w:p>
    <w:sectPr>
      <w:footerReference r:id="rId14"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Play"/>
  <w:font w:name="Aptos"/>
  <w:font w:name="Times New Roman"/>
  <w:font w:name="Cambria Math"/>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7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7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3"/>
      <w:numFmt w:val="decimal"/>
      <w:lvlText w:val="%1.%2"/>
      <w:lvlJc w:val="left"/>
      <w:pPr>
        <w:ind w:left="732" w:hanging="372"/>
      </w:pPr>
      <w:rPr/>
    </w:lvl>
    <w:lvl w:ilvl="2">
      <w:start w:val="1"/>
      <w:numFmt w:val="decimal"/>
      <w:lvlText w:val="%1.%2.%3"/>
      <w:lvlJc w:val="left"/>
      <w:pPr>
        <w:ind w:left="1080" w:hanging="720"/>
      </w:pPr>
      <w:rPr/>
    </w:lvl>
    <w:lvl w:ilvl="3">
      <w:start w:val="1"/>
      <w:numFmt w:val="decimal"/>
      <w:lvlText w:val="%1.%2.%3.%4"/>
      <w:lvlJc w:val="left"/>
      <w:pPr>
        <w:ind w:left="1080" w:hanging="720"/>
      </w:pPr>
      <w:rPr/>
    </w:lvl>
    <w:lvl w:ilvl="4">
      <w:start w:val="1"/>
      <w:numFmt w:val="decimal"/>
      <w:lvlText w:val="%1.%2.%3.%4.%5"/>
      <w:lvlJc w:val="left"/>
      <w:pPr>
        <w:ind w:left="1440" w:hanging="1080"/>
      </w:pPr>
      <w:rPr/>
    </w:lvl>
    <w:lvl w:ilvl="5">
      <w:start w:val="1"/>
      <w:numFmt w:val="decimal"/>
      <w:lvlText w:val="%1.%2.%3.%4.%5.%6"/>
      <w:lvlJc w:val="left"/>
      <w:pPr>
        <w:ind w:left="1440" w:hanging="1080"/>
      </w:pPr>
      <w:rPr/>
    </w:lvl>
    <w:lvl w:ilvl="6">
      <w:start w:val="1"/>
      <w:numFmt w:val="decimal"/>
      <w:lvlText w:val="%1.%2.%3.%4.%5.%6.%7"/>
      <w:lvlJc w:val="left"/>
      <w:pPr>
        <w:ind w:left="1800" w:hanging="1440"/>
      </w:pPr>
      <w:rPr/>
    </w:lvl>
    <w:lvl w:ilvl="7">
      <w:start w:val="1"/>
      <w:numFmt w:val="decimal"/>
      <w:lvlText w:val="%1.%2.%3.%4.%5.%6.%7.%8"/>
      <w:lvlJc w:val="left"/>
      <w:pPr>
        <w:ind w:left="1800" w:hanging="1440"/>
      </w:pPr>
      <w:rPr/>
    </w:lvl>
    <w:lvl w:ilvl="8">
      <w:start w:val="1"/>
      <w:numFmt w:val="decimal"/>
      <w:lvlText w:val="%1.%2.%3.%4.%5.%6.%7.%8.%9"/>
      <w:lvlJc w:val="left"/>
      <w:pPr>
        <w:ind w:left="2160" w:hanging="1800"/>
      </w:pPr>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9"/>
      <w:numFmt w:val="decimal"/>
      <w:lvlText w:val="%2."/>
      <w:lvlJc w:val="left"/>
      <w:pPr>
        <w:ind w:left="1440" w:hanging="360"/>
      </w:pPr>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7"/>
      <w:numFmt w:val="decimal"/>
      <w:lvlText w:val="%2."/>
      <w:lvlJc w:val="left"/>
      <w:pPr>
        <w:ind w:left="1440" w:hanging="360"/>
      </w:pPr>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Cambria" w:cs="Cambria" w:eastAsia="Cambria" w:hAnsi="Cambria"/>
      <w:b w:val="1"/>
      <w:bCs w:val="1"/>
      <w:color w:val="0f4761"/>
      <w:sz w:val="28"/>
      <w:szCs w:val="28"/>
    </w:rPr>
  </w:style>
  <w:style w:type="paragraph" w:styleId="Heading2">
    <w:name w:val="heading 2"/>
    <w:basedOn w:val="Normal"/>
    <w:next w:val="Normal"/>
    <w:pPr>
      <w:keepNext w:val="1"/>
      <w:keepLines w:val="1"/>
      <w:spacing w:after="80" w:before="160" w:lineRule="auto"/>
    </w:pPr>
    <w:rPr>
      <w:rFonts w:ascii="Play" w:cs="Play" w:eastAsia="Play" w:hAnsi="Play"/>
      <w:b w:val="1"/>
      <w:bCs w:val="1"/>
      <w:color w:val="0f4761"/>
      <w:sz w:val="27"/>
      <w:szCs w:val="27"/>
    </w:rPr>
  </w:style>
  <w:style w:type="paragraph" w:styleId="Heading3">
    <w:name w:val="heading 3"/>
    <w:basedOn w:val="Normal"/>
    <w:next w:val="Normal"/>
    <w:pPr>
      <w:keepNext w:val="1"/>
      <w:keepLines w:val="1"/>
      <w:spacing w:after="80" w:before="160" w:lineRule="auto"/>
    </w:pPr>
    <w:rPr>
      <w:rFonts w:ascii="Aptos" w:cs="Aptos" w:eastAsia="Aptos" w:hAnsi="Aptos"/>
      <w:b w:val="1"/>
      <w:bCs w:val="1"/>
      <w:color w:val="0f4761"/>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rFonts w:ascii="Aptos" w:cs="Aptos" w:eastAsia="Aptos" w:hAnsi="Aptos"/>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firstCol">
      <w:rPr>
        <w:b w:val="1"/>
        <w:bCs w:val="1"/>
      </w:rPr>
    </w:tblStylePr>
    <w:tblStylePr w:type="firstRow">
      <w:rPr>
        <w:b w:val="1"/>
        <w:bCs w:val="1"/>
      </w:rPr>
      <w:tcPr>
        <w:tcBorders>
          <w:bottom w:color="666666" w:space="0" w:sz="12" w:val="single"/>
        </w:tcBorders>
      </w:tcPr>
    </w:tblStylePr>
    <w:tblStylePr w:type="lastCol">
      <w:rPr>
        <w:b w:val="1"/>
        <w:bCs w:val="1"/>
      </w:rPr>
    </w:tblStylePr>
    <w:tblStylePr w:type="lastRow">
      <w:rPr>
        <w:b w:val="1"/>
        <w:bCs w:val="1"/>
      </w:rPr>
      <w:tcPr>
        <w:tcBorders>
          <w:top w:color="666666" w:space="0" w:sz="4" w:val="single"/>
        </w:tcBorders>
      </w:tcPr>
    </w:tblStyle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tblStylePr w:type="firstCol">
      <w:rPr>
        <w:b w:val="1"/>
        <w:bCs w:val="1"/>
      </w:rPr>
    </w:tblStylePr>
    <w:tblStylePr w:type="firstRow">
      <w:rPr>
        <w:b w:val="1"/>
        <w:bCs w:val="1"/>
      </w:rPr>
      <w:tcPr>
        <w:tcBorders>
          <w:bottom w:color="666666" w:space="0" w:sz="12" w:val="single"/>
        </w:tcBorders>
      </w:tcPr>
    </w:tblStylePr>
    <w:tblStylePr w:type="lastCol">
      <w:rPr>
        <w:b w:val="1"/>
        <w:bCs w:val="1"/>
      </w:rPr>
    </w:tblStylePr>
    <w:tblStylePr w:type="lastRow">
      <w:rPr>
        <w:b w:val="1"/>
        <w:bCs w:val="1"/>
      </w:rPr>
      <w:tcPr>
        <w:tcBorders>
          <w:top w:color="666666" w:space="0" w:sz="4" w:val="single"/>
        </w:tcBorders>
      </w:tcPr>
    </w:tblStyle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tblStylePr w:type="firstCol">
      <w:rPr>
        <w:b w:val="1"/>
        <w:bCs w:val="1"/>
      </w:rPr>
    </w:tblStylePr>
    <w:tblStylePr w:type="firstRow">
      <w:rPr>
        <w:b w:val="1"/>
        <w:bCs w:val="1"/>
      </w:rPr>
      <w:tcPr>
        <w:tcBorders>
          <w:bottom w:color="666666" w:space="0" w:sz="12" w:val="single"/>
        </w:tcBorders>
      </w:tcPr>
    </w:tblStylePr>
    <w:tblStylePr w:type="lastCol">
      <w:rPr>
        <w:b w:val="1"/>
        <w:bCs w:val="1"/>
      </w:rPr>
    </w:tblStylePr>
    <w:tblStylePr w:type="lastRow">
      <w:rPr>
        <w:b w:val="1"/>
        <w:bCs w:val="1"/>
      </w:rPr>
      <w:tcPr>
        <w:tcBorders>
          <w:top w:color="666666" w:space="0" w:sz="4" w:val="single"/>
        </w:tcBorders>
      </w:tcPr>
    </w:tblStyle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tblStylePr w:type="firstCol">
      <w:rPr>
        <w:b w:val="1"/>
        <w:bCs w:val="1"/>
      </w:rPr>
    </w:tblStylePr>
    <w:tblStylePr w:type="firstRow">
      <w:rPr>
        <w:b w:val="1"/>
        <w:bCs w:val="1"/>
      </w:rPr>
      <w:tcPr>
        <w:tcBorders>
          <w:bottom w:color="666666" w:space="0" w:sz="12" w:val="single"/>
        </w:tcBorders>
      </w:tcPr>
    </w:tblStylePr>
    <w:tblStylePr w:type="lastCol">
      <w:rPr>
        <w:b w:val="1"/>
        <w:bCs w:val="1"/>
      </w:rPr>
    </w:tblStylePr>
    <w:tblStylePr w:type="lastRow">
      <w:rPr>
        <w:b w:val="1"/>
        <w:bCs w:val="1"/>
      </w:rPr>
      <w:tcPr>
        <w:tcBorders>
          <w:top w:color="666666" w:space="0" w:sz="4" w:val="single"/>
        </w:tcBorders>
      </w:tcPr>
    </w:tblStyle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tblStylePr w:type="firstCol">
      <w:rPr>
        <w:b w:val="1"/>
        <w:bCs w:val="1"/>
      </w:rPr>
    </w:tblStylePr>
    <w:tblStylePr w:type="firstRow">
      <w:rPr>
        <w:b w:val="1"/>
        <w:bCs w:val="1"/>
      </w:rPr>
      <w:tcPr>
        <w:tcBorders>
          <w:bottom w:color="666666" w:space="0" w:sz="12" w:val="single"/>
        </w:tcBorders>
      </w:tcPr>
    </w:tblStylePr>
    <w:tblStylePr w:type="lastCol">
      <w:rPr>
        <w:b w:val="1"/>
        <w:bCs w:val="1"/>
      </w:rPr>
    </w:tblStylePr>
    <w:tblStylePr w:type="lastRow">
      <w:rPr>
        <w:b w:val="1"/>
        <w:bCs w:val="1"/>
      </w:rPr>
      <w:tcPr>
        <w:tcBorders>
          <w:top w:color="666666" w:space="0" w:sz="4" w:val="single"/>
        </w:tcBorders>
      </w:tcPr>
    </w:tblStyle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10">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1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1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13">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 w:type="table" w:styleId="Table14">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caedfb" w:val="clear"/>
      </w:tcPr>
    </w:tblStylePr>
    <w:tblStylePr w:type="band1Vert">
      <w:tcPr>
        <w:shd w:fill="caedfb" w:val="clear"/>
      </w:tcPr>
    </w:tblStylePr>
    <w:tblStylePr w:type="firstCol">
      <w:rPr>
        <w:b w:val="1"/>
        <w:bCs w:val="1"/>
      </w:rPr>
    </w:tblStylePr>
    <w:tblStylePr w:type="firstRow">
      <w:rPr>
        <w:b w:val="1"/>
        <w:bCs w:val="1"/>
        <w:color w:val="ffffff"/>
      </w:rPr>
      <w:tcPr>
        <w:tcBorders>
          <w:top w:color="0f9ed5" w:space="0" w:sz="4" w:val="single"/>
          <w:left w:color="0f9ed5" w:space="0" w:sz="4" w:val="single"/>
          <w:bottom w:color="0f9ed5" w:space="0" w:sz="4" w:val="single"/>
          <w:right w:color="0f9ed5" w:space="0" w:sz="4" w:val="single"/>
          <w:insideH w:color="000000" w:space="0" w:sz="0" w:val="nil"/>
          <w:insideV w:color="000000" w:space="0" w:sz="0" w:val="nil"/>
        </w:tcBorders>
        <w:shd w:fill="0f9ed5" w:val="clear"/>
      </w:tcPr>
    </w:tblStylePr>
    <w:tblStylePr w:type="lastCol">
      <w:rPr>
        <w:b w:val="1"/>
        <w:bCs w:val="1"/>
      </w:rPr>
    </w:tblStylePr>
    <w:tblStylePr w:type="lastRow">
      <w:rPr>
        <w:b w:val="1"/>
        <w:bCs w:val="1"/>
      </w:rPr>
      <w:tcPr>
        <w:tcBorders>
          <w:top w:color="0f9ed5" w:space="0" w:sz="4" w:val="single"/>
        </w:tcBorders>
      </w:tcPr>
    </w:tblStylePr>
  </w:style>
</w:styles>
</file>

<file path=word/_rels/document.xml.rels><?xml version="1.0" encoding="UTF-8" standalone="yes"?><Relationships xmlns="http://schemas.openxmlformats.org/package/2006/relationships"><Relationship Id="rId11" Type="http://schemas.openxmlformats.org/officeDocument/2006/relationships/chart" Target="charts/chart5.xml"/><Relationship Id="rId10" Type="http://schemas.openxmlformats.org/officeDocument/2006/relationships/chart" Target="charts/chart3.xml"/><Relationship Id="rId13" Type="http://schemas.openxmlformats.org/officeDocument/2006/relationships/image" Target="media/image3.png"/><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chart" Target="charts/chart4.xm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chart" Target="charts/chart2.xml"/><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D:\Experts%20Hub\2026\January\BMMB7005D\Tesco%20PLC\BMMB7005D-Tesco%20PLC.xlsx"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D:\Experts%20Hub\2026\January\BMMB7005D\Tesco%20PLC\BMMB7005D-Tesco%20PLC.xlsx"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file:///D:\Experts%20Hub\2026\January\BMMB7005D\Tesco%20PLC\BMMB7005D-Tesco%20PLC.xlsx"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file:///D:\Experts%20Hub\2026\January\BMMB7005D\Tesco%20PLC\BMMB7005D-Tesco%20PLC.xlsx"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file:///D:\Experts%20Hub\2026\January\BMMB7005D\Tesco%20PLC\BMMB7005D-Tesco%20PLC.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Liquidity Ratios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'Ratio Calculation'!$H$14</c:f>
              <c:strCache>
                <c:ptCount val="1"/>
                <c:pt idx="0">
                  <c:v>Current Ratio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'Ratio Calculation'!$I$13:$J$13</c:f>
              <c:numCache>
                <c:formatCode>General</c:formatCode>
                <c:ptCount val="2"/>
                <c:pt idx="0">
                  <c:v>2025</c:v>
                </c:pt>
                <c:pt idx="1">
                  <c:v>2024</c:v>
                </c:pt>
              </c:numCache>
            </c:numRef>
          </c:cat>
          <c:val>
            <c:numRef>
              <c:f>'Ratio Calculation'!$I$14:$J$14</c:f>
              <c:numCache>
                <c:formatCode>0.00</c:formatCode>
                <c:ptCount val="2"/>
                <c:pt idx="0">
                  <c:v>0.637192474674385</c:v>
                </c:pt>
                <c:pt idx="1">
                  <c:v>0.10171388867443835</c:v>
                </c:pt>
              </c:numCache>
            </c:numRef>
          </c:val>
          <c:extLst>
            <c:ext xmlns:c16="http://schemas.microsoft.com/office/drawing/2014/chart" uri="{C3380CC4-5D6E-409C-BE32-E72D297353CC}">
              <c16:uniqueId val="{00000000-B440-45A6-856B-6568CBD53E6A}"/>
            </c:ext>
          </c:extLst>
        </c:ser>
        <c:ser>
          <c:idx val="1"/>
          <c:order val="1"/>
          <c:tx>
            <c:strRef>
              <c:f>'Ratio Calculation'!$H$15</c:f>
              <c:strCache>
                <c:ptCount val="1"/>
                <c:pt idx="0">
                  <c:v>Quick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'Ratio Calculation'!$I$13:$J$13</c:f>
              <c:numCache>
                <c:formatCode>General</c:formatCode>
                <c:ptCount val="2"/>
                <c:pt idx="0">
                  <c:v>2025</c:v>
                </c:pt>
                <c:pt idx="1">
                  <c:v>2024</c:v>
                </c:pt>
              </c:numCache>
            </c:numRef>
          </c:cat>
          <c:val>
            <c:numRef>
              <c:f>'Ratio Calculation'!$I$15:$J$15</c:f>
              <c:numCache>
                <c:formatCode>0.00</c:formatCode>
                <c:ptCount val="2"/>
                <c:pt idx="0">
                  <c:v>0.43690303907380607</c:v>
                </c:pt>
                <c:pt idx="1">
                  <c:v>0.4635205992509363</c:v>
                </c:pt>
              </c:numCache>
            </c:numRef>
          </c:val>
          <c:extLst>
            <c:ext xmlns:c16="http://schemas.microsoft.com/office/drawing/2014/chart" uri="{C3380CC4-5D6E-409C-BE32-E72D297353CC}">
              <c16:uniqueId val="{00000001-B440-45A6-856B-6568CBD53E6A}"/>
            </c:ext>
          </c:extLst>
        </c:ser>
        <c:dLbls>
          <c:showLegendKey val="0"/>
          <c:showVal val="0"/>
          <c:showCatName val="0"/>
          <c:showSerName val="0"/>
          <c:showPercent val="0"/>
          <c:showBubbleSize val="0"/>
        </c:dLbls>
        <c:gapWidth val="100"/>
        <c:overlap val="-24"/>
        <c:axId val="1390901391"/>
        <c:axId val="1390899471"/>
      </c:barChart>
      <c:catAx>
        <c:axId val="1390901391"/>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90899471"/>
        <c:crosses val="autoZero"/>
        <c:auto val="1"/>
        <c:lblAlgn val="ctr"/>
        <c:lblOffset val="100"/>
        <c:noMultiLvlLbl val="0"/>
      </c:catAx>
      <c:valAx>
        <c:axId val="1390899471"/>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909013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Profitability Ratios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'Ratio Calculation'!$I$3</c:f>
              <c:strCache>
                <c:ptCount val="1"/>
                <c:pt idx="0">
                  <c:v>2025</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'Ratio Calculation'!$H$4:$H$9</c:f>
              <c:strCache>
                <c:ptCount val="6"/>
                <c:pt idx="0">
                  <c:v>Gross Profit Margin </c:v>
                </c:pt>
                <c:pt idx="1">
                  <c:v>Operating Profit Margin </c:v>
                </c:pt>
                <c:pt idx="2">
                  <c:v>Net Profit Margin</c:v>
                </c:pt>
                <c:pt idx="3">
                  <c:v>Return on Asset (ROA)</c:v>
                </c:pt>
                <c:pt idx="4">
                  <c:v>Return on Equity (ROE)</c:v>
                </c:pt>
                <c:pt idx="5">
                  <c:v>Return on Capital Employed (ROCE)</c:v>
                </c:pt>
              </c:strCache>
            </c:strRef>
          </c:cat>
          <c:val>
            <c:numRef>
              <c:f>'Ratio Calculation'!$I$4:$I$9</c:f>
              <c:numCache>
                <c:formatCode>0.00%</c:formatCode>
                <c:ptCount val="6"/>
                <c:pt idx="0">
                  <c:v>7.2243835459694497E-2</c:v>
                </c:pt>
                <c:pt idx="1">
                  <c:v>3.8775101550431949E-2</c:v>
                </c:pt>
                <c:pt idx="2">
                  <c:v>2.3313690714571771E-2</c:v>
                </c:pt>
                <c:pt idx="3">
                  <c:v>4.1967044284243048E-2</c:v>
                </c:pt>
                <c:pt idx="4">
                  <c:v>0.13977019379180244</c:v>
                </c:pt>
                <c:pt idx="5">
                  <c:v>0.10835331734612311</c:v>
                </c:pt>
              </c:numCache>
            </c:numRef>
          </c:val>
          <c:extLst>
            <c:ext xmlns:c16="http://schemas.microsoft.com/office/drawing/2014/chart" uri="{C3380CC4-5D6E-409C-BE32-E72D297353CC}">
              <c16:uniqueId val="{00000000-33F9-4F98-BB6C-5310BFC13F24}"/>
            </c:ext>
          </c:extLst>
        </c:ser>
        <c:ser>
          <c:idx val="1"/>
          <c:order val="1"/>
          <c:tx>
            <c:strRef>
              <c:f>'Ratio Calculation'!$J$3</c:f>
              <c:strCache>
                <c:ptCount val="1"/>
                <c:pt idx="0">
                  <c:v>2024</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'Ratio Calculation'!$H$4:$H$9</c:f>
              <c:strCache>
                <c:ptCount val="6"/>
                <c:pt idx="0">
                  <c:v>Gross Profit Margin </c:v>
                </c:pt>
                <c:pt idx="1">
                  <c:v>Operating Profit Margin </c:v>
                </c:pt>
                <c:pt idx="2">
                  <c:v>Net Profit Margin</c:v>
                </c:pt>
                <c:pt idx="3">
                  <c:v>Return on Asset (ROA)</c:v>
                </c:pt>
                <c:pt idx="4">
                  <c:v>Return on Equity (ROE)</c:v>
                </c:pt>
                <c:pt idx="5">
                  <c:v>Return on Capital Employed (ROCE)</c:v>
                </c:pt>
              </c:strCache>
            </c:strRef>
          </c:cat>
          <c:val>
            <c:numRef>
              <c:f>'Ratio Calculation'!$J$4:$J$9</c:f>
              <c:numCache>
                <c:formatCode>0.00%</c:formatCode>
                <c:ptCount val="6"/>
                <c:pt idx="0">
                  <c:v>7.1113262058750196E-2</c:v>
                </c:pt>
                <c:pt idx="1">
                  <c:v>4.1371522430961913E-2</c:v>
                </c:pt>
                <c:pt idx="2">
                  <c:v>1.7481338084972209E-2</c:v>
                </c:pt>
                <c:pt idx="3">
                  <c:v>3.0364785001018954E-2</c:v>
                </c:pt>
                <c:pt idx="4">
                  <c:v>0.10218602657522503</c:v>
                </c:pt>
                <c:pt idx="5">
                  <c:v>0.1088936925808693</c:v>
                </c:pt>
              </c:numCache>
            </c:numRef>
          </c:val>
          <c:extLst>
            <c:ext xmlns:c16="http://schemas.microsoft.com/office/drawing/2014/chart" uri="{C3380CC4-5D6E-409C-BE32-E72D297353CC}">
              <c16:uniqueId val="{00000001-33F9-4F98-BB6C-5310BFC13F24}"/>
            </c:ext>
          </c:extLst>
        </c:ser>
        <c:dLbls>
          <c:showLegendKey val="0"/>
          <c:showVal val="0"/>
          <c:showCatName val="0"/>
          <c:showSerName val="0"/>
          <c:showPercent val="0"/>
          <c:showBubbleSize val="0"/>
        </c:dLbls>
        <c:gapWidth val="100"/>
        <c:overlap val="-24"/>
        <c:axId val="1218253983"/>
        <c:axId val="1218254463"/>
      </c:barChart>
      <c:catAx>
        <c:axId val="1218253983"/>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18254463"/>
        <c:crosses val="autoZero"/>
        <c:auto val="1"/>
        <c:lblAlgn val="ctr"/>
        <c:lblOffset val="100"/>
        <c:noMultiLvlLbl val="0"/>
      </c:catAx>
      <c:valAx>
        <c:axId val="1218254463"/>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182539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Efficiency Ratios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'Ratio Calculation'!$H$30</c:f>
              <c:strCache>
                <c:ptCount val="1"/>
                <c:pt idx="0">
                  <c:v>Asset Turnover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'Ratio Calculation'!$I$30:$J$30</c:f>
              <c:numCache>
                <c:formatCode>0.00</c:formatCode>
                <c:ptCount val="2"/>
                <c:pt idx="0">
                  <c:v>1.8001029866117404</c:v>
                </c:pt>
                <c:pt idx="1">
                  <c:v>1.7369828815977175</c:v>
                </c:pt>
              </c:numCache>
            </c:numRef>
          </c:val>
          <c:extLst>
            <c:ext xmlns:c16="http://schemas.microsoft.com/office/drawing/2014/chart" uri="{C3380CC4-5D6E-409C-BE32-E72D297353CC}">
              <c16:uniqueId val="{00000000-4C43-4CE3-96C8-653623AE3B12}"/>
            </c:ext>
          </c:extLst>
        </c:ser>
        <c:ser>
          <c:idx val="1"/>
          <c:order val="1"/>
          <c:tx>
            <c:strRef>
              <c:f>'Ratio Calculation'!$H$31</c:f>
              <c:strCache>
                <c:ptCount val="1"/>
                <c:pt idx="0">
                  <c:v>Fixed Asset Turnover</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'Ratio Calculation'!$I$31:$J$31</c:f>
              <c:numCache>
                <c:formatCode>0.00</c:formatCode>
                <c:ptCount val="2"/>
                <c:pt idx="0">
                  <c:v>4.0502838605028382</c:v>
                </c:pt>
                <c:pt idx="1">
                  <c:v>3.9595261599210265</c:v>
                </c:pt>
              </c:numCache>
            </c:numRef>
          </c:val>
          <c:extLst>
            <c:ext xmlns:c16="http://schemas.microsoft.com/office/drawing/2014/chart" uri="{C3380CC4-5D6E-409C-BE32-E72D297353CC}">
              <c16:uniqueId val="{00000001-4C43-4CE3-96C8-653623AE3B12}"/>
            </c:ext>
          </c:extLst>
        </c:ser>
        <c:dLbls>
          <c:dLblPos val="outEnd"/>
          <c:showLegendKey val="0"/>
          <c:showVal val="1"/>
          <c:showCatName val="0"/>
          <c:showSerName val="0"/>
          <c:showPercent val="0"/>
          <c:showBubbleSize val="0"/>
        </c:dLbls>
        <c:gapWidth val="115"/>
        <c:overlap val="-20"/>
        <c:axId val="1449925375"/>
        <c:axId val="1449925855"/>
      </c:barChart>
      <c:catAx>
        <c:axId val="1449925375"/>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49925855"/>
        <c:crosses val="autoZero"/>
        <c:auto val="1"/>
        <c:lblAlgn val="ctr"/>
        <c:lblOffset val="100"/>
        <c:noMultiLvlLbl val="0"/>
      </c:catAx>
      <c:valAx>
        <c:axId val="1449925855"/>
        <c:scaling>
          <c:orientation val="minMax"/>
        </c:scaling>
        <c:delete val="0"/>
        <c:axPos val="b"/>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499253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a:t>Gearing Ratios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'Ratio Calculation'!$I$19</c:f>
              <c:strCache>
                <c:ptCount val="1"/>
                <c:pt idx="0">
                  <c:v>2025</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'Ratio Calculation'!$H$20:$H$23</c:f>
              <c:strCache>
                <c:ptCount val="4"/>
                <c:pt idx="0">
                  <c:v>Debt to Equity Ratio</c:v>
                </c:pt>
                <c:pt idx="1">
                  <c:v>Interest Coverage Ratio</c:v>
                </c:pt>
                <c:pt idx="2">
                  <c:v>Equity Ratio</c:v>
                </c:pt>
                <c:pt idx="3">
                  <c:v>Debt Ratio</c:v>
                </c:pt>
              </c:strCache>
            </c:strRef>
          </c:cat>
          <c:val>
            <c:numRef>
              <c:f>'Ratio Calculation'!$I$20:$I$23</c:f>
              <c:numCache>
                <c:formatCode>0.00</c:formatCode>
                <c:ptCount val="4"/>
                <c:pt idx="0">
                  <c:v>0.59595266678099812</c:v>
                </c:pt>
                <c:pt idx="1">
                  <c:v>3.6340482573726542</c:v>
                </c:pt>
                <c:pt idx="2">
                  <c:v>0.3002574665293512</c:v>
                </c:pt>
                <c:pt idx="3">
                  <c:v>0.17893923789907312</c:v>
                </c:pt>
              </c:numCache>
            </c:numRef>
          </c:val>
          <c:extLst>
            <c:ext xmlns:c16="http://schemas.microsoft.com/office/drawing/2014/chart" uri="{C3380CC4-5D6E-409C-BE32-E72D297353CC}">
              <c16:uniqueId val="{00000000-4CDB-4E44-8CE6-DC25CC1F666C}"/>
            </c:ext>
          </c:extLst>
        </c:ser>
        <c:ser>
          <c:idx val="1"/>
          <c:order val="1"/>
          <c:tx>
            <c:strRef>
              <c:f>'Ratio Calculation'!$J$19</c:f>
              <c:strCache>
                <c:ptCount val="1"/>
                <c:pt idx="0">
                  <c:v>2024</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'Ratio Calculation'!$H$20:$H$23</c:f>
              <c:strCache>
                <c:ptCount val="4"/>
                <c:pt idx="0">
                  <c:v>Debt to Equity Ratio</c:v>
                </c:pt>
                <c:pt idx="1">
                  <c:v>Interest Coverage Ratio</c:v>
                </c:pt>
                <c:pt idx="2">
                  <c:v>Equity Ratio</c:v>
                </c:pt>
                <c:pt idx="3">
                  <c:v>Debt Ratio</c:v>
                </c:pt>
              </c:strCache>
            </c:strRef>
          </c:cat>
          <c:val>
            <c:numRef>
              <c:f>'Ratio Calculation'!$J$20:$J$23</c:f>
              <c:numCache>
                <c:formatCode>0.00</c:formatCode>
                <c:ptCount val="4"/>
                <c:pt idx="0">
                  <c:v>0.61885983711958847</c:v>
                </c:pt>
                <c:pt idx="1">
                  <c:v>3.5043478260869567</c:v>
                </c:pt>
                <c:pt idx="2">
                  <c:v>0.29715202771550847</c:v>
                </c:pt>
                <c:pt idx="3">
                  <c:v>0.18389545547177502</c:v>
                </c:pt>
              </c:numCache>
            </c:numRef>
          </c:val>
          <c:extLst>
            <c:ext xmlns:c16="http://schemas.microsoft.com/office/drawing/2014/chart" uri="{C3380CC4-5D6E-409C-BE32-E72D297353CC}">
              <c16:uniqueId val="{00000001-4CDB-4E44-8CE6-DC25CC1F666C}"/>
            </c:ext>
          </c:extLst>
        </c:ser>
        <c:dLbls>
          <c:showLegendKey val="0"/>
          <c:showVal val="0"/>
          <c:showCatName val="0"/>
          <c:showSerName val="0"/>
          <c:showPercent val="0"/>
          <c:showBubbleSize val="0"/>
        </c:dLbls>
        <c:gapWidth val="100"/>
        <c:overlap val="-24"/>
        <c:axId val="1449668335"/>
        <c:axId val="1449669775"/>
      </c:barChart>
      <c:catAx>
        <c:axId val="1449668335"/>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49669775"/>
        <c:crosses val="autoZero"/>
        <c:auto val="1"/>
        <c:lblAlgn val="ctr"/>
        <c:lblOffset val="100"/>
        <c:noMultiLvlLbl val="0"/>
      </c:catAx>
      <c:valAx>
        <c:axId val="1449669775"/>
        <c:scaling>
          <c:orientation val="minMax"/>
        </c:scaling>
        <c:delete val="0"/>
        <c:axPos val="l"/>
        <c:majorGridlines>
          <c:spPr>
            <a:ln w="9525" cap="flat" cmpd="sng" algn="ctr">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496683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Investor Ratios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 Calculation'!$I$34</c:f>
              <c:strCache>
                <c:ptCount val="1"/>
                <c:pt idx="0">
                  <c:v>2025</c:v>
                </c:pt>
              </c:strCache>
            </c:strRef>
          </c:tx>
          <c:spPr>
            <a:solidFill>
              <a:schemeClr val="accent1"/>
            </a:solidFill>
            <a:ln>
              <a:noFill/>
            </a:ln>
            <a:effectLst/>
          </c:spPr>
          <c:invertIfNegative val="0"/>
          <c:cat>
            <c:strRef>
              <c:f>'Ratio Calculation'!$H$35:$H$38</c:f>
              <c:strCache>
                <c:ptCount val="4"/>
                <c:pt idx="0">
                  <c:v>Earnings Per Share (EPS) -Basic</c:v>
                </c:pt>
                <c:pt idx="1">
                  <c:v>Earnings Per Share (EPS) - Diluted</c:v>
                </c:pt>
                <c:pt idx="2">
                  <c:v>Price per Earnings ratio (P/E)</c:v>
                </c:pt>
                <c:pt idx="3">
                  <c:v>Dividend Yield</c:v>
                </c:pt>
              </c:strCache>
            </c:strRef>
          </c:cat>
          <c:val>
            <c:numRef>
              <c:f>'Ratio Calculation'!$I$35:$I$38</c:f>
              <c:numCache>
                <c:formatCode>General</c:formatCode>
                <c:ptCount val="4"/>
                <c:pt idx="0">
                  <c:v>23.79</c:v>
                </c:pt>
                <c:pt idx="1">
                  <c:v>23.51</c:v>
                </c:pt>
                <c:pt idx="2" formatCode="0.00">
                  <c:v>15.98150483396385</c:v>
                </c:pt>
                <c:pt idx="3" formatCode="0.00">
                  <c:v>3.6033666491320358E-2</c:v>
                </c:pt>
              </c:numCache>
            </c:numRef>
          </c:val>
          <c:extLst>
            <c:ext xmlns:c16="http://schemas.microsoft.com/office/drawing/2014/chart" uri="{C3380CC4-5D6E-409C-BE32-E72D297353CC}">
              <c16:uniqueId val="{00000000-A3FF-485F-AB12-AD395449FDA0}"/>
            </c:ext>
          </c:extLst>
        </c:ser>
        <c:ser>
          <c:idx val="1"/>
          <c:order val="1"/>
          <c:tx>
            <c:strRef>
              <c:f>'Ratio Calculation'!$J$34</c:f>
              <c:strCache>
                <c:ptCount val="1"/>
                <c:pt idx="0">
                  <c:v>2024</c:v>
                </c:pt>
              </c:strCache>
            </c:strRef>
          </c:tx>
          <c:spPr>
            <a:solidFill>
              <a:schemeClr val="accent2"/>
            </a:solidFill>
            <a:ln>
              <a:noFill/>
            </a:ln>
            <a:effectLst/>
          </c:spPr>
          <c:invertIfNegative val="0"/>
          <c:cat>
            <c:strRef>
              <c:f>'Ratio Calculation'!$H$35:$H$38</c:f>
              <c:strCache>
                <c:ptCount val="4"/>
                <c:pt idx="0">
                  <c:v>Earnings Per Share (EPS) -Basic</c:v>
                </c:pt>
                <c:pt idx="1">
                  <c:v>Earnings Per Share (EPS) - Diluted</c:v>
                </c:pt>
                <c:pt idx="2">
                  <c:v>Price per Earnings ratio (P/E)</c:v>
                </c:pt>
                <c:pt idx="3">
                  <c:v>Dividend Yield</c:v>
                </c:pt>
              </c:strCache>
            </c:strRef>
          </c:cat>
          <c:val>
            <c:numRef>
              <c:f>'Ratio Calculation'!$J$35:$J$38</c:f>
              <c:numCache>
                <c:formatCode>General</c:formatCode>
                <c:ptCount val="4"/>
                <c:pt idx="0">
                  <c:v>16.739999999999998</c:v>
                </c:pt>
                <c:pt idx="1">
                  <c:v>16.559999999999999</c:v>
                </c:pt>
                <c:pt idx="2" formatCode="0.00">
                  <c:v>16.565113500597374</c:v>
                </c:pt>
                <c:pt idx="3" formatCode="0.00">
                  <c:v>4.3635052289938692E-2</c:v>
                </c:pt>
              </c:numCache>
            </c:numRef>
          </c:val>
          <c:extLst>
            <c:ext xmlns:c16="http://schemas.microsoft.com/office/drawing/2014/chart" uri="{C3380CC4-5D6E-409C-BE32-E72D297353CC}">
              <c16:uniqueId val="{00000001-A3FF-485F-AB12-AD395449FDA0}"/>
            </c:ext>
          </c:extLst>
        </c:ser>
        <c:dLbls>
          <c:showLegendKey val="0"/>
          <c:showVal val="0"/>
          <c:showCatName val="0"/>
          <c:showSerName val="0"/>
          <c:showPercent val="0"/>
          <c:showBubbleSize val="0"/>
        </c:dLbls>
        <c:gapWidth val="219"/>
        <c:overlap val="-27"/>
        <c:axId val="962543679"/>
        <c:axId val="962543199"/>
      </c:barChart>
      <c:catAx>
        <c:axId val="9625436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2543199"/>
        <c:crosses val="autoZero"/>
        <c:auto val="1"/>
        <c:lblAlgn val="ctr"/>
        <c:lblOffset val="100"/>
        <c:noMultiLvlLbl val="0"/>
      </c:catAx>
      <c:valAx>
        <c:axId val="9625431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25436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