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2D97" w:rsidRDefault="00CF2D97" w:rsidP="00CF2D97">
      <w:r>
        <w:t xml:space="preserve">   BY NINA REES</w:t>
      </w:r>
    </w:p>
    <w:p w:rsidR="00D14FC8" w:rsidRDefault="00D14FC8" w:rsidP="00CF2D97">
      <w:r>
        <w:t>This assignment will look at the different theory’s and models associated with grief, it will also explore how a counsellor would work with the bereaved client and finally consider any ethical implications that might arise from working with this group of clients.</w:t>
      </w:r>
    </w:p>
    <w:p w:rsidR="00CF2D97" w:rsidRDefault="00CF2D97" w:rsidP="00CF2D97">
      <w:r>
        <w:t>Bereavement refers to the loss of a loved one by death, and grief refers to the distress resulting from bereavement. This definition has been defined further by some theorists and researchers as a broad term that encompasses the entire experience of family members and friends in the anticipation of death and subsequent adjustments to living following the death of a loved one. (Christ, Banana, Malkinson, Rubin.2003, p.554)</w:t>
      </w:r>
    </w:p>
    <w:p w:rsidR="00CF2D97" w:rsidRDefault="00CF2D97" w:rsidP="00CF2D97">
      <w:r>
        <w:t>Bereavement as understood from this perspective includes the internal psychological processes and adaption of family members and expression and experiences of grief. It also encompasses changes in external circumstances such as alteration in relationships and living arrangements. (Christ ET al.2003)</w:t>
      </w:r>
    </w:p>
    <w:p w:rsidR="00CF2D97" w:rsidRDefault="00CF2D97" w:rsidP="00CF2D97">
      <w:r>
        <w:t>Grief defines a complex set of cognitive, emotional and social difficulties that follow the death of a loved one. Individuals vary enormously in the type of grief they experience, its intensity, its duration, and their ways of expressing it. (Christ et al, 2003, p.555)</w:t>
      </w:r>
    </w:p>
    <w:p w:rsidR="00CF2D97" w:rsidRDefault="00CF2D97" w:rsidP="00CF2D97">
      <w:r>
        <w:t>Lich believed that death had been medicalised over several century’s, however Watter argued death has taken on a new meaning to the individual and society. He believed the dominant discourse was no longer that of religion or medicine but that of psychology. (Watter, 1996). Given the importance attached to individualism and the role of the family in change in context of death, counselling for individuals replaced the collective rituals for society as the key mechanism for coping with death. Giddens (2017)</w:t>
      </w:r>
      <w:r w:rsidR="00145403">
        <w:t xml:space="preserve">                                                                                                                                                                                                                                     </w:t>
      </w:r>
      <w:r>
        <w:t xml:space="preserve">  No one </w:t>
      </w:r>
      <w:r w:rsidR="00D14FC8">
        <w:t>discipline,</w:t>
      </w:r>
      <w:r>
        <w:t xml:space="preserve"> or theory dominates in bereavement and grief </w:t>
      </w:r>
      <w:r>
        <w:t>research.</w:t>
      </w:r>
      <w:r w:rsidR="00145403">
        <w:t xml:space="preserve"> </w:t>
      </w:r>
      <w:r>
        <w:t>Grief Works perspective based in Freudian psychoanalytic theory. This theory stresses the importance of bringing the loss into awareness to avoid complications in the course of grief. (Stroebe, 2001)</w:t>
      </w:r>
      <w:r w:rsidR="00155FDA">
        <w:t xml:space="preserve">                                                                                                                                              </w:t>
      </w:r>
      <w:r>
        <w:t xml:space="preserve"> However Bonino (2001) suggests lack of empirical evidence is available in support of grief works.</w:t>
      </w:r>
    </w:p>
    <w:p w:rsidR="00CF2D97" w:rsidRDefault="00CF2D97" w:rsidP="00CF2D97">
      <w:r>
        <w:t>Other relevant theories include attachment theory by Bowlby as it provides a framework for understanding the effect of bereavement in terms of the disruption of ‘affectionate bonds’ and in terms of individual difference in response to loss.</w:t>
      </w:r>
    </w:p>
    <w:p w:rsidR="00CF2D97" w:rsidRDefault="00CF2D97" w:rsidP="00CF2D97">
      <w:r>
        <w:t xml:space="preserve">Meaning making or reconstruction which emphasises responses to bereavement from the perspective of a human, striving to make sense of troubling events and which is often expressed in the organisation of experiences into </w:t>
      </w:r>
      <w:r w:rsidR="00145403">
        <w:t>narrative.</w:t>
      </w:r>
    </w:p>
    <w:p w:rsidR="00CF2D97" w:rsidRDefault="00CF2D97" w:rsidP="00CF2D97">
      <w:r>
        <w:t xml:space="preserve">The dual-process model of copping with loss orienteered coping refers to the efforts to resolve the loss experience itself. Restoration –orientation coping refers to efforts to adapt to challenges associated with the changes in life circumstances resulting in </w:t>
      </w:r>
      <w:r w:rsidR="00D14FC8">
        <w:t>bereavement. (</w:t>
      </w:r>
      <w:r>
        <w:t>Bonanno,2001,p43).</w:t>
      </w:r>
    </w:p>
    <w:p w:rsidR="00CF2D97" w:rsidRDefault="00CF2D97" w:rsidP="00CF2D97">
      <w:r>
        <w:t xml:space="preserve">Even though grief is a universal experience, responses to grief vary with no </w:t>
      </w:r>
      <w:r w:rsidR="00D14FC8">
        <w:t>clearly</w:t>
      </w:r>
      <w:r>
        <w:t xml:space="preserve"> defined process of bereavement and grieving. Responses to grief can be influenced by age, stage of development, gender, history of loss/or trauma, history of depressive disorders and the quality of the relationship with the deceased. </w:t>
      </w:r>
      <w:r w:rsidR="00D14FC8">
        <w:t>Also,</w:t>
      </w:r>
      <w:r>
        <w:t xml:space="preserve"> it is important to assess whether the death was anticipated or traumatic. Recent research shows that experiences of grief are influenced by familial relationships and expectations, social, networks, religion and culture. Most people cope effectively with bereavement related issues and </w:t>
      </w:r>
      <w:r w:rsidR="00D14FC8">
        <w:t>most</w:t>
      </w:r>
      <w:r>
        <w:t xml:space="preserve"> people don’t experience problematic grief or grief related adverse health </w:t>
      </w:r>
      <w:r>
        <w:lastRenderedPageBreak/>
        <w:t>effects. The characteristics and course of normal responses to bereavement have not been fully identified, making it difficult to define problematic responses. (C.F.A.H, 2001)</w:t>
      </w:r>
    </w:p>
    <w:p w:rsidR="00CF2D97" w:rsidRDefault="00DD5C1B" w:rsidP="00CF2D97">
      <w:r>
        <w:t xml:space="preserve">            </w:t>
      </w:r>
      <w:r w:rsidR="00145403">
        <w:t xml:space="preserve">                                                                                                                                                                                                                                                           </w:t>
      </w:r>
      <w:r>
        <w:t xml:space="preserve"> </w:t>
      </w:r>
      <w:r w:rsidR="00CF2D97">
        <w:t>The nature of complicated grief and its relationship to other syndromes and conditions and how it should be defined, assessed and classified are subject to persistent debate in the</w:t>
      </w:r>
      <w:r w:rsidR="00145403">
        <w:t xml:space="preserve">     </w:t>
      </w:r>
      <w:r w:rsidR="00D14FC8">
        <w:t>field (</w:t>
      </w:r>
      <w:r w:rsidR="00CF2D97">
        <w:t>Strobeetal.2000</w:t>
      </w:r>
      <w:r w:rsidR="00D14FC8">
        <w:t xml:space="preserve">).  </w:t>
      </w:r>
      <w:r>
        <w:t xml:space="preserve">                                                                                                    </w:t>
      </w:r>
      <w:r w:rsidR="00D14FC8">
        <w:t xml:space="preserve">                                      </w:t>
      </w:r>
      <w:r w:rsidR="00CF2D97">
        <w:t xml:space="preserve"> Complicated grief can have a negative impact to health</w:t>
      </w:r>
      <w:r>
        <w:t>.</w:t>
      </w:r>
      <w:r w:rsidR="00CF2D97">
        <w:t xml:space="preserve"> Positive categorising grief as medical problem could lead to greater availability of interventions for individuals and families who need such a service. </w:t>
      </w:r>
      <w:r w:rsidR="00D14FC8">
        <w:t>However,</w:t>
      </w:r>
      <w:r w:rsidR="00CF2D97">
        <w:t xml:space="preserve"> C.F.A.H, (2001) Ague against this as there could also be negative consequences of treating people who do not need treatment or by causing harm through ineffective or poorly conceptualized treatment.</w:t>
      </w:r>
    </w:p>
    <w:p w:rsidR="00CF2D97" w:rsidRDefault="00CF2D97" w:rsidP="00CF2D97">
      <w:r>
        <w:t xml:space="preserve">Breaking bonds with a deceased loved one has in the past </w:t>
      </w:r>
      <w:r w:rsidR="00D14FC8">
        <w:t>been</w:t>
      </w:r>
      <w:r>
        <w:t xml:space="preserve"> a critical component of working through grief as seen in the works of Strobe (2001). </w:t>
      </w:r>
      <w:r w:rsidR="00D14FC8">
        <w:t>However,</w:t>
      </w:r>
      <w:r>
        <w:t xml:space="preserve"> research with bereaved parents by </w:t>
      </w:r>
      <w:r w:rsidR="00D14FC8">
        <w:t>Class</w:t>
      </w:r>
      <w:r>
        <w:t xml:space="preserve"> and Walters (2001) indicated that maintaining psychological and emotional ties to a loved one is not unusual and can be associated with positive adaptions to bereavement.</w:t>
      </w:r>
    </w:p>
    <w:p w:rsidR="00CF2D97" w:rsidRDefault="00CF2D97" w:rsidP="00CF2D97">
      <w:r>
        <w:t xml:space="preserve"> In 2014 The N.B.A published a report (Life after death), this focused on support for bereaved people and recommendations for </w:t>
      </w:r>
      <w:r w:rsidR="00D14FC8">
        <w:t>addressing</w:t>
      </w:r>
      <w:r>
        <w:t xml:space="preserve"> grief and bereavement in the UK.</w:t>
      </w:r>
    </w:p>
    <w:p w:rsidR="00CF2D97" w:rsidRDefault="00CF2D97" w:rsidP="00CF2D97">
      <w:r>
        <w:t xml:space="preserve">It found that nearly half the people questioned had reported being bereaved in the five years </w:t>
      </w:r>
      <w:r w:rsidR="00D14FC8">
        <w:t>before</w:t>
      </w:r>
      <w:r>
        <w:t xml:space="preserve"> this. Of those three quarters felt they did not receive adequate support and that in 2012 less than half of people who wanted to talk about their feelings with someone from health, social care or bereavement services were unable to do so. This was due to the lack of responsibility taken and ad hoc policy’s for meeting bereaved people’s needs. </w:t>
      </w:r>
      <w:r w:rsidR="00D14FC8">
        <w:t>Thus,</w:t>
      </w:r>
      <w:r>
        <w:t xml:space="preserve"> making peoples experiences of bereavement even more difficult and threatening to their wellbeing. With an inadequate preparation to meet challenges of an aging population there will be a growing number of bereaved people. It is estimated that the number of bereaved people will grow by fifteen percent by 2035. The N.B.A aim for all people to have awareness and access to support and services throughout the bereavement experience.</w:t>
      </w:r>
    </w:p>
    <w:p w:rsidR="00CF2D97" w:rsidRDefault="00CF2D97" w:rsidP="00CF2D97">
      <w:r>
        <w:t>The last century has shown a marked decline in acceptance of death as a natural conclusion of the life cycle and has seen it change into a taboo subject. Miller and Raihe (199</w:t>
      </w:r>
      <w:r w:rsidR="00DB242F">
        <w:t>9)</w:t>
      </w:r>
    </w:p>
    <w:p w:rsidR="00CF2D97" w:rsidRDefault="00CF2D97" w:rsidP="00CF2D97">
      <w:r>
        <w:t xml:space="preserve">Murray-Parkes (1998) suggests one explanation for this omission is the assumption that loss is irreversible and untreatable: there is nothing we can do about it, and the best way of dealing with it is to ignore it. </w:t>
      </w:r>
      <w:r w:rsidR="00D14FC8">
        <w:t>Sadly,</w:t>
      </w:r>
      <w:r>
        <w:t xml:space="preserve"> this means when patients need support the most the healthcare teams back away. </w:t>
      </w:r>
    </w:p>
    <w:p w:rsidR="00CF2D97" w:rsidRDefault="00CF2D97" w:rsidP="00CF2D97">
      <w:r>
        <w:t xml:space="preserve">Sheldon (1998) considers the fact that different types of death cause different </w:t>
      </w:r>
      <w:r w:rsidR="00D14FC8">
        <w:t>problems,</w:t>
      </w:r>
      <w:r>
        <w:t xml:space="preserve"> so it is important to consider the type of death to treat the individual’s bereavement needs. Sudden death can be linked with the bereaved suffering high levels of stress, especially if connected with violence, suicide, or substance misuse. </w:t>
      </w:r>
      <w:r w:rsidR="00D14FC8">
        <w:t>However,</w:t>
      </w:r>
      <w:r>
        <w:t xml:space="preserve"> it is important to consider factors like age of death as an elderly person dying suddenly of cardio related problem is considered more acceptable then the death of a young person in a road traffic accident. Minority or ethnic groups experience problems when at the time of </w:t>
      </w:r>
      <w:r w:rsidR="00D14FC8">
        <w:t>death,</w:t>
      </w:r>
      <w:r>
        <w:t xml:space="preserve"> they are not able to follow their rituals and customs. </w:t>
      </w:r>
      <w:r w:rsidR="00D14FC8">
        <w:t>Also,</w:t>
      </w:r>
      <w:r>
        <w:t xml:space="preserve"> weather there was a stigma surrounding the death such AIDS, suicide these types of death are associated with a poor outcome for the grieving person.  People who perceive their social support as inadequate are also at more risk. As well as all these, it is important to consider age, mobility, sensory loss or own state of health. </w:t>
      </w:r>
      <w:r w:rsidR="00D14FC8">
        <w:t>Also,</w:t>
      </w:r>
      <w:r>
        <w:t xml:space="preserve"> older people tend to be more excepting of death. This could be because they </w:t>
      </w:r>
      <w:r>
        <w:lastRenderedPageBreak/>
        <w:t xml:space="preserve">usually have more experience in dealing with grief. From the different reasons for poor outcomes </w:t>
      </w:r>
      <w:r w:rsidR="00D14FC8">
        <w:t>it</w:t>
      </w:r>
      <w:r>
        <w:t xml:space="preserve"> is vital to consider a </w:t>
      </w:r>
      <w:r w:rsidR="00D14FC8">
        <w:t>person</w:t>
      </w:r>
      <w:r>
        <w:t xml:space="preserve"> bereaved situation as individual and treat it appropriately as it can be affected by society’s </w:t>
      </w:r>
      <w:r w:rsidR="00D14FC8">
        <w:t>attitudes</w:t>
      </w:r>
      <w:r>
        <w:t xml:space="preserve"> and expectations. </w:t>
      </w:r>
    </w:p>
    <w:p w:rsidR="00CF2D97" w:rsidRDefault="00CF2D97" w:rsidP="00CF2D97">
      <w:r>
        <w:t xml:space="preserve">Assessing weather grief is complicated is a complex issue. Sheldon (1998) argues we must </w:t>
      </w:r>
      <w:r w:rsidR="00D14FC8">
        <w:t>consider</w:t>
      </w:r>
      <w:r>
        <w:t xml:space="preserve"> the following elements: Intensity and duration of feelings and behaviour, intense pinning </w:t>
      </w:r>
      <w:r w:rsidR="00D14FC8">
        <w:t>self-reproach</w:t>
      </w:r>
      <w:r>
        <w:t xml:space="preserve"> and anger, prolonged withdrawal from social contact and failure to show any signs of closure. </w:t>
      </w:r>
      <w:r w:rsidR="00D14FC8">
        <w:t>However,</w:t>
      </w:r>
      <w:r>
        <w:t xml:space="preserve"> it is important to factor in what is normal for culture e.g. Japanese might talk to dead husband all her life and make shrines and offerings. Personality are they normally emotional or </w:t>
      </w:r>
      <w:r w:rsidR="00D14FC8">
        <w:t>self-contained</w:t>
      </w:r>
      <w:r>
        <w:t xml:space="preserve"> and private? It is also important to identify groups at risk such as children, </w:t>
      </w:r>
      <w:r w:rsidR="00D14FC8">
        <w:t>confused</w:t>
      </w:r>
      <w:r>
        <w:t>, elderly people and those with learning difficulties. In the past these groups have been ignored and it has been shown supported environments and repeated explanations help these groups.</w:t>
      </w:r>
    </w:p>
    <w:p w:rsidR="00CF2D97" w:rsidRDefault="00CF2D97" w:rsidP="00CF2D97">
      <w:r>
        <w:t xml:space="preserve">When looking at what most benefits grieving individuals some suggestions include identifying people potentially at risk of complicated grief. The bereaved person being present at the death seeing body. Including children. Providing information to bereaved people about their feelings, volunteer s and counselling to target high risk people. </w:t>
      </w:r>
      <w:r w:rsidR="00D14FC8">
        <w:t>Also,</w:t>
      </w:r>
      <w:r>
        <w:t xml:space="preserve"> opportunities for bereavement groups. </w:t>
      </w:r>
    </w:p>
    <w:p w:rsidR="00CF2D97" w:rsidRDefault="00CF2D97" w:rsidP="00CF2D97">
      <w:r>
        <w:t xml:space="preserve">One organisation that provide services for bereaved people are Cruse bereavement. Cruse’s conception of grief as a natural and ordinary process, yet individually variable and unique, and its client-centred approach, which attributes, expert, status to clients. </w:t>
      </w:r>
      <w:r w:rsidR="00D14FC8">
        <w:t>Arneson</w:t>
      </w:r>
      <w:r>
        <w:t xml:space="preserve"> (2001)</w:t>
      </w:r>
    </w:p>
    <w:p w:rsidR="00DB242F" w:rsidRDefault="00DB242F" w:rsidP="00CF2D97">
      <w:r>
        <w:t xml:space="preserve">Counsellors need to provide supportive and safe </w:t>
      </w:r>
      <w:r w:rsidR="00D14FC8">
        <w:t>environments</w:t>
      </w:r>
      <w:r>
        <w:t xml:space="preserve"> for the </w:t>
      </w:r>
      <w:r w:rsidR="00D14FC8">
        <w:t>client to</w:t>
      </w:r>
      <w:r>
        <w:t xml:space="preserve"> express the emotions </w:t>
      </w:r>
      <w:r w:rsidR="00D14FC8">
        <w:t>assisted</w:t>
      </w:r>
      <w:r>
        <w:t xml:space="preserve"> with grief. Anger and guild are two key emotions </w:t>
      </w:r>
      <w:r w:rsidR="00D14FC8">
        <w:t>assisted</w:t>
      </w:r>
      <w:r>
        <w:t xml:space="preserve"> with </w:t>
      </w:r>
      <w:r w:rsidR="00D14FC8">
        <w:t>bereavement</w:t>
      </w:r>
      <w:r>
        <w:t xml:space="preserve"> and it is important the </w:t>
      </w:r>
      <w:r w:rsidR="00D14FC8">
        <w:t>counsellor</w:t>
      </w:r>
      <w:r>
        <w:t xml:space="preserve"> allows the client to do this and know that is normal to have these emotions. A </w:t>
      </w:r>
      <w:r w:rsidR="00D14FC8">
        <w:t>counsellor’s</w:t>
      </w:r>
      <w:r>
        <w:t xml:space="preserve"> role is </w:t>
      </w:r>
      <w:r w:rsidR="00D14FC8">
        <w:t>facilitating</w:t>
      </w:r>
      <w:r>
        <w:t xml:space="preserve"> grief work by helping the client </w:t>
      </w:r>
      <w:r w:rsidR="00D14FC8">
        <w:t>except</w:t>
      </w:r>
      <w:r>
        <w:t xml:space="preserve"> the reality of the death and </w:t>
      </w:r>
      <w:r w:rsidR="00D14FC8">
        <w:t>experience</w:t>
      </w:r>
      <w:r>
        <w:t xml:space="preserve"> the pain of grief, while they </w:t>
      </w:r>
      <w:r w:rsidR="00D14FC8">
        <w:t>adjust</w:t>
      </w:r>
      <w:r>
        <w:t xml:space="preserve"> to the new reality were the </w:t>
      </w:r>
      <w:r w:rsidR="00D14FC8">
        <w:t>degassed</w:t>
      </w:r>
      <w:r>
        <w:t xml:space="preserve"> is no longer present. </w:t>
      </w:r>
      <w:r w:rsidR="00D14FC8">
        <w:t>Finally,</w:t>
      </w:r>
      <w:r>
        <w:t xml:space="preserve"> to help the client relocate the </w:t>
      </w:r>
      <w:r w:rsidR="00D14FC8">
        <w:t>diseased</w:t>
      </w:r>
      <w:r>
        <w:t xml:space="preserve"> emotionally so the can move on with their life. </w:t>
      </w:r>
      <w:r w:rsidR="00182271">
        <w:t xml:space="preserve">It can help to encourage a </w:t>
      </w:r>
      <w:r w:rsidR="00D14FC8">
        <w:t>client</w:t>
      </w:r>
      <w:r w:rsidR="00182271">
        <w:t xml:space="preserve"> to see the importance of continuing bonds. The use of memory </w:t>
      </w:r>
      <w:r w:rsidR="00D14FC8">
        <w:t>boxes,</w:t>
      </w:r>
      <w:r w:rsidR="00182271">
        <w:t xml:space="preserve"> </w:t>
      </w:r>
      <w:r w:rsidR="00D14FC8">
        <w:t>photographs, mementoes</w:t>
      </w:r>
      <w:r w:rsidR="00182271">
        <w:t xml:space="preserve"> and letters can all be a comfort to the bereaved. Other </w:t>
      </w:r>
      <w:r w:rsidR="00D14FC8">
        <w:t>activities</w:t>
      </w:r>
      <w:r w:rsidR="00182271">
        <w:t xml:space="preserve"> that can help include writing of letters and timelines. These things can all help the </w:t>
      </w:r>
      <w:r w:rsidR="00D14FC8">
        <w:t>bereaved</w:t>
      </w:r>
      <w:r w:rsidR="00182271">
        <w:t xml:space="preserve"> keep a continuing bond with </w:t>
      </w:r>
      <w:proofErr w:type="spellStart"/>
      <w:r w:rsidR="00182271">
        <w:t>there</w:t>
      </w:r>
      <w:proofErr w:type="spellEnd"/>
      <w:r w:rsidR="00182271">
        <w:t xml:space="preserve"> loved </w:t>
      </w:r>
      <w:bookmarkStart w:id="0" w:name="_Hlk7551687"/>
      <w:r w:rsidR="00D14FC8">
        <w:t>one. (Feltham and</w:t>
      </w:r>
      <w:r w:rsidR="00182271">
        <w:t xml:space="preserve"> Horton,2009)</w:t>
      </w:r>
      <w:bookmarkEnd w:id="0"/>
    </w:p>
    <w:p w:rsidR="00182271" w:rsidRDefault="00182271" w:rsidP="00CF2D97">
      <w:r>
        <w:t xml:space="preserve">When working with a </w:t>
      </w:r>
      <w:r w:rsidR="00D14FC8">
        <w:t>bereaved</w:t>
      </w:r>
      <w:r>
        <w:t xml:space="preserve"> client it is important to consider the ethical issues such as endings. There is a danger that the client can see the ending of counselling as </w:t>
      </w:r>
      <w:r w:rsidR="00D14FC8">
        <w:t>soughed</w:t>
      </w:r>
      <w:r>
        <w:t xml:space="preserve"> loss and the </w:t>
      </w:r>
      <w:r w:rsidR="00D14FC8">
        <w:t>counsellor</w:t>
      </w:r>
      <w:r>
        <w:t xml:space="preserve"> must be sure that the ending is </w:t>
      </w:r>
      <w:r w:rsidR="00D14FC8">
        <w:t>considered</w:t>
      </w:r>
      <w:r>
        <w:t xml:space="preserve"> from the start and is planned </w:t>
      </w:r>
      <w:r w:rsidR="00D14FC8">
        <w:t>well, some</w:t>
      </w:r>
      <w:r>
        <w:t xml:space="preserve"> clients find it helpful to create </w:t>
      </w:r>
      <w:proofErr w:type="spellStart"/>
      <w:r w:rsidR="00D14FC8">
        <w:t>their</w:t>
      </w:r>
      <w:r>
        <w:t xml:space="preserve"> own</w:t>
      </w:r>
      <w:proofErr w:type="spellEnd"/>
      <w:r>
        <w:t xml:space="preserve"> ritual for ending </w:t>
      </w:r>
      <w:r w:rsidR="00D14FC8">
        <w:t>therapy</w:t>
      </w:r>
      <w:r>
        <w:t xml:space="preserve">. The </w:t>
      </w:r>
      <w:r w:rsidR="00D14FC8">
        <w:t>counsellor</w:t>
      </w:r>
      <w:r>
        <w:t xml:space="preserve"> must also be aware if </w:t>
      </w:r>
      <w:r w:rsidR="00D14FC8">
        <w:t>the</w:t>
      </w:r>
      <w:r>
        <w:t xml:space="preserve"> client shows </w:t>
      </w:r>
      <w:r w:rsidR="00D14FC8">
        <w:t>resistance</w:t>
      </w:r>
      <w:r>
        <w:t xml:space="preserve"> to end the session there may be the danger the therapist seems more understanding then the </w:t>
      </w:r>
      <w:r w:rsidR="00D14FC8">
        <w:t>client’s</w:t>
      </w:r>
      <w:r>
        <w:t xml:space="preserve"> family or friend or </w:t>
      </w:r>
      <w:r w:rsidR="00D14FC8">
        <w:t>indeed</w:t>
      </w:r>
      <w:r>
        <w:t xml:space="preserve"> has replace the </w:t>
      </w:r>
      <w:r w:rsidR="00447624">
        <w:t xml:space="preserve">dead person in the </w:t>
      </w:r>
      <w:r w:rsidR="00D14FC8">
        <w:t>client’s</w:t>
      </w:r>
      <w:r w:rsidR="00447624">
        <w:t xml:space="preserve"> life. Situations like this must always be taken to </w:t>
      </w:r>
      <w:r w:rsidR="00D14FC8">
        <w:t>supervision, so</w:t>
      </w:r>
      <w:r w:rsidR="00447624">
        <w:t xml:space="preserve"> that the issue can be discussed understood and </w:t>
      </w:r>
      <w:r w:rsidR="00D14FC8">
        <w:t>worked</w:t>
      </w:r>
      <w:r w:rsidR="00447624">
        <w:t xml:space="preserve"> with.</w:t>
      </w:r>
      <w:r w:rsidR="00447624" w:rsidRPr="00447624">
        <w:t xml:space="preserve"> </w:t>
      </w:r>
      <w:r w:rsidR="00D14FC8">
        <w:t>. (Feltham and</w:t>
      </w:r>
      <w:r w:rsidR="00447624">
        <w:t xml:space="preserve"> Horton,2009)</w:t>
      </w:r>
    </w:p>
    <w:p w:rsidR="00447624" w:rsidRDefault="00447624" w:rsidP="00CF2D97">
      <w:r>
        <w:t xml:space="preserve">There are many </w:t>
      </w:r>
      <w:r w:rsidR="00D14FC8">
        <w:t>theories</w:t>
      </w:r>
      <w:r>
        <w:t xml:space="preserve"> and models to understand grief, which when </w:t>
      </w:r>
      <w:r w:rsidR="00D14FC8">
        <w:t>combined</w:t>
      </w:r>
      <w:r>
        <w:t xml:space="preserve"> can offer a deeper understanding on how to work with this client group.</w:t>
      </w:r>
      <w:r w:rsidR="00D14FC8">
        <w:t xml:space="preserve">                                                                       </w:t>
      </w:r>
      <w:r>
        <w:t>It is also important to consider culture and nature of death</w:t>
      </w:r>
      <w:r w:rsidR="00D14FC8">
        <w:t xml:space="preserve"> and what support the client has access to . It is also for the counsellor to identify complicated and delayed grief and deal with it appropriately. Lastly it is important the counsellor remembers that all grief in unique and use different tools accordingly.</w:t>
      </w:r>
    </w:p>
    <w:p w:rsidR="00334068" w:rsidRDefault="00334068" w:rsidP="00CF2D97"/>
    <w:p w:rsidR="00334068" w:rsidRDefault="00334068" w:rsidP="00CF2D97"/>
    <w:p w:rsidR="00334068" w:rsidRDefault="00334068" w:rsidP="00CF2D97"/>
    <w:p w:rsidR="00334068" w:rsidRPr="00334068" w:rsidRDefault="00334068" w:rsidP="00334068">
      <w:pPr>
        <w:pStyle w:val="ListParagraph"/>
        <w:numPr>
          <w:ilvl w:val="0"/>
          <w:numId w:val="1"/>
        </w:numPr>
        <w:spacing w:line="360" w:lineRule="auto"/>
        <w:rPr>
          <w:rFonts w:ascii="Times New Roman" w:hAnsi="Times New Roman" w:cs="Times New Roman"/>
          <w:b/>
          <w:sz w:val="24"/>
          <w:szCs w:val="24"/>
        </w:rPr>
      </w:pPr>
      <w:r>
        <w:t>REFRENCES</w:t>
      </w:r>
    </w:p>
    <w:p w:rsidR="00334068" w:rsidRDefault="00334068" w:rsidP="00334068">
      <w:pPr>
        <w:pStyle w:val="ListParagraph"/>
        <w:numPr>
          <w:ilvl w:val="0"/>
          <w:numId w:val="1"/>
        </w:numPr>
        <w:spacing w:line="360" w:lineRule="auto"/>
        <w:rPr>
          <w:rFonts w:ascii="Times New Roman" w:hAnsi="Times New Roman" w:cs="Times New Roman"/>
          <w:b/>
          <w:sz w:val="24"/>
          <w:szCs w:val="24"/>
        </w:rPr>
      </w:pPr>
      <w:proofErr w:type="spellStart"/>
      <w:proofErr w:type="gramStart"/>
      <w:r>
        <w:rPr>
          <w:rFonts w:ascii="Times New Roman" w:hAnsi="Times New Roman" w:cs="Times New Roman"/>
          <w:b/>
          <w:sz w:val="24"/>
          <w:szCs w:val="24"/>
        </w:rPr>
        <w:t>Arnson</w:t>
      </w:r>
      <w:proofErr w:type="spellEnd"/>
      <w:r>
        <w:rPr>
          <w:rFonts w:ascii="Times New Roman" w:hAnsi="Times New Roman" w:cs="Times New Roman"/>
          <w:b/>
          <w:sz w:val="24"/>
          <w:szCs w:val="24"/>
        </w:rPr>
        <w:t>(</w:t>
      </w:r>
      <w:proofErr w:type="gramEnd"/>
      <w:r>
        <w:rPr>
          <w:rFonts w:ascii="Times New Roman" w:hAnsi="Times New Roman" w:cs="Times New Roman"/>
          <w:b/>
          <w:sz w:val="24"/>
          <w:szCs w:val="24"/>
        </w:rPr>
        <w:t xml:space="preserve">2001), Experts on the ordinary: </w:t>
      </w:r>
      <w:proofErr w:type="spellStart"/>
      <w:r>
        <w:rPr>
          <w:rFonts w:ascii="Times New Roman" w:hAnsi="Times New Roman" w:cs="Times New Roman"/>
          <w:b/>
          <w:sz w:val="24"/>
          <w:szCs w:val="24"/>
        </w:rPr>
        <w:t>Berevnet</w:t>
      </w:r>
      <w:proofErr w:type="spellEnd"/>
      <w:r>
        <w:rPr>
          <w:rFonts w:ascii="Times New Roman" w:hAnsi="Times New Roman" w:cs="Times New Roman"/>
          <w:b/>
          <w:sz w:val="24"/>
          <w:szCs w:val="24"/>
        </w:rPr>
        <w:t xml:space="preserve"> counselling in Britain. Journal of the royal anthropological institute. Vol 7, no2 p</w:t>
      </w:r>
      <w:proofErr w:type="gramStart"/>
      <w:r>
        <w:rPr>
          <w:rFonts w:ascii="Times New Roman" w:hAnsi="Times New Roman" w:cs="Times New Roman"/>
          <w:b/>
          <w:sz w:val="24"/>
          <w:szCs w:val="24"/>
        </w:rPr>
        <w:t>299 .</w:t>
      </w:r>
      <w:proofErr w:type="gramEnd"/>
      <w:r>
        <w:rPr>
          <w:rFonts w:ascii="Times New Roman" w:hAnsi="Times New Roman" w:cs="Times New Roman"/>
          <w:b/>
          <w:sz w:val="24"/>
          <w:szCs w:val="24"/>
        </w:rPr>
        <w:t xml:space="preserve"> accessed 23 Oct 2017.</w:t>
      </w:r>
    </w:p>
    <w:p w:rsidR="00334068" w:rsidRDefault="00334068" w:rsidP="00334068">
      <w:pPr>
        <w:pStyle w:val="ListParagraph"/>
        <w:numPr>
          <w:ilvl w:val="0"/>
          <w:numId w:val="1"/>
        </w:numPr>
        <w:spacing w:line="360" w:lineRule="auto"/>
        <w:rPr>
          <w:rFonts w:ascii="Times New Roman" w:hAnsi="Times New Roman" w:cs="Times New Roman"/>
          <w:b/>
          <w:sz w:val="24"/>
          <w:szCs w:val="24"/>
        </w:rPr>
      </w:pPr>
      <w:proofErr w:type="spellStart"/>
      <w:proofErr w:type="gramStart"/>
      <w:r>
        <w:rPr>
          <w:rFonts w:ascii="Times New Roman" w:hAnsi="Times New Roman" w:cs="Times New Roman"/>
          <w:b/>
          <w:sz w:val="24"/>
          <w:szCs w:val="24"/>
        </w:rPr>
        <w:t>Clark,A</w:t>
      </w:r>
      <w:proofErr w:type="gramEnd"/>
      <w:r>
        <w:rPr>
          <w:rFonts w:ascii="Times New Roman" w:hAnsi="Times New Roman" w:cs="Times New Roman"/>
          <w:b/>
          <w:sz w:val="24"/>
          <w:szCs w:val="24"/>
        </w:rPr>
        <w:t>.The</w:t>
      </w:r>
      <w:proofErr w:type="spellEnd"/>
      <w:r>
        <w:rPr>
          <w:rFonts w:ascii="Times New Roman" w:hAnsi="Times New Roman" w:cs="Times New Roman"/>
          <w:b/>
          <w:sz w:val="24"/>
          <w:szCs w:val="24"/>
        </w:rPr>
        <w:t xml:space="preserve"> sociology of health care. 2</w:t>
      </w:r>
      <w:r>
        <w:rPr>
          <w:rFonts w:ascii="Times New Roman" w:hAnsi="Times New Roman" w:cs="Times New Roman"/>
          <w:b/>
          <w:sz w:val="24"/>
          <w:szCs w:val="24"/>
          <w:vertAlign w:val="superscript"/>
        </w:rPr>
        <w:t>nd</w:t>
      </w:r>
      <w:r>
        <w:rPr>
          <w:rFonts w:ascii="Times New Roman" w:hAnsi="Times New Roman" w:cs="Times New Roman"/>
          <w:b/>
          <w:sz w:val="24"/>
          <w:szCs w:val="24"/>
        </w:rPr>
        <w:t xml:space="preserve"> ed 2013.Routledge .</w:t>
      </w:r>
      <w:proofErr w:type="spellStart"/>
      <w:r>
        <w:rPr>
          <w:rFonts w:ascii="Times New Roman" w:hAnsi="Times New Roman" w:cs="Times New Roman"/>
          <w:b/>
          <w:sz w:val="24"/>
          <w:szCs w:val="24"/>
        </w:rPr>
        <w:t>uk</w:t>
      </w:r>
      <w:proofErr w:type="spellEnd"/>
      <w:r>
        <w:rPr>
          <w:rFonts w:ascii="Times New Roman" w:hAnsi="Times New Roman" w:cs="Times New Roman"/>
          <w:b/>
          <w:sz w:val="24"/>
          <w:szCs w:val="24"/>
        </w:rPr>
        <w:t>.</w:t>
      </w:r>
    </w:p>
    <w:p w:rsidR="00334068" w:rsidRDefault="00334068" w:rsidP="00334068">
      <w:pPr>
        <w:pStyle w:val="ListParagraph"/>
        <w:numPr>
          <w:ilvl w:val="0"/>
          <w:numId w:val="2"/>
        </w:num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Penny,A</w:t>
      </w:r>
      <w:proofErr w:type="gramEnd"/>
      <w:r>
        <w:rPr>
          <w:rFonts w:ascii="Times New Roman" w:hAnsi="Times New Roman" w:cs="Times New Roman"/>
          <w:b/>
          <w:sz w:val="24"/>
          <w:szCs w:val="24"/>
        </w:rPr>
        <w:t>,2014 Life after Death six steps to improve support in bereavement</w:t>
      </w:r>
    </w:p>
    <w:p w:rsidR="00334068" w:rsidRDefault="00334068" w:rsidP="00334068">
      <w:pPr>
        <w:pStyle w:val="ListParagraph"/>
        <w:numPr>
          <w:ilvl w:val="0"/>
          <w:numId w:val="2"/>
        </w:num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Genevo,J</w:t>
      </w:r>
      <w:proofErr w:type="gramEnd"/>
      <w:r>
        <w:rPr>
          <w:rFonts w:ascii="Times New Roman" w:hAnsi="Times New Roman" w:cs="Times New Roman"/>
          <w:b/>
          <w:sz w:val="24"/>
          <w:szCs w:val="24"/>
        </w:rPr>
        <w:t>,2003 ,Bereavement and Grief, centre for advancement of health</w:t>
      </w:r>
    </w:p>
    <w:p w:rsidR="00334068" w:rsidRDefault="00334068" w:rsidP="00334068">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b/>
          <w:sz w:val="24"/>
          <w:szCs w:val="24"/>
        </w:rPr>
        <w:t xml:space="preserve">Managing </w:t>
      </w:r>
      <w:proofErr w:type="spellStart"/>
      <w:r>
        <w:rPr>
          <w:rFonts w:ascii="Times New Roman" w:hAnsi="Times New Roman" w:cs="Times New Roman"/>
          <w:b/>
          <w:sz w:val="24"/>
          <w:szCs w:val="24"/>
        </w:rPr>
        <w:t>berevment</w:t>
      </w:r>
      <w:proofErr w:type="spellEnd"/>
      <w:r>
        <w:rPr>
          <w:rFonts w:ascii="Times New Roman" w:hAnsi="Times New Roman" w:cs="Times New Roman"/>
          <w:b/>
          <w:sz w:val="24"/>
          <w:szCs w:val="24"/>
        </w:rPr>
        <w:t>. The practioner,3 sept.</w:t>
      </w:r>
      <w:proofErr w:type="gramStart"/>
      <w:r>
        <w:rPr>
          <w:rFonts w:ascii="Times New Roman" w:hAnsi="Times New Roman" w:cs="Times New Roman"/>
          <w:b/>
          <w:sz w:val="24"/>
          <w:szCs w:val="24"/>
        </w:rPr>
        <w:t>2003,p</w:t>
      </w:r>
      <w:proofErr w:type="gramEnd"/>
      <w:r>
        <w:rPr>
          <w:rFonts w:ascii="Times New Roman" w:hAnsi="Times New Roman" w:cs="Times New Roman"/>
          <w:b/>
          <w:sz w:val="24"/>
          <w:szCs w:val="24"/>
        </w:rPr>
        <w:t>667. Accessed on 23 oct 2017.</w:t>
      </w:r>
    </w:p>
    <w:p w:rsidR="00334068" w:rsidRDefault="00334068" w:rsidP="00334068">
      <w:pPr>
        <w:pStyle w:val="ListParagraph"/>
        <w:numPr>
          <w:ilvl w:val="0"/>
          <w:numId w:val="2"/>
        </w:numPr>
        <w:spacing w:line="360" w:lineRule="auto"/>
        <w:rPr>
          <w:rFonts w:ascii="Times New Roman" w:hAnsi="Times New Roman" w:cs="Times New Roman"/>
          <w:b/>
          <w:sz w:val="24"/>
          <w:szCs w:val="24"/>
        </w:rPr>
      </w:pPr>
      <w:proofErr w:type="spellStart"/>
      <w:r>
        <w:rPr>
          <w:rFonts w:ascii="Times New Roman" w:hAnsi="Times New Roman" w:cs="Times New Roman"/>
          <w:b/>
          <w:sz w:val="24"/>
          <w:szCs w:val="24"/>
        </w:rPr>
        <w:t>Muuray</w:t>
      </w:r>
      <w:proofErr w:type="spellEnd"/>
      <w:r>
        <w:rPr>
          <w:rFonts w:ascii="Times New Roman" w:hAnsi="Times New Roman" w:cs="Times New Roman"/>
          <w:b/>
          <w:sz w:val="24"/>
          <w:szCs w:val="24"/>
        </w:rPr>
        <w:t xml:space="preserve"> </w:t>
      </w:r>
      <w:proofErr w:type="spellStart"/>
      <w:proofErr w:type="gramStart"/>
      <w:r>
        <w:rPr>
          <w:rFonts w:ascii="Times New Roman" w:hAnsi="Times New Roman" w:cs="Times New Roman"/>
          <w:b/>
          <w:sz w:val="24"/>
          <w:szCs w:val="24"/>
        </w:rPr>
        <w:t>Parkes,c</w:t>
      </w:r>
      <w:proofErr w:type="spellEnd"/>
      <w:r>
        <w:rPr>
          <w:rFonts w:ascii="Times New Roman" w:hAnsi="Times New Roman" w:cs="Times New Roman"/>
          <w:b/>
          <w:sz w:val="24"/>
          <w:szCs w:val="24"/>
        </w:rPr>
        <w:t>.</w:t>
      </w:r>
      <w:proofErr w:type="gram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Berevment</w:t>
      </w:r>
      <w:proofErr w:type="spellEnd"/>
      <w:r>
        <w:rPr>
          <w:rFonts w:ascii="Times New Roman" w:hAnsi="Times New Roman" w:cs="Times New Roman"/>
          <w:b/>
          <w:sz w:val="24"/>
          <w:szCs w:val="24"/>
        </w:rPr>
        <w:t xml:space="preserve"> in adult </w:t>
      </w:r>
      <w:proofErr w:type="spellStart"/>
      <w:r>
        <w:rPr>
          <w:rFonts w:ascii="Times New Roman" w:hAnsi="Times New Roman" w:cs="Times New Roman"/>
          <w:b/>
          <w:sz w:val="24"/>
          <w:szCs w:val="24"/>
        </w:rPr>
        <w:t>life.British</w:t>
      </w:r>
      <w:proofErr w:type="spellEnd"/>
      <w:r>
        <w:rPr>
          <w:rFonts w:ascii="Times New Roman" w:hAnsi="Times New Roman" w:cs="Times New Roman"/>
          <w:b/>
          <w:sz w:val="24"/>
          <w:szCs w:val="24"/>
        </w:rPr>
        <w:t xml:space="preserve"> Medical Journal. </w:t>
      </w:r>
      <w:proofErr w:type="gramStart"/>
      <w:r>
        <w:rPr>
          <w:rFonts w:ascii="Times New Roman" w:hAnsi="Times New Roman" w:cs="Times New Roman"/>
          <w:b/>
          <w:sz w:val="24"/>
          <w:szCs w:val="24"/>
        </w:rPr>
        <w:t>Accessed  dec</w:t>
      </w:r>
      <w:proofErr w:type="gramEnd"/>
      <w:r>
        <w:rPr>
          <w:rFonts w:ascii="Times New Roman" w:hAnsi="Times New Roman" w:cs="Times New Roman"/>
          <w:b/>
          <w:sz w:val="24"/>
          <w:szCs w:val="24"/>
        </w:rPr>
        <w:t>02,2017.</w:t>
      </w:r>
    </w:p>
    <w:p w:rsidR="00334068" w:rsidRDefault="00334068" w:rsidP="00334068">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b/>
          <w:sz w:val="24"/>
          <w:szCs w:val="24"/>
        </w:rPr>
        <w:t xml:space="preserve">Sheldon Frances. </w:t>
      </w:r>
      <w:proofErr w:type="spellStart"/>
      <w:r>
        <w:rPr>
          <w:rFonts w:ascii="Times New Roman" w:hAnsi="Times New Roman" w:cs="Times New Roman"/>
          <w:b/>
          <w:sz w:val="24"/>
          <w:szCs w:val="24"/>
        </w:rPr>
        <w:t>Berevment</w:t>
      </w:r>
      <w:proofErr w:type="spellEnd"/>
      <w:r>
        <w:rPr>
          <w:rFonts w:ascii="Times New Roman" w:hAnsi="Times New Roman" w:cs="Times New Roman"/>
          <w:b/>
          <w:sz w:val="24"/>
          <w:szCs w:val="24"/>
        </w:rPr>
        <w:t xml:space="preserve"> British Medical Journal, 7 </w:t>
      </w:r>
      <w:proofErr w:type="spellStart"/>
      <w:r>
        <w:rPr>
          <w:rFonts w:ascii="Times New Roman" w:hAnsi="Times New Roman" w:cs="Times New Roman"/>
          <w:b/>
          <w:sz w:val="24"/>
          <w:szCs w:val="24"/>
        </w:rPr>
        <w:t>feb</w:t>
      </w:r>
      <w:proofErr w:type="spellEnd"/>
      <w:r>
        <w:rPr>
          <w:rFonts w:ascii="Times New Roman" w:hAnsi="Times New Roman" w:cs="Times New Roman"/>
          <w:b/>
          <w:sz w:val="24"/>
          <w:szCs w:val="24"/>
        </w:rPr>
        <w:t xml:space="preserve"> 1998. Accessed 23 oct. 2017.</w:t>
      </w:r>
    </w:p>
    <w:p w:rsidR="00334068" w:rsidRDefault="00334068" w:rsidP="00334068">
      <w:pPr>
        <w:pStyle w:val="ListParagraph"/>
        <w:numPr>
          <w:ilvl w:val="0"/>
          <w:numId w:val="2"/>
        </w:numPr>
        <w:spacing w:line="360" w:lineRule="auto"/>
        <w:rPr>
          <w:rFonts w:ascii="Times New Roman" w:hAnsi="Times New Roman" w:cs="Times New Roman"/>
          <w:b/>
          <w:sz w:val="24"/>
          <w:szCs w:val="24"/>
        </w:rPr>
      </w:pPr>
      <w:proofErr w:type="spellStart"/>
      <w:proofErr w:type="gramStart"/>
      <w:r>
        <w:rPr>
          <w:rFonts w:ascii="Times New Roman" w:hAnsi="Times New Roman" w:cs="Times New Roman"/>
          <w:b/>
          <w:sz w:val="24"/>
          <w:szCs w:val="24"/>
        </w:rPr>
        <w:t>Feltham,C</w:t>
      </w:r>
      <w:proofErr w:type="spellEnd"/>
      <w:r>
        <w:rPr>
          <w:rFonts w:ascii="Times New Roman" w:hAnsi="Times New Roman" w:cs="Times New Roman"/>
          <w:b/>
          <w:sz w:val="24"/>
          <w:szCs w:val="24"/>
        </w:rPr>
        <w:t>.</w:t>
      </w:r>
      <w:proofErr w:type="gram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Horton,T.The</w:t>
      </w:r>
      <w:proofErr w:type="spellEnd"/>
      <w:r>
        <w:rPr>
          <w:rFonts w:ascii="Times New Roman" w:hAnsi="Times New Roman" w:cs="Times New Roman"/>
          <w:b/>
          <w:sz w:val="24"/>
          <w:szCs w:val="24"/>
        </w:rPr>
        <w:t xml:space="preserve"> sage handbook of counselling and </w:t>
      </w:r>
      <w:proofErr w:type="spellStart"/>
      <w:r>
        <w:rPr>
          <w:rFonts w:ascii="Times New Roman" w:hAnsi="Times New Roman" w:cs="Times New Roman"/>
          <w:b/>
          <w:sz w:val="24"/>
          <w:szCs w:val="24"/>
        </w:rPr>
        <w:t>psychothererpy</w:t>
      </w:r>
      <w:proofErr w:type="spellEnd"/>
      <w:r>
        <w:rPr>
          <w:rFonts w:ascii="Times New Roman" w:hAnsi="Times New Roman" w:cs="Times New Roman"/>
          <w:b/>
          <w:sz w:val="24"/>
          <w:szCs w:val="24"/>
        </w:rPr>
        <w:t>.(2009). Sage :London.</w:t>
      </w:r>
      <w:bookmarkStart w:id="1" w:name="_GoBack"/>
      <w:bookmarkEnd w:id="1"/>
    </w:p>
    <w:p w:rsidR="00334068" w:rsidRDefault="00334068" w:rsidP="00334068">
      <w:pPr>
        <w:pStyle w:val="ListParagraph"/>
        <w:spacing w:line="360" w:lineRule="auto"/>
        <w:rPr>
          <w:rFonts w:ascii="Times New Roman" w:hAnsi="Times New Roman" w:cs="Times New Roman"/>
          <w:b/>
          <w:sz w:val="24"/>
          <w:szCs w:val="24"/>
        </w:rPr>
      </w:pPr>
    </w:p>
    <w:p w:rsidR="00334068" w:rsidRDefault="00334068" w:rsidP="00CF2D97"/>
    <w:p w:rsidR="00334068" w:rsidRDefault="00334068" w:rsidP="00CF2D97"/>
    <w:p w:rsidR="00334068" w:rsidRDefault="00334068" w:rsidP="00CF2D97"/>
    <w:p w:rsidR="00334068" w:rsidRDefault="00334068" w:rsidP="00CF2D97"/>
    <w:sectPr w:rsidR="00334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817CB"/>
    <w:multiLevelType w:val="hybridMultilevel"/>
    <w:tmpl w:val="E348F9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EA0733D"/>
    <w:multiLevelType w:val="hybridMultilevel"/>
    <w:tmpl w:val="1F5091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D97"/>
    <w:rsid w:val="00015330"/>
    <w:rsid w:val="00145403"/>
    <w:rsid w:val="00155FDA"/>
    <w:rsid w:val="00182271"/>
    <w:rsid w:val="00230E56"/>
    <w:rsid w:val="00334068"/>
    <w:rsid w:val="00447624"/>
    <w:rsid w:val="00CF2D97"/>
    <w:rsid w:val="00D14FC8"/>
    <w:rsid w:val="00DB242F"/>
    <w:rsid w:val="00DD5C1B"/>
    <w:rsid w:val="00F11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4D363"/>
  <w15:chartTrackingRefBased/>
  <w15:docId w15:val="{E1281115-DE8C-4AAF-AF38-9BE396A4F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40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4068"/>
    <w:rPr>
      <w:rFonts w:ascii="Segoe UI" w:hAnsi="Segoe UI" w:cs="Segoe UI"/>
      <w:sz w:val="18"/>
      <w:szCs w:val="18"/>
    </w:rPr>
  </w:style>
  <w:style w:type="paragraph" w:styleId="ListParagraph">
    <w:name w:val="List Paragraph"/>
    <w:basedOn w:val="Normal"/>
    <w:uiPriority w:val="34"/>
    <w:qFormat/>
    <w:rsid w:val="00334068"/>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040426">
      <w:bodyDiv w:val="1"/>
      <w:marLeft w:val="0"/>
      <w:marRight w:val="0"/>
      <w:marTop w:val="0"/>
      <w:marBottom w:val="0"/>
      <w:divBdr>
        <w:top w:val="none" w:sz="0" w:space="0" w:color="auto"/>
        <w:left w:val="none" w:sz="0" w:space="0" w:color="auto"/>
        <w:bottom w:val="none" w:sz="0" w:space="0" w:color="auto"/>
        <w:right w:val="none" w:sz="0" w:space="0" w:color="auto"/>
      </w:divBdr>
    </w:div>
    <w:div w:id="646252418">
      <w:bodyDiv w:val="1"/>
      <w:marLeft w:val="0"/>
      <w:marRight w:val="0"/>
      <w:marTop w:val="0"/>
      <w:marBottom w:val="0"/>
      <w:divBdr>
        <w:top w:val="none" w:sz="0" w:space="0" w:color="auto"/>
        <w:left w:val="none" w:sz="0" w:space="0" w:color="auto"/>
        <w:bottom w:val="none" w:sz="0" w:space="0" w:color="auto"/>
        <w:right w:val="none" w:sz="0" w:space="0" w:color="auto"/>
      </w:divBdr>
    </w:div>
    <w:div w:id="763258599">
      <w:bodyDiv w:val="1"/>
      <w:marLeft w:val="0"/>
      <w:marRight w:val="0"/>
      <w:marTop w:val="0"/>
      <w:marBottom w:val="0"/>
      <w:divBdr>
        <w:top w:val="none" w:sz="0" w:space="0" w:color="auto"/>
        <w:left w:val="none" w:sz="0" w:space="0" w:color="auto"/>
        <w:bottom w:val="none" w:sz="0" w:space="0" w:color="auto"/>
        <w:right w:val="none" w:sz="0" w:space="0" w:color="auto"/>
      </w:divBdr>
    </w:div>
    <w:div w:id="108915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1920</Words>
  <Characters>10948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dc:creator>
  <cp:keywords/>
  <dc:description/>
  <cp:lastModifiedBy>Nina</cp:lastModifiedBy>
  <cp:revision>2</cp:revision>
  <cp:lastPrinted>2019-04-30T18:30:00Z</cp:lastPrinted>
  <dcterms:created xsi:type="dcterms:W3CDTF">2019-04-30T20:45:00Z</dcterms:created>
  <dcterms:modified xsi:type="dcterms:W3CDTF">2019-04-30T20:45:00Z</dcterms:modified>
</cp:coreProperties>
</file>