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00CC7" w14:textId="6CD89362" w:rsidR="00C83AFD" w:rsidRPr="00A36CD6" w:rsidRDefault="0073273E" w:rsidP="00737A7C">
      <w:pPr>
        <w:rPr>
          <w:rFonts w:ascii="Arial" w:hAnsi="Arial" w:cs="Arial"/>
          <w:b/>
          <w:bCs/>
          <w:sz w:val="24"/>
          <w:szCs w:val="24"/>
          <w:u w:val="single"/>
        </w:rPr>
      </w:pPr>
      <w:r>
        <w:rPr>
          <w:rFonts w:ascii="Arial" w:hAnsi="Arial" w:cs="Arial"/>
          <w:b/>
          <w:bCs/>
          <w:sz w:val="24"/>
          <w:szCs w:val="24"/>
          <w:u w:val="single"/>
        </w:rPr>
        <w:t xml:space="preserve">Basic acknowledgement format </w:t>
      </w:r>
      <w:r w:rsidR="00C757FE">
        <w:rPr>
          <w:rFonts w:ascii="Arial" w:hAnsi="Arial" w:cs="Arial"/>
          <w:b/>
          <w:bCs/>
          <w:sz w:val="24"/>
          <w:szCs w:val="24"/>
          <w:u w:val="single"/>
        </w:rPr>
        <w:t xml:space="preserve">of </w:t>
      </w:r>
      <w:r w:rsidR="00FC134D" w:rsidRPr="00A36CD6">
        <w:rPr>
          <w:rFonts w:ascii="Arial" w:hAnsi="Arial" w:cs="Arial"/>
          <w:b/>
          <w:bCs/>
          <w:sz w:val="24"/>
          <w:szCs w:val="24"/>
          <w:u w:val="single"/>
        </w:rPr>
        <w:t>A.I</w:t>
      </w:r>
      <w:r w:rsidR="00C757FE">
        <w:rPr>
          <w:rFonts w:ascii="Arial" w:hAnsi="Arial" w:cs="Arial"/>
          <w:b/>
          <w:bCs/>
          <w:sz w:val="24"/>
          <w:szCs w:val="24"/>
          <w:u w:val="single"/>
        </w:rPr>
        <w:t xml:space="preserve"> tool use</w:t>
      </w:r>
      <w:r w:rsidR="00FC134D" w:rsidRPr="00A36CD6">
        <w:rPr>
          <w:rFonts w:ascii="Arial" w:hAnsi="Arial" w:cs="Arial"/>
          <w:b/>
          <w:bCs/>
          <w:sz w:val="24"/>
          <w:szCs w:val="24"/>
          <w:u w:val="single"/>
        </w:rPr>
        <w:br/>
      </w:r>
    </w:p>
    <w:p w14:paraId="3DD588D5"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acknowledge the use of Microsoft Copilot (https://copilot.microsoft.com/) during October 2026 to support research, structure and proofreading for this assignment.</w:t>
      </w:r>
    </w:p>
    <w:p w14:paraId="43EF28DF"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used the tool to:</w:t>
      </w:r>
    </w:p>
    <w:p w14:paraId="48FFD684" w14:textId="77777777" w:rsidR="00A36CD6" w:rsidRPr="00A36CD6" w:rsidRDefault="00A36CD6" w:rsidP="00A36CD6">
      <w:pPr>
        <w:numPr>
          <w:ilvl w:val="0"/>
          <w:numId w:val="28"/>
        </w:numPr>
        <w:rPr>
          <w:rFonts w:ascii="Arial" w:hAnsi="Arial" w:cs="Arial"/>
          <w:b/>
          <w:bCs/>
          <w:sz w:val="24"/>
          <w:szCs w:val="24"/>
        </w:rPr>
      </w:pPr>
      <w:r w:rsidRPr="00A36CD6">
        <w:rPr>
          <w:rFonts w:ascii="Arial" w:hAnsi="Arial" w:cs="Arial"/>
          <w:b/>
          <w:bCs/>
          <w:sz w:val="24"/>
          <w:szCs w:val="24"/>
        </w:rPr>
        <w:t>identify and locate relevant academic sources;</w:t>
      </w:r>
    </w:p>
    <w:p w14:paraId="5458F604" w14:textId="77777777" w:rsidR="00A36CD6" w:rsidRPr="00A36CD6" w:rsidRDefault="00A36CD6" w:rsidP="00A36CD6">
      <w:pPr>
        <w:numPr>
          <w:ilvl w:val="0"/>
          <w:numId w:val="28"/>
        </w:numPr>
        <w:rPr>
          <w:rFonts w:ascii="Arial" w:hAnsi="Arial" w:cs="Arial"/>
          <w:b/>
          <w:bCs/>
          <w:sz w:val="24"/>
          <w:szCs w:val="24"/>
        </w:rPr>
      </w:pPr>
      <w:r w:rsidRPr="00A36CD6">
        <w:rPr>
          <w:rFonts w:ascii="Arial" w:hAnsi="Arial" w:cs="Arial"/>
          <w:b/>
          <w:bCs/>
          <w:sz w:val="24"/>
          <w:szCs w:val="24"/>
        </w:rPr>
        <w:t>review sections of my work for clarity, grammar and academic style.</w:t>
      </w:r>
    </w:p>
    <w:p w14:paraId="73E2C946"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Example prompts included:</w:t>
      </w:r>
    </w:p>
    <w:p w14:paraId="5E5069C1" w14:textId="77777777" w:rsidR="00A36CD6" w:rsidRPr="00A36CD6" w:rsidRDefault="00A36CD6" w:rsidP="00A36CD6">
      <w:pPr>
        <w:numPr>
          <w:ilvl w:val="0"/>
          <w:numId w:val="29"/>
        </w:numPr>
        <w:rPr>
          <w:rFonts w:ascii="Arial" w:hAnsi="Arial" w:cs="Arial"/>
          <w:b/>
          <w:bCs/>
          <w:sz w:val="24"/>
          <w:szCs w:val="24"/>
        </w:rPr>
      </w:pPr>
      <w:r w:rsidRPr="00A36CD6">
        <w:rPr>
          <w:rFonts w:ascii="Arial" w:hAnsi="Arial" w:cs="Arial"/>
          <w:b/>
          <w:bCs/>
          <w:sz w:val="24"/>
          <w:szCs w:val="24"/>
        </w:rPr>
        <w:t>"Find academic sources relating to pedagogical documentation in Reggio Emilia."</w:t>
      </w:r>
    </w:p>
    <w:p w14:paraId="710C443D" w14:textId="77777777" w:rsidR="00A36CD6" w:rsidRDefault="00A36CD6" w:rsidP="00A36CD6">
      <w:pPr>
        <w:numPr>
          <w:ilvl w:val="0"/>
          <w:numId w:val="29"/>
        </w:numPr>
        <w:rPr>
          <w:rFonts w:ascii="Arial" w:hAnsi="Arial" w:cs="Arial"/>
          <w:b/>
          <w:bCs/>
          <w:sz w:val="24"/>
          <w:szCs w:val="24"/>
        </w:rPr>
      </w:pPr>
      <w:r w:rsidRPr="00A36CD6">
        <w:rPr>
          <w:rFonts w:ascii="Arial" w:hAnsi="Arial" w:cs="Arial"/>
          <w:b/>
          <w:bCs/>
          <w:sz w:val="24"/>
          <w:szCs w:val="24"/>
        </w:rPr>
        <w:t>"Proofread this paragraph for academic writing."</w:t>
      </w:r>
    </w:p>
    <w:p w14:paraId="319F6FCC" w14:textId="77777777" w:rsidR="00A36CD6" w:rsidRPr="00A36CD6" w:rsidRDefault="00A36CD6" w:rsidP="00A36CD6">
      <w:pPr>
        <w:ind w:left="720"/>
        <w:rPr>
          <w:rFonts w:ascii="Arial" w:hAnsi="Arial" w:cs="Arial"/>
          <w:b/>
          <w:bCs/>
          <w:sz w:val="24"/>
          <w:szCs w:val="24"/>
        </w:rPr>
      </w:pPr>
    </w:p>
    <w:p w14:paraId="7EA2BF55"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confirm that I have not presented AI-generated text as my own work. All source selection, critical analysis, interpretation, evaluation and final written content were reviewed, edited and produced by me. I also confirm that I have retained drafts, notes and supporting materials used before and after the use of AI tools, which may be provided if requested.</w:t>
      </w:r>
    </w:p>
    <w:p w14:paraId="04FDEE53" w14:textId="77777777" w:rsidR="001C037C" w:rsidRDefault="001C037C" w:rsidP="00EF4C30">
      <w:pPr>
        <w:rPr>
          <w:b/>
          <w:bCs/>
          <w:u w:val="single"/>
        </w:rPr>
      </w:pPr>
    </w:p>
    <w:p w14:paraId="0A6E5F42" w14:textId="27F0C84D" w:rsidR="00737A7C" w:rsidRDefault="00FC134D" w:rsidP="00A36CD6">
      <w:pPr>
        <w:rPr>
          <w:rFonts w:ascii="Arial" w:hAnsi="Arial" w:cs="Arial"/>
          <w:b/>
          <w:bCs/>
          <w:sz w:val="24"/>
          <w:szCs w:val="24"/>
          <w:u w:val="single"/>
        </w:rPr>
      </w:pP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p>
    <w:p w14:paraId="5C5A50DC" w14:textId="77777777" w:rsidR="00737A7C" w:rsidRDefault="00737A7C" w:rsidP="00F62C94">
      <w:pPr>
        <w:spacing w:line="360" w:lineRule="auto"/>
        <w:rPr>
          <w:rFonts w:ascii="Arial" w:hAnsi="Arial" w:cs="Arial"/>
          <w:b/>
          <w:bCs/>
          <w:sz w:val="24"/>
          <w:szCs w:val="24"/>
          <w:u w:val="single"/>
        </w:rPr>
      </w:pPr>
    </w:p>
    <w:p w14:paraId="67B6CC01" w14:textId="77777777" w:rsidR="00105589" w:rsidRDefault="00105589" w:rsidP="00F62C94">
      <w:pPr>
        <w:spacing w:line="360" w:lineRule="auto"/>
        <w:rPr>
          <w:rFonts w:ascii="Arial" w:hAnsi="Arial" w:cs="Arial"/>
          <w:b/>
          <w:bCs/>
          <w:sz w:val="24"/>
          <w:szCs w:val="24"/>
          <w:u w:val="single"/>
        </w:rPr>
      </w:pPr>
    </w:p>
    <w:p w14:paraId="752BFA55" w14:textId="77777777" w:rsidR="00105589" w:rsidRPr="00F62C94" w:rsidRDefault="00105589" w:rsidP="00F62C94">
      <w:pPr>
        <w:spacing w:line="360" w:lineRule="auto"/>
        <w:rPr>
          <w:rFonts w:ascii="Arial" w:hAnsi="Arial" w:cs="Arial"/>
          <w:b/>
          <w:bCs/>
          <w:sz w:val="24"/>
          <w:szCs w:val="24"/>
          <w:u w:val="single"/>
        </w:rPr>
      </w:pPr>
    </w:p>
    <w:p w14:paraId="3536D51B" w14:textId="5E50D3C6"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lastRenderedPageBreak/>
        <w:t>Curriculum is more than a simple list of subjects or content for children to learn (Bovill, 2021; OECD, 2020). Within the Curriculum for Wales, emphasis is placed on the holistic development of the child through learner-centred and play-based approaches. Similarly, Green (2022) and Pacala (2023) argue that curriculum should not be viewed solely as a programme of study, but as a concept, a practice and a field of study that involves both children and practitioners in creating meaningful learning experiences. These perspectives challenge narrow interpretations of curriculum and position children as active participants in their learning.</w:t>
      </w:r>
    </w:p>
    <w:p w14:paraId="7362E786" w14:textId="77777777" w:rsidR="00EB5BEF" w:rsidRPr="00105589" w:rsidRDefault="00EB5BEF" w:rsidP="00105589">
      <w:pPr>
        <w:spacing w:after="0" w:line="360" w:lineRule="auto"/>
        <w:rPr>
          <w:rFonts w:ascii="Arial" w:hAnsi="Arial" w:cs="Arial"/>
          <w:sz w:val="24"/>
          <w:szCs w:val="24"/>
        </w:rPr>
      </w:pPr>
    </w:p>
    <w:p w14:paraId="7CFAED6F" w14:textId="77777777"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t>The concept of curriculum has evolved significantly over time. Traditionally, curriculum was associated with approaches in which teachers transmitted knowledge and children received it passively. This is reflected in Murray's (2022) discussion of earlier definitions of curriculum, including Kerr's (1968, p. 16) description of curriculum as ‘all the learning which is planned and guided’. In contrast, contemporary approaches increasingly recognise children as active contributors to their own learning. Current understandings of early years curriculum have been influenced by theorists including Froebel, Montessori and Isaacs, who advocated child-centred learning and the importance of responding to children's interests and developmental needs (Campbell-Barr and Tregenza, 2023; Sakr and Kaur, 2024).</w:t>
      </w:r>
    </w:p>
    <w:p w14:paraId="6CE37148" w14:textId="77777777" w:rsidR="009F2A6E" w:rsidRPr="00105589" w:rsidRDefault="009F2A6E" w:rsidP="00105589">
      <w:pPr>
        <w:spacing w:after="0" w:line="360" w:lineRule="auto"/>
        <w:rPr>
          <w:rFonts w:ascii="Arial" w:hAnsi="Arial" w:cs="Arial"/>
          <w:sz w:val="24"/>
          <w:szCs w:val="24"/>
        </w:rPr>
      </w:pPr>
    </w:p>
    <w:p w14:paraId="4173BDD9" w14:textId="77777777"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t>Despite the growing emphasis on play-based and child-centred approaches, their successful implementation depends upon practitioners having access to professional learning, resources and support. This assignment critically examines play-based curricula in early childhood education through consideration of the Unique Child, exploring whether practitioners have equitable access to professional learning opportunities and how variations in support may influence pedagogical practice.</w:t>
      </w:r>
    </w:p>
    <w:p w14:paraId="6406258E" w14:textId="77777777" w:rsidR="00325011" w:rsidRPr="00105589" w:rsidRDefault="00325011" w:rsidP="00105589">
      <w:pPr>
        <w:spacing w:after="0" w:line="360" w:lineRule="auto"/>
        <w:rPr>
          <w:rFonts w:ascii="Arial" w:hAnsi="Arial" w:cs="Arial"/>
          <w:sz w:val="24"/>
          <w:szCs w:val="24"/>
        </w:rPr>
      </w:pPr>
    </w:p>
    <w:p w14:paraId="78B46ABE" w14:textId="77777777" w:rsidR="00105589" w:rsidRPr="00105589" w:rsidRDefault="00105589" w:rsidP="00105589">
      <w:pPr>
        <w:spacing w:after="0" w:line="360" w:lineRule="auto"/>
        <w:rPr>
          <w:rFonts w:ascii="Arial" w:eastAsia="Times New Roman" w:hAnsi="Arial" w:cs="Arial"/>
          <w:kern w:val="0"/>
          <w:sz w:val="24"/>
          <w:szCs w:val="24"/>
          <w:lang w:eastAsia="en-GB"/>
          <w14:ligatures w14:val="none"/>
        </w:rPr>
      </w:pPr>
    </w:p>
    <w:p w14:paraId="210F1E93"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 xml:space="preserve">From 1988, Wales followed the </w:t>
      </w:r>
      <w:r w:rsidRPr="00105589">
        <w:rPr>
          <w:rFonts w:ascii="Arial" w:eastAsia="Times New Roman" w:hAnsi="Arial" w:cs="Arial"/>
          <w:i/>
          <w:iCs/>
          <w:kern w:val="0"/>
          <w:sz w:val="24"/>
          <w:szCs w:val="24"/>
          <w:lang w:eastAsia="en-GB"/>
          <w14:ligatures w14:val="none"/>
        </w:rPr>
        <w:t>Education Reform Act 1988</w:t>
      </w:r>
      <w:r w:rsidRPr="00105589">
        <w:rPr>
          <w:rFonts w:ascii="Arial" w:eastAsia="Times New Roman" w:hAnsi="Arial" w:cs="Arial"/>
          <w:kern w:val="0"/>
          <w:sz w:val="24"/>
          <w:szCs w:val="24"/>
          <w:lang w:eastAsia="en-GB"/>
          <w14:ligatures w14:val="none"/>
        </w:rPr>
        <w:t xml:space="preserve">, which introduced a statutory curriculum for England and Wales while allowing teachers some autonomy over how learning was taught (Daugherty and Elfed-Owens, 2003; Evans, 2021). However, concerns emerged regarding its prescriptive nature and limited learner choice. In response, the Foundation Phase was introduced in 2008, replacing more formal approaches with a developmental, experiential and play-based curriculum </w:t>
      </w:r>
      <w:r w:rsidRPr="00105589">
        <w:rPr>
          <w:rFonts w:ascii="Arial" w:eastAsia="Times New Roman" w:hAnsi="Arial" w:cs="Arial"/>
          <w:kern w:val="0"/>
          <w:sz w:val="24"/>
          <w:szCs w:val="24"/>
          <w:lang w:eastAsia="en-GB"/>
          <w14:ligatures w14:val="none"/>
        </w:rPr>
        <w:lastRenderedPageBreak/>
        <w:t>designed to support children's holistic development (Taylor, Rhys and Waldron, 2016).</w:t>
      </w:r>
    </w:p>
    <w:p w14:paraId="5C14BB07"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 xml:space="preserve">Despite these reforms, questions remained regarding the suitability of the curriculum for preparing children for contemporary society. Consequently, the Welsh Government commissioned Professor Graham Donaldson to undertake a review of curriculum and assessment arrangements. His </w:t>
      </w:r>
      <w:r w:rsidRPr="00105589">
        <w:rPr>
          <w:rFonts w:ascii="Arial" w:eastAsia="Times New Roman" w:hAnsi="Arial" w:cs="Arial"/>
          <w:i/>
          <w:iCs/>
          <w:kern w:val="0"/>
          <w:sz w:val="24"/>
          <w:szCs w:val="24"/>
          <w:lang w:eastAsia="en-GB"/>
          <w14:ligatures w14:val="none"/>
        </w:rPr>
        <w:t>Successful Futures</w:t>
      </w:r>
      <w:r w:rsidRPr="00105589">
        <w:rPr>
          <w:rFonts w:ascii="Arial" w:eastAsia="Times New Roman" w:hAnsi="Arial" w:cs="Arial"/>
          <w:kern w:val="0"/>
          <w:sz w:val="24"/>
          <w:szCs w:val="24"/>
          <w:lang w:eastAsia="en-GB"/>
          <w14:ligatures w14:val="none"/>
        </w:rPr>
        <w:t xml:space="preserve"> report proposed a curriculum centred on four purposes, six Areas of Learning and Experience, and an increased emphasis on skills such as digital competence (Donaldson, 2015; Senedd Research, 2019). These recommendations informed the development of Curriculum for Wales and sought to provide greater flexibility for practitioners when designing learning experiences.</w:t>
      </w:r>
    </w:p>
    <w:p w14:paraId="2257DC47"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The introduction of Curriculum for Wales increased the importance of professional learning, as practitioners were expected to adapt their knowledge and practice to support curriculum implementation (Evans, 2023; Estyn, 2025). However, Hughes and Lewis (2020) argue that greater professional autonomy may be challenging without sufficient knowledge and support. Similarly, Gatley and Oostendorp-Godfrey (2026) identify curriculum implementation as a complex process, suggesting that effective reform depends upon ongoing professional learning and practitioner confidence.</w:t>
      </w:r>
    </w:p>
    <w:p w14:paraId="3BEC2282"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p>
    <w:p w14:paraId="1DEDABEB" w14:textId="77777777" w:rsidR="00F62C94" w:rsidRPr="00105589" w:rsidRDefault="00F62C94" w:rsidP="00105589">
      <w:pPr>
        <w:spacing w:after="0" w:line="360" w:lineRule="auto"/>
        <w:rPr>
          <w:rFonts w:ascii="Arial" w:eastAsia="Times New Roman" w:hAnsi="Arial" w:cs="Arial"/>
          <w:kern w:val="0"/>
          <w:sz w:val="24"/>
          <w:szCs w:val="24"/>
          <w:lang w:eastAsia="en-GB"/>
          <w14:ligatures w14:val="none"/>
        </w:rPr>
      </w:pPr>
    </w:p>
    <w:p w14:paraId="06BAEFCA" w14:textId="77777777" w:rsidR="00F62C94" w:rsidRPr="00105589" w:rsidRDefault="00F62C94" w:rsidP="00105589">
      <w:pPr>
        <w:spacing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Although originating in Reggio Emilia, Italy, the Reggio Emilia approach is internationally recognised as an influential model of early childhood education (Edwards, Gandini and Forman, 1998; Gardner and Jones, 2016; Rinaldi, 2021). Developed following the Second World War, it is founded on the belief that children are competent and capable learners. Practitioners are viewed as co-learners who develop understanding alongside children through observation, inquiry and collaboration (Rinaldi, 2021; McNally and Slutsky, 2017). While the approach emerged through the collective efforts of parents and the local community, Loris Malaguzzi is widely recognised as the key figure in shaping its educational philosophy (Edwards and Gandini, 2018; Landi and Pintus, 2022). Influenced by theorists such as Jean Piaget and Lev Vygotsky, the approach emphasises social interaction, active learning and children's meaning-making (Cameron, 2024).</w:t>
      </w:r>
    </w:p>
    <w:p w14:paraId="02EAB41F" w14:textId="30F5A7E4" w:rsidR="00F62C94" w:rsidRPr="00105589" w:rsidRDefault="00F62C94" w:rsidP="00105589">
      <w:pPr>
        <w:spacing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lastRenderedPageBreak/>
        <w:t>Professional learning within Reggio Emilia is viewed as an ongoing process embedded within everyday practice, whereby educators continuously refine their understanding through reflection, observation and experience (</w:t>
      </w:r>
      <w:proofErr w:type="spellStart"/>
      <w:r w:rsidRPr="00105589">
        <w:rPr>
          <w:rFonts w:ascii="Arial" w:eastAsia="Times New Roman" w:hAnsi="Arial" w:cs="Arial"/>
          <w:kern w:val="0"/>
          <w:sz w:val="24"/>
          <w:szCs w:val="24"/>
          <w:lang w:eastAsia="en-GB"/>
          <w14:ligatures w14:val="none"/>
        </w:rPr>
        <w:t>Talwelkar</w:t>
      </w:r>
      <w:proofErr w:type="spellEnd"/>
      <w:r w:rsidRPr="00105589">
        <w:rPr>
          <w:rFonts w:ascii="Arial" w:eastAsia="Times New Roman" w:hAnsi="Arial" w:cs="Arial"/>
          <w:kern w:val="0"/>
          <w:sz w:val="24"/>
          <w:szCs w:val="24"/>
          <w:lang w:eastAsia="en-GB"/>
          <w14:ligatures w14:val="none"/>
        </w:rPr>
        <w:t xml:space="preserve">, Uppal and </w:t>
      </w:r>
      <w:proofErr w:type="spellStart"/>
      <w:r w:rsidRPr="00105589">
        <w:rPr>
          <w:rFonts w:ascii="Arial" w:eastAsia="Times New Roman" w:hAnsi="Arial" w:cs="Arial"/>
          <w:kern w:val="0"/>
          <w:sz w:val="24"/>
          <w:szCs w:val="24"/>
          <w:lang w:eastAsia="en-GB"/>
          <w14:ligatures w14:val="none"/>
        </w:rPr>
        <w:t>Thakarar</w:t>
      </w:r>
      <w:proofErr w:type="spellEnd"/>
      <w:r w:rsidRPr="00105589">
        <w:rPr>
          <w:rFonts w:ascii="Arial" w:eastAsia="Times New Roman" w:hAnsi="Arial" w:cs="Arial"/>
          <w:kern w:val="0"/>
          <w:sz w:val="24"/>
          <w:szCs w:val="24"/>
          <w:lang w:eastAsia="en-GB"/>
          <w14:ligatures w14:val="none"/>
        </w:rPr>
        <w:t xml:space="preserve">, 2024). </w:t>
      </w:r>
      <w:proofErr w:type="spellStart"/>
      <w:r w:rsidRPr="00105589">
        <w:rPr>
          <w:rFonts w:ascii="Arial" w:eastAsia="Times New Roman" w:hAnsi="Arial" w:cs="Arial"/>
          <w:kern w:val="0"/>
          <w:sz w:val="24"/>
          <w:szCs w:val="24"/>
          <w:lang w:eastAsia="en-GB"/>
          <w14:ligatures w14:val="none"/>
        </w:rPr>
        <w:t>Giamminuti</w:t>
      </w:r>
      <w:proofErr w:type="spellEnd"/>
      <w:r w:rsidRPr="00105589">
        <w:rPr>
          <w:rFonts w:ascii="Arial" w:eastAsia="Times New Roman" w:hAnsi="Arial" w:cs="Arial"/>
          <w:kern w:val="0"/>
          <w:sz w:val="24"/>
          <w:szCs w:val="24"/>
          <w:lang w:eastAsia="en-GB"/>
          <w14:ligatures w14:val="none"/>
        </w:rPr>
        <w:t xml:space="preserve"> and Merewether (2023) argue that the approach challenges traditional educational practices and encourages new ways of thinking for both children and practitioners. Consequently, educators engage in pedagogical documentation, collaborative dialogue and reflective practice to inform future learning experiences. However, implementing Reggio Emilia principles can be demanding. Guo and Rouse (2025) suggest that successful adoption requires educator commitment, adequate resources and sustained professional development. Similarly, Macy, Harshbarger, Burke and Neukirch (2026) argue that professional learning develops through ongoing participation and reflection rather than formal training alone. Therefore, the effectiveness of Reggio Emilia depends upon practitioners having sufficient time, resources and opportunities to engage in collaborative reflection and professional growth.</w:t>
      </w:r>
    </w:p>
    <w:p w14:paraId="28BAA700" w14:textId="77777777" w:rsidR="00F62C94" w:rsidRPr="00105589" w:rsidRDefault="00F62C94" w:rsidP="00105589">
      <w:pPr>
        <w:spacing w:line="360" w:lineRule="auto"/>
        <w:rPr>
          <w:rFonts w:ascii="Arial" w:hAnsi="Arial" w:cs="Arial"/>
          <w:sz w:val="24"/>
          <w:szCs w:val="24"/>
        </w:rPr>
      </w:pPr>
    </w:p>
    <w:p w14:paraId="4F8DBFC9" w14:textId="010CB22D" w:rsidR="00E06C08" w:rsidRPr="00105589" w:rsidRDefault="00E06C08" w:rsidP="00105589">
      <w:pPr>
        <w:spacing w:line="360" w:lineRule="auto"/>
        <w:rPr>
          <w:rFonts w:ascii="Arial" w:hAnsi="Arial" w:cs="Arial"/>
          <w:sz w:val="24"/>
          <w:szCs w:val="24"/>
        </w:rPr>
      </w:pPr>
      <w:r w:rsidRPr="00105589">
        <w:rPr>
          <w:rFonts w:ascii="Arial" w:hAnsi="Arial" w:cs="Arial"/>
          <w:sz w:val="24"/>
          <w:szCs w:val="24"/>
        </w:rPr>
        <w:t>While Jones (2025) explains that the Curriculum for Wales was influenced by educational models such as the Reggio Emilia approach, important differences remain between the two. Despite sharing child-centred and holistic principles, several authors argue that cultural and contextual factors can make the implementation of Reggio-inspired practices challenging in both Wales and other international settings (</w:t>
      </w:r>
      <w:proofErr w:type="spellStart"/>
      <w:r w:rsidRPr="00105589">
        <w:rPr>
          <w:rFonts w:ascii="Arial" w:hAnsi="Arial" w:cs="Arial"/>
          <w:sz w:val="24"/>
          <w:szCs w:val="24"/>
        </w:rPr>
        <w:t>Aljabreen</w:t>
      </w:r>
      <w:proofErr w:type="spellEnd"/>
      <w:r w:rsidRPr="00105589">
        <w:rPr>
          <w:rFonts w:ascii="Arial" w:hAnsi="Arial" w:cs="Arial"/>
          <w:sz w:val="24"/>
          <w:szCs w:val="24"/>
        </w:rPr>
        <w:t xml:space="preserve">, 2020; </w:t>
      </w:r>
      <w:proofErr w:type="spellStart"/>
      <w:r w:rsidRPr="00105589">
        <w:rPr>
          <w:rFonts w:ascii="Arial" w:hAnsi="Arial" w:cs="Arial"/>
          <w:sz w:val="24"/>
          <w:szCs w:val="24"/>
        </w:rPr>
        <w:t>Alsedrani</w:t>
      </w:r>
      <w:proofErr w:type="spellEnd"/>
      <w:r w:rsidRPr="00105589">
        <w:rPr>
          <w:rFonts w:ascii="Arial" w:hAnsi="Arial" w:cs="Arial"/>
          <w:sz w:val="24"/>
          <w:szCs w:val="24"/>
        </w:rPr>
        <w:t xml:space="preserve">, 2020; </w:t>
      </w:r>
      <w:proofErr w:type="spellStart"/>
      <w:r w:rsidRPr="00105589">
        <w:rPr>
          <w:rFonts w:ascii="Arial" w:hAnsi="Arial" w:cs="Arial"/>
          <w:sz w:val="24"/>
          <w:szCs w:val="24"/>
        </w:rPr>
        <w:t>Chiwamba</w:t>
      </w:r>
      <w:proofErr w:type="spellEnd"/>
      <w:r w:rsidRPr="00105589">
        <w:rPr>
          <w:rFonts w:ascii="Arial" w:hAnsi="Arial" w:cs="Arial"/>
          <w:sz w:val="24"/>
          <w:szCs w:val="24"/>
        </w:rPr>
        <w:t xml:space="preserve">, 2016). </w:t>
      </w:r>
    </w:p>
    <w:p w14:paraId="0C03526C" w14:textId="73BF2226" w:rsidR="00E06C08" w:rsidRPr="00105589" w:rsidRDefault="00E06C08" w:rsidP="00105589">
      <w:pPr>
        <w:spacing w:line="360" w:lineRule="auto"/>
        <w:rPr>
          <w:rFonts w:ascii="Arial" w:hAnsi="Arial" w:cs="Arial"/>
          <w:sz w:val="24"/>
          <w:szCs w:val="24"/>
        </w:rPr>
      </w:pPr>
      <w:r w:rsidRPr="00105589">
        <w:rPr>
          <w:rFonts w:ascii="Arial" w:hAnsi="Arial" w:cs="Arial"/>
          <w:sz w:val="24"/>
          <w:szCs w:val="24"/>
        </w:rPr>
        <w:t xml:space="preserve">One key difference can be seen in approaches to professional learning. In Wales, practitioners are encouraged to enhance their professional development through national policies, guidance and support programmes, highlighting the importance of structured frameworks in supporting curriculum reform (Jones and Evans, 2023). In contrast, </w:t>
      </w:r>
      <w:proofErr w:type="spellStart"/>
      <w:r w:rsidRPr="00105589">
        <w:rPr>
          <w:rFonts w:ascii="Arial" w:hAnsi="Arial" w:cs="Arial"/>
          <w:sz w:val="24"/>
          <w:szCs w:val="24"/>
        </w:rPr>
        <w:t>Giamminuti</w:t>
      </w:r>
      <w:proofErr w:type="spellEnd"/>
      <w:r w:rsidRPr="00105589">
        <w:rPr>
          <w:rFonts w:ascii="Arial" w:hAnsi="Arial" w:cs="Arial"/>
          <w:sz w:val="24"/>
          <w:szCs w:val="24"/>
        </w:rPr>
        <w:t xml:space="preserve">, Merewether and Blaise (2023) describe professional learning within Reggio Emilia as an ongoing process developed through daily interactions, dialogue, reflection and pedagogical documentation. Consequently, professional learning in Reggio Emilia can be viewed as less structured and more practice-led than the nationally coordinated approach adopted in Wales. </w:t>
      </w:r>
    </w:p>
    <w:p w14:paraId="344E272A" w14:textId="7B39C44B" w:rsidR="00F62C94" w:rsidRPr="00105589" w:rsidRDefault="00E06C08" w:rsidP="00105589">
      <w:pPr>
        <w:spacing w:line="360" w:lineRule="auto"/>
        <w:rPr>
          <w:rFonts w:ascii="Arial" w:hAnsi="Arial" w:cs="Arial"/>
          <w:sz w:val="24"/>
          <w:szCs w:val="24"/>
        </w:rPr>
      </w:pPr>
      <w:r w:rsidRPr="00105589">
        <w:rPr>
          <w:rFonts w:ascii="Arial" w:hAnsi="Arial" w:cs="Arial"/>
          <w:sz w:val="24"/>
          <w:szCs w:val="24"/>
        </w:rPr>
        <w:lastRenderedPageBreak/>
        <w:t xml:space="preserve">Both approaches also value reflection. However, reflective practice in Wales is often linked to curriculum implementation and improvement (Grigg </w:t>
      </w:r>
      <w:r w:rsidRPr="00105589">
        <w:rPr>
          <w:rFonts w:ascii="Arial" w:hAnsi="Arial" w:cs="Arial"/>
          <w:i/>
          <w:iCs/>
          <w:sz w:val="24"/>
          <w:szCs w:val="24"/>
        </w:rPr>
        <w:t>et al</w:t>
      </w:r>
      <w:r w:rsidRPr="00105589">
        <w:rPr>
          <w:rFonts w:ascii="Arial" w:hAnsi="Arial" w:cs="Arial"/>
          <w:sz w:val="24"/>
          <w:szCs w:val="24"/>
        </w:rPr>
        <w:t xml:space="preserve">., 2024), whereas Leggett (2025) describes reflection in Reggio Emilia as an ongoing cycle of observation and documentation that generates new knowledge and understanding. While </w:t>
      </w:r>
      <w:proofErr w:type="spellStart"/>
      <w:r w:rsidRPr="00105589">
        <w:rPr>
          <w:rFonts w:ascii="Arial" w:hAnsi="Arial" w:cs="Arial"/>
          <w:sz w:val="24"/>
          <w:szCs w:val="24"/>
        </w:rPr>
        <w:t>Wales'</w:t>
      </w:r>
      <w:proofErr w:type="spellEnd"/>
      <w:r w:rsidRPr="00105589">
        <w:rPr>
          <w:rFonts w:ascii="Arial" w:hAnsi="Arial" w:cs="Arial"/>
          <w:sz w:val="24"/>
          <w:szCs w:val="24"/>
        </w:rPr>
        <w:t xml:space="preserve"> formalised approach may provide greater consistency and clearer expectations, Reggio Emilia's reflective and practice-led model may allow greater responsiveness to children's individual needs.</w:t>
      </w:r>
      <w:r w:rsidR="00C131E7" w:rsidRPr="00105589">
        <w:rPr>
          <w:rFonts w:ascii="Arial" w:hAnsi="Arial" w:cs="Arial"/>
          <w:sz w:val="24"/>
          <w:szCs w:val="24"/>
        </w:rPr>
        <w:t xml:space="preserve"> </w:t>
      </w:r>
      <w:r w:rsidR="00C131E7" w:rsidRPr="00105589">
        <w:rPr>
          <w:rFonts w:ascii="Arial" w:hAnsi="Arial" w:cs="Arial"/>
          <w:sz w:val="24"/>
          <w:szCs w:val="24"/>
        </w:rPr>
        <w:br/>
        <w:t>This difference may influence how practitioners engage with professional learning, as Welsh practitioners are supported through national guidance, whereas Reggio Emilia practitioners are expected to construct professional knowledge through ongoing inquiry and collaboration.</w:t>
      </w:r>
    </w:p>
    <w:p w14:paraId="2AE80C3F" w14:textId="77777777" w:rsidR="00807E49" w:rsidRPr="00105589" w:rsidRDefault="00807E49" w:rsidP="00105589">
      <w:pPr>
        <w:spacing w:line="360" w:lineRule="auto"/>
        <w:rPr>
          <w:rFonts w:ascii="Arial" w:hAnsi="Arial" w:cs="Arial"/>
          <w:sz w:val="24"/>
          <w:szCs w:val="24"/>
        </w:rPr>
      </w:pPr>
    </w:p>
    <w:p w14:paraId="6FF99830"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 xml:space="preserve">Jones and Evans (2023) argue that effective professional learning in Wales depends upon collaboration, enquiry and continuous development. However, this assumes that practitioners </w:t>
      </w:r>
      <w:proofErr w:type="gramStart"/>
      <w:r w:rsidRPr="00105589">
        <w:rPr>
          <w:rFonts w:ascii="Arial" w:hAnsi="Arial" w:cs="Arial"/>
          <w:sz w:val="24"/>
          <w:szCs w:val="24"/>
        </w:rPr>
        <w:t>are able to</w:t>
      </w:r>
      <w:proofErr w:type="gramEnd"/>
      <w:r w:rsidRPr="00105589">
        <w:rPr>
          <w:rFonts w:ascii="Arial" w:hAnsi="Arial" w:cs="Arial"/>
          <w:sz w:val="24"/>
          <w:szCs w:val="24"/>
        </w:rPr>
        <w:t xml:space="preserve"> engage in these activities. Factors such as funding, staffing levels and leadership support may influence opportunities to participate in meaningful professional learning.</w:t>
      </w:r>
    </w:p>
    <w:p w14:paraId="0F8FC130" w14:textId="77777777" w:rsidR="00643E53" w:rsidRPr="00105589" w:rsidRDefault="00643E53" w:rsidP="00105589">
      <w:pPr>
        <w:spacing w:line="360" w:lineRule="auto"/>
        <w:rPr>
          <w:rFonts w:ascii="Arial" w:hAnsi="Arial" w:cs="Arial"/>
          <w:sz w:val="24"/>
          <w:szCs w:val="24"/>
        </w:rPr>
      </w:pPr>
      <w:r w:rsidRPr="00105589">
        <w:rPr>
          <w:rFonts w:ascii="Arial" w:hAnsi="Arial" w:cs="Arial"/>
          <w:sz w:val="24"/>
          <w:szCs w:val="24"/>
        </w:rPr>
        <w:t>Time constraints and workload pressures present further challenges. Grigg et al. (2024) identify reflection as a key component of professional learning, while Leggett (2025) highlights the importance of engaging in professional learning through careful, collaborative and reflective practice. However, meaningful reflection requires practitioners to have dedicated time to critically evaluate their practice, discuss experiences with colleagues and identify areas for improvement. In settings experiencing staffing shortages, practitioners may prioritise immediate care and teaching responsibilities, leaving limited opportunities for sustained reflection. Furthermore, Jarvie et al. (2023) found that many local authorities reported insufficient childcare provision, placing additional pressures on staff. Consequently, practitioners may have fewer opportunities to engage in professional development, collaboration and reflective practice.</w:t>
      </w:r>
    </w:p>
    <w:p w14:paraId="07BDF817"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 xml:space="preserve">These challenges become particularly significant when considering the implementation of Reggio Emilia-inspired practice within Welsh settings. Chicken (2023) argues that applying Reggio Emilia approaches outside of Reggio Emilia is </w:t>
      </w:r>
      <w:r w:rsidRPr="00105589">
        <w:rPr>
          <w:rFonts w:ascii="Arial" w:hAnsi="Arial" w:cs="Arial"/>
          <w:sz w:val="24"/>
          <w:szCs w:val="24"/>
        </w:rPr>
        <w:lastRenderedPageBreak/>
        <w:t>complex because educational practices are shaped by their social, cultural and policy contexts. As a result, Reggio Emilia cannot simply be transferred directly into another setting. Although Curriculum for Wales shares some similarities with Reggio Emilia, workforce and resource constraints may limit practitioners' ability to adopt Reggio-inspired practices fully.</w:t>
      </w:r>
    </w:p>
    <w:p w14:paraId="1DE35057"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 xml:space="preserve">This concern is supported by Jones (2025), who found that the implementation of the Foundation Phase was constrained by inadequate adult-to-child ratios and limited material resources. These findings suggest that implementing Reggio-inspired professional learning and </w:t>
      </w:r>
      <w:proofErr w:type="spellStart"/>
      <w:r w:rsidRPr="00105589">
        <w:rPr>
          <w:rFonts w:ascii="Arial" w:hAnsi="Arial" w:cs="Arial"/>
          <w:sz w:val="24"/>
          <w:szCs w:val="24"/>
        </w:rPr>
        <w:t>pedaggy</w:t>
      </w:r>
      <w:proofErr w:type="spellEnd"/>
      <w:r w:rsidRPr="00105589">
        <w:rPr>
          <w:rFonts w:ascii="Arial" w:hAnsi="Arial" w:cs="Arial"/>
          <w:sz w:val="24"/>
          <w:szCs w:val="24"/>
        </w:rPr>
        <w:t xml:space="preserve"> within Welsh settings may be challenging, as Reggio Emilia places considerable emphasis on sustained observation, documentation and responsive interactions with children. Without sufficient staffing, resources and time, practitioners may struggle to enact these principles consistently in practice.</w:t>
      </w:r>
    </w:p>
    <w:p w14:paraId="348DE61C" w14:textId="65675FB6"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MacDonald (2018) highlights divisions within the Welsh early years sector, with different settings operating under varying structures and expectations. As a result, practitioners may enter the profession with differing training, qualifications and experiences. Consequently, interpretations of play-based pedagogy may vary between settings. Chicken (2023) further argues that educational approaches are shaped by their social, cultural and policy contexts, suggesting that practitioners may develop different understandings of child-led learning depending on their experiences and professional backgrounds. Similarly, Leggett (2025) emphasises the importance of informed professional judgement, indicating that variations in knowledge and experience may influence how child-led and play-based learning are implemented in practice. Together, these factors may contribute to inconsistencies in curriculum implementation across settings.</w:t>
      </w:r>
      <w:r w:rsidR="00081D50" w:rsidRPr="00105589">
        <w:rPr>
          <w:rFonts w:ascii="Arial" w:hAnsi="Arial" w:cs="Arial"/>
          <w:sz w:val="24"/>
          <w:szCs w:val="24"/>
        </w:rPr>
        <w:br/>
      </w:r>
    </w:p>
    <w:p w14:paraId="6DDF57A0" w14:textId="2864A603" w:rsidR="006A4A35" w:rsidRPr="00105589" w:rsidRDefault="006A4A35" w:rsidP="00105589">
      <w:pPr>
        <w:spacing w:line="360" w:lineRule="auto"/>
        <w:rPr>
          <w:rFonts w:ascii="Arial" w:hAnsi="Arial" w:cs="Arial"/>
          <w:sz w:val="24"/>
          <w:szCs w:val="24"/>
        </w:rPr>
      </w:pPr>
      <w:r w:rsidRPr="00105589">
        <w:rPr>
          <w:rFonts w:ascii="Arial" w:hAnsi="Arial" w:cs="Arial"/>
          <w:sz w:val="24"/>
          <w:szCs w:val="24"/>
        </w:rPr>
        <w:t>Conclusion</w:t>
      </w:r>
    </w:p>
    <w:p w14:paraId="004663DD" w14:textId="2911DF9D" w:rsidR="00702B2D" w:rsidRPr="00105589" w:rsidRDefault="00807E49" w:rsidP="00105589">
      <w:pPr>
        <w:spacing w:line="360" w:lineRule="auto"/>
        <w:rPr>
          <w:rFonts w:ascii="Arial" w:hAnsi="Arial" w:cs="Arial"/>
          <w:sz w:val="24"/>
          <w:szCs w:val="24"/>
        </w:rPr>
      </w:pPr>
      <w:r w:rsidRPr="00105589">
        <w:rPr>
          <w:rFonts w:ascii="Arial" w:hAnsi="Arial" w:cs="Arial"/>
          <w:sz w:val="24"/>
          <w:szCs w:val="24"/>
        </w:rPr>
        <w:t xml:space="preserve">While Curriculum for Wales and the Reggio Emilia approach both promote child-centred, play-based learning and recognise children as active participants in their own development, important differences exist in how professional learning is conceptualised and implemented. Although Curriculum for Wales is argued to have been influenced by Reggio Emilia, professional learning in Wales is supported </w:t>
      </w:r>
      <w:r w:rsidRPr="00105589">
        <w:rPr>
          <w:rFonts w:ascii="Arial" w:hAnsi="Arial" w:cs="Arial"/>
          <w:sz w:val="24"/>
          <w:szCs w:val="24"/>
        </w:rPr>
        <w:lastRenderedPageBreak/>
        <w:t>through policies, guidance and professional frameworks, whereas Reggio Emilia emphasises professional learning through observation, reflection and interactions with children.</w:t>
      </w:r>
    </w:p>
    <w:p w14:paraId="45034FC8" w14:textId="77777777" w:rsidR="00807E49" w:rsidRPr="00105589" w:rsidRDefault="00807E49" w:rsidP="00105589">
      <w:pPr>
        <w:spacing w:line="360" w:lineRule="auto"/>
        <w:rPr>
          <w:rFonts w:ascii="Arial" w:hAnsi="Arial" w:cs="Arial"/>
          <w:sz w:val="24"/>
          <w:szCs w:val="24"/>
        </w:rPr>
      </w:pPr>
      <w:r w:rsidRPr="00105589">
        <w:rPr>
          <w:rFonts w:ascii="Arial" w:hAnsi="Arial" w:cs="Arial"/>
          <w:sz w:val="24"/>
          <w:szCs w:val="24"/>
        </w:rPr>
        <w:t>However, the successful implementation of both approaches depends upon practitioners having adequate time, resources and support. Jones and Evans (2023) argue that effective professional learning relies on collaboration and continuous development. Nevertheless, opportunities to engage in these activities may be affected by factors such as funding, staffing levels and leadership support.</w:t>
      </w:r>
    </w:p>
    <w:p w14:paraId="507CB231" w14:textId="5D9D1C92" w:rsidR="000348A0" w:rsidRPr="00105589" w:rsidRDefault="00807E49" w:rsidP="00105589">
      <w:pPr>
        <w:spacing w:line="360" w:lineRule="auto"/>
        <w:rPr>
          <w:rFonts w:ascii="Arial" w:hAnsi="Arial" w:cs="Arial"/>
          <w:sz w:val="24"/>
          <w:szCs w:val="24"/>
        </w:rPr>
      </w:pPr>
      <w:r w:rsidRPr="00105589">
        <w:rPr>
          <w:rFonts w:ascii="Arial" w:hAnsi="Arial" w:cs="Arial"/>
          <w:sz w:val="24"/>
          <w:szCs w:val="24"/>
        </w:rPr>
        <w:t>Implementing Reggio-inspired practice within Wales may offer benefits for children; however, it can also present challenges. Chicken (2023) argues that social, cultural and policy contexts have a significant influence on educational practice, meaning that Reggio Emilia cannot simply be transferred into other settings. Furthermore, differences in practitioners’ qualifications, experiences and understanding of play-based pedagogy may result in varying interpretations of child-led learning. Consequently, inconsistencies may arise in how curriculum principles are implemented across settings.</w:t>
      </w:r>
    </w:p>
    <w:p w14:paraId="268D48CD" w14:textId="3BB06B63" w:rsidR="0096543B" w:rsidRPr="00105589" w:rsidRDefault="0096543B" w:rsidP="00105589">
      <w:pPr>
        <w:spacing w:line="360" w:lineRule="auto"/>
        <w:rPr>
          <w:rFonts w:ascii="Arial" w:hAnsi="Arial" w:cs="Arial"/>
          <w:sz w:val="24"/>
          <w:szCs w:val="24"/>
        </w:rPr>
      </w:pPr>
      <w:r w:rsidRPr="00105589">
        <w:rPr>
          <w:rFonts w:ascii="Arial" w:hAnsi="Arial" w:cs="Arial"/>
          <w:sz w:val="24"/>
          <w:szCs w:val="24"/>
        </w:rPr>
        <w:t xml:space="preserve">Part 2 </w:t>
      </w:r>
    </w:p>
    <w:p w14:paraId="445B5488" w14:textId="77777777"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t xml:space="preserve">As defined by Hay </w:t>
      </w:r>
      <w:r w:rsidRPr="00105589">
        <w:rPr>
          <w:rFonts w:ascii="Arial" w:hAnsi="Arial" w:cs="Arial"/>
          <w:i/>
          <w:iCs/>
          <w:sz w:val="24"/>
          <w:szCs w:val="24"/>
        </w:rPr>
        <w:t>et al</w:t>
      </w:r>
      <w:r w:rsidRPr="00105589">
        <w:rPr>
          <w:rFonts w:ascii="Arial" w:hAnsi="Arial" w:cs="Arial"/>
          <w:sz w:val="24"/>
          <w:szCs w:val="24"/>
        </w:rPr>
        <w:t>. (2025), and supported by Finders, Wilson and Duncan (2023), assessment is not simply the act of testing children but a process of monitoring and evaluating practice to identify strengths and areas for improvement. This suggests that assessment supports both children's development and practitioners' professional growth. Comparatively, NAEYC and NAECS/SDE (2003) define assessment as observing, recording and documenting what children do and how they do it. Despite these differing emphases, both perspectives position the child as central to assessment and view it as a tool for learning and development. Becker, Rigaud and Epstein (2023) further argue that assessment should inform teaching and learning rather than primarily serving accountability purposes.</w:t>
      </w:r>
    </w:p>
    <w:p w14:paraId="7EC6C3BD" w14:textId="77777777"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t xml:space="preserve">Within both the Curriculum for Wales and the Reggio Emilia approach, assessment is observation-based and intended to support children's ongoing learning (Morrison-Love et al., 2026; DeLuca et al., 2019). However, while Reggio Emilia adopts a more child-led and flexible approach through pedagogical documentation (Rinaldi, 2021), </w:t>
      </w:r>
      <w:r w:rsidRPr="00105589">
        <w:rPr>
          <w:rFonts w:ascii="Arial" w:hAnsi="Arial" w:cs="Arial"/>
          <w:sz w:val="24"/>
          <w:szCs w:val="24"/>
        </w:rPr>
        <w:lastRenderedPageBreak/>
        <w:t>the Curriculum for Wales places greater emphasis on learner progression (Duggan et al., 2022; Welsh Government, 2022).</w:t>
      </w:r>
    </w:p>
    <w:p w14:paraId="2A501DCD" w14:textId="7B5D0B48"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t xml:space="preserve">Central to both approaches is the concept of the Unique Child, which recognises that every child develops at their own pace and is influenced by their experiences, interests and abilities (Donaldson, 2016). As children do not develop in a linear or uniform manner, assessment must be responsive to individual needs. This </w:t>
      </w:r>
      <w:r w:rsidR="002B78A8" w:rsidRPr="00105589">
        <w:rPr>
          <w:rFonts w:ascii="Arial" w:hAnsi="Arial" w:cs="Arial"/>
          <w:sz w:val="24"/>
          <w:szCs w:val="24"/>
        </w:rPr>
        <w:t>section</w:t>
      </w:r>
      <w:r w:rsidRPr="00105589">
        <w:rPr>
          <w:rFonts w:ascii="Arial" w:hAnsi="Arial" w:cs="Arial"/>
          <w:sz w:val="24"/>
          <w:szCs w:val="24"/>
        </w:rPr>
        <w:t xml:space="preserve"> will critically examine how effectively these assessment approaches support the Unique Child.</w:t>
      </w:r>
    </w:p>
    <w:p w14:paraId="56A936FD" w14:textId="77777777" w:rsidR="00E67AB0" w:rsidRPr="00105589" w:rsidRDefault="00E67AB0" w:rsidP="00105589">
      <w:pPr>
        <w:spacing w:line="360" w:lineRule="auto"/>
        <w:rPr>
          <w:rFonts w:ascii="Arial" w:hAnsi="Arial" w:cs="Arial"/>
          <w:sz w:val="24"/>
          <w:szCs w:val="24"/>
        </w:rPr>
      </w:pPr>
    </w:p>
    <w:p w14:paraId="541E8351" w14:textId="1E845B24" w:rsidR="00F600A5" w:rsidRPr="00105589" w:rsidRDefault="00F600A5" w:rsidP="00105589">
      <w:pPr>
        <w:spacing w:line="360" w:lineRule="auto"/>
        <w:rPr>
          <w:rFonts w:ascii="Arial" w:hAnsi="Arial" w:cs="Arial"/>
          <w:sz w:val="24"/>
          <w:szCs w:val="24"/>
        </w:rPr>
      </w:pPr>
      <w:r w:rsidRPr="00105589">
        <w:rPr>
          <w:rFonts w:ascii="Arial" w:hAnsi="Arial" w:cs="Arial"/>
          <w:sz w:val="24"/>
          <w:szCs w:val="24"/>
        </w:rPr>
        <w:t>The concept of the Unique Child recognises that children are shaped by their individual experiences, cultures and relationships, with Parsons et al. (2023) arguing that practitioners must recognise the diversity of children's needs and adapt their practice to support individual development. This suggests that children learn and develop at different rates and should not be expected to follow a uniform developmental pathway (Bruce, 2021). Holistic development is also central to the concept of the Unique Child. Stodden et al. (2023) and Gea, Diana and Aeni (2025) argue that understanding child development requires a holistic approach that considers social, emotional, cognitive and physical development rather than focusing on a single aspect of learning. This reflects Bronfenbrenner's ecological systems theory, which emphasises that children's development is influenced by the relationships and environments that surround them (</w:t>
      </w:r>
      <w:proofErr w:type="spellStart"/>
      <w:r w:rsidRPr="00105589">
        <w:rPr>
          <w:rFonts w:ascii="Arial" w:hAnsi="Arial" w:cs="Arial"/>
          <w:sz w:val="24"/>
          <w:szCs w:val="24"/>
        </w:rPr>
        <w:t>Olalowo</w:t>
      </w:r>
      <w:proofErr w:type="spellEnd"/>
      <w:r w:rsidRPr="00105589">
        <w:rPr>
          <w:rFonts w:ascii="Arial" w:hAnsi="Arial" w:cs="Arial"/>
          <w:sz w:val="24"/>
          <w:szCs w:val="24"/>
        </w:rPr>
        <w:t xml:space="preserve"> and Babalola, 2024). Similarly, Piaget's theory of cognitive development supports the idea that children construct knowledge through direct experience and interaction with their environment, highlighting the need for learning opportunities that reflect children's individual needs and abilities (Aslan and </w:t>
      </w:r>
      <w:proofErr w:type="spellStart"/>
      <w:r w:rsidRPr="00105589">
        <w:rPr>
          <w:rFonts w:ascii="Arial" w:hAnsi="Arial" w:cs="Arial"/>
          <w:sz w:val="24"/>
          <w:szCs w:val="24"/>
        </w:rPr>
        <w:t>Sidabutar</w:t>
      </w:r>
      <w:proofErr w:type="spellEnd"/>
      <w:r w:rsidRPr="00105589">
        <w:rPr>
          <w:rFonts w:ascii="Arial" w:hAnsi="Arial" w:cs="Arial"/>
          <w:sz w:val="24"/>
          <w:szCs w:val="24"/>
        </w:rPr>
        <w:t>, 2026).</w:t>
      </w:r>
    </w:p>
    <w:p w14:paraId="31A0AA4B" w14:textId="77777777" w:rsidR="00F600A5" w:rsidRPr="00105589" w:rsidRDefault="00F600A5" w:rsidP="00105589">
      <w:pPr>
        <w:spacing w:line="360" w:lineRule="auto"/>
        <w:rPr>
          <w:rFonts w:ascii="Arial" w:hAnsi="Arial" w:cs="Arial"/>
          <w:sz w:val="24"/>
          <w:szCs w:val="24"/>
        </w:rPr>
      </w:pPr>
      <w:r w:rsidRPr="00105589">
        <w:rPr>
          <w:rFonts w:ascii="Arial" w:hAnsi="Arial" w:cs="Arial"/>
          <w:sz w:val="24"/>
          <w:szCs w:val="24"/>
        </w:rPr>
        <w:t xml:space="preserve">The concept of the Unique Child is reflected in both the Reggio Emilia approach and the Curriculum for Wales. Within Reggio Emilia, children are viewed as competent from birth and capable of learning, questioning and constructing meaning (Rinaldi, 2020). As a result, children's identities, voices and rights are valued, and they are recognised as active participants in their learning. Similarly, the Curriculum for Wales promotes inclusion and equitable learning opportunities. Knight and Crick (2022) argue that Welsh education policy is underpinned by the principle that every learner </w:t>
      </w:r>
      <w:r w:rsidRPr="00105589">
        <w:rPr>
          <w:rFonts w:ascii="Arial" w:hAnsi="Arial" w:cs="Arial"/>
          <w:sz w:val="24"/>
          <w:szCs w:val="24"/>
        </w:rPr>
        <w:lastRenderedPageBreak/>
        <w:t>matters and matters equally, demonstrating a commitment to meeting individual needs. While Reggio Emilia emphasises the child as a competent citizen with rights and agency (Rinaldi, 2020), the Curriculum for Wales places greater emphasis on children's rights, participation and inclusion within educational decision-making (Stewart, 2023). Together, these approaches support the Unique Child by promoting inclusion, valuing identity and prioritising wellbeing alongside learning and development.</w:t>
      </w:r>
    </w:p>
    <w:p w14:paraId="4B2454B4" w14:textId="603555E5" w:rsidR="00DF4FED" w:rsidRPr="00105589" w:rsidRDefault="00DF4FED" w:rsidP="00105589">
      <w:pPr>
        <w:spacing w:line="360" w:lineRule="auto"/>
        <w:rPr>
          <w:rFonts w:ascii="Arial" w:hAnsi="Arial" w:cs="Arial"/>
          <w:sz w:val="24"/>
          <w:szCs w:val="24"/>
        </w:rPr>
      </w:pPr>
    </w:p>
    <w:p w14:paraId="7CDD4315" w14:textId="77777777" w:rsidR="0010561A" w:rsidRPr="00105589" w:rsidRDefault="0010561A" w:rsidP="00105589">
      <w:pPr>
        <w:spacing w:line="360" w:lineRule="auto"/>
        <w:rPr>
          <w:rFonts w:ascii="Arial" w:hAnsi="Arial" w:cs="Arial"/>
          <w:sz w:val="24"/>
          <w:szCs w:val="24"/>
        </w:rPr>
      </w:pPr>
      <w:r w:rsidRPr="00105589">
        <w:rPr>
          <w:rFonts w:ascii="Arial" w:hAnsi="Arial" w:cs="Arial"/>
          <w:sz w:val="24"/>
          <w:szCs w:val="24"/>
        </w:rPr>
        <w:t>Assessment within the Curriculum for Wales is primarily formative and embedded within children's everyday learning experiences. Observation is a central assessment strategy, enabling practitioners to gather evidence of learning through play, interaction and engagement with meaningful experiences (Welsh Government, 2025). This reflects the learner-centred principles of the curriculum, where assessment is used to support progression rather than measure attainment against fixed outcomes. Research suggests that schools implementing learner-centred approaches are better able to respond to children's developmental needs while maintaining play as the foundation of early learning (Foundation Learning in the Curriculum for Wales: A Qualitative Study, 2026; Palaiologou, 2019).</w:t>
      </w:r>
    </w:p>
    <w:p w14:paraId="4F636A79" w14:textId="77777777" w:rsidR="0010561A" w:rsidRPr="00105589" w:rsidRDefault="0010561A" w:rsidP="00105589">
      <w:pPr>
        <w:spacing w:line="360" w:lineRule="auto"/>
        <w:rPr>
          <w:rFonts w:ascii="Arial" w:hAnsi="Arial" w:cs="Arial"/>
          <w:sz w:val="24"/>
          <w:szCs w:val="24"/>
        </w:rPr>
      </w:pPr>
      <w:r w:rsidRPr="00105589">
        <w:rPr>
          <w:rFonts w:ascii="Arial" w:hAnsi="Arial" w:cs="Arial"/>
          <w:sz w:val="24"/>
          <w:szCs w:val="24"/>
        </w:rPr>
        <w:t>The role of the practitioner is to notice, interpret and respond to children's learning. Through ongoing observation, practitioners develop an understanding of children's interests, strengths and next steps in learning, allowing experiences to be adapted accordingly (Welsh Government, 2025). Assessment information is gathered through continuous, enhanced and focused provision and is used to inform planning and support learner progression (Welsh Government, 2017; Morgan et al., 2022). Rather than relying on formal testing, practitioners build a holistic picture of each child over time through a range of evidence, including observations, conversations and examples of children's work.</w:t>
      </w:r>
    </w:p>
    <w:p w14:paraId="3CE74C8A" w14:textId="3C178345" w:rsidR="00DA7034" w:rsidRPr="00105589" w:rsidRDefault="0010561A" w:rsidP="00105589">
      <w:pPr>
        <w:spacing w:line="360" w:lineRule="auto"/>
        <w:rPr>
          <w:rFonts w:ascii="Arial" w:hAnsi="Arial" w:cs="Arial"/>
          <w:sz w:val="24"/>
          <w:szCs w:val="24"/>
        </w:rPr>
      </w:pPr>
      <w:r w:rsidRPr="00105589">
        <w:rPr>
          <w:rFonts w:ascii="Arial" w:hAnsi="Arial" w:cs="Arial"/>
          <w:sz w:val="24"/>
          <w:szCs w:val="24"/>
        </w:rPr>
        <w:t xml:space="preserve">A strength of this approach is its alignment with the concept of the Unique Child. By assessing children within authentic learning contexts, practitioners can recognise individual differences in learning styles, interests and rates of development. This allows assessment to remain responsive to children's needs and supports the </w:t>
      </w:r>
      <w:r w:rsidRPr="00105589">
        <w:rPr>
          <w:rFonts w:ascii="Arial" w:hAnsi="Arial" w:cs="Arial"/>
          <w:sz w:val="24"/>
          <w:szCs w:val="24"/>
        </w:rPr>
        <w:lastRenderedPageBreak/>
        <w:t xml:space="preserve">Curriculum for </w:t>
      </w:r>
      <w:proofErr w:type="spellStart"/>
      <w:r w:rsidRPr="00105589">
        <w:rPr>
          <w:rFonts w:ascii="Arial" w:hAnsi="Arial" w:cs="Arial"/>
          <w:sz w:val="24"/>
          <w:szCs w:val="24"/>
        </w:rPr>
        <w:t>Wales'</w:t>
      </w:r>
      <w:proofErr w:type="spellEnd"/>
      <w:r w:rsidRPr="00105589">
        <w:rPr>
          <w:rFonts w:ascii="Arial" w:hAnsi="Arial" w:cs="Arial"/>
          <w:sz w:val="24"/>
          <w:szCs w:val="24"/>
        </w:rPr>
        <w:t xml:space="preserve"> commitment to inclusion, wellbeing and learner progression (Duggan et al., 2022).</w:t>
      </w:r>
    </w:p>
    <w:p w14:paraId="00992E36" w14:textId="77777777" w:rsidR="00385377" w:rsidRPr="00105589" w:rsidRDefault="00385377" w:rsidP="00105589">
      <w:pPr>
        <w:spacing w:line="360" w:lineRule="auto"/>
        <w:rPr>
          <w:rFonts w:ascii="Arial" w:hAnsi="Arial" w:cs="Arial"/>
          <w:sz w:val="24"/>
          <w:szCs w:val="24"/>
        </w:rPr>
      </w:pPr>
    </w:p>
    <w:p w14:paraId="1A4DDF59" w14:textId="59FE01D5" w:rsidR="008023BE" w:rsidRPr="00105589" w:rsidRDefault="008023BE" w:rsidP="00105589">
      <w:pPr>
        <w:spacing w:line="360" w:lineRule="auto"/>
        <w:rPr>
          <w:rFonts w:ascii="Arial" w:hAnsi="Arial" w:cs="Arial"/>
          <w:sz w:val="24"/>
          <w:szCs w:val="24"/>
        </w:rPr>
      </w:pPr>
      <w:r w:rsidRPr="00105589">
        <w:rPr>
          <w:rFonts w:ascii="Arial" w:hAnsi="Arial" w:cs="Arial"/>
          <w:sz w:val="24"/>
          <w:szCs w:val="24"/>
        </w:rPr>
        <w:t>Assessment within the Reggio Emilia approach is primarily conducted through pedagogical documentation. According to Paananen and Lipponen (2018), pedagogical documentation is a process that makes children's experiences, participation and perspectives visible through collected records of learning, supporting reflection and understanding among both children and practitioners.</w:t>
      </w:r>
    </w:p>
    <w:p w14:paraId="387E2B3B" w14:textId="77777777" w:rsidR="008023BE" w:rsidRPr="00105589" w:rsidRDefault="008023BE" w:rsidP="00105589">
      <w:pPr>
        <w:spacing w:line="360" w:lineRule="auto"/>
        <w:rPr>
          <w:rFonts w:ascii="Arial" w:hAnsi="Arial" w:cs="Arial"/>
          <w:sz w:val="24"/>
          <w:szCs w:val="24"/>
        </w:rPr>
      </w:pPr>
      <w:r w:rsidRPr="00105589">
        <w:rPr>
          <w:rFonts w:ascii="Arial" w:hAnsi="Arial" w:cs="Arial"/>
          <w:sz w:val="24"/>
          <w:szCs w:val="24"/>
        </w:rPr>
        <w:t>Through pedagogical documentation, practitioners gain insight into children's individual learning patterns, interests and engagement (Becker, Rigaud and Epstein, 2023). Assessment is viewed as an integral part of learning rather than a separate activity, with documentation occurring continuously throughout children's experiences and informing ongoing reflection (DeLuca et al., 2019). This supports a holistic understanding of development by enabling practitioners to consider social, emotional, cognitive and physical development rather than focusing solely on academic outcomes.</w:t>
      </w:r>
    </w:p>
    <w:p w14:paraId="5875B993" w14:textId="77777777" w:rsidR="00A455A7" w:rsidRPr="00105589" w:rsidRDefault="00A455A7" w:rsidP="00105589">
      <w:pPr>
        <w:spacing w:line="360" w:lineRule="auto"/>
        <w:rPr>
          <w:rFonts w:ascii="Arial" w:hAnsi="Arial" w:cs="Arial"/>
          <w:sz w:val="24"/>
          <w:szCs w:val="24"/>
        </w:rPr>
      </w:pPr>
      <w:r w:rsidRPr="00105589">
        <w:rPr>
          <w:rFonts w:ascii="Arial" w:hAnsi="Arial" w:cs="Arial"/>
          <w:sz w:val="24"/>
          <w:szCs w:val="24"/>
        </w:rPr>
        <w:t xml:space="preserve">Furthermore, </w:t>
      </w:r>
      <w:proofErr w:type="spellStart"/>
      <w:r w:rsidRPr="00105589">
        <w:rPr>
          <w:rFonts w:ascii="Arial" w:hAnsi="Arial" w:cs="Arial"/>
          <w:sz w:val="24"/>
          <w:szCs w:val="24"/>
        </w:rPr>
        <w:t>Krechevsky</w:t>
      </w:r>
      <w:proofErr w:type="spellEnd"/>
      <w:r w:rsidRPr="00105589">
        <w:rPr>
          <w:rFonts w:ascii="Arial" w:hAnsi="Arial" w:cs="Arial"/>
          <w:sz w:val="24"/>
          <w:szCs w:val="24"/>
        </w:rPr>
        <w:t xml:space="preserve"> et al. (2013), supported by </w:t>
      </w:r>
      <w:proofErr w:type="spellStart"/>
      <w:r w:rsidRPr="00105589">
        <w:rPr>
          <w:rFonts w:ascii="Arial" w:hAnsi="Arial" w:cs="Arial"/>
          <w:sz w:val="24"/>
          <w:szCs w:val="24"/>
        </w:rPr>
        <w:t>Alaçam</w:t>
      </w:r>
      <w:proofErr w:type="spellEnd"/>
      <w:r w:rsidRPr="00105589">
        <w:rPr>
          <w:rFonts w:ascii="Arial" w:hAnsi="Arial" w:cs="Arial"/>
          <w:sz w:val="24"/>
          <w:szCs w:val="24"/>
        </w:rPr>
        <w:t xml:space="preserve"> and </w:t>
      </w:r>
      <w:proofErr w:type="spellStart"/>
      <w:r w:rsidRPr="00105589">
        <w:rPr>
          <w:rFonts w:ascii="Arial" w:hAnsi="Arial" w:cs="Arial"/>
          <w:sz w:val="24"/>
          <w:szCs w:val="24"/>
        </w:rPr>
        <w:t>Olgan</w:t>
      </w:r>
      <w:proofErr w:type="spellEnd"/>
      <w:r w:rsidRPr="00105589">
        <w:rPr>
          <w:rFonts w:ascii="Arial" w:hAnsi="Arial" w:cs="Arial"/>
          <w:sz w:val="24"/>
          <w:szCs w:val="24"/>
        </w:rPr>
        <w:t xml:space="preserve"> (2025), argue that children contribute to pedagogical documentation through their drawings, conversations, work samples and reflections. These contributions enable practitioners to gain a richer understanding of children's learning and development. Progress is tracked through collections of documentation, portfolios and work samples, allowing practitioners to build a picture of children's development over time rather than assessing them against age-related expectations.</w:t>
      </w:r>
    </w:p>
    <w:p w14:paraId="3D5E5E03" w14:textId="77777777" w:rsidR="008023BE" w:rsidRPr="00105589" w:rsidRDefault="008023BE" w:rsidP="00105589">
      <w:pPr>
        <w:spacing w:line="360" w:lineRule="auto"/>
        <w:rPr>
          <w:rFonts w:ascii="Arial" w:hAnsi="Arial" w:cs="Arial"/>
          <w:sz w:val="24"/>
          <w:szCs w:val="24"/>
        </w:rPr>
      </w:pPr>
      <w:r w:rsidRPr="00105589">
        <w:rPr>
          <w:rFonts w:ascii="Arial" w:hAnsi="Arial" w:cs="Arial"/>
          <w:sz w:val="24"/>
          <w:szCs w:val="24"/>
        </w:rPr>
        <w:t>A strength of this approach is its alignment with the concept of the Unique Child. By valuing children's voices, interests and multiple forms of expression, assessment recognises that children demonstrate learning in different ways. This reflects the belief that development is individual and non-linear, allowing practitioners to respond to children's identities, experiences and needs. However, because documentation relies upon practitioner interpretation, assessment may be more subjective than approaches that incorporate clearer progression frameworks.</w:t>
      </w:r>
    </w:p>
    <w:p w14:paraId="7DC3DA9A" w14:textId="77777777" w:rsidR="00385377" w:rsidRPr="00105589" w:rsidRDefault="00385377" w:rsidP="00105589">
      <w:pPr>
        <w:spacing w:line="360" w:lineRule="auto"/>
        <w:rPr>
          <w:rFonts w:ascii="Arial" w:hAnsi="Arial" w:cs="Arial"/>
          <w:sz w:val="24"/>
          <w:szCs w:val="24"/>
        </w:rPr>
      </w:pPr>
    </w:p>
    <w:p w14:paraId="0DD018B7" w14:textId="3972A229" w:rsidR="00C56F14" w:rsidRPr="00105589" w:rsidRDefault="00C56F14" w:rsidP="00105589">
      <w:pPr>
        <w:spacing w:line="360" w:lineRule="auto"/>
        <w:rPr>
          <w:rFonts w:ascii="Arial" w:hAnsi="Arial" w:cs="Arial"/>
          <w:sz w:val="24"/>
          <w:szCs w:val="24"/>
        </w:rPr>
      </w:pPr>
      <w:r w:rsidRPr="00105589">
        <w:rPr>
          <w:rFonts w:ascii="Arial" w:hAnsi="Arial" w:cs="Arial"/>
          <w:sz w:val="24"/>
          <w:szCs w:val="24"/>
        </w:rPr>
        <w:lastRenderedPageBreak/>
        <w:t>Both the Curriculum for Wales and the Reggio Emilia approach aim to place the child at the centre of assessment, using observation to understand children's development. However, they differ in how assessment is structured and interpreted. While the Curriculum for Wales uses observation to support learner progression and identify next steps in development (Morgan et al., 2022), Reggio Emilia uses pedagogical documentation to understand children's learning patterns, experiences and perspectives (Paananen and Lipponen, 2018; Becker, Rigaud and Epstein, 2023). Consequently, the Curriculum for Wales can be viewed as a more practitioner-led approach, whereas Reggio Emilia adopts a more child-led approach through children's participation in documentation and reflection (</w:t>
      </w:r>
      <w:proofErr w:type="spellStart"/>
      <w:r w:rsidRPr="00105589">
        <w:rPr>
          <w:rFonts w:ascii="Arial" w:hAnsi="Arial" w:cs="Arial"/>
          <w:sz w:val="24"/>
          <w:szCs w:val="24"/>
        </w:rPr>
        <w:t>Krechevsky</w:t>
      </w:r>
      <w:proofErr w:type="spellEnd"/>
      <w:r w:rsidRPr="00105589">
        <w:rPr>
          <w:rFonts w:ascii="Arial" w:hAnsi="Arial" w:cs="Arial"/>
          <w:sz w:val="24"/>
          <w:szCs w:val="24"/>
        </w:rPr>
        <w:t xml:space="preserve"> et al., 2013; </w:t>
      </w:r>
      <w:proofErr w:type="spellStart"/>
      <w:r w:rsidRPr="00105589">
        <w:rPr>
          <w:rFonts w:ascii="Arial" w:hAnsi="Arial" w:cs="Arial"/>
          <w:sz w:val="24"/>
          <w:szCs w:val="24"/>
        </w:rPr>
        <w:t>Alaçam</w:t>
      </w:r>
      <w:proofErr w:type="spellEnd"/>
      <w:r w:rsidRPr="00105589">
        <w:rPr>
          <w:rFonts w:ascii="Arial" w:hAnsi="Arial" w:cs="Arial"/>
          <w:sz w:val="24"/>
          <w:szCs w:val="24"/>
        </w:rPr>
        <w:t xml:space="preserve"> and </w:t>
      </w:r>
      <w:proofErr w:type="spellStart"/>
      <w:r w:rsidRPr="00105589">
        <w:rPr>
          <w:rFonts w:ascii="Arial" w:hAnsi="Arial" w:cs="Arial"/>
          <w:sz w:val="24"/>
          <w:szCs w:val="24"/>
        </w:rPr>
        <w:t>Olgan</w:t>
      </w:r>
      <w:proofErr w:type="spellEnd"/>
      <w:r w:rsidRPr="00105589">
        <w:rPr>
          <w:rFonts w:ascii="Arial" w:hAnsi="Arial" w:cs="Arial"/>
          <w:sz w:val="24"/>
          <w:szCs w:val="24"/>
        </w:rPr>
        <w:t>, 2025).</w:t>
      </w:r>
    </w:p>
    <w:p w14:paraId="299E4D64" w14:textId="77777777" w:rsidR="009058C5" w:rsidRPr="00105589" w:rsidRDefault="009058C5" w:rsidP="00105589">
      <w:pPr>
        <w:spacing w:line="360" w:lineRule="auto"/>
        <w:rPr>
          <w:rFonts w:ascii="Arial" w:hAnsi="Arial" w:cs="Arial"/>
          <w:sz w:val="24"/>
          <w:szCs w:val="24"/>
        </w:rPr>
      </w:pPr>
      <w:r w:rsidRPr="00105589">
        <w:rPr>
          <w:rFonts w:ascii="Arial" w:hAnsi="Arial" w:cs="Arial"/>
          <w:sz w:val="24"/>
          <w:szCs w:val="24"/>
        </w:rPr>
        <w:t>Both approaches align with the concept of the Unique Child by recognising that development is shaped by children's individual experiences, backgrounds and identities (</w:t>
      </w:r>
      <w:proofErr w:type="spellStart"/>
      <w:r w:rsidRPr="00105589">
        <w:rPr>
          <w:rFonts w:ascii="Arial" w:hAnsi="Arial" w:cs="Arial"/>
          <w:sz w:val="24"/>
          <w:szCs w:val="24"/>
        </w:rPr>
        <w:t>Alsubaie</w:t>
      </w:r>
      <w:proofErr w:type="spellEnd"/>
      <w:r w:rsidRPr="00105589">
        <w:rPr>
          <w:rFonts w:ascii="Arial" w:hAnsi="Arial" w:cs="Arial"/>
          <w:sz w:val="24"/>
          <w:szCs w:val="24"/>
        </w:rPr>
        <w:t>, 2015; Jenkin, 2016).</w:t>
      </w:r>
    </w:p>
    <w:p w14:paraId="4F7F636B" w14:textId="77777777" w:rsidR="00C56F14" w:rsidRPr="00105589" w:rsidRDefault="00C56F14" w:rsidP="00105589">
      <w:pPr>
        <w:spacing w:line="360" w:lineRule="auto"/>
        <w:rPr>
          <w:rFonts w:ascii="Arial" w:hAnsi="Arial" w:cs="Arial"/>
          <w:sz w:val="24"/>
          <w:szCs w:val="24"/>
        </w:rPr>
      </w:pPr>
      <w:r w:rsidRPr="00105589">
        <w:rPr>
          <w:rFonts w:ascii="Arial" w:hAnsi="Arial" w:cs="Arial"/>
          <w:sz w:val="24"/>
          <w:szCs w:val="24"/>
        </w:rPr>
        <w:t>However, the Curriculum for Wales places greater emphasis on progression. While this can support consistency in assessment practices and help practitioners identify appropriate next steps in learning (Mangione, Osborne and Mendenhall, 2019), progression-focused approaches may overlook aspects of individuality if they do not fully account for children's diverse backgrounds, experiences and developmental pathways (Hanno, Portilla and Hsueh, 2025). This concern is reflected in Parekh's (2017) argument that educational systems can position learners according to assumptions about ability, potentially leading to labelling and deficit perspectives. Such an approach may be particularly challenging for children with Additional Learning Needs (ALN), neurodiverse learners, and those from culturally and linguistically diverse backgrounds whose development may not align with expected pathways.</w:t>
      </w:r>
    </w:p>
    <w:p w14:paraId="5685B4C4" w14:textId="57557794" w:rsidR="006D18B8" w:rsidRPr="00105589" w:rsidRDefault="003565D0" w:rsidP="00105589">
      <w:pPr>
        <w:spacing w:line="360" w:lineRule="auto"/>
        <w:rPr>
          <w:rFonts w:ascii="Arial" w:hAnsi="Arial" w:cs="Arial"/>
          <w:sz w:val="24"/>
          <w:szCs w:val="24"/>
        </w:rPr>
      </w:pPr>
      <w:r w:rsidRPr="00105589">
        <w:rPr>
          <w:rFonts w:ascii="Arial" w:hAnsi="Arial" w:cs="Arial"/>
          <w:sz w:val="24"/>
          <w:szCs w:val="24"/>
        </w:rPr>
        <w:t xml:space="preserve">In contrast, Reggio Emilia's emphasis on pedagogical documentation enables children to communicate understanding through multiple forms of expression, reflecting Malaguzzi's concept of the </w:t>
      </w:r>
      <w:r w:rsidRPr="00105589">
        <w:rPr>
          <w:rFonts w:ascii="Arial" w:hAnsi="Arial" w:cs="Arial"/>
          <w:i/>
          <w:iCs/>
          <w:sz w:val="24"/>
          <w:szCs w:val="24"/>
        </w:rPr>
        <w:t>Hundred Languages of Children</w:t>
      </w:r>
      <w:r w:rsidRPr="00105589">
        <w:rPr>
          <w:rFonts w:ascii="Arial" w:hAnsi="Arial" w:cs="Arial"/>
          <w:sz w:val="24"/>
          <w:szCs w:val="24"/>
        </w:rPr>
        <w:t xml:space="preserve"> (Aden and </w:t>
      </w:r>
      <w:proofErr w:type="spellStart"/>
      <w:r w:rsidRPr="00105589">
        <w:rPr>
          <w:rFonts w:ascii="Arial" w:hAnsi="Arial" w:cs="Arial"/>
          <w:sz w:val="24"/>
          <w:szCs w:val="24"/>
        </w:rPr>
        <w:t>Theodotou</w:t>
      </w:r>
      <w:proofErr w:type="spellEnd"/>
      <w:r w:rsidRPr="00105589">
        <w:rPr>
          <w:rFonts w:ascii="Arial" w:hAnsi="Arial" w:cs="Arial"/>
          <w:sz w:val="24"/>
          <w:szCs w:val="24"/>
        </w:rPr>
        <w:t xml:space="preserve">, 2019; Mphahlele, 2019). </w:t>
      </w:r>
      <w:r w:rsidR="00944459" w:rsidRPr="00105589">
        <w:rPr>
          <w:rFonts w:ascii="Arial" w:hAnsi="Arial" w:cs="Arial"/>
          <w:sz w:val="24"/>
          <w:szCs w:val="24"/>
        </w:rPr>
        <w:t xml:space="preserve">Documentation is also more likely to acknowledge cultural and linguistic diversity and capture learning in ways that extend </w:t>
      </w:r>
      <w:r w:rsidR="00944459" w:rsidRPr="00105589">
        <w:rPr>
          <w:rFonts w:ascii="Arial" w:hAnsi="Arial" w:cs="Arial"/>
          <w:sz w:val="24"/>
          <w:szCs w:val="24"/>
        </w:rPr>
        <w:lastRenderedPageBreak/>
        <w:t xml:space="preserve">beyond a single measure of attainment (Jenkin, 2016; </w:t>
      </w:r>
      <w:proofErr w:type="spellStart"/>
      <w:r w:rsidR="00944459" w:rsidRPr="00105589">
        <w:rPr>
          <w:rFonts w:ascii="Arial" w:hAnsi="Arial" w:cs="Arial"/>
          <w:sz w:val="24"/>
          <w:szCs w:val="24"/>
        </w:rPr>
        <w:t>Alsubaie</w:t>
      </w:r>
      <w:proofErr w:type="spellEnd"/>
      <w:r w:rsidR="00944459" w:rsidRPr="00105589">
        <w:rPr>
          <w:rFonts w:ascii="Arial" w:hAnsi="Arial" w:cs="Arial"/>
          <w:sz w:val="24"/>
          <w:szCs w:val="24"/>
        </w:rPr>
        <w:t xml:space="preserve">, 2015; </w:t>
      </w:r>
      <w:proofErr w:type="spellStart"/>
      <w:r w:rsidR="00944459" w:rsidRPr="00105589">
        <w:rPr>
          <w:rFonts w:ascii="Arial" w:hAnsi="Arial" w:cs="Arial"/>
          <w:sz w:val="24"/>
          <w:szCs w:val="24"/>
        </w:rPr>
        <w:t>Krechevsky</w:t>
      </w:r>
      <w:proofErr w:type="spellEnd"/>
      <w:r w:rsidR="00944459" w:rsidRPr="00105589">
        <w:rPr>
          <w:rFonts w:ascii="Arial" w:hAnsi="Arial" w:cs="Arial"/>
          <w:sz w:val="24"/>
          <w:szCs w:val="24"/>
        </w:rPr>
        <w:t xml:space="preserve"> et al., 2013; </w:t>
      </w:r>
      <w:proofErr w:type="spellStart"/>
      <w:r w:rsidR="00944459" w:rsidRPr="00105589">
        <w:rPr>
          <w:rFonts w:ascii="Arial" w:hAnsi="Arial" w:cs="Arial"/>
          <w:sz w:val="24"/>
          <w:szCs w:val="24"/>
        </w:rPr>
        <w:t>Alaçam</w:t>
      </w:r>
      <w:proofErr w:type="spellEnd"/>
      <w:r w:rsidR="00944459" w:rsidRPr="00105589">
        <w:rPr>
          <w:rFonts w:ascii="Arial" w:hAnsi="Arial" w:cs="Arial"/>
          <w:sz w:val="24"/>
          <w:szCs w:val="24"/>
        </w:rPr>
        <w:t xml:space="preserve"> and </w:t>
      </w:r>
      <w:proofErr w:type="spellStart"/>
      <w:r w:rsidR="00944459" w:rsidRPr="00105589">
        <w:rPr>
          <w:rFonts w:ascii="Arial" w:hAnsi="Arial" w:cs="Arial"/>
          <w:sz w:val="24"/>
          <w:szCs w:val="24"/>
        </w:rPr>
        <w:t>Olgan</w:t>
      </w:r>
      <w:proofErr w:type="spellEnd"/>
      <w:r w:rsidR="00944459" w:rsidRPr="00105589">
        <w:rPr>
          <w:rFonts w:ascii="Arial" w:hAnsi="Arial" w:cs="Arial"/>
          <w:sz w:val="24"/>
          <w:szCs w:val="24"/>
        </w:rPr>
        <w:t>, 2025).</w:t>
      </w:r>
    </w:p>
    <w:p w14:paraId="62749CF7" w14:textId="77777777" w:rsidR="006D18B8" w:rsidRPr="00105589" w:rsidRDefault="006D18B8" w:rsidP="00105589">
      <w:pPr>
        <w:spacing w:line="360" w:lineRule="auto"/>
        <w:rPr>
          <w:rFonts w:ascii="Arial" w:hAnsi="Arial" w:cs="Arial"/>
          <w:sz w:val="24"/>
          <w:szCs w:val="24"/>
        </w:rPr>
      </w:pPr>
      <w:r w:rsidRPr="00105589">
        <w:rPr>
          <w:rFonts w:ascii="Arial" w:hAnsi="Arial" w:cs="Arial"/>
          <w:sz w:val="24"/>
          <w:szCs w:val="24"/>
        </w:rPr>
        <w:t>Despite these strengths, Reggio Emilia is not without limitations. Pedagogical documentation relies heavily on practitioner interpretation, meaning different practitioners may draw different conclusions from the same evidence. Consequently, consistency in assessment may be reduced when compared with more structured approaches (</w:t>
      </w:r>
      <w:proofErr w:type="spellStart"/>
      <w:r w:rsidRPr="00105589">
        <w:rPr>
          <w:rFonts w:ascii="Arial" w:hAnsi="Arial" w:cs="Arial"/>
          <w:sz w:val="24"/>
          <w:szCs w:val="24"/>
        </w:rPr>
        <w:t>Giamminuti</w:t>
      </w:r>
      <w:proofErr w:type="spellEnd"/>
      <w:r w:rsidRPr="00105589">
        <w:rPr>
          <w:rFonts w:ascii="Arial" w:hAnsi="Arial" w:cs="Arial"/>
          <w:sz w:val="24"/>
          <w:szCs w:val="24"/>
        </w:rPr>
        <w:t>, Merewether and Blaise, 2022).</w:t>
      </w:r>
    </w:p>
    <w:p w14:paraId="66C3C471" w14:textId="68876A9E" w:rsidR="00387608" w:rsidRPr="00105589" w:rsidRDefault="00387608" w:rsidP="00105589">
      <w:pPr>
        <w:spacing w:line="360" w:lineRule="auto"/>
        <w:rPr>
          <w:rFonts w:ascii="Arial" w:hAnsi="Arial" w:cs="Arial"/>
          <w:sz w:val="24"/>
          <w:szCs w:val="24"/>
        </w:rPr>
      </w:pPr>
    </w:p>
    <w:p w14:paraId="6843C297"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In conclusion, the concept of the Unique Child recognises that children develop in individual and non-linear ways, shaped by their experiences, identities, abilities and relationships. Consequently, assessment should be responsive to these differences rather than relying on a single measure of attainment. Both the Curriculum for Wales and the Reggio Emilia approach reflect this principle by using observation-based assessment to support learning and development.</w:t>
      </w:r>
    </w:p>
    <w:p w14:paraId="0A8D0016"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The Curriculum for Wales provides a structured approach to assessment, enabling practitioners to identify strengths, monitor progression and plan next steps. However, its focus on progression may overlook aspects of individuality when children's development does not align with expected pathways. In contrast, Reggio Emilia's use of pedagogical documentation places greater emphasis on children's voices, interests and experiences, allowing learning to be expressed through multiple forms and supporting diverse developmental pathways. Nevertheless, its reliance on practitioner interpretation may reduce consistency in assessment.</w:t>
      </w:r>
    </w:p>
    <w:p w14:paraId="5E490EAD"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 xml:space="preserve">Overall, Reggio Emilia more effectively supports the concept of the Unique Child because assessment is centred on understanding children's perspectives, identities and ways of learning. However, combining Reggio Emilia's child-centred documentation with the Curriculum for </w:t>
      </w:r>
      <w:proofErr w:type="spellStart"/>
      <w:r w:rsidRPr="00105589">
        <w:rPr>
          <w:rFonts w:ascii="Arial" w:hAnsi="Arial" w:cs="Arial"/>
          <w:sz w:val="24"/>
          <w:szCs w:val="24"/>
        </w:rPr>
        <w:t>Wales'</w:t>
      </w:r>
      <w:proofErr w:type="spellEnd"/>
      <w:r w:rsidRPr="00105589">
        <w:rPr>
          <w:rFonts w:ascii="Arial" w:hAnsi="Arial" w:cs="Arial"/>
          <w:sz w:val="24"/>
          <w:szCs w:val="24"/>
        </w:rPr>
        <w:t xml:space="preserve"> focus on progression may provide the most effective approach to supporting children's development.</w:t>
      </w:r>
    </w:p>
    <w:p w14:paraId="635A6F82" w14:textId="77777777" w:rsidR="003A44D3" w:rsidRPr="00A1758B" w:rsidRDefault="003A44D3" w:rsidP="00A1758B">
      <w:pPr>
        <w:spacing w:line="360" w:lineRule="auto"/>
        <w:rPr>
          <w:rFonts w:ascii="Arial" w:hAnsi="Arial" w:cs="Arial"/>
          <w:sz w:val="24"/>
          <w:szCs w:val="24"/>
        </w:rPr>
      </w:pPr>
    </w:p>
    <w:p w14:paraId="5CAD9511" w14:textId="77777777" w:rsidR="0096543B" w:rsidRDefault="0096543B" w:rsidP="00F22240">
      <w:pPr>
        <w:spacing w:line="360" w:lineRule="auto"/>
        <w:rPr>
          <w:rFonts w:ascii="Arial" w:hAnsi="Arial" w:cs="Arial"/>
          <w:sz w:val="24"/>
          <w:szCs w:val="24"/>
        </w:rPr>
      </w:pPr>
    </w:p>
    <w:p w14:paraId="6053D9B3" w14:textId="77777777" w:rsidR="0096543B" w:rsidRDefault="0096543B" w:rsidP="00F22240">
      <w:pPr>
        <w:spacing w:line="360" w:lineRule="auto"/>
        <w:rPr>
          <w:rFonts w:ascii="Arial" w:hAnsi="Arial" w:cs="Arial"/>
          <w:sz w:val="24"/>
          <w:szCs w:val="24"/>
        </w:rPr>
      </w:pPr>
    </w:p>
    <w:p w14:paraId="4C46B207" w14:textId="11256B13" w:rsidR="0096543B" w:rsidRDefault="00856DE2" w:rsidP="00F22240">
      <w:pPr>
        <w:spacing w:line="360" w:lineRule="auto"/>
        <w:rPr>
          <w:rFonts w:ascii="Arial" w:hAnsi="Arial" w:cs="Arial"/>
          <w:sz w:val="24"/>
          <w:szCs w:val="24"/>
        </w:rPr>
      </w:pPr>
      <w:r w:rsidRPr="00856DE2">
        <w:rPr>
          <w:rFonts w:ascii="Arial" w:hAnsi="Arial" w:cs="Arial"/>
          <w:noProof/>
          <w:sz w:val="24"/>
          <w:szCs w:val="24"/>
        </w:rPr>
        <w:lastRenderedPageBreak/>
        <w:drawing>
          <wp:inline distT="0" distB="0" distL="0" distR="0" wp14:anchorId="63897F62" wp14:editId="0E0841B3">
            <wp:extent cx="5731510" cy="3954780"/>
            <wp:effectExtent l="0" t="0" r="2540" b="7620"/>
            <wp:docPr id="62820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02191" name=""/>
                    <pic:cNvPicPr/>
                  </pic:nvPicPr>
                  <pic:blipFill>
                    <a:blip r:embed="rId11"/>
                    <a:stretch>
                      <a:fillRect/>
                    </a:stretch>
                  </pic:blipFill>
                  <pic:spPr>
                    <a:xfrm>
                      <a:off x="0" y="0"/>
                      <a:ext cx="5731510" cy="3954780"/>
                    </a:xfrm>
                    <a:prstGeom prst="rect">
                      <a:avLst/>
                    </a:prstGeom>
                  </pic:spPr>
                </pic:pic>
              </a:graphicData>
            </a:graphic>
          </wp:inline>
        </w:drawing>
      </w:r>
    </w:p>
    <w:p w14:paraId="271EF61E" w14:textId="77777777" w:rsidR="0085585A" w:rsidRPr="00087338" w:rsidRDefault="0085585A" w:rsidP="00B32FB7">
      <w:pPr>
        <w:pStyle w:val="Heading1"/>
        <w:rPr>
          <w:rFonts w:ascii="Cambria" w:hAnsi="Cambria"/>
          <w:b/>
          <w:bCs/>
          <w:sz w:val="36"/>
          <w:szCs w:val="36"/>
          <w:u w:val="single"/>
        </w:rPr>
      </w:pPr>
      <w:r w:rsidRPr="00087338">
        <w:rPr>
          <w:rFonts w:ascii="Cambria" w:hAnsi="Cambria"/>
          <w:b/>
          <w:bCs/>
          <w:sz w:val="36"/>
          <w:szCs w:val="36"/>
          <w:u w:val="single"/>
        </w:rPr>
        <w:t>Let Children Be Children: Has Childhood Become Over-</w:t>
      </w:r>
      <w:proofErr w:type="spellStart"/>
      <w:r w:rsidRPr="00087338">
        <w:rPr>
          <w:rFonts w:ascii="Cambria" w:hAnsi="Cambria"/>
          <w:b/>
          <w:bCs/>
          <w:sz w:val="36"/>
          <w:szCs w:val="36"/>
          <w:u w:val="single"/>
        </w:rPr>
        <w:t>Academised</w:t>
      </w:r>
      <w:proofErr w:type="spellEnd"/>
      <w:r w:rsidRPr="00087338">
        <w:rPr>
          <w:rFonts w:ascii="Cambria" w:hAnsi="Cambria"/>
          <w:b/>
          <w:bCs/>
          <w:sz w:val="36"/>
          <w:szCs w:val="36"/>
          <w:u w:val="single"/>
        </w:rPr>
        <w:t>?</w:t>
      </w:r>
    </w:p>
    <w:p w14:paraId="2B399FCC" w14:textId="77777777" w:rsidR="00B32FB7" w:rsidRPr="00087338" w:rsidRDefault="00B32FB7" w:rsidP="00B32FB7">
      <w:pPr>
        <w:rPr>
          <w:rFonts w:ascii="Cambria" w:hAnsi="Cambria"/>
          <w:sz w:val="24"/>
          <w:szCs w:val="24"/>
        </w:rPr>
      </w:pPr>
    </w:p>
    <w:p w14:paraId="69D4B6A9" w14:textId="704CCB6E" w:rsidR="0085585A" w:rsidRPr="00087338" w:rsidRDefault="00156967" w:rsidP="00087338">
      <w:pPr>
        <w:rPr>
          <w:rFonts w:ascii="Cambria" w:hAnsi="Cambria"/>
          <w:sz w:val="24"/>
          <w:szCs w:val="24"/>
        </w:rPr>
      </w:pPr>
      <w:r w:rsidRPr="00087338">
        <w:rPr>
          <w:rFonts w:ascii="Cambria" w:hAnsi="Cambria"/>
          <w:sz w:val="24"/>
          <w:szCs w:val="24"/>
        </w:rPr>
        <w:t xml:space="preserve">According to Insel (2000), the child's brain is around 90% of its adult size by the age of five. </w:t>
      </w:r>
      <w:r w:rsidR="0085585A" w:rsidRPr="00087338">
        <w:rPr>
          <w:rFonts w:ascii="Cambria" w:hAnsi="Cambria"/>
          <w:sz w:val="24"/>
          <w:szCs w:val="24"/>
        </w:rPr>
        <w:t>When you stop and think about it, that's incredible. These early years are some of the most important in a child's life, forming the foundations for future learning, relationships and wellbeing. Because of this, shouldn't childhood be a time for play, exploration and discovery rather than pressure and performance?</w:t>
      </w:r>
    </w:p>
    <w:p w14:paraId="66BBEF19" w14:textId="6F68109A" w:rsidR="00460412" w:rsidRPr="00087338" w:rsidRDefault="00460412" w:rsidP="00087338">
      <w:pPr>
        <w:rPr>
          <w:rFonts w:ascii="Cambria" w:hAnsi="Cambria"/>
          <w:sz w:val="24"/>
          <w:szCs w:val="24"/>
        </w:rPr>
      </w:pPr>
      <w:r w:rsidRPr="00087338">
        <w:rPr>
          <w:rFonts w:ascii="Cambria" w:hAnsi="Cambria"/>
          <w:sz w:val="24"/>
          <w:szCs w:val="24"/>
        </w:rPr>
        <w:t xml:space="preserve">Yet across the UK, there appears to be an increasing focus on academic achievement and assessment from an early age. Children are often expected to demonstrate progress against developmental and educational expectations, while practitioners spend significant amounts of time observing, recording and evaluating learning. In Wales, the Curriculum for Wales places progression at the centre of learning through the six </w:t>
      </w:r>
      <w:hyperlink r:id="rId12" w:history="1">
        <w:r w:rsidRPr="00087338">
          <w:rPr>
            <w:rStyle w:val="Hyperlink"/>
            <w:rFonts w:ascii="Cambria" w:hAnsi="Cambria" w:cs="Arial"/>
            <w:sz w:val="24"/>
            <w:szCs w:val="24"/>
          </w:rPr>
          <w:t>Areas of Learning and Experience (</w:t>
        </w:r>
        <w:proofErr w:type="spellStart"/>
        <w:r w:rsidRPr="00087338">
          <w:rPr>
            <w:rStyle w:val="Hyperlink"/>
            <w:rFonts w:ascii="Cambria" w:hAnsi="Cambria" w:cs="Arial"/>
            <w:sz w:val="24"/>
            <w:szCs w:val="24"/>
          </w:rPr>
          <w:t>AoLEs</w:t>
        </w:r>
        <w:proofErr w:type="spellEnd"/>
        <w:r w:rsidRPr="00087338">
          <w:rPr>
            <w:rStyle w:val="Hyperlink"/>
            <w:rFonts w:ascii="Cambria" w:hAnsi="Cambria" w:cs="Arial"/>
            <w:sz w:val="24"/>
            <w:szCs w:val="24"/>
          </w:rPr>
          <w:t>),</w:t>
        </w:r>
      </w:hyperlink>
      <w:r w:rsidRPr="00087338">
        <w:rPr>
          <w:rFonts w:ascii="Cambria" w:hAnsi="Cambria"/>
          <w:sz w:val="24"/>
          <w:szCs w:val="24"/>
        </w:rPr>
        <w:t xml:space="preserve"> with assessment used to understand whether learners are making progress throughout their educational journey. While this approach is designed to support children's development, it raises an important question: if we truly believe that every child develops uniquely and at their own pace, why has tracking and measuring progress become such a central feature of childhood?</w:t>
      </w:r>
    </w:p>
    <w:p w14:paraId="575E741B" w14:textId="77777777" w:rsidR="00597351" w:rsidRPr="00087338" w:rsidRDefault="00597351" w:rsidP="00087338">
      <w:pPr>
        <w:rPr>
          <w:rFonts w:ascii="Cambria" w:hAnsi="Cambria"/>
          <w:sz w:val="24"/>
          <w:szCs w:val="24"/>
        </w:rPr>
      </w:pPr>
      <w:r w:rsidRPr="00087338">
        <w:rPr>
          <w:rFonts w:ascii="Cambria" w:hAnsi="Cambria"/>
          <w:sz w:val="24"/>
          <w:szCs w:val="24"/>
        </w:rPr>
        <w:t xml:space="preserve">As early years practitioners, we are taught to view children as individuals who develop at their own pace. Yet we are also expected to assess them against developmental </w:t>
      </w:r>
      <w:r w:rsidRPr="00087338">
        <w:rPr>
          <w:rFonts w:ascii="Cambria" w:hAnsi="Cambria"/>
          <w:sz w:val="24"/>
          <w:szCs w:val="24"/>
        </w:rPr>
        <w:lastRenderedPageBreak/>
        <w:t>benchmarks. If every child develops differently, should variation always be viewed as something that needs to be measured and addressed?</w:t>
      </w:r>
    </w:p>
    <w:p w14:paraId="0C932518" w14:textId="4A94CEBB" w:rsidR="0085585A" w:rsidRPr="00087338" w:rsidRDefault="0085585A" w:rsidP="00087338">
      <w:pPr>
        <w:rPr>
          <w:rFonts w:ascii="Cambria" w:hAnsi="Cambria"/>
          <w:sz w:val="24"/>
          <w:szCs w:val="24"/>
        </w:rPr>
      </w:pPr>
      <w:r w:rsidRPr="00087338">
        <w:rPr>
          <w:rFonts w:ascii="Cambria" w:hAnsi="Cambria"/>
          <w:sz w:val="24"/>
          <w:szCs w:val="24"/>
        </w:rPr>
        <w:t>What's particularly interesting is that the Curriculum for Wales places a strong emphasis on play-based learning, an approach often associated with Scandinavian education systems. If play is widely recognised as beneficial, why do so many practitioners still feel pressure to gather evidence, monitor progress and prepare children for school readiness?</w:t>
      </w:r>
      <w:r w:rsidR="00A1111A" w:rsidRPr="00087338">
        <w:rPr>
          <w:rFonts w:ascii="Cambria" w:hAnsi="Cambria"/>
          <w:sz w:val="24"/>
          <w:szCs w:val="24"/>
        </w:rPr>
        <w:t xml:space="preserve"> This tension is reflected in recent research suggesting that practitioners continue to navigate the competing demands of facilitating play-based learning while simultaneously documenting and assessing children's progress (Pyle, 2023).</w:t>
      </w:r>
    </w:p>
    <w:p w14:paraId="0402B2A2" w14:textId="6C9B3DC1" w:rsidR="0085585A" w:rsidRPr="00087338" w:rsidRDefault="0085585A" w:rsidP="00087338">
      <w:pPr>
        <w:rPr>
          <w:rFonts w:ascii="Cambria" w:hAnsi="Cambria"/>
          <w:sz w:val="24"/>
          <w:szCs w:val="24"/>
        </w:rPr>
      </w:pPr>
      <w:r w:rsidRPr="00087338">
        <w:rPr>
          <w:rFonts w:ascii="Cambria" w:hAnsi="Cambria"/>
          <w:sz w:val="24"/>
          <w:szCs w:val="24"/>
        </w:rPr>
        <w:t xml:space="preserve">Finland provides an interesting comparison. Children begin formal education later and spend longer learning through </w:t>
      </w:r>
      <w:r w:rsidR="00725E61" w:rsidRPr="00087338">
        <w:rPr>
          <w:rFonts w:ascii="Cambria" w:hAnsi="Cambria"/>
          <w:sz w:val="24"/>
          <w:szCs w:val="24"/>
        </w:rPr>
        <w:t>play yet</w:t>
      </w:r>
      <w:r w:rsidRPr="00087338">
        <w:rPr>
          <w:rFonts w:ascii="Cambria" w:hAnsi="Cambria"/>
          <w:sz w:val="24"/>
          <w:szCs w:val="24"/>
        </w:rPr>
        <w:t xml:space="preserve"> continue to achieve strong educational outcomes</w:t>
      </w:r>
      <w:r w:rsidR="00146817" w:rsidRPr="00087338">
        <w:rPr>
          <w:rFonts w:ascii="Cambria" w:hAnsi="Cambria"/>
          <w:sz w:val="24"/>
          <w:szCs w:val="24"/>
        </w:rPr>
        <w:t xml:space="preserve"> </w:t>
      </w:r>
      <w:r w:rsidR="00585BA4" w:rsidRPr="00087338">
        <w:rPr>
          <w:rFonts w:ascii="Cambria" w:hAnsi="Cambria"/>
          <w:sz w:val="24"/>
          <w:szCs w:val="24"/>
        </w:rPr>
        <w:t xml:space="preserve">(Sharp, 2002; OECD, 2023). </w:t>
      </w:r>
      <w:r w:rsidRPr="00087338">
        <w:rPr>
          <w:rFonts w:ascii="Cambria" w:hAnsi="Cambria"/>
          <w:sz w:val="24"/>
          <w:szCs w:val="24"/>
        </w:rPr>
        <w:t>This challenges the assumption that earlier formal education automatically leads to greater success.</w:t>
      </w:r>
      <w:r w:rsidR="00EA7258" w:rsidRPr="00087338">
        <w:rPr>
          <w:rFonts w:ascii="Cambria" w:hAnsi="Cambria"/>
          <w:sz w:val="24"/>
          <w:szCs w:val="24"/>
        </w:rPr>
        <w:t xml:space="preserve"> </w:t>
      </w:r>
    </w:p>
    <w:p w14:paraId="3388ECCE" w14:textId="77777777" w:rsidR="00ED372C" w:rsidRPr="00087338" w:rsidRDefault="00ED372C" w:rsidP="00087338">
      <w:pPr>
        <w:rPr>
          <w:rFonts w:ascii="Cambria" w:hAnsi="Cambria"/>
          <w:sz w:val="24"/>
          <w:szCs w:val="24"/>
        </w:rPr>
      </w:pPr>
      <w:r w:rsidRPr="00087338">
        <w:rPr>
          <w:rFonts w:ascii="Cambria" w:hAnsi="Cambria"/>
          <w:sz w:val="24"/>
          <w:szCs w:val="24"/>
        </w:rPr>
        <w:t>Supporters of a later start to formal education argue that additional opportunities for play help children develop confidence, resilience and social skills before entering more structured educational environments. At the heart of this argument is the belief that children's wellbeing matters.</w:t>
      </w:r>
    </w:p>
    <w:p w14:paraId="519DC54A" w14:textId="56DEBA32" w:rsidR="00256E5D" w:rsidRPr="00087338" w:rsidRDefault="0085585A" w:rsidP="00087338">
      <w:pPr>
        <w:rPr>
          <w:rFonts w:ascii="Cambria" w:hAnsi="Cambria"/>
          <w:sz w:val="24"/>
          <w:szCs w:val="24"/>
        </w:rPr>
      </w:pPr>
      <w:r w:rsidRPr="00087338">
        <w:rPr>
          <w:rFonts w:ascii="Cambria" w:hAnsi="Cambria"/>
          <w:sz w:val="24"/>
          <w:szCs w:val="24"/>
        </w:rPr>
        <w:t xml:space="preserve">This becomes even more important when we consider </w:t>
      </w:r>
      <w:hyperlink r:id="rId13" w:history="1">
        <w:r w:rsidRPr="00087338">
          <w:rPr>
            <w:rStyle w:val="Hyperlink"/>
            <w:rFonts w:ascii="Cambria" w:hAnsi="Cambria" w:cs="Arial"/>
            <w:sz w:val="24"/>
            <w:szCs w:val="24"/>
          </w:rPr>
          <w:t>Adverse Childhood Experiences (ACEs).</w:t>
        </w:r>
      </w:hyperlink>
      <w:r w:rsidRPr="00087338">
        <w:rPr>
          <w:rFonts w:ascii="Cambria" w:hAnsi="Cambria"/>
          <w:sz w:val="24"/>
          <w:szCs w:val="24"/>
        </w:rPr>
        <w:t xml:space="preserve"> Research shows that prolonged childhood stress can affect brain development, emotional regulation and behaviour</w:t>
      </w:r>
      <w:r w:rsidR="00256E5D" w:rsidRPr="00087338">
        <w:rPr>
          <w:rFonts w:ascii="Cambria" w:hAnsi="Cambria"/>
          <w:sz w:val="24"/>
          <w:szCs w:val="24"/>
        </w:rPr>
        <w:t xml:space="preserve"> (Herzog and Schmahl, 2018).</w:t>
      </w:r>
    </w:p>
    <w:p w14:paraId="672EB08C" w14:textId="2CA6944E" w:rsidR="0085585A" w:rsidRPr="00087338" w:rsidRDefault="0085585A" w:rsidP="00087338">
      <w:pPr>
        <w:rPr>
          <w:rFonts w:ascii="Cambria" w:hAnsi="Cambria"/>
          <w:sz w:val="24"/>
          <w:szCs w:val="24"/>
        </w:rPr>
      </w:pPr>
      <w:r w:rsidRPr="00087338">
        <w:rPr>
          <w:rFonts w:ascii="Cambria" w:hAnsi="Cambria"/>
          <w:sz w:val="24"/>
          <w:szCs w:val="24"/>
        </w:rPr>
        <w:t>If wellbeing has such a significant influence on development, should increasing academic expectations really be our main priority?</w:t>
      </w:r>
    </w:p>
    <w:p w14:paraId="0537D0FE" w14:textId="5D63C13C" w:rsidR="0085585A" w:rsidRPr="00087338" w:rsidRDefault="00ED372C" w:rsidP="00087338">
      <w:pPr>
        <w:rPr>
          <w:rFonts w:ascii="Cambria" w:hAnsi="Cambria"/>
          <w:sz w:val="24"/>
          <w:szCs w:val="24"/>
        </w:rPr>
      </w:pPr>
      <w:r w:rsidRPr="00087338">
        <w:rPr>
          <w:rFonts w:ascii="Cambria" w:hAnsi="Cambria"/>
          <w:sz w:val="24"/>
          <w:szCs w:val="24"/>
        </w:rPr>
        <w:t>Perhaps childhood should be viewed not simply as preparation for school, but as a valuable stage of life. Play helps build the foundations for future learning. Bruce (2021) argues that it supports children's problem-solving abilities, imagination and abstract thinking, helping them develop as confident learners.</w:t>
      </w:r>
    </w:p>
    <w:p w14:paraId="28FE952E" w14:textId="77777777" w:rsidR="00087338" w:rsidRPr="00087338" w:rsidRDefault="00087338" w:rsidP="00087338">
      <w:pPr>
        <w:rPr>
          <w:rFonts w:ascii="Cambria" w:hAnsi="Cambria"/>
          <w:sz w:val="24"/>
          <w:szCs w:val="24"/>
        </w:rPr>
      </w:pPr>
    </w:p>
    <w:p w14:paraId="4959437D" w14:textId="77777777" w:rsidR="0085585A" w:rsidRPr="00087338" w:rsidRDefault="0085585A" w:rsidP="00087338">
      <w:pPr>
        <w:pStyle w:val="Heading2"/>
        <w:rPr>
          <w:rFonts w:ascii="Cambria" w:hAnsi="Cambria"/>
          <w:b/>
          <w:bCs/>
          <w:sz w:val="36"/>
          <w:szCs w:val="36"/>
          <w:u w:val="single"/>
        </w:rPr>
      </w:pPr>
      <w:r w:rsidRPr="00087338">
        <w:rPr>
          <w:rFonts w:ascii="Cambria" w:hAnsi="Cambria"/>
          <w:b/>
          <w:bCs/>
          <w:sz w:val="36"/>
          <w:szCs w:val="36"/>
          <w:u w:val="single"/>
        </w:rPr>
        <w:t>If Childhood Has Become Over-</w:t>
      </w:r>
      <w:proofErr w:type="spellStart"/>
      <w:r w:rsidRPr="00087338">
        <w:rPr>
          <w:rFonts w:ascii="Cambria" w:hAnsi="Cambria"/>
          <w:b/>
          <w:bCs/>
          <w:sz w:val="36"/>
          <w:szCs w:val="36"/>
          <w:u w:val="single"/>
        </w:rPr>
        <w:t>Academised</w:t>
      </w:r>
      <w:proofErr w:type="spellEnd"/>
      <w:r w:rsidRPr="00087338">
        <w:rPr>
          <w:rFonts w:ascii="Cambria" w:hAnsi="Cambria"/>
          <w:b/>
          <w:bCs/>
          <w:sz w:val="36"/>
          <w:szCs w:val="36"/>
          <w:u w:val="single"/>
        </w:rPr>
        <w:t>, How Can We Create a More Balanced Approach?</w:t>
      </w:r>
    </w:p>
    <w:p w14:paraId="65ED154B" w14:textId="77777777" w:rsidR="00087338" w:rsidRPr="00087338" w:rsidRDefault="00087338" w:rsidP="00087338">
      <w:pPr>
        <w:rPr>
          <w:rFonts w:ascii="Cambria" w:hAnsi="Cambria"/>
          <w:sz w:val="24"/>
          <w:szCs w:val="24"/>
        </w:rPr>
      </w:pPr>
    </w:p>
    <w:p w14:paraId="007EFA7D" w14:textId="77777777" w:rsidR="0085585A" w:rsidRPr="00087338" w:rsidRDefault="0085585A" w:rsidP="00087338">
      <w:pPr>
        <w:rPr>
          <w:rFonts w:ascii="Cambria" w:hAnsi="Cambria"/>
          <w:sz w:val="24"/>
          <w:szCs w:val="24"/>
        </w:rPr>
      </w:pPr>
      <w:r w:rsidRPr="00087338">
        <w:rPr>
          <w:rFonts w:ascii="Cambria" w:hAnsi="Cambria"/>
          <w:sz w:val="24"/>
          <w:szCs w:val="24"/>
        </w:rPr>
        <w:t>The honest answer is that it won't be easy.</w:t>
      </w:r>
    </w:p>
    <w:p w14:paraId="225C4C5A" w14:textId="77777777" w:rsidR="0085585A" w:rsidRPr="00087338" w:rsidRDefault="0085585A" w:rsidP="00087338">
      <w:pPr>
        <w:rPr>
          <w:rFonts w:ascii="Cambria" w:hAnsi="Cambria"/>
          <w:sz w:val="24"/>
          <w:szCs w:val="24"/>
        </w:rPr>
      </w:pPr>
      <w:r w:rsidRPr="00087338">
        <w:rPr>
          <w:rFonts w:ascii="Cambria" w:hAnsi="Cambria"/>
          <w:sz w:val="24"/>
          <w:szCs w:val="24"/>
        </w:rPr>
        <w:t>Modern education systems place significant emphasis on accountability, evidence and measurable outcomes. Assessment and observation are important tools that help practitioners identify children's needs and support their development. However, when assessment becomes the focus, there is a risk that the broader purpose of early childhood education can become secondary.</w:t>
      </w:r>
    </w:p>
    <w:p w14:paraId="49E9E25A" w14:textId="4A3AB52E" w:rsidR="0085585A" w:rsidRPr="00087338" w:rsidRDefault="0085585A" w:rsidP="00087338">
      <w:pPr>
        <w:rPr>
          <w:rFonts w:ascii="Cambria" w:hAnsi="Cambria"/>
          <w:sz w:val="24"/>
          <w:szCs w:val="24"/>
        </w:rPr>
      </w:pPr>
      <w:r w:rsidRPr="00087338">
        <w:rPr>
          <w:rFonts w:ascii="Cambria" w:hAnsi="Cambria"/>
          <w:sz w:val="24"/>
          <w:szCs w:val="24"/>
        </w:rPr>
        <w:lastRenderedPageBreak/>
        <w:t xml:space="preserve">One approach that offers an alternative is the </w:t>
      </w:r>
      <w:hyperlink r:id="rId14" w:history="1">
        <w:r w:rsidRPr="00087338">
          <w:rPr>
            <w:rStyle w:val="Hyperlink"/>
            <w:rFonts w:ascii="Cambria" w:hAnsi="Cambria" w:cs="Arial"/>
            <w:sz w:val="24"/>
            <w:szCs w:val="24"/>
          </w:rPr>
          <w:t>Reggio Emilia philosophy</w:t>
        </w:r>
      </w:hyperlink>
      <w:r w:rsidRPr="00087338">
        <w:rPr>
          <w:rFonts w:ascii="Cambria" w:hAnsi="Cambria"/>
          <w:sz w:val="24"/>
          <w:szCs w:val="24"/>
        </w:rPr>
        <w:t>. Rather than relying heavily on checklists and predetermined targets, Reggio Emilia practitioners focus on documenting children's ideas, questions and discoveries as they happen. Learning is viewed as a process rather than a series of outcomes to be achieved.</w:t>
      </w:r>
    </w:p>
    <w:p w14:paraId="6EDDA2DC" w14:textId="77777777" w:rsidR="00ED372C" w:rsidRPr="00087338" w:rsidRDefault="00ED372C" w:rsidP="00087338">
      <w:pPr>
        <w:rPr>
          <w:rFonts w:ascii="Cambria" w:hAnsi="Cambria"/>
          <w:sz w:val="24"/>
          <w:szCs w:val="24"/>
        </w:rPr>
      </w:pPr>
      <w:r w:rsidRPr="00087338">
        <w:rPr>
          <w:rFonts w:ascii="Cambria" w:hAnsi="Cambria"/>
          <w:sz w:val="24"/>
          <w:szCs w:val="24"/>
        </w:rPr>
        <w:t>Documentation allows children to revisit learning and take ownership of their development, reinforcing that their ideas and experiences matter.</w:t>
      </w:r>
    </w:p>
    <w:p w14:paraId="2E1A032B" w14:textId="77777777" w:rsidR="0085585A" w:rsidRPr="00087338" w:rsidRDefault="0085585A" w:rsidP="00087338">
      <w:pPr>
        <w:rPr>
          <w:rFonts w:ascii="Cambria" w:hAnsi="Cambria"/>
          <w:i/>
          <w:iCs/>
          <w:sz w:val="24"/>
          <w:szCs w:val="24"/>
        </w:rPr>
      </w:pPr>
      <w:r w:rsidRPr="00087338">
        <w:rPr>
          <w:rFonts w:ascii="Cambria" w:hAnsi="Cambria"/>
          <w:sz w:val="24"/>
          <w:szCs w:val="24"/>
        </w:rPr>
        <w:t xml:space="preserve">This approach views children as capable, curious and competent learners. Instead of asking whether a child has met a particular target, practitioners ask a different question: </w:t>
      </w:r>
      <w:r w:rsidRPr="00087338">
        <w:rPr>
          <w:rFonts w:ascii="Cambria" w:hAnsi="Cambria"/>
          <w:i/>
          <w:iCs/>
          <w:sz w:val="24"/>
          <w:szCs w:val="24"/>
        </w:rPr>
        <w:t>How does this child learn, and how can we support them further?</w:t>
      </w:r>
    </w:p>
    <w:p w14:paraId="59F9AF29" w14:textId="77777777" w:rsidR="00087338" w:rsidRPr="00087338" w:rsidRDefault="00087338" w:rsidP="00087338">
      <w:pPr>
        <w:rPr>
          <w:rFonts w:ascii="Cambria" w:hAnsi="Cambria"/>
          <w:i/>
          <w:iCs/>
          <w:sz w:val="24"/>
          <w:szCs w:val="24"/>
        </w:rPr>
      </w:pPr>
    </w:p>
    <w:p w14:paraId="16FB7A80" w14:textId="258D9BB1" w:rsidR="00A114FE" w:rsidRPr="00087338" w:rsidRDefault="004B3A97" w:rsidP="00087338">
      <w:pPr>
        <w:pStyle w:val="Heading2"/>
        <w:rPr>
          <w:rFonts w:ascii="Cambria" w:hAnsi="Cambria"/>
          <w:b/>
          <w:bCs/>
          <w:sz w:val="36"/>
          <w:szCs w:val="36"/>
          <w:u w:val="single"/>
        </w:rPr>
      </w:pPr>
      <w:r w:rsidRPr="00087338">
        <w:rPr>
          <w:rFonts w:ascii="Cambria" w:hAnsi="Cambria"/>
          <w:b/>
          <w:bCs/>
          <w:sz w:val="36"/>
          <w:szCs w:val="36"/>
          <w:u w:val="single"/>
        </w:rPr>
        <w:t>What are the challenges to this?</w:t>
      </w:r>
    </w:p>
    <w:p w14:paraId="539603EF" w14:textId="77777777" w:rsidR="00087338" w:rsidRPr="00087338" w:rsidRDefault="00087338" w:rsidP="00087338">
      <w:pPr>
        <w:rPr>
          <w:rFonts w:ascii="Cambria" w:hAnsi="Cambria"/>
          <w:sz w:val="24"/>
          <w:szCs w:val="24"/>
        </w:rPr>
      </w:pPr>
    </w:p>
    <w:p w14:paraId="053A8C6C" w14:textId="77777777" w:rsidR="00803BA8" w:rsidRPr="00087338" w:rsidRDefault="002B3901" w:rsidP="00087338">
      <w:pPr>
        <w:rPr>
          <w:rFonts w:ascii="Cambria" w:hAnsi="Cambria"/>
          <w:sz w:val="24"/>
          <w:szCs w:val="24"/>
        </w:rPr>
      </w:pPr>
      <w:r w:rsidRPr="00087338">
        <w:rPr>
          <w:rFonts w:ascii="Cambria" w:hAnsi="Cambria"/>
          <w:sz w:val="24"/>
          <w:szCs w:val="24"/>
        </w:rPr>
        <w:t xml:space="preserve">Many practitioners and educators argue that reducing emphasis on assessment could affect school readiness. Schools often expect children to arrive with certain levels of independence, communication and early literacy skills. </w:t>
      </w:r>
      <w:r w:rsidR="00803BA8" w:rsidRPr="00087338">
        <w:rPr>
          <w:rFonts w:ascii="Cambria" w:hAnsi="Cambria"/>
          <w:sz w:val="24"/>
          <w:szCs w:val="24"/>
        </w:rPr>
        <w:t>However, UNICEF (2019) emphasises the importance of children's holistic development and wellbeing, recognising that young children learn and develop in different ways.</w:t>
      </w:r>
    </w:p>
    <w:p w14:paraId="63F79194" w14:textId="3229C66E" w:rsidR="002B3901" w:rsidRPr="00087338" w:rsidRDefault="002B3901" w:rsidP="00087338">
      <w:pPr>
        <w:rPr>
          <w:rFonts w:ascii="Cambria" w:hAnsi="Cambria"/>
          <w:sz w:val="24"/>
          <w:szCs w:val="24"/>
        </w:rPr>
      </w:pPr>
      <w:r w:rsidRPr="00087338">
        <w:rPr>
          <w:rFonts w:ascii="Cambria" w:hAnsi="Cambria"/>
          <w:sz w:val="24"/>
          <w:szCs w:val="24"/>
        </w:rPr>
        <w:t>Without clear assessments, how can practitioners demonstrate readiness for formal education?</w:t>
      </w:r>
    </w:p>
    <w:p w14:paraId="46B63D59" w14:textId="77777777" w:rsidR="002B3901" w:rsidRPr="00087338" w:rsidRDefault="002B3901" w:rsidP="00087338">
      <w:pPr>
        <w:rPr>
          <w:rFonts w:ascii="Cambria" w:hAnsi="Cambria"/>
          <w:sz w:val="24"/>
          <w:szCs w:val="24"/>
        </w:rPr>
      </w:pPr>
      <w:r w:rsidRPr="00087338">
        <w:rPr>
          <w:rFonts w:ascii="Cambria" w:hAnsi="Cambria"/>
          <w:sz w:val="24"/>
          <w:szCs w:val="24"/>
        </w:rPr>
        <w:t>There are also practical challenges relating to funding, staffing and workload, making significant changes difficult to implement.</w:t>
      </w:r>
    </w:p>
    <w:p w14:paraId="5CAEA115" w14:textId="77777777" w:rsidR="0085585A" w:rsidRPr="00087338" w:rsidRDefault="0085585A" w:rsidP="00087338">
      <w:pPr>
        <w:rPr>
          <w:rFonts w:ascii="Cambria" w:hAnsi="Cambria"/>
          <w:sz w:val="24"/>
          <w:szCs w:val="24"/>
        </w:rPr>
      </w:pPr>
      <w:r w:rsidRPr="00087338">
        <w:rPr>
          <w:rFonts w:ascii="Cambria" w:hAnsi="Cambria"/>
          <w:sz w:val="24"/>
          <w:szCs w:val="24"/>
        </w:rPr>
        <w:t>However, these concerns should not distract from the central issue.</w:t>
      </w:r>
    </w:p>
    <w:p w14:paraId="326698CB" w14:textId="77777777" w:rsidR="0085585A" w:rsidRPr="00087338" w:rsidRDefault="0085585A" w:rsidP="00087338">
      <w:pPr>
        <w:rPr>
          <w:rFonts w:ascii="Cambria" w:hAnsi="Cambria"/>
          <w:sz w:val="24"/>
          <w:szCs w:val="24"/>
        </w:rPr>
      </w:pPr>
      <w:r w:rsidRPr="00087338">
        <w:rPr>
          <w:rFonts w:ascii="Cambria" w:hAnsi="Cambria"/>
          <w:sz w:val="24"/>
          <w:szCs w:val="24"/>
        </w:rPr>
        <w:t xml:space="preserve">This debate is not about abandoning assessment but ensuring that children's needs remain at the heart of educational practice. A less </w:t>
      </w:r>
      <w:proofErr w:type="spellStart"/>
      <w:r w:rsidRPr="00087338">
        <w:rPr>
          <w:rFonts w:ascii="Cambria" w:hAnsi="Cambria"/>
          <w:sz w:val="24"/>
          <w:szCs w:val="24"/>
        </w:rPr>
        <w:t>academised</w:t>
      </w:r>
      <w:proofErr w:type="spellEnd"/>
      <w:r w:rsidRPr="00087338">
        <w:rPr>
          <w:rFonts w:ascii="Cambria" w:hAnsi="Cambria"/>
          <w:sz w:val="24"/>
          <w:szCs w:val="24"/>
        </w:rPr>
        <w:t xml:space="preserve"> approach does not mean lower expectations; it recognises that meaningful learning does not always happen through structured activities or measurable outcomes.</w:t>
      </w:r>
    </w:p>
    <w:p w14:paraId="25006862" w14:textId="77777777" w:rsidR="0085585A" w:rsidRPr="00087338" w:rsidRDefault="0085585A" w:rsidP="00087338">
      <w:pPr>
        <w:rPr>
          <w:rFonts w:ascii="Cambria" w:hAnsi="Cambria"/>
          <w:sz w:val="24"/>
          <w:szCs w:val="24"/>
        </w:rPr>
      </w:pPr>
      <w:r w:rsidRPr="00087338">
        <w:rPr>
          <w:rFonts w:ascii="Cambria" w:hAnsi="Cambria"/>
          <w:sz w:val="24"/>
          <w:szCs w:val="24"/>
        </w:rPr>
        <w:t>Play, exploration, creativity and social interaction are not distractions from learning. They are learning.</w:t>
      </w:r>
    </w:p>
    <w:p w14:paraId="1BB139C4" w14:textId="77777777" w:rsidR="0085585A" w:rsidRPr="00087338" w:rsidRDefault="0085585A" w:rsidP="00087338">
      <w:pPr>
        <w:rPr>
          <w:rFonts w:ascii="Cambria" w:hAnsi="Cambria"/>
          <w:sz w:val="24"/>
          <w:szCs w:val="24"/>
        </w:rPr>
      </w:pPr>
      <w:r w:rsidRPr="00087338">
        <w:rPr>
          <w:rFonts w:ascii="Cambria" w:hAnsi="Cambria"/>
          <w:sz w:val="24"/>
          <w:szCs w:val="24"/>
        </w:rPr>
        <w:t>While preparing children for school is undoubtedly important, that preparation should not come at the expense of their wellbeing or their right to experience childhood in a way that reflects their individual needs and stage of development.</w:t>
      </w:r>
    </w:p>
    <w:p w14:paraId="7901D696" w14:textId="77777777" w:rsidR="0085585A" w:rsidRPr="00087338" w:rsidRDefault="0085585A" w:rsidP="00087338">
      <w:pPr>
        <w:rPr>
          <w:rFonts w:ascii="Cambria" w:hAnsi="Cambria"/>
          <w:sz w:val="24"/>
          <w:szCs w:val="24"/>
        </w:rPr>
      </w:pPr>
      <w:r w:rsidRPr="00087338">
        <w:rPr>
          <w:rFonts w:ascii="Cambria" w:hAnsi="Cambria"/>
          <w:sz w:val="24"/>
          <w:szCs w:val="24"/>
        </w:rPr>
        <w:t>If countries such as Finland can achieve strong educational outcomes while delaying formal education and prioritising play, perhaps it is time to ask whether Wales has become too focused on school readiness and measurable outcomes.</w:t>
      </w:r>
    </w:p>
    <w:p w14:paraId="552BD01E" w14:textId="77777777" w:rsidR="00087338" w:rsidRPr="00087338" w:rsidRDefault="00087338" w:rsidP="00087338">
      <w:pPr>
        <w:pStyle w:val="Heading2"/>
        <w:rPr>
          <w:rFonts w:ascii="Cambria" w:hAnsi="Cambria"/>
          <w:sz w:val="24"/>
          <w:szCs w:val="24"/>
        </w:rPr>
      </w:pPr>
    </w:p>
    <w:p w14:paraId="56923625" w14:textId="77777777" w:rsidR="0085585A" w:rsidRPr="00087338" w:rsidRDefault="0085585A" w:rsidP="00087338">
      <w:pPr>
        <w:pStyle w:val="Heading2"/>
        <w:rPr>
          <w:rFonts w:ascii="Cambria" w:hAnsi="Cambria" w:cs="Arial"/>
          <w:b/>
          <w:bCs/>
          <w:sz w:val="36"/>
          <w:szCs w:val="36"/>
          <w:u w:val="single"/>
        </w:rPr>
      </w:pPr>
      <w:r w:rsidRPr="00087338">
        <w:rPr>
          <w:rFonts w:ascii="Cambria" w:hAnsi="Cambria" w:cs="Arial"/>
          <w:b/>
          <w:bCs/>
          <w:sz w:val="36"/>
          <w:szCs w:val="36"/>
          <w:u w:val="single"/>
        </w:rPr>
        <w:t>So, Has Childhood Become Over-</w:t>
      </w:r>
      <w:proofErr w:type="spellStart"/>
      <w:r w:rsidRPr="00087338">
        <w:rPr>
          <w:rFonts w:ascii="Cambria" w:hAnsi="Cambria" w:cs="Arial"/>
          <w:b/>
          <w:bCs/>
          <w:sz w:val="36"/>
          <w:szCs w:val="36"/>
          <w:u w:val="single"/>
        </w:rPr>
        <w:t>Academised</w:t>
      </w:r>
      <w:proofErr w:type="spellEnd"/>
      <w:r w:rsidRPr="00087338">
        <w:rPr>
          <w:rFonts w:ascii="Cambria" w:hAnsi="Cambria" w:cs="Arial"/>
          <w:b/>
          <w:bCs/>
          <w:sz w:val="36"/>
          <w:szCs w:val="36"/>
          <w:u w:val="single"/>
        </w:rPr>
        <w:t>?</w:t>
      </w:r>
    </w:p>
    <w:p w14:paraId="6A4BBA0A" w14:textId="77777777" w:rsidR="00087338" w:rsidRPr="00087338" w:rsidRDefault="00087338" w:rsidP="0085585A">
      <w:pPr>
        <w:spacing w:line="360" w:lineRule="auto"/>
        <w:rPr>
          <w:rFonts w:ascii="Cambria" w:hAnsi="Cambria" w:cs="Arial"/>
          <w:b/>
          <w:bCs/>
          <w:sz w:val="24"/>
          <w:szCs w:val="24"/>
          <w:u w:val="single"/>
        </w:rPr>
      </w:pPr>
    </w:p>
    <w:p w14:paraId="63F54A38" w14:textId="77777777" w:rsidR="0085585A" w:rsidRPr="00087338" w:rsidRDefault="0085585A" w:rsidP="00087338">
      <w:pPr>
        <w:rPr>
          <w:rFonts w:ascii="Cambria" w:hAnsi="Cambria"/>
          <w:sz w:val="24"/>
          <w:szCs w:val="24"/>
        </w:rPr>
      </w:pPr>
      <w:r w:rsidRPr="00087338">
        <w:rPr>
          <w:rFonts w:ascii="Cambria" w:hAnsi="Cambria"/>
          <w:sz w:val="24"/>
          <w:szCs w:val="24"/>
        </w:rPr>
        <w:lastRenderedPageBreak/>
        <w:t>Education and assessment undoubtedly play an important role in supporting children's development. Yet there is growing concern that increasing emphasis on school readiness, developmental milestones and measurable outcomes may be shifting attention away from what young children need most.</w:t>
      </w:r>
    </w:p>
    <w:p w14:paraId="542D2A13" w14:textId="2B6A17EC" w:rsidR="0085585A" w:rsidRPr="00087338" w:rsidRDefault="0085585A" w:rsidP="00087338">
      <w:pPr>
        <w:rPr>
          <w:rFonts w:ascii="Cambria" w:hAnsi="Cambria"/>
          <w:sz w:val="24"/>
          <w:szCs w:val="24"/>
        </w:rPr>
      </w:pPr>
      <w:r w:rsidRPr="00087338">
        <w:rPr>
          <w:rFonts w:ascii="Cambria" w:hAnsi="Cambria"/>
          <w:sz w:val="24"/>
          <w:szCs w:val="24"/>
        </w:rPr>
        <w:t xml:space="preserve">Childhood should not be viewed solely as preparation for the next stage of education, but as a valuable stage of </w:t>
      </w:r>
      <w:r w:rsidR="00087338" w:rsidRPr="00087338">
        <w:rPr>
          <w:rFonts w:ascii="Cambria" w:hAnsi="Cambria"/>
          <w:sz w:val="24"/>
          <w:szCs w:val="24"/>
        </w:rPr>
        <w:t>life</w:t>
      </w:r>
      <w:r w:rsidRPr="00087338">
        <w:rPr>
          <w:rFonts w:ascii="Cambria" w:hAnsi="Cambria"/>
          <w:sz w:val="24"/>
          <w:szCs w:val="24"/>
        </w:rPr>
        <w:t>.</w:t>
      </w:r>
    </w:p>
    <w:p w14:paraId="7BC713E8" w14:textId="77777777" w:rsidR="001E1B6B" w:rsidRPr="00087338" w:rsidRDefault="001E1B6B" w:rsidP="00087338">
      <w:pPr>
        <w:rPr>
          <w:rFonts w:ascii="Cambria" w:hAnsi="Cambria"/>
          <w:sz w:val="24"/>
          <w:szCs w:val="24"/>
        </w:rPr>
      </w:pPr>
      <w:r w:rsidRPr="00087338">
        <w:rPr>
          <w:rFonts w:ascii="Cambria" w:hAnsi="Cambria"/>
          <w:sz w:val="24"/>
          <w:szCs w:val="24"/>
        </w:rPr>
        <w:t>Approaches such as those adopted in Finland and Reggio Emilia suggest that child-led learning can support both educational success and positive developmental outcomes. Rather than asking how quickly children can meet expectations, perhaps we should first ask whether those expectations are developmentally appropriate.</w:t>
      </w:r>
    </w:p>
    <w:p w14:paraId="08651E59" w14:textId="0991C3BB" w:rsidR="0085585A" w:rsidRPr="00087338" w:rsidRDefault="0085585A" w:rsidP="00087338">
      <w:pPr>
        <w:rPr>
          <w:rFonts w:ascii="Cambria" w:hAnsi="Cambria"/>
          <w:sz w:val="24"/>
          <w:szCs w:val="24"/>
        </w:rPr>
      </w:pPr>
      <w:r w:rsidRPr="00087338">
        <w:rPr>
          <w:rFonts w:ascii="Cambria" w:hAnsi="Cambria"/>
          <w:sz w:val="24"/>
          <w:szCs w:val="24"/>
        </w:rPr>
        <w:t xml:space="preserve">If we truly believe that every child is unique, then our educational practices should reflect that belief. </w:t>
      </w:r>
      <w:r w:rsidR="007C60CE" w:rsidRPr="00087338">
        <w:rPr>
          <w:rFonts w:ascii="Cambria" w:hAnsi="Cambria"/>
          <w:sz w:val="24"/>
          <w:szCs w:val="24"/>
        </w:rPr>
        <w:t>By placing children's wellbeing and individuality at the centre of practice, we can create environments where children are not simply prepared for school but are supported to flourish.</w:t>
      </w:r>
    </w:p>
    <w:p w14:paraId="2A49EF49" w14:textId="77777777" w:rsidR="0085585A" w:rsidRPr="00087338" w:rsidRDefault="0085585A" w:rsidP="00087338">
      <w:pPr>
        <w:rPr>
          <w:rFonts w:ascii="Cambria" w:hAnsi="Cambria"/>
          <w:sz w:val="24"/>
          <w:szCs w:val="24"/>
        </w:rPr>
      </w:pPr>
      <w:r w:rsidRPr="00087338">
        <w:rPr>
          <w:rFonts w:ascii="Cambria" w:hAnsi="Cambria"/>
          <w:sz w:val="24"/>
          <w:szCs w:val="24"/>
        </w:rPr>
        <w:t>And perhaps that's the most important question of all: are we preparing children for life, or are we asking them to grow up too quickly?</w:t>
      </w:r>
    </w:p>
    <w:p w14:paraId="30CA67F6" w14:textId="77777777" w:rsidR="00C33DDA" w:rsidRDefault="00C33DDA" w:rsidP="00F22240">
      <w:pPr>
        <w:spacing w:line="360" w:lineRule="auto"/>
        <w:rPr>
          <w:rFonts w:ascii="Arial" w:hAnsi="Arial" w:cs="Arial"/>
          <w:sz w:val="24"/>
          <w:szCs w:val="24"/>
        </w:rPr>
      </w:pPr>
    </w:p>
    <w:p w14:paraId="147E9F48" w14:textId="77777777" w:rsidR="00FC10F9" w:rsidRDefault="00FC10F9" w:rsidP="00F22240">
      <w:pPr>
        <w:spacing w:line="360" w:lineRule="auto"/>
        <w:rPr>
          <w:rFonts w:ascii="Arial" w:hAnsi="Arial" w:cs="Arial"/>
          <w:sz w:val="24"/>
          <w:szCs w:val="24"/>
        </w:rPr>
      </w:pPr>
    </w:p>
    <w:p w14:paraId="362FAFAB" w14:textId="77777777" w:rsidR="00643E53" w:rsidRDefault="00643E53" w:rsidP="00F22240">
      <w:pPr>
        <w:spacing w:line="360" w:lineRule="auto"/>
        <w:rPr>
          <w:rFonts w:ascii="Arial" w:hAnsi="Arial" w:cs="Arial"/>
          <w:sz w:val="24"/>
          <w:szCs w:val="24"/>
        </w:rPr>
      </w:pPr>
    </w:p>
    <w:p w14:paraId="7EC50B09" w14:textId="77777777" w:rsidR="00643E53" w:rsidRDefault="00643E53" w:rsidP="00F22240">
      <w:pPr>
        <w:spacing w:line="360" w:lineRule="auto"/>
        <w:rPr>
          <w:rFonts w:ascii="Arial" w:hAnsi="Arial" w:cs="Arial"/>
          <w:sz w:val="24"/>
          <w:szCs w:val="24"/>
        </w:rPr>
      </w:pPr>
    </w:p>
    <w:p w14:paraId="474EAC7B" w14:textId="77777777" w:rsidR="00643E53" w:rsidRDefault="00643E53" w:rsidP="00F22240">
      <w:pPr>
        <w:spacing w:line="360" w:lineRule="auto"/>
        <w:rPr>
          <w:rFonts w:ascii="Arial" w:hAnsi="Arial" w:cs="Arial"/>
          <w:sz w:val="24"/>
          <w:szCs w:val="24"/>
        </w:rPr>
      </w:pPr>
    </w:p>
    <w:p w14:paraId="7EDE06A2" w14:textId="77777777" w:rsidR="00643E53" w:rsidRDefault="00643E53" w:rsidP="00F22240">
      <w:pPr>
        <w:spacing w:line="360" w:lineRule="auto"/>
        <w:rPr>
          <w:rFonts w:ascii="Arial" w:hAnsi="Arial" w:cs="Arial"/>
          <w:sz w:val="24"/>
          <w:szCs w:val="24"/>
        </w:rPr>
      </w:pPr>
    </w:p>
    <w:p w14:paraId="0200FF1C" w14:textId="77777777" w:rsidR="00643E53" w:rsidRDefault="00643E53" w:rsidP="00F22240">
      <w:pPr>
        <w:spacing w:line="360" w:lineRule="auto"/>
        <w:rPr>
          <w:rFonts w:ascii="Arial" w:hAnsi="Arial" w:cs="Arial"/>
          <w:sz w:val="24"/>
          <w:szCs w:val="24"/>
        </w:rPr>
      </w:pPr>
    </w:p>
    <w:p w14:paraId="00B14CBC" w14:textId="77777777" w:rsidR="00643E53" w:rsidRDefault="00643E53" w:rsidP="00F22240">
      <w:pPr>
        <w:spacing w:line="360" w:lineRule="auto"/>
        <w:rPr>
          <w:rFonts w:ascii="Arial" w:hAnsi="Arial" w:cs="Arial"/>
          <w:sz w:val="24"/>
          <w:szCs w:val="24"/>
        </w:rPr>
      </w:pPr>
    </w:p>
    <w:p w14:paraId="2F5FA1BE" w14:textId="77777777" w:rsidR="00643E53" w:rsidRDefault="00643E53" w:rsidP="00F22240">
      <w:pPr>
        <w:spacing w:line="360" w:lineRule="auto"/>
        <w:rPr>
          <w:rFonts w:ascii="Arial" w:hAnsi="Arial" w:cs="Arial"/>
          <w:sz w:val="24"/>
          <w:szCs w:val="24"/>
        </w:rPr>
      </w:pPr>
    </w:p>
    <w:p w14:paraId="0214E3A7" w14:textId="77777777" w:rsidR="00643E53" w:rsidRDefault="00643E53" w:rsidP="00F22240">
      <w:pPr>
        <w:spacing w:line="360" w:lineRule="auto"/>
        <w:rPr>
          <w:rFonts w:ascii="Arial" w:hAnsi="Arial" w:cs="Arial"/>
          <w:sz w:val="24"/>
          <w:szCs w:val="24"/>
        </w:rPr>
      </w:pPr>
    </w:p>
    <w:p w14:paraId="7BFD1592" w14:textId="77777777" w:rsidR="00643E53" w:rsidRDefault="00643E53" w:rsidP="00F22240">
      <w:pPr>
        <w:spacing w:line="360" w:lineRule="auto"/>
        <w:rPr>
          <w:rFonts w:ascii="Arial" w:hAnsi="Arial" w:cs="Arial"/>
          <w:sz w:val="24"/>
          <w:szCs w:val="24"/>
        </w:rPr>
      </w:pPr>
    </w:p>
    <w:p w14:paraId="7FFFA60B" w14:textId="77777777" w:rsidR="00643E53" w:rsidRDefault="00643E53" w:rsidP="00F22240">
      <w:pPr>
        <w:spacing w:line="360" w:lineRule="auto"/>
        <w:rPr>
          <w:rFonts w:ascii="Arial" w:hAnsi="Arial" w:cs="Arial"/>
          <w:sz w:val="24"/>
          <w:szCs w:val="24"/>
        </w:rPr>
      </w:pPr>
    </w:p>
    <w:p w14:paraId="34E767F7" w14:textId="77777777" w:rsidR="00643E53" w:rsidRDefault="00643E53" w:rsidP="00F22240">
      <w:pPr>
        <w:spacing w:line="360" w:lineRule="auto"/>
        <w:rPr>
          <w:rFonts w:ascii="Arial" w:hAnsi="Arial" w:cs="Arial"/>
          <w:sz w:val="24"/>
          <w:szCs w:val="24"/>
        </w:rPr>
      </w:pPr>
    </w:p>
    <w:p w14:paraId="5AB3DF69" w14:textId="77777777" w:rsidR="00706649" w:rsidRPr="00081D50" w:rsidRDefault="00706649" w:rsidP="00F22240">
      <w:pPr>
        <w:spacing w:line="360" w:lineRule="auto"/>
        <w:rPr>
          <w:rFonts w:ascii="Arial" w:hAnsi="Arial" w:cs="Arial"/>
          <w:sz w:val="24"/>
          <w:szCs w:val="24"/>
        </w:rPr>
      </w:pPr>
    </w:p>
    <w:p w14:paraId="36DE9624" w14:textId="77777777" w:rsidR="001F4AA0" w:rsidRDefault="00A25CB0" w:rsidP="001F4AA0">
      <w:pPr>
        <w:spacing w:line="360" w:lineRule="auto"/>
        <w:rPr>
          <w:rFonts w:ascii="Arial" w:hAnsi="Arial" w:cs="Arial"/>
          <w:sz w:val="24"/>
          <w:szCs w:val="24"/>
        </w:rPr>
      </w:pPr>
      <w:r w:rsidRPr="00A25CB0">
        <w:rPr>
          <w:rFonts w:ascii="Arial" w:hAnsi="Arial" w:cs="Arial"/>
          <w:sz w:val="24"/>
          <w:szCs w:val="24"/>
        </w:rPr>
        <w:lastRenderedPageBreak/>
        <w:t>REFERENCE LIST</w:t>
      </w:r>
    </w:p>
    <w:p w14:paraId="3E70319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Aden, F. and </w:t>
      </w:r>
      <w:proofErr w:type="spellStart"/>
      <w:r w:rsidRPr="009B2737">
        <w:rPr>
          <w:rFonts w:ascii="Arial" w:hAnsi="Arial" w:cs="Arial"/>
          <w:sz w:val="24"/>
          <w:szCs w:val="24"/>
        </w:rPr>
        <w:t>Theodotou</w:t>
      </w:r>
      <w:proofErr w:type="spellEnd"/>
      <w:r w:rsidRPr="009B2737">
        <w:rPr>
          <w:rFonts w:ascii="Arial" w:hAnsi="Arial" w:cs="Arial"/>
          <w:sz w:val="24"/>
          <w:szCs w:val="24"/>
        </w:rPr>
        <w:t xml:space="preserve">, E. (2019) ‘Reggio Emilia and the arts approach: Two exceptional examples of multimodal learning in early years’, </w:t>
      </w:r>
      <w:r w:rsidRPr="009B2737">
        <w:rPr>
          <w:rFonts w:ascii="Arial" w:hAnsi="Arial" w:cs="Arial"/>
          <w:i/>
          <w:iCs/>
          <w:sz w:val="24"/>
          <w:szCs w:val="24"/>
        </w:rPr>
        <w:t>Journal of Global Education and Research</w:t>
      </w:r>
      <w:r w:rsidRPr="009B2737">
        <w:rPr>
          <w:rFonts w:ascii="Arial" w:hAnsi="Arial" w:cs="Arial"/>
          <w:sz w:val="24"/>
          <w:szCs w:val="24"/>
        </w:rPr>
        <w:t>, 3(2), pp. 158–167. Available at: https://doi.org/10.5038/2577-509X.3.2.1050 (Accessed: 22 October 2026).</w:t>
      </w:r>
    </w:p>
    <w:p w14:paraId="712A600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Adobe Stock (n.d.) </w:t>
      </w:r>
      <w:r w:rsidRPr="009B2737">
        <w:rPr>
          <w:rFonts w:ascii="Arial" w:hAnsi="Arial" w:cs="Arial"/>
          <w:i/>
          <w:iCs/>
          <w:sz w:val="24"/>
          <w:szCs w:val="24"/>
        </w:rPr>
        <w:t>Children playing together in childcare setting</w:t>
      </w:r>
      <w:r w:rsidRPr="009B2737">
        <w:rPr>
          <w:rFonts w:ascii="Arial" w:hAnsi="Arial" w:cs="Arial"/>
          <w:sz w:val="24"/>
          <w:szCs w:val="24"/>
        </w:rPr>
        <w:t xml:space="preserve"> [Photograph]. Available at: https://stock.adobe.com/uk/search?k=childcare&amp;search_type=usertyped&amp;asset_id=446343053 (Accessed: 18 October 2026).</w:t>
      </w:r>
    </w:p>
    <w:p w14:paraId="01B25937" w14:textId="77777777" w:rsidR="009B2737" w:rsidRPr="00BD4728" w:rsidRDefault="009B2737" w:rsidP="009B2737">
      <w:pPr>
        <w:spacing w:line="360" w:lineRule="auto"/>
        <w:rPr>
          <w:rFonts w:ascii="Arial" w:hAnsi="Arial" w:cs="Arial"/>
          <w:sz w:val="24"/>
          <w:szCs w:val="24"/>
        </w:rPr>
      </w:pPr>
      <w:proofErr w:type="spellStart"/>
      <w:r w:rsidRPr="009B2737">
        <w:rPr>
          <w:rFonts w:ascii="Arial" w:hAnsi="Arial" w:cs="Arial"/>
          <w:sz w:val="24"/>
          <w:szCs w:val="24"/>
        </w:rPr>
        <w:t>Alaçam</w:t>
      </w:r>
      <w:proofErr w:type="spellEnd"/>
      <w:r w:rsidRPr="009B2737">
        <w:rPr>
          <w:rFonts w:ascii="Arial" w:hAnsi="Arial" w:cs="Arial"/>
          <w:sz w:val="24"/>
          <w:szCs w:val="24"/>
        </w:rPr>
        <w:t xml:space="preserve">, N. and </w:t>
      </w:r>
      <w:proofErr w:type="spellStart"/>
      <w:r w:rsidRPr="009B2737">
        <w:rPr>
          <w:rFonts w:ascii="Arial" w:hAnsi="Arial" w:cs="Arial"/>
          <w:sz w:val="24"/>
          <w:szCs w:val="24"/>
        </w:rPr>
        <w:t>Olgan</w:t>
      </w:r>
      <w:proofErr w:type="spellEnd"/>
      <w:r w:rsidRPr="009B2737">
        <w:rPr>
          <w:rFonts w:ascii="Arial" w:hAnsi="Arial" w:cs="Arial"/>
          <w:sz w:val="24"/>
          <w:szCs w:val="24"/>
        </w:rPr>
        <w:t xml:space="preserve">, R. (2025) ‘How do child portfolios enable assessment? Content analysis of portfolios from a Reggio Emilia-inspired preschool and a university preschool in Türkiye and the United States’, </w:t>
      </w:r>
      <w:r w:rsidRPr="009B2737">
        <w:rPr>
          <w:rFonts w:ascii="Arial" w:hAnsi="Arial" w:cs="Arial"/>
          <w:i/>
          <w:iCs/>
          <w:sz w:val="24"/>
          <w:szCs w:val="24"/>
        </w:rPr>
        <w:t>Education 3–13</w:t>
      </w:r>
      <w:r w:rsidRPr="009B2737">
        <w:rPr>
          <w:rFonts w:ascii="Arial" w:hAnsi="Arial" w:cs="Arial"/>
          <w:sz w:val="24"/>
          <w:szCs w:val="24"/>
        </w:rPr>
        <w:t xml:space="preserve">, 53(5), pp. 756–767. Available at: https://doi.org/10.1080/03004279.2023.2220339 (Accessed: 22 </w:t>
      </w:r>
      <w:r w:rsidRPr="00BD4728">
        <w:rPr>
          <w:rFonts w:ascii="Arial" w:hAnsi="Arial" w:cs="Arial"/>
          <w:sz w:val="24"/>
          <w:szCs w:val="24"/>
        </w:rPr>
        <w:t xml:space="preserve">October 2026). </w:t>
      </w:r>
    </w:p>
    <w:p w14:paraId="4801F28A" w14:textId="4D8F3D34" w:rsidR="00F11D30" w:rsidRPr="00BD4728" w:rsidRDefault="00F11D30" w:rsidP="00F11D30">
      <w:pPr>
        <w:spacing w:line="360" w:lineRule="auto"/>
        <w:rPr>
          <w:rFonts w:ascii="Arial" w:hAnsi="Arial" w:cs="Arial"/>
          <w:sz w:val="24"/>
          <w:szCs w:val="24"/>
        </w:rPr>
      </w:pPr>
      <w:proofErr w:type="spellStart"/>
      <w:r w:rsidRPr="00BD4728">
        <w:rPr>
          <w:rFonts w:ascii="Arial" w:hAnsi="Arial" w:cs="Arial"/>
          <w:sz w:val="24"/>
          <w:szCs w:val="24"/>
        </w:rPr>
        <w:t>Aljabreen</w:t>
      </w:r>
      <w:proofErr w:type="spellEnd"/>
      <w:r w:rsidRPr="00BD4728">
        <w:rPr>
          <w:rFonts w:ascii="Arial" w:hAnsi="Arial" w:cs="Arial"/>
          <w:sz w:val="24"/>
          <w:szCs w:val="24"/>
        </w:rPr>
        <w:t xml:space="preserve">, H. (2020) ‘Montessori, Waldorf, and Reggio Emilia: A comparative analysis of alternative models of early childhood education’, </w:t>
      </w:r>
      <w:r w:rsidRPr="00BD4728">
        <w:rPr>
          <w:rFonts w:ascii="Arial" w:hAnsi="Arial" w:cs="Arial"/>
          <w:i/>
          <w:iCs/>
          <w:sz w:val="24"/>
          <w:szCs w:val="24"/>
        </w:rPr>
        <w:t>International Journal of Early Childhood</w:t>
      </w:r>
      <w:r w:rsidRPr="00BD4728">
        <w:rPr>
          <w:rFonts w:ascii="Arial" w:hAnsi="Arial" w:cs="Arial"/>
          <w:sz w:val="24"/>
          <w:szCs w:val="24"/>
        </w:rPr>
        <w:t xml:space="preserve">, 52(3), pp. 337–353. Available at: https://doi.org/10.1007/s13158-020-00277-1 (Accessed: 22 October 2026). </w:t>
      </w:r>
    </w:p>
    <w:p w14:paraId="08034DE5" w14:textId="77777777" w:rsidR="00BD4728" w:rsidRPr="00BD4728" w:rsidRDefault="00BD4728" w:rsidP="00BD4728">
      <w:pPr>
        <w:spacing w:line="360" w:lineRule="auto"/>
        <w:rPr>
          <w:rFonts w:ascii="Arial" w:hAnsi="Arial" w:cs="Arial"/>
          <w:sz w:val="24"/>
          <w:szCs w:val="24"/>
        </w:rPr>
      </w:pPr>
      <w:proofErr w:type="spellStart"/>
      <w:r w:rsidRPr="00BD4728">
        <w:rPr>
          <w:rFonts w:ascii="Arial" w:hAnsi="Arial" w:cs="Arial"/>
          <w:sz w:val="24"/>
          <w:szCs w:val="24"/>
        </w:rPr>
        <w:t>Alsedrani</w:t>
      </w:r>
      <w:proofErr w:type="spellEnd"/>
      <w:r w:rsidRPr="00BD4728">
        <w:rPr>
          <w:rFonts w:ascii="Arial" w:hAnsi="Arial" w:cs="Arial"/>
          <w:sz w:val="24"/>
          <w:szCs w:val="24"/>
        </w:rPr>
        <w:t xml:space="preserve">, G.S. (2020) ‘Reggio Emilia approach around the world’, </w:t>
      </w:r>
      <w:r w:rsidRPr="00BD4728">
        <w:rPr>
          <w:rFonts w:ascii="Arial" w:hAnsi="Arial" w:cs="Arial"/>
          <w:i/>
          <w:iCs/>
          <w:sz w:val="24"/>
          <w:szCs w:val="24"/>
        </w:rPr>
        <w:t>Al-Azhar Journal of Education</w:t>
      </w:r>
      <w:r w:rsidRPr="00BD4728">
        <w:rPr>
          <w:rFonts w:ascii="Arial" w:hAnsi="Arial" w:cs="Arial"/>
          <w:sz w:val="24"/>
          <w:szCs w:val="24"/>
        </w:rPr>
        <w:t>, 188(4), pp. 608–636. Available at: https://journals.ekb.eg/article_148105_87617994d1fc159bcbc7a2941731af2b.pdf (Accessed: 22 October 2026).</w:t>
      </w:r>
    </w:p>
    <w:p w14:paraId="3BA61EDE"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Alsubaie</w:t>
      </w:r>
      <w:proofErr w:type="spellEnd"/>
      <w:r w:rsidRPr="009B2737">
        <w:rPr>
          <w:rFonts w:ascii="Arial" w:hAnsi="Arial" w:cs="Arial"/>
          <w:sz w:val="24"/>
          <w:szCs w:val="24"/>
        </w:rPr>
        <w:t xml:space="preserve">, M.A. (2015) ‘Examples of current issues in the multicultural classroom’, </w:t>
      </w:r>
      <w:r w:rsidRPr="009B2737">
        <w:rPr>
          <w:rFonts w:ascii="Arial" w:hAnsi="Arial" w:cs="Arial"/>
          <w:i/>
          <w:iCs/>
          <w:sz w:val="24"/>
          <w:szCs w:val="24"/>
        </w:rPr>
        <w:t>Journal of Education and Practice</w:t>
      </w:r>
      <w:r w:rsidRPr="009B2737">
        <w:rPr>
          <w:rFonts w:ascii="Arial" w:hAnsi="Arial" w:cs="Arial"/>
          <w:sz w:val="24"/>
          <w:szCs w:val="24"/>
        </w:rPr>
        <w:t>, 6(10), pp. 86–89. Available at: https://files.eric.ed.gov/fulltext/EJ1081664.pdf (Accessed: 14 October 2026).</w:t>
      </w:r>
    </w:p>
    <w:p w14:paraId="6EFB0AC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Arad Research and Cardiff Metropolitan University (2026) </w:t>
      </w:r>
      <w:r w:rsidRPr="009B2737">
        <w:rPr>
          <w:rFonts w:ascii="Arial" w:hAnsi="Arial" w:cs="Arial"/>
          <w:i/>
          <w:iCs/>
          <w:sz w:val="24"/>
          <w:szCs w:val="24"/>
        </w:rPr>
        <w:t>Foundation Learning in the Curriculum for Wales: a qualitative study</w:t>
      </w:r>
      <w:r w:rsidRPr="009B2737">
        <w:rPr>
          <w:rFonts w:ascii="Arial" w:hAnsi="Arial" w:cs="Arial"/>
          <w:sz w:val="24"/>
          <w:szCs w:val="24"/>
        </w:rPr>
        <w:t>. Cardiff: Welsh Government. Available at: https://pure.cardiffmet.ac.uk/en/publications/foundation-learning-in-the-curriculum-for-wales-a-qualitative-stu/ (Accessed: 22 October 2026).</w:t>
      </w:r>
    </w:p>
    <w:p w14:paraId="2FD9763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Aslan and </w:t>
      </w:r>
      <w:proofErr w:type="spellStart"/>
      <w:r w:rsidRPr="009B2737">
        <w:rPr>
          <w:rFonts w:ascii="Arial" w:hAnsi="Arial" w:cs="Arial"/>
          <w:sz w:val="24"/>
          <w:szCs w:val="24"/>
        </w:rPr>
        <w:t>Sidabutar</w:t>
      </w:r>
      <w:proofErr w:type="spellEnd"/>
      <w:r w:rsidRPr="009B2737">
        <w:rPr>
          <w:rFonts w:ascii="Arial" w:hAnsi="Arial" w:cs="Arial"/>
          <w:sz w:val="24"/>
          <w:szCs w:val="24"/>
        </w:rPr>
        <w:t xml:space="preserve">, H. (2026) ‘Application of Piaget's Theory in Early Childhood Education Curriculum Development’, </w:t>
      </w:r>
      <w:r w:rsidRPr="009B2737">
        <w:rPr>
          <w:rFonts w:ascii="Arial" w:hAnsi="Arial" w:cs="Arial"/>
          <w:i/>
          <w:iCs/>
          <w:sz w:val="24"/>
          <w:szCs w:val="24"/>
        </w:rPr>
        <w:t>International Journal of Teaching and Learning (INJOTEL)</w:t>
      </w:r>
      <w:r w:rsidRPr="009B2737">
        <w:rPr>
          <w:rFonts w:ascii="Arial" w:hAnsi="Arial" w:cs="Arial"/>
          <w:sz w:val="24"/>
          <w:szCs w:val="24"/>
        </w:rPr>
        <w:t>, 4(2). Available at: https://adisamedutech.com/id/eprint/1053/ (Accessed: 19 October 2026).</w:t>
      </w:r>
      <w:r w:rsidRPr="009B2737">
        <w:rPr>
          <w:rFonts w:ascii="Arial" w:hAnsi="Arial" w:cs="Arial"/>
          <w:sz w:val="24"/>
          <w:szCs w:val="24"/>
        </w:rPr>
        <w:br/>
      </w:r>
      <w:r w:rsidRPr="009B2737">
        <w:rPr>
          <w:rFonts w:ascii="Arial" w:hAnsi="Arial" w:cs="Arial"/>
          <w:sz w:val="24"/>
          <w:szCs w:val="24"/>
        </w:rPr>
        <w:br/>
        <w:t xml:space="preserve">Morrison-Love, D., Makara Fuller, K., Singh, S. and Patrick, F. (2026) </w:t>
      </w:r>
      <w:r w:rsidRPr="009B2737">
        <w:rPr>
          <w:rFonts w:ascii="Arial" w:hAnsi="Arial" w:cs="Arial"/>
          <w:i/>
          <w:iCs/>
          <w:sz w:val="24"/>
          <w:szCs w:val="24"/>
        </w:rPr>
        <w:t>Understanding the nature of Curriculum for Wales: a content analysis</w:t>
      </w:r>
      <w:r w:rsidRPr="009B2737">
        <w:rPr>
          <w:rFonts w:ascii="Arial" w:hAnsi="Arial" w:cs="Arial"/>
          <w:sz w:val="24"/>
          <w:szCs w:val="24"/>
        </w:rPr>
        <w:t>. Glasgow: University of Glasgow and University of Wales Trinity Saint David. Available at: https://doi.org/10.36399/gla.pubs.381980 (Accessed: 19 October 2026).</w:t>
      </w:r>
    </w:p>
    <w:p w14:paraId="44991AFC"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Becker, I., Rigaud, V.M. and Epstein, A. (2023) ‘Getting to Know Young Children: Alternative Assessments in Early Childhood Education’, </w:t>
      </w:r>
      <w:r w:rsidRPr="009B2737">
        <w:rPr>
          <w:rFonts w:ascii="Arial" w:hAnsi="Arial" w:cs="Arial"/>
          <w:i/>
          <w:iCs/>
          <w:sz w:val="24"/>
          <w:szCs w:val="24"/>
        </w:rPr>
        <w:t>Early Childhood Education Journal</w:t>
      </w:r>
      <w:r w:rsidRPr="009B2737">
        <w:rPr>
          <w:rFonts w:ascii="Arial" w:hAnsi="Arial" w:cs="Arial"/>
          <w:sz w:val="24"/>
          <w:szCs w:val="24"/>
        </w:rPr>
        <w:t>, 51(5), pp. 911–923. Available at: https://doi.org/10.1007/s10643-022-01353-y (Accessed: 19 October 2026).</w:t>
      </w:r>
    </w:p>
    <w:p w14:paraId="40AD0AD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Bovill, C. (2021) </w:t>
      </w:r>
      <w:r w:rsidRPr="009B2737">
        <w:rPr>
          <w:rFonts w:ascii="Arial" w:hAnsi="Arial" w:cs="Arial"/>
          <w:i/>
          <w:iCs/>
          <w:sz w:val="24"/>
          <w:szCs w:val="24"/>
        </w:rPr>
        <w:t>Curriculum conceptualisations and the University of Edinburgh</w:t>
      </w:r>
      <w:r w:rsidRPr="009B2737">
        <w:rPr>
          <w:rFonts w:ascii="Arial" w:hAnsi="Arial" w:cs="Arial"/>
          <w:sz w:val="24"/>
          <w:szCs w:val="24"/>
        </w:rPr>
        <w:t>. Edinburgh: Institute for Academic Development, University of Edinburgh. Available at: https://www.docs.hss.ed.ac.uk/iad/Learning_teaching/CTP/Curriculum_Conceptualisations_CTP_Briefing_Paper.pdf (Accessed: 5 October 2026).</w:t>
      </w:r>
    </w:p>
    <w:p w14:paraId="4984C28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Bruce, T. (2021) </w:t>
      </w:r>
      <w:r w:rsidRPr="009B2737">
        <w:rPr>
          <w:rFonts w:ascii="Arial" w:hAnsi="Arial" w:cs="Arial"/>
          <w:i/>
          <w:iCs/>
          <w:sz w:val="24"/>
          <w:szCs w:val="24"/>
        </w:rPr>
        <w:t>Learning Through Play: For Babies, Toddlers and Young Children</w:t>
      </w:r>
      <w:r w:rsidRPr="009B2737">
        <w:rPr>
          <w:rFonts w:ascii="Arial" w:hAnsi="Arial" w:cs="Arial"/>
          <w:sz w:val="24"/>
          <w:szCs w:val="24"/>
        </w:rPr>
        <w:t xml:space="preserve">. 2nd </w:t>
      </w:r>
      <w:proofErr w:type="spellStart"/>
      <w:r w:rsidRPr="009B2737">
        <w:rPr>
          <w:rFonts w:ascii="Arial" w:hAnsi="Arial" w:cs="Arial"/>
          <w:sz w:val="24"/>
          <w:szCs w:val="24"/>
        </w:rPr>
        <w:t>edn</w:t>
      </w:r>
      <w:proofErr w:type="spellEnd"/>
      <w:r w:rsidRPr="009B2737">
        <w:rPr>
          <w:rFonts w:ascii="Arial" w:hAnsi="Arial" w:cs="Arial"/>
          <w:sz w:val="24"/>
          <w:szCs w:val="24"/>
        </w:rPr>
        <w:t>. London: Hodder Education.</w:t>
      </w:r>
    </w:p>
    <w:p w14:paraId="05277D4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Cameron, K. (2024) ‘Loris Malaguzzi and the Educational Project of Reggio Emilia, Italy’, in </w:t>
      </w:r>
      <w:r w:rsidRPr="009B2737">
        <w:rPr>
          <w:rFonts w:ascii="Arial" w:hAnsi="Arial" w:cs="Arial"/>
          <w:i/>
          <w:iCs/>
          <w:sz w:val="24"/>
          <w:szCs w:val="24"/>
        </w:rPr>
        <w:t>The Palgrave Handbook of Educational Thinkers</w:t>
      </w:r>
      <w:r w:rsidRPr="009B2737">
        <w:rPr>
          <w:rFonts w:ascii="Arial" w:hAnsi="Arial" w:cs="Arial"/>
          <w:sz w:val="24"/>
          <w:szCs w:val="24"/>
        </w:rPr>
        <w:t>. Cham: Springer International Publishing, pp. 1651–1664.</w:t>
      </w:r>
    </w:p>
    <w:p w14:paraId="56FDC42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Chicken, S. (2023) ‘Doing Reggio? Exploring the complexity of “curriculum” migration through a comparison of Reggio Emilia, Italy and the EYFS, England’, </w:t>
      </w:r>
      <w:r w:rsidRPr="009B2737">
        <w:rPr>
          <w:rFonts w:ascii="Arial" w:hAnsi="Arial" w:cs="Arial"/>
          <w:i/>
          <w:iCs/>
          <w:sz w:val="24"/>
          <w:szCs w:val="24"/>
        </w:rPr>
        <w:t>Global Studies of Childhood</w:t>
      </w:r>
      <w:r w:rsidRPr="009B2737">
        <w:rPr>
          <w:rFonts w:ascii="Arial" w:hAnsi="Arial" w:cs="Arial"/>
          <w:sz w:val="24"/>
          <w:szCs w:val="24"/>
        </w:rPr>
        <w:t xml:space="preserve">, </w:t>
      </w:r>
      <w:r w:rsidRPr="009B2737">
        <w:rPr>
          <w:rFonts w:ascii="Arial" w:hAnsi="Arial" w:cs="Arial"/>
          <w:b/>
          <w:bCs/>
          <w:sz w:val="24"/>
          <w:szCs w:val="24"/>
        </w:rPr>
        <w:t>13</w:t>
      </w:r>
      <w:r w:rsidRPr="009B2737">
        <w:rPr>
          <w:rFonts w:ascii="Arial" w:hAnsi="Arial" w:cs="Arial"/>
          <w:sz w:val="24"/>
          <w:szCs w:val="24"/>
        </w:rPr>
        <w:t>(4), pp. 322–340. Available at: https://doi.org/10.1177/20436106211068041.</w:t>
      </w:r>
    </w:p>
    <w:p w14:paraId="605B6203"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Chiwamba</w:t>
      </w:r>
      <w:proofErr w:type="spellEnd"/>
      <w:r w:rsidRPr="009B2737">
        <w:rPr>
          <w:rFonts w:ascii="Arial" w:hAnsi="Arial" w:cs="Arial"/>
          <w:sz w:val="24"/>
          <w:szCs w:val="24"/>
        </w:rPr>
        <w:t xml:space="preserve">, S.V. (2016) ‘Investigation on the applicability of Reggio Emilia approach in teaching early childhood education: An intensive comparison between China and Tanzania’, </w:t>
      </w:r>
      <w:r w:rsidRPr="009B2737">
        <w:rPr>
          <w:rFonts w:ascii="Arial" w:hAnsi="Arial" w:cs="Arial"/>
          <w:i/>
          <w:iCs/>
          <w:sz w:val="24"/>
          <w:szCs w:val="24"/>
        </w:rPr>
        <w:t>Journal of Education and Practice</w:t>
      </w:r>
      <w:r w:rsidRPr="009B2737">
        <w:rPr>
          <w:rFonts w:ascii="Arial" w:hAnsi="Arial" w:cs="Arial"/>
          <w:sz w:val="24"/>
          <w:szCs w:val="24"/>
        </w:rPr>
        <w:t>, 6(2), pp. 29–42. Available at: https://ideas.repec.org/a/ibn/jedpjl/v6y2016i2p29.html (Accessed: 11 October 2026).</w:t>
      </w:r>
    </w:p>
    <w:p w14:paraId="2CCBF65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Daugherty, R. and Elfed-Owens, P. (2003) ‘A National Curriculum for Wales: A case study of education </w:t>
      </w:r>
      <w:proofErr w:type="gramStart"/>
      <w:r w:rsidRPr="009B2737">
        <w:rPr>
          <w:rFonts w:ascii="Arial" w:hAnsi="Arial" w:cs="Arial"/>
          <w:sz w:val="24"/>
          <w:szCs w:val="24"/>
        </w:rPr>
        <w:t>policy-making</w:t>
      </w:r>
      <w:proofErr w:type="gramEnd"/>
      <w:r w:rsidRPr="009B2737">
        <w:rPr>
          <w:rFonts w:ascii="Arial" w:hAnsi="Arial" w:cs="Arial"/>
          <w:sz w:val="24"/>
          <w:szCs w:val="24"/>
        </w:rPr>
        <w:t xml:space="preserve"> in the era of administrative devolution’, </w:t>
      </w:r>
      <w:r w:rsidRPr="009B2737">
        <w:rPr>
          <w:rFonts w:ascii="Arial" w:hAnsi="Arial" w:cs="Arial"/>
          <w:i/>
          <w:iCs/>
          <w:sz w:val="24"/>
          <w:szCs w:val="24"/>
        </w:rPr>
        <w:t>British Journal of Educational Studies</w:t>
      </w:r>
      <w:r w:rsidRPr="009B2737">
        <w:rPr>
          <w:rFonts w:ascii="Arial" w:hAnsi="Arial" w:cs="Arial"/>
          <w:sz w:val="24"/>
          <w:szCs w:val="24"/>
        </w:rPr>
        <w:t>, 51(3), pp. 233–253.</w:t>
      </w:r>
    </w:p>
    <w:p w14:paraId="27B72F7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DeLuca, C., Pyle, A., Roy, S., Chalas, A. and Danniels, E. (2019) ‘Perspectives on Kindergarten Assessment: Toward a Common Understanding’, </w:t>
      </w:r>
      <w:r w:rsidRPr="009B2737">
        <w:rPr>
          <w:rFonts w:ascii="Arial" w:hAnsi="Arial" w:cs="Arial"/>
          <w:i/>
          <w:iCs/>
          <w:sz w:val="24"/>
          <w:szCs w:val="24"/>
        </w:rPr>
        <w:t>Teachers College Record</w:t>
      </w:r>
      <w:r w:rsidRPr="009B2737">
        <w:rPr>
          <w:rFonts w:ascii="Arial" w:hAnsi="Arial" w:cs="Arial"/>
          <w:sz w:val="24"/>
          <w:szCs w:val="24"/>
        </w:rPr>
        <w:t>, 121(3). Available at: https://doi.org/10.1177/016146811912100302 (Accessed: 19 October 2026).</w:t>
      </w:r>
    </w:p>
    <w:p w14:paraId="39A5C93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Donaldson, G. (2015) </w:t>
      </w:r>
      <w:r w:rsidRPr="009B2737">
        <w:rPr>
          <w:rFonts w:ascii="Arial" w:hAnsi="Arial" w:cs="Arial"/>
          <w:i/>
          <w:iCs/>
          <w:sz w:val="24"/>
          <w:szCs w:val="24"/>
        </w:rPr>
        <w:t>Successful Futures: Independent Review of Curriculum and Assessment Arrangements in Wales</w:t>
      </w:r>
      <w:r w:rsidRPr="009B2737">
        <w:rPr>
          <w:rFonts w:ascii="Arial" w:hAnsi="Arial" w:cs="Arial"/>
          <w:sz w:val="24"/>
          <w:szCs w:val="24"/>
        </w:rPr>
        <w:t>. Cardiff: Welsh Government. Available at: https://www.gov.wales/successful-futures-review-curriculum-and-assessment-arrangements (Accessed: 7 October 2026).</w:t>
      </w:r>
    </w:p>
    <w:p w14:paraId="2825380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Donaldson, G. (2016) ‘A Systematic Approach to Curriculum Reform in Wales’, </w:t>
      </w:r>
      <w:r w:rsidRPr="009B2737">
        <w:rPr>
          <w:rFonts w:ascii="Arial" w:hAnsi="Arial" w:cs="Arial"/>
          <w:i/>
          <w:iCs/>
          <w:sz w:val="24"/>
          <w:szCs w:val="24"/>
        </w:rPr>
        <w:t>Wales Journal of Education</w:t>
      </w:r>
      <w:r w:rsidRPr="009B2737">
        <w:rPr>
          <w:rFonts w:ascii="Arial" w:hAnsi="Arial" w:cs="Arial"/>
          <w:sz w:val="24"/>
          <w:szCs w:val="24"/>
        </w:rPr>
        <w:t>, 18(1), pp. 7–20. Available at: https://journal.uwp.co.uk/wje/article/id/334/ (Accessed: 19 October 2026).</w:t>
      </w:r>
    </w:p>
    <w:p w14:paraId="36E2E704" w14:textId="77777777" w:rsidR="009B2737" w:rsidRPr="009B2737" w:rsidRDefault="009B2737" w:rsidP="009B2737">
      <w:pPr>
        <w:spacing w:line="360" w:lineRule="auto"/>
        <w:rPr>
          <w:rFonts w:ascii="Arial" w:hAnsi="Arial" w:cs="Arial"/>
          <w:sz w:val="24"/>
          <w:szCs w:val="24"/>
        </w:rPr>
      </w:pPr>
      <w:r w:rsidRPr="009B2737">
        <w:rPr>
          <w:rFonts w:ascii="Arial" w:hAnsi="Arial" w:cs="Arial"/>
          <w:i/>
          <w:iCs/>
          <w:sz w:val="24"/>
          <w:szCs w:val="24"/>
        </w:rPr>
        <w:t>Education Reform Act 1988</w:t>
      </w:r>
      <w:r w:rsidRPr="009B2737">
        <w:rPr>
          <w:rFonts w:ascii="Arial" w:hAnsi="Arial" w:cs="Arial"/>
          <w:sz w:val="24"/>
          <w:szCs w:val="24"/>
        </w:rPr>
        <w:t>, c. 40. Available at: https://www.legislation.gov.uk/ukpga/1988/40/contents (Accessed: 7 October 2026).</w:t>
      </w:r>
    </w:p>
    <w:p w14:paraId="39C55E1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Edwards, C., Gandini, L. and Forman, G. (eds.) (1998) </w:t>
      </w:r>
      <w:r w:rsidRPr="009B2737">
        <w:rPr>
          <w:rFonts w:ascii="Arial" w:hAnsi="Arial" w:cs="Arial"/>
          <w:i/>
          <w:iCs/>
          <w:sz w:val="24"/>
          <w:szCs w:val="24"/>
        </w:rPr>
        <w:t>The Hundred Languages of Children: The Reggio Emilia Approach - Advanced Reflections</w:t>
      </w:r>
      <w:r w:rsidRPr="009B2737">
        <w:rPr>
          <w:rFonts w:ascii="Arial" w:hAnsi="Arial" w:cs="Arial"/>
          <w:sz w:val="24"/>
          <w:szCs w:val="24"/>
        </w:rPr>
        <w:t xml:space="preserve">. Greenwich, CT: </w:t>
      </w:r>
      <w:proofErr w:type="spellStart"/>
      <w:r w:rsidRPr="009B2737">
        <w:rPr>
          <w:rFonts w:ascii="Arial" w:hAnsi="Arial" w:cs="Arial"/>
          <w:sz w:val="24"/>
          <w:szCs w:val="24"/>
        </w:rPr>
        <w:t>Ablex</w:t>
      </w:r>
      <w:proofErr w:type="spellEnd"/>
      <w:r w:rsidRPr="009B2737">
        <w:rPr>
          <w:rFonts w:ascii="Arial" w:hAnsi="Arial" w:cs="Arial"/>
          <w:sz w:val="24"/>
          <w:szCs w:val="24"/>
        </w:rPr>
        <w:t>.</w:t>
      </w:r>
    </w:p>
    <w:p w14:paraId="63B6954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Edwards, C.P. and Gandini, L. (2018) ‘The Reggio Emilia approach to early childhood education’, in Fleer, M. and van </w:t>
      </w:r>
      <w:proofErr w:type="spellStart"/>
      <w:r w:rsidRPr="009B2737">
        <w:rPr>
          <w:rFonts w:ascii="Arial" w:hAnsi="Arial" w:cs="Arial"/>
          <w:sz w:val="24"/>
          <w:szCs w:val="24"/>
        </w:rPr>
        <w:t>Oers</w:t>
      </w:r>
      <w:proofErr w:type="spellEnd"/>
      <w:r w:rsidRPr="009B2737">
        <w:rPr>
          <w:rFonts w:ascii="Arial" w:hAnsi="Arial" w:cs="Arial"/>
          <w:sz w:val="24"/>
          <w:szCs w:val="24"/>
        </w:rPr>
        <w:t xml:space="preserve">, B. (eds.) </w:t>
      </w:r>
      <w:r w:rsidRPr="009B2737">
        <w:rPr>
          <w:rFonts w:ascii="Arial" w:hAnsi="Arial" w:cs="Arial"/>
          <w:i/>
          <w:iCs/>
          <w:sz w:val="24"/>
          <w:szCs w:val="24"/>
        </w:rPr>
        <w:t>Handbook of International Perspectives on Early Childhood Education</w:t>
      </w:r>
      <w:r w:rsidRPr="009B2737">
        <w:rPr>
          <w:rFonts w:ascii="Arial" w:hAnsi="Arial" w:cs="Arial"/>
          <w:sz w:val="24"/>
          <w:szCs w:val="24"/>
        </w:rPr>
        <w:t xml:space="preserve">. London: Routledge, pp. 365–378. </w:t>
      </w:r>
    </w:p>
    <w:p w14:paraId="6E8AB71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Estyn (2025) </w:t>
      </w:r>
      <w:r w:rsidRPr="009B2737">
        <w:rPr>
          <w:rFonts w:ascii="Arial" w:hAnsi="Arial" w:cs="Arial"/>
          <w:i/>
          <w:iCs/>
          <w:sz w:val="24"/>
          <w:szCs w:val="24"/>
        </w:rPr>
        <w:t>Teaching the Curriculum for Wales</w:t>
      </w:r>
      <w:r w:rsidRPr="009B2737">
        <w:rPr>
          <w:rFonts w:ascii="Arial" w:hAnsi="Arial" w:cs="Arial"/>
          <w:sz w:val="24"/>
          <w:szCs w:val="24"/>
        </w:rPr>
        <w:t>. Available at: https://estyn.gov.wales/improvement-resources/teaching-the-curriculum-for-wales/ (Accessed: 7 October 2026).</w:t>
      </w:r>
    </w:p>
    <w:p w14:paraId="5A9EBA7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Evans, G. (2021) ‘Back to the future? Reflections on three phases of education policy reform in Wales and their implications for teachers’, </w:t>
      </w:r>
      <w:r w:rsidRPr="009B2737">
        <w:rPr>
          <w:rFonts w:ascii="Arial" w:hAnsi="Arial" w:cs="Arial"/>
          <w:i/>
          <w:iCs/>
          <w:sz w:val="24"/>
          <w:szCs w:val="24"/>
        </w:rPr>
        <w:t>Journal of Educational Change</w:t>
      </w:r>
      <w:r w:rsidRPr="009B2737">
        <w:rPr>
          <w:rFonts w:ascii="Arial" w:hAnsi="Arial" w:cs="Arial"/>
          <w:sz w:val="24"/>
          <w:szCs w:val="24"/>
        </w:rPr>
        <w:t>, 23, pp. 139–153. Available at: https://doi.org/10.1007/s10833-021-09422-6</w:t>
      </w:r>
    </w:p>
    <w:p w14:paraId="1663F0E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Evans, G. (2023) ‘A new dawn or false hope? Exploring the early implementation of Curriculum for Wales’, </w:t>
      </w:r>
      <w:r w:rsidRPr="009B2737">
        <w:rPr>
          <w:rFonts w:ascii="Arial" w:hAnsi="Arial" w:cs="Arial"/>
          <w:i/>
          <w:iCs/>
          <w:sz w:val="24"/>
          <w:szCs w:val="24"/>
        </w:rPr>
        <w:t>Education Inquiry</w:t>
      </w:r>
      <w:r w:rsidRPr="009B2737">
        <w:rPr>
          <w:rFonts w:ascii="Arial" w:hAnsi="Arial" w:cs="Arial"/>
          <w:sz w:val="24"/>
          <w:szCs w:val="24"/>
        </w:rPr>
        <w:t>. Available at: https://doi.org/10.1080/20004508.2023.2297506 (Accessed: 7 October 2026).</w:t>
      </w:r>
    </w:p>
    <w:p w14:paraId="131D6B9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Evans, G. and Jones, K. (2023) ‘Co-constructing a new approach to professional learning in Wales: Implementing a national vision’, in Jones, K., Ostinelli, G. and Crescentini, A. (eds.) </w:t>
      </w:r>
      <w:r w:rsidRPr="009B2737">
        <w:rPr>
          <w:rFonts w:ascii="Arial" w:hAnsi="Arial" w:cs="Arial"/>
          <w:i/>
          <w:iCs/>
          <w:sz w:val="24"/>
          <w:szCs w:val="24"/>
        </w:rPr>
        <w:t>Innovation in Teacher Professional Learning in Europe: Research, Policy and Practice</w:t>
      </w:r>
      <w:r w:rsidRPr="009B2737">
        <w:rPr>
          <w:rFonts w:ascii="Arial" w:hAnsi="Arial" w:cs="Arial"/>
          <w:sz w:val="24"/>
          <w:szCs w:val="24"/>
        </w:rPr>
        <w:t>. Abingdon: Taylor &amp; Francis Group.</w:t>
      </w:r>
    </w:p>
    <w:p w14:paraId="6AB556FF"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Finders, J., Wilson, E. and Duncan, R. (2023) ‘Early childhood education language environments: considerations for research and practice’, </w:t>
      </w:r>
      <w:r w:rsidRPr="009B2737">
        <w:rPr>
          <w:rFonts w:ascii="Arial" w:hAnsi="Arial" w:cs="Arial"/>
          <w:i/>
          <w:iCs/>
          <w:sz w:val="24"/>
          <w:szCs w:val="24"/>
        </w:rPr>
        <w:t>Frontiers in Psychology</w:t>
      </w:r>
      <w:r w:rsidRPr="009B2737">
        <w:rPr>
          <w:rFonts w:ascii="Arial" w:hAnsi="Arial" w:cs="Arial"/>
          <w:sz w:val="24"/>
          <w:szCs w:val="24"/>
        </w:rPr>
        <w:t>, 14. Available at: https://doi.org/10.3389/fpsyg.2023.1202819 (Accessed: 19 October 2026).</w:t>
      </w:r>
      <w:r w:rsidRPr="009B2737">
        <w:rPr>
          <w:rFonts w:ascii="Arial" w:hAnsi="Arial" w:cs="Arial"/>
          <w:sz w:val="24"/>
          <w:szCs w:val="24"/>
        </w:rPr>
        <w:br/>
        <w:t xml:space="preserve">Parsons, S., Kovshoff, H., Karakosta, E. and </w:t>
      </w:r>
      <w:proofErr w:type="spellStart"/>
      <w:r w:rsidRPr="009B2737">
        <w:rPr>
          <w:rFonts w:ascii="Arial" w:hAnsi="Arial" w:cs="Arial"/>
          <w:sz w:val="24"/>
          <w:szCs w:val="24"/>
        </w:rPr>
        <w:t>Ivil</w:t>
      </w:r>
      <w:proofErr w:type="spellEnd"/>
      <w:r w:rsidRPr="009B2737">
        <w:rPr>
          <w:rFonts w:ascii="Arial" w:hAnsi="Arial" w:cs="Arial"/>
          <w:sz w:val="24"/>
          <w:szCs w:val="24"/>
        </w:rPr>
        <w:t xml:space="preserve">, K. (2023) ‘Understanding holistic and unique childhoods: knowledge generation in the early years with autistic children, families and practitioners’, </w:t>
      </w:r>
      <w:r w:rsidRPr="009B2737">
        <w:rPr>
          <w:rFonts w:ascii="Arial" w:hAnsi="Arial" w:cs="Arial"/>
          <w:i/>
          <w:iCs/>
          <w:sz w:val="24"/>
          <w:szCs w:val="24"/>
        </w:rPr>
        <w:t>Early Years</w:t>
      </w:r>
      <w:r w:rsidRPr="009B2737">
        <w:rPr>
          <w:rFonts w:ascii="Arial" w:hAnsi="Arial" w:cs="Arial"/>
          <w:sz w:val="24"/>
          <w:szCs w:val="24"/>
        </w:rPr>
        <w:t>, 43(1), pp. 15–30. Available at: https://doi.org/10.1080/09575146.2021.1889992 (Accessed: 19 October 2026).</w:t>
      </w:r>
      <w:r w:rsidRPr="009B2737">
        <w:rPr>
          <w:rFonts w:ascii="Arial" w:hAnsi="Arial" w:cs="Arial"/>
          <w:sz w:val="24"/>
          <w:szCs w:val="24"/>
        </w:rPr>
        <w:br/>
      </w:r>
      <w:r w:rsidRPr="009B2737">
        <w:rPr>
          <w:rFonts w:ascii="Arial" w:hAnsi="Arial" w:cs="Arial"/>
          <w:sz w:val="24"/>
          <w:szCs w:val="24"/>
        </w:rPr>
        <w:br/>
        <w:t xml:space="preserve">Bruce, T. (2021) </w:t>
      </w:r>
      <w:r w:rsidRPr="009B2737">
        <w:rPr>
          <w:rFonts w:ascii="Arial" w:hAnsi="Arial" w:cs="Arial"/>
          <w:i/>
          <w:iCs/>
          <w:sz w:val="24"/>
          <w:szCs w:val="24"/>
        </w:rPr>
        <w:t>Learning Through Play: For Babies, Toddlers and Young Children</w:t>
      </w:r>
      <w:r w:rsidRPr="009B2737">
        <w:rPr>
          <w:rFonts w:ascii="Arial" w:hAnsi="Arial" w:cs="Arial"/>
          <w:sz w:val="24"/>
          <w:szCs w:val="24"/>
        </w:rPr>
        <w:t xml:space="preserve">. 2nd </w:t>
      </w:r>
      <w:proofErr w:type="spellStart"/>
      <w:r w:rsidRPr="009B2737">
        <w:rPr>
          <w:rFonts w:ascii="Arial" w:hAnsi="Arial" w:cs="Arial"/>
          <w:sz w:val="24"/>
          <w:szCs w:val="24"/>
        </w:rPr>
        <w:t>edn</w:t>
      </w:r>
      <w:proofErr w:type="spellEnd"/>
      <w:r w:rsidRPr="009B2737">
        <w:rPr>
          <w:rFonts w:ascii="Arial" w:hAnsi="Arial" w:cs="Arial"/>
          <w:sz w:val="24"/>
          <w:szCs w:val="24"/>
        </w:rPr>
        <w:t>. London: Hodder Education.</w:t>
      </w:r>
    </w:p>
    <w:p w14:paraId="7ADEFCA6" w14:textId="0AA1B671" w:rsidR="00645BF0" w:rsidRPr="00645BF0" w:rsidRDefault="00645BF0" w:rsidP="00645BF0">
      <w:pPr>
        <w:spacing w:line="360" w:lineRule="auto"/>
        <w:rPr>
          <w:rFonts w:ascii="Arial" w:hAnsi="Arial" w:cs="Arial"/>
          <w:sz w:val="24"/>
          <w:szCs w:val="24"/>
        </w:rPr>
      </w:pPr>
      <w:r w:rsidRPr="00645BF0">
        <w:rPr>
          <w:rFonts w:ascii="Arial" w:hAnsi="Arial" w:cs="Arial"/>
          <w:b/>
          <w:bCs/>
          <w:sz w:val="24"/>
          <w:szCs w:val="24"/>
        </w:rPr>
        <w:t>Gardner, A.F. and Jones, B.D. (2016)</w:t>
      </w:r>
      <w:r w:rsidRPr="00645BF0">
        <w:rPr>
          <w:rFonts w:ascii="Arial" w:hAnsi="Arial" w:cs="Arial"/>
          <w:sz w:val="24"/>
          <w:szCs w:val="24"/>
        </w:rPr>
        <w:t xml:space="preserve"> ‘Examining the Reggio Emilia Approach: Keys to Understanding Why It Motivates Students’, </w:t>
      </w:r>
      <w:r w:rsidRPr="00645BF0">
        <w:rPr>
          <w:rFonts w:ascii="Arial" w:hAnsi="Arial" w:cs="Arial"/>
          <w:i/>
          <w:iCs/>
          <w:sz w:val="24"/>
          <w:szCs w:val="24"/>
        </w:rPr>
        <w:t>Electronic Journal of Research in Educational Psychology</w:t>
      </w:r>
      <w:r w:rsidRPr="00645BF0">
        <w:rPr>
          <w:rFonts w:ascii="Arial" w:hAnsi="Arial" w:cs="Arial"/>
          <w:sz w:val="24"/>
          <w:szCs w:val="24"/>
        </w:rPr>
        <w:t xml:space="preserve">, </w:t>
      </w:r>
      <w:r w:rsidRPr="00645BF0">
        <w:rPr>
          <w:rFonts w:ascii="Arial" w:hAnsi="Arial" w:cs="Arial"/>
          <w:b/>
          <w:bCs/>
          <w:sz w:val="24"/>
          <w:szCs w:val="24"/>
        </w:rPr>
        <w:t>14</w:t>
      </w:r>
      <w:r w:rsidRPr="00645BF0">
        <w:rPr>
          <w:rFonts w:ascii="Arial" w:hAnsi="Arial" w:cs="Arial"/>
          <w:sz w:val="24"/>
          <w:szCs w:val="24"/>
        </w:rPr>
        <w:t>(3), pp. 602–625. Available at: https://doi.org/10.14204/ejrep.40.16046 (Accessed: 22 October 2026)</w:t>
      </w:r>
      <w:r>
        <w:rPr>
          <w:rFonts w:ascii="Arial" w:hAnsi="Arial" w:cs="Arial"/>
          <w:sz w:val="24"/>
          <w:szCs w:val="24"/>
        </w:rPr>
        <w:t>.</w:t>
      </w:r>
    </w:p>
    <w:p w14:paraId="65577F9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Gatley, J. and Oostendorp-Godfrey, J. (2026) ‘Barriers and solutions to purpose-driven curriculum implementation in Wales’, </w:t>
      </w:r>
      <w:r w:rsidRPr="009B2737">
        <w:rPr>
          <w:rFonts w:ascii="Arial" w:hAnsi="Arial" w:cs="Arial"/>
          <w:i/>
          <w:iCs/>
          <w:sz w:val="24"/>
          <w:szCs w:val="24"/>
        </w:rPr>
        <w:t>Wales Journal of Education</w:t>
      </w:r>
      <w:r w:rsidRPr="009B2737">
        <w:rPr>
          <w:rFonts w:ascii="Arial" w:hAnsi="Arial" w:cs="Arial"/>
          <w:sz w:val="24"/>
          <w:szCs w:val="24"/>
        </w:rPr>
        <w:t>, 28(1). Available at: https://doi.org/10.16922/wje.28.1.5 (Accessed: 8 October 2026).</w:t>
      </w:r>
    </w:p>
    <w:p w14:paraId="68C5C4C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Gea, J.J., Diana and Aeni, K. (2025) ‘Holistic-Integrative Early Childhood Education and Its Impact on Social-Emotional, Physical, and Cognitive Development: A Multi-Regional Regression Analysis’, </w:t>
      </w:r>
      <w:r w:rsidRPr="009B2737">
        <w:rPr>
          <w:rFonts w:ascii="Arial" w:hAnsi="Arial" w:cs="Arial"/>
          <w:i/>
          <w:iCs/>
          <w:sz w:val="24"/>
          <w:szCs w:val="24"/>
        </w:rPr>
        <w:t xml:space="preserve">Golden Age: </w:t>
      </w:r>
      <w:proofErr w:type="spellStart"/>
      <w:r w:rsidRPr="009B2737">
        <w:rPr>
          <w:rFonts w:ascii="Arial" w:hAnsi="Arial" w:cs="Arial"/>
          <w:i/>
          <w:iCs/>
          <w:sz w:val="24"/>
          <w:szCs w:val="24"/>
        </w:rPr>
        <w:t>Jurnal</w:t>
      </w:r>
      <w:proofErr w:type="spellEnd"/>
      <w:r w:rsidRPr="009B2737">
        <w:rPr>
          <w:rFonts w:ascii="Arial" w:hAnsi="Arial" w:cs="Arial"/>
          <w:i/>
          <w:iCs/>
          <w:sz w:val="24"/>
          <w:szCs w:val="24"/>
        </w:rPr>
        <w:t xml:space="preserve"> </w:t>
      </w:r>
      <w:proofErr w:type="spellStart"/>
      <w:r w:rsidRPr="009B2737">
        <w:rPr>
          <w:rFonts w:ascii="Arial" w:hAnsi="Arial" w:cs="Arial"/>
          <w:i/>
          <w:iCs/>
          <w:sz w:val="24"/>
          <w:szCs w:val="24"/>
        </w:rPr>
        <w:t>Ilmiah</w:t>
      </w:r>
      <w:proofErr w:type="spellEnd"/>
      <w:r w:rsidRPr="009B2737">
        <w:rPr>
          <w:rFonts w:ascii="Arial" w:hAnsi="Arial" w:cs="Arial"/>
          <w:i/>
          <w:iCs/>
          <w:sz w:val="24"/>
          <w:szCs w:val="24"/>
        </w:rPr>
        <w:t xml:space="preserve"> </w:t>
      </w:r>
      <w:proofErr w:type="spellStart"/>
      <w:r w:rsidRPr="009B2737">
        <w:rPr>
          <w:rFonts w:ascii="Arial" w:hAnsi="Arial" w:cs="Arial"/>
          <w:i/>
          <w:iCs/>
          <w:sz w:val="24"/>
          <w:szCs w:val="24"/>
        </w:rPr>
        <w:t>Tumbuh</w:t>
      </w:r>
      <w:proofErr w:type="spellEnd"/>
      <w:r w:rsidRPr="009B2737">
        <w:rPr>
          <w:rFonts w:ascii="Arial" w:hAnsi="Arial" w:cs="Arial"/>
          <w:i/>
          <w:iCs/>
          <w:sz w:val="24"/>
          <w:szCs w:val="24"/>
        </w:rPr>
        <w:t xml:space="preserve"> Kembang Anak </w:t>
      </w:r>
      <w:proofErr w:type="spellStart"/>
      <w:r w:rsidRPr="009B2737">
        <w:rPr>
          <w:rFonts w:ascii="Arial" w:hAnsi="Arial" w:cs="Arial"/>
          <w:i/>
          <w:iCs/>
          <w:sz w:val="24"/>
          <w:szCs w:val="24"/>
        </w:rPr>
        <w:t>Usia</w:t>
      </w:r>
      <w:proofErr w:type="spellEnd"/>
      <w:r w:rsidRPr="009B2737">
        <w:rPr>
          <w:rFonts w:ascii="Arial" w:hAnsi="Arial" w:cs="Arial"/>
          <w:i/>
          <w:iCs/>
          <w:sz w:val="24"/>
          <w:szCs w:val="24"/>
        </w:rPr>
        <w:t xml:space="preserve"> Dini</w:t>
      </w:r>
      <w:r w:rsidRPr="009B2737">
        <w:rPr>
          <w:rFonts w:ascii="Arial" w:hAnsi="Arial" w:cs="Arial"/>
          <w:sz w:val="24"/>
          <w:szCs w:val="24"/>
        </w:rPr>
        <w:t>, 10(1), pp. 163–171. Available at: https://doi.org/10.14421/jga.2025.101-13 (Accessed: 19 October 2026).</w:t>
      </w:r>
    </w:p>
    <w:p w14:paraId="061ADDBD"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lastRenderedPageBreak/>
        <w:t>Giamminuti</w:t>
      </w:r>
      <w:proofErr w:type="spellEnd"/>
      <w:r w:rsidRPr="009B2737">
        <w:rPr>
          <w:rFonts w:ascii="Arial" w:hAnsi="Arial" w:cs="Arial"/>
          <w:sz w:val="24"/>
          <w:szCs w:val="24"/>
        </w:rPr>
        <w:t xml:space="preserve">, S. and Merewether, J. (2023) ‘The Reggio Emilia atelier as a place of disruption: Remaking pedagogical alliances through aesthetics and experimentation’, </w:t>
      </w:r>
      <w:r w:rsidRPr="009B2737">
        <w:rPr>
          <w:rFonts w:ascii="Arial" w:hAnsi="Arial" w:cs="Arial"/>
          <w:i/>
          <w:iCs/>
          <w:sz w:val="24"/>
          <w:szCs w:val="24"/>
        </w:rPr>
        <w:t>Pedagogies: An International Journal</w:t>
      </w:r>
      <w:r w:rsidRPr="009B2737">
        <w:rPr>
          <w:rFonts w:ascii="Arial" w:hAnsi="Arial" w:cs="Arial"/>
          <w:sz w:val="24"/>
          <w:szCs w:val="24"/>
        </w:rPr>
        <w:t>, 18(4), pp. 746–766.</w:t>
      </w:r>
    </w:p>
    <w:p w14:paraId="4FB94E29"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Giamminuti</w:t>
      </w:r>
      <w:proofErr w:type="spellEnd"/>
      <w:r w:rsidRPr="009B2737">
        <w:rPr>
          <w:rFonts w:ascii="Arial" w:hAnsi="Arial" w:cs="Arial"/>
          <w:sz w:val="24"/>
          <w:szCs w:val="24"/>
        </w:rPr>
        <w:t xml:space="preserve">, S., Merewether, J. and Blaise, M. (2022) ‘Pedagogical documentation and the refusal of method: Troubling dogmas and inviting collective obligations’, </w:t>
      </w:r>
      <w:r w:rsidRPr="009B2737">
        <w:rPr>
          <w:rFonts w:ascii="Arial" w:hAnsi="Arial" w:cs="Arial"/>
          <w:i/>
          <w:iCs/>
          <w:sz w:val="24"/>
          <w:szCs w:val="24"/>
        </w:rPr>
        <w:t>European Early Childhood Education Research Journal</w:t>
      </w:r>
      <w:r w:rsidRPr="009B2737">
        <w:rPr>
          <w:rFonts w:ascii="Arial" w:hAnsi="Arial" w:cs="Arial"/>
          <w:sz w:val="24"/>
          <w:szCs w:val="24"/>
        </w:rPr>
        <w:t xml:space="preserve">, 30(2), pp. 213–226. Available at: https://doi.org/10.1080/1350293X.2022.2046834 (Accessed: 22 October 2026). </w:t>
      </w:r>
    </w:p>
    <w:p w14:paraId="12F86512"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Giamminuti</w:t>
      </w:r>
      <w:proofErr w:type="spellEnd"/>
      <w:r w:rsidRPr="009B2737">
        <w:rPr>
          <w:rFonts w:ascii="Arial" w:hAnsi="Arial" w:cs="Arial"/>
          <w:sz w:val="24"/>
          <w:szCs w:val="24"/>
        </w:rPr>
        <w:t xml:space="preserve">, S., Merewether, J. and Blaise, M. (2023) ‘Aesthetic-ethical-political movements in professional learning: Encounters with feminist new materialisms and Reggio Emilia in early childhood research’, in </w:t>
      </w:r>
      <w:r w:rsidRPr="009B2737">
        <w:rPr>
          <w:rFonts w:ascii="Arial" w:hAnsi="Arial" w:cs="Arial"/>
          <w:i/>
          <w:iCs/>
          <w:sz w:val="24"/>
          <w:szCs w:val="24"/>
        </w:rPr>
        <w:t>Non-Linear Perspectives on Teacher Development</w:t>
      </w:r>
      <w:r w:rsidRPr="009B2737">
        <w:rPr>
          <w:rFonts w:ascii="Arial" w:hAnsi="Arial" w:cs="Arial"/>
          <w:sz w:val="24"/>
          <w:szCs w:val="24"/>
        </w:rPr>
        <w:t>. pp. 240–252.</w:t>
      </w:r>
    </w:p>
    <w:p w14:paraId="5E4A25C6" w14:textId="77777777" w:rsidR="009B2737" w:rsidRPr="009B2737" w:rsidRDefault="009B2737" w:rsidP="009B2737">
      <w:pPr>
        <w:spacing w:line="360" w:lineRule="auto"/>
        <w:rPr>
          <w:rFonts w:ascii="Arial" w:eastAsia="Times New Roman" w:hAnsi="Arial" w:cs="Arial"/>
          <w:kern w:val="0"/>
          <w:sz w:val="24"/>
          <w:szCs w:val="24"/>
          <w:lang w:eastAsia="en-GB"/>
          <w14:ligatures w14:val="none"/>
        </w:rPr>
      </w:pPr>
      <w:r w:rsidRPr="009B2737">
        <w:rPr>
          <w:rFonts w:ascii="Arial" w:eastAsia="Times New Roman" w:hAnsi="Arial" w:cs="Arial"/>
          <w:kern w:val="0"/>
          <w:sz w:val="24"/>
          <w:szCs w:val="24"/>
          <w:lang w:eastAsia="en-GB"/>
          <w14:ligatures w14:val="none"/>
        </w:rPr>
        <w:t xml:space="preserve">Green, B. (2022) ‘Understanding curriculum as practice, or on the practice turn(s) in curriculum inquiry’, </w:t>
      </w:r>
      <w:r w:rsidRPr="009B2737">
        <w:rPr>
          <w:rFonts w:ascii="Arial" w:eastAsia="Times New Roman" w:hAnsi="Arial" w:cs="Arial"/>
          <w:i/>
          <w:iCs/>
          <w:kern w:val="0"/>
          <w:sz w:val="24"/>
          <w:szCs w:val="24"/>
          <w:lang w:eastAsia="en-GB"/>
          <w14:ligatures w14:val="none"/>
        </w:rPr>
        <w:t>Curriculum Perspectives</w:t>
      </w:r>
      <w:r w:rsidRPr="009B2737">
        <w:rPr>
          <w:rFonts w:ascii="Arial" w:eastAsia="Times New Roman" w:hAnsi="Arial" w:cs="Arial"/>
          <w:kern w:val="0"/>
          <w:sz w:val="24"/>
          <w:szCs w:val="24"/>
          <w:lang w:eastAsia="en-GB"/>
          <w14:ligatures w14:val="none"/>
        </w:rPr>
        <w:t>, 42(1), pp. 77–83. Available at: https://doi.org/10.1007/s41297-022-00160-0 (Accessed: 4 October 2026)</w:t>
      </w:r>
    </w:p>
    <w:p w14:paraId="5D980CA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Grigg, R., Lewis, H., Morse, M. and Crick, T. (2024) ‘Rethinking student teachers' professional learning in Wales: Promoting reflection-in-action’, </w:t>
      </w:r>
      <w:r w:rsidRPr="009B2737">
        <w:rPr>
          <w:rFonts w:ascii="Arial" w:hAnsi="Arial" w:cs="Arial"/>
          <w:i/>
          <w:iCs/>
          <w:sz w:val="24"/>
          <w:szCs w:val="24"/>
        </w:rPr>
        <w:t>The Curriculum Journal</w:t>
      </w:r>
      <w:r w:rsidRPr="009B2737">
        <w:rPr>
          <w:rFonts w:ascii="Arial" w:hAnsi="Arial" w:cs="Arial"/>
          <w:sz w:val="24"/>
          <w:szCs w:val="24"/>
        </w:rPr>
        <w:t>, 35(4), pp. 690–705.</w:t>
      </w:r>
    </w:p>
    <w:p w14:paraId="2D2A0F7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Guo, K. and Rouse, E. (2025) ‘Searching for evidence-based practice: A qualitative </w:t>
      </w:r>
      <w:proofErr w:type="spellStart"/>
      <w:r w:rsidRPr="009B2737">
        <w:rPr>
          <w:rFonts w:ascii="Arial" w:hAnsi="Arial" w:cs="Arial"/>
          <w:sz w:val="24"/>
          <w:szCs w:val="24"/>
        </w:rPr>
        <w:t>metasynthesis</w:t>
      </w:r>
      <w:proofErr w:type="spellEnd"/>
      <w:r w:rsidRPr="009B2737">
        <w:rPr>
          <w:rFonts w:ascii="Arial" w:hAnsi="Arial" w:cs="Arial"/>
          <w:sz w:val="24"/>
          <w:szCs w:val="24"/>
        </w:rPr>
        <w:t xml:space="preserve"> of the research on Reggio Emilia practices in Australian early years settings’, </w:t>
      </w:r>
      <w:r w:rsidRPr="009B2737">
        <w:rPr>
          <w:rFonts w:ascii="Arial" w:hAnsi="Arial" w:cs="Arial"/>
          <w:i/>
          <w:iCs/>
          <w:sz w:val="24"/>
          <w:szCs w:val="24"/>
        </w:rPr>
        <w:t>Australian Journal of Education</w:t>
      </w:r>
      <w:r w:rsidRPr="009B2737">
        <w:rPr>
          <w:rFonts w:ascii="Arial" w:hAnsi="Arial" w:cs="Arial"/>
          <w:sz w:val="24"/>
          <w:szCs w:val="24"/>
        </w:rPr>
        <w:t>, </w:t>
      </w:r>
      <w:r w:rsidRPr="009B2737">
        <w:rPr>
          <w:rFonts w:ascii="Arial" w:hAnsi="Arial" w:cs="Arial"/>
          <w:i/>
          <w:iCs/>
          <w:sz w:val="24"/>
          <w:szCs w:val="24"/>
        </w:rPr>
        <w:t>69</w:t>
      </w:r>
      <w:r w:rsidRPr="009B2737">
        <w:rPr>
          <w:rFonts w:ascii="Arial" w:hAnsi="Arial" w:cs="Arial"/>
          <w:sz w:val="24"/>
          <w:szCs w:val="24"/>
        </w:rPr>
        <w:t>(1), pp.58-78.</w:t>
      </w:r>
    </w:p>
    <w:p w14:paraId="41A086A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Hanno, E.C., Portilla, X.A. and Hsueh, J. (2025) ‘Designing equity-</w:t>
      </w:r>
      <w:proofErr w:type="spellStart"/>
      <w:r w:rsidRPr="009B2737">
        <w:rPr>
          <w:rFonts w:ascii="Arial" w:hAnsi="Arial" w:cs="Arial"/>
          <w:sz w:val="24"/>
          <w:szCs w:val="24"/>
        </w:rPr>
        <w:t>centered</w:t>
      </w:r>
      <w:proofErr w:type="spellEnd"/>
      <w:r w:rsidRPr="009B2737">
        <w:rPr>
          <w:rFonts w:ascii="Arial" w:hAnsi="Arial" w:cs="Arial"/>
          <w:sz w:val="24"/>
          <w:szCs w:val="24"/>
        </w:rPr>
        <w:t xml:space="preserve"> early learning assessments for today's young children’, </w:t>
      </w:r>
      <w:r w:rsidRPr="009B2737">
        <w:rPr>
          <w:rFonts w:ascii="Arial" w:hAnsi="Arial" w:cs="Arial"/>
          <w:i/>
          <w:iCs/>
          <w:sz w:val="24"/>
          <w:szCs w:val="24"/>
        </w:rPr>
        <w:t>Child Development Perspectives</w:t>
      </w:r>
      <w:r w:rsidRPr="009B2737">
        <w:rPr>
          <w:rFonts w:ascii="Arial" w:hAnsi="Arial" w:cs="Arial"/>
          <w:sz w:val="24"/>
          <w:szCs w:val="24"/>
        </w:rPr>
        <w:t>, 19(2), pp. 92–98. Available at: https://doi.org/10.1111/cdep.12528 (Accessed: 22 October 2026).</w:t>
      </w:r>
    </w:p>
    <w:p w14:paraId="465970A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Herzog, J.I. and Schmahl, C. (2018) ‘Adverse Childhood Experiences and the Consequences on Neurobiological, Psychosocial, and Somatic Conditions Across the Lifespan’, </w:t>
      </w:r>
      <w:r w:rsidRPr="009B2737">
        <w:rPr>
          <w:rFonts w:ascii="Arial" w:hAnsi="Arial" w:cs="Arial"/>
          <w:i/>
          <w:iCs/>
          <w:sz w:val="24"/>
          <w:szCs w:val="24"/>
        </w:rPr>
        <w:t>Frontiers in Psychiatry</w:t>
      </w:r>
      <w:r w:rsidRPr="009B2737">
        <w:rPr>
          <w:rFonts w:ascii="Arial" w:hAnsi="Arial" w:cs="Arial"/>
          <w:sz w:val="24"/>
          <w:szCs w:val="24"/>
        </w:rPr>
        <w:t>, 9, p. 420. Available at: https://doi.org/10.3389/fpsyt.2018.00420 (Accessed: 17 October 2026).</w:t>
      </w:r>
    </w:p>
    <w:p w14:paraId="427B1BDF" w14:textId="77777777" w:rsidR="00056CDF" w:rsidRPr="00056CDF" w:rsidRDefault="00056CDF" w:rsidP="00056CDF">
      <w:pPr>
        <w:spacing w:line="360" w:lineRule="auto"/>
        <w:rPr>
          <w:rFonts w:ascii="Arial" w:hAnsi="Arial" w:cs="Arial"/>
          <w:sz w:val="24"/>
          <w:szCs w:val="24"/>
        </w:rPr>
      </w:pPr>
      <w:r w:rsidRPr="00056CDF">
        <w:rPr>
          <w:rFonts w:ascii="Arial" w:hAnsi="Arial" w:cs="Arial"/>
          <w:sz w:val="24"/>
          <w:szCs w:val="24"/>
        </w:rPr>
        <w:lastRenderedPageBreak/>
        <w:t xml:space="preserve">Hughes, S. and Lewis, H. (2020) ‘Tensions in current curriculum reform and the development of teachers’ professional autonomy’, </w:t>
      </w:r>
      <w:r w:rsidRPr="00056CDF">
        <w:rPr>
          <w:rFonts w:ascii="Arial" w:hAnsi="Arial" w:cs="Arial"/>
          <w:i/>
          <w:iCs/>
          <w:sz w:val="24"/>
          <w:szCs w:val="24"/>
        </w:rPr>
        <w:t>The Curriculum Journal</w:t>
      </w:r>
      <w:r w:rsidRPr="00056CDF">
        <w:rPr>
          <w:rFonts w:ascii="Arial" w:hAnsi="Arial" w:cs="Arial"/>
          <w:sz w:val="24"/>
          <w:szCs w:val="24"/>
        </w:rPr>
        <w:t>, 31(2), pp. 290–302. Available at: https://doi.org/10.1002/curj.25 (Accessed: 22 October 2026).</w:t>
      </w:r>
    </w:p>
    <w:p w14:paraId="6FCE661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Insel, T.R. (2000) ‘The Development of Brain and </w:t>
      </w:r>
      <w:proofErr w:type="spellStart"/>
      <w:r w:rsidRPr="009B2737">
        <w:rPr>
          <w:rFonts w:ascii="Arial" w:hAnsi="Arial" w:cs="Arial"/>
          <w:sz w:val="24"/>
          <w:szCs w:val="24"/>
        </w:rPr>
        <w:t>Behavior</w:t>
      </w:r>
      <w:proofErr w:type="spellEnd"/>
      <w:r w:rsidRPr="009B2737">
        <w:rPr>
          <w:rFonts w:ascii="Arial" w:hAnsi="Arial" w:cs="Arial"/>
          <w:sz w:val="24"/>
          <w:szCs w:val="24"/>
        </w:rPr>
        <w:t xml:space="preserve">’, in Bloom, F.E. and Kupfer, D.J. (eds.) </w:t>
      </w:r>
      <w:r w:rsidRPr="009B2737">
        <w:rPr>
          <w:rFonts w:ascii="Arial" w:hAnsi="Arial" w:cs="Arial"/>
          <w:i/>
          <w:iCs/>
          <w:sz w:val="24"/>
          <w:szCs w:val="24"/>
        </w:rPr>
        <w:t>Neuropsychopharmacology: The Fifth Generation of Progress</w:t>
      </w:r>
      <w:r w:rsidRPr="009B2737">
        <w:rPr>
          <w:rFonts w:ascii="Arial" w:hAnsi="Arial" w:cs="Arial"/>
          <w:sz w:val="24"/>
          <w:szCs w:val="24"/>
        </w:rPr>
        <w:t>. Nashville, TN: American College of Neuropsychopharmacology. Available at: https://acnp.org/g4/GN401000066/CH066.html (Accessed: 17 October 2026).</w:t>
      </w:r>
      <w:r w:rsidRPr="009B2737">
        <w:rPr>
          <w:rFonts w:ascii="Arial" w:hAnsi="Arial" w:cs="Arial"/>
          <w:sz w:val="24"/>
          <w:szCs w:val="24"/>
        </w:rPr>
        <w:br/>
      </w:r>
      <w:r w:rsidRPr="009B2737">
        <w:rPr>
          <w:rFonts w:ascii="Arial" w:hAnsi="Arial" w:cs="Arial"/>
          <w:sz w:val="24"/>
          <w:szCs w:val="24"/>
        </w:rPr>
        <w:br/>
        <w:t xml:space="preserve">Sharp, C. (2002) </w:t>
      </w:r>
      <w:r w:rsidRPr="009B2737">
        <w:rPr>
          <w:rFonts w:ascii="Arial" w:hAnsi="Arial" w:cs="Arial"/>
          <w:i/>
          <w:iCs/>
          <w:sz w:val="24"/>
          <w:szCs w:val="24"/>
        </w:rPr>
        <w:t>School Starting Age: European Policy and Recent Research</w:t>
      </w:r>
      <w:r w:rsidRPr="009B2737">
        <w:rPr>
          <w:rFonts w:ascii="Arial" w:hAnsi="Arial" w:cs="Arial"/>
          <w:sz w:val="24"/>
          <w:szCs w:val="24"/>
        </w:rPr>
        <w:t>. Slough: National Foundation for Educational Research. Available at: https://www.nfer.ac.uk/media/h2sbdvfq/44414.pdf (Accessed: 15 October 2026).</w:t>
      </w:r>
    </w:p>
    <w:p w14:paraId="5C2E5EBC"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Jarvie, M., Shorto, S., Kunwar Deer, L. and Goddard, E. (2023) </w:t>
      </w:r>
      <w:r w:rsidRPr="009B2737">
        <w:rPr>
          <w:rFonts w:ascii="Arial" w:hAnsi="Arial" w:cs="Arial"/>
          <w:i/>
          <w:iCs/>
          <w:sz w:val="24"/>
          <w:szCs w:val="24"/>
        </w:rPr>
        <w:t>Childcare Survey 2023</w:t>
      </w:r>
      <w:r w:rsidRPr="009B2737">
        <w:rPr>
          <w:rFonts w:ascii="Arial" w:hAnsi="Arial" w:cs="Arial"/>
          <w:sz w:val="24"/>
          <w:szCs w:val="24"/>
        </w:rPr>
        <w:t>. London: Coram Family and Childcare. Available at: https://www.coramfamilyandchildcare.org.uk/research/childcare-survey-2023/ (Accessed: 11 October 2026).</w:t>
      </w:r>
    </w:p>
    <w:p w14:paraId="79F533ED"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Jenkin, C. (2016) ‘Responding to the cultural identities of bicultural and multicultural Aotearoa/New Zealand’, </w:t>
      </w:r>
      <w:r w:rsidRPr="009B2737">
        <w:rPr>
          <w:rFonts w:ascii="Arial" w:hAnsi="Arial" w:cs="Arial"/>
          <w:i/>
          <w:iCs/>
          <w:sz w:val="24"/>
          <w:szCs w:val="24"/>
        </w:rPr>
        <w:t>He Kupu</w:t>
      </w:r>
      <w:r w:rsidRPr="009B2737">
        <w:rPr>
          <w:rFonts w:ascii="Arial" w:hAnsi="Arial" w:cs="Arial"/>
          <w:sz w:val="24"/>
          <w:szCs w:val="24"/>
        </w:rPr>
        <w:t>, 4(3), pp. 25–34. Available at: https://www.hekupu.ac.nz/article/responding-cultural-identities-bicultural-and-multicultural-aotearoanew-zealand (Accessed: 14 October 2026).</w:t>
      </w:r>
    </w:p>
    <w:p w14:paraId="4ED5FEF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Knight, C. and Crick, T. (2022) ‘Inclusive Education in Wales: Interpreting Discourses of Values and Practice Using Critical Policy Analysis’, </w:t>
      </w:r>
      <w:r w:rsidRPr="009B2737">
        <w:rPr>
          <w:rFonts w:ascii="Arial" w:hAnsi="Arial" w:cs="Arial"/>
          <w:i/>
          <w:iCs/>
          <w:sz w:val="24"/>
          <w:szCs w:val="24"/>
        </w:rPr>
        <w:t>ECNU Review of Education</w:t>
      </w:r>
      <w:r w:rsidRPr="009B2737">
        <w:rPr>
          <w:rFonts w:ascii="Arial" w:hAnsi="Arial" w:cs="Arial"/>
          <w:sz w:val="24"/>
          <w:szCs w:val="24"/>
        </w:rPr>
        <w:t>, 5(2), pp. 258–283. Available at: https://doi.org/10.1177/20965311211039858 (Accessed: 19 October 2026).</w:t>
      </w:r>
    </w:p>
    <w:p w14:paraId="02A2102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Krechevsky, M., Mardell, B., Rivard, M. and Wilson, D. (2013) </w:t>
      </w:r>
      <w:r w:rsidRPr="009B2737">
        <w:rPr>
          <w:rFonts w:ascii="Arial" w:hAnsi="Arial" w:cs="Arial"/>
          <w:i/>
          <w:iCs/>
          <w:sz w:val="24"/>
          <w:szCs w:val="24"/>
        </w:rPr>
        <w:t>Making Learning Visible: Children as Individual and Group Learners</w:t>
      </w:r>
      <w:r w:rsidRPr="009B2737">
        <w:rPr>
          <w:rFonts w:ascii="Arial" w:hAnsi="Arial" w:cs="Arial"/>
          <w:sz w:val="24"/>
          <w:szCs w:val="24"/>
        </w:rPr>
        <w:t>. Reggio Emilia, Italy: Reggio Children.</w:t>
      </w:r>
    </w:p>
    <w:p w14:paraId="5FBA523E" w14:textId="77777777" w:rsidR="000774A7" w:rsidRPr="000774A7" w:rsidRDefault="000774A7" w:rsidP="000774A7">
      <w:pPr>
        <w:spacing w:line="360" w:lineRule="auto"/>
        <w:rPr>
          <w:rFonts w:ascii="Arial" w:hAnsi="Arial" w:cs="Arial"/>
          <w:sz w:val="24"/>
          <w:szCs w:val="24"/>
        </w:rPr>
      </w:pPr>
      <w:r w:rsidRPr="000774A7">
        <w:rPr>
          <w:rFonts w:ascii="Arial" w:hAnsi="Arial" w:cs="Arial"/>
          <w:sz w:val="24"/>
          <w:szCs w:val="24"/>
        </w:rPr>
        <w:t xml:space="preserve">Landi, L. and Pintus, A. (2022) ‘A critical approach to the Reggio Emilia Approach’, </w:t>
      </w:r>
      <w:proofErr w:type="spellStart"/>
      <w:r w:rsidRPr="000774A7">
        <w:rPr>
          <w:rFonts w:ascii="Arial" w:hAnsi="Arial" w:cs="Arial"/>
          <w:i/>
          <w:iCs/>
          <w:sz w:val="24"/>
          <w:szCs w:val="24"/>
        </w:rPr>
        <w:t>Educazione</w:t>
      </w:r>
      <w:proofErr w:type="spellEnd"/>
      <w:r w:rsidRPr="000774A7">
        <w:rPr>
          <w:rFonts w:ascii="Arial" w:hAnsi="Arial" w:cs="Arial"/>
          <w:i/>
          <w:iCs/>
          <w:sz w:val="24"/>
          <w:szCs w:val="24"/>
        </w:rPr>
        <w:t xml:space="preserve">. Giornale di </w:t>
      </w:r>
      <w:proofErr w:type="spellStart"/>
      <w:r w:rsidRPr="000774A7">
        <w:rPr>
          <w:rFonts w:ascii="Arial" w:hAnsi="Arial" w:cs="Arial"/>
          <w:i/>
          <w:iCs/>
          <w:sz w:val="24"/>
          <w:szCs w:val="24"/>
        </w:rPr>
        <w:t>Pedagogia</w:t>
      </w:r>
      <w:proofErr w:type="spellEnd"/>
      <w:r w:rsidRPr="000774A7">
        <w:rPr>
          <w:rFonts w:ascii="Arial" w:hAnsi="Arial" w:cs="Arial"/>
          <w:i/>
          <w:iCs/>
          <w:sz w:val="24"/>
          <w:szCs w:val="24"/>
        </w:rPr>
        <w:t xml:space="preserve"> </w:t>
      </w:r>
      <w:proofErr w:type="spellStart"/>
      <w:r w:rsidRPr="000774A7">
        <w:rPr>
          <w:rFonts w:ascii="Arial" w:hAnsi="Arial" w:cs="Arial"/>
          <w:i/>
          <w:iCs/>
          <w:sz w:val="24"/>
          <w:szCs w:val="24"/>
        </w:rPr>
        <w:t>Critica</w:t>
      </w:r>
      <w:proofErr w:type="spellEnd"/>
      <w:r w:rsidRPr="000774A7">
        <w:rPr>
          <w:rFonts w:ascii="Arial" w:hAnsi="Arial" w:cs="Arial"/>
          <w:sz w:val="24"/>
          <w:szCs w:val="24"/>
        </w:rPr>
        <w:t>, 11(1), pp. 107–125. Available at: https://www.giornaledipedagogiacritica.it/index.php/gdpc/article/view/216 (Accessed: 22 October 2026)</w:t>
      </w:r>
    </w:p>
    <w:p w14:paraId="4203BE6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Leggett, N. (2025) ‘Intentional teaching and the intentionality of educators: Time for careful, considerate, collaborative, and reflective practice’, </w:t>
      </w:r>
      <w:r w:rsidRPr="009B2737">
        <w:rPr>
          <w:rFonts w:ascii="Arial" w:hAnsi="Arial" w:cs="Arial"/>
          <w:i/>
          <w:iCs/>
          <w:sz w:val="24"/>
          <w:szCs w:val="24"/>
        </w:rPr>
        <w:t>Early Childhood Education Journal</w:t>
      </w:r>
      <w:r w:rsidRPr="009B2737">
        <w:rPr>
          <w:rFonts w:ascii="Arial" w:hAnsi="Arial" w:cs="Arial"/>
          <w:sz w:val="24"/>
          <w:szCs w:val="24"/>
        </w:rPr>
        <w:t>, 53(1), pp. 1–9.</w:t>
      </w:r>
    </w:p>
    <w:p w14:paraId="24AD6B1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MacDonald, N. (2018). </w:t>
      </w:r>
      <w:r w:rsidRPr="009B2737">
        <w:rPr>
          <w:rFonts w:ascii="Arial" w:hAnsi="Arial" w:cs="Arial"/>
          <w:i/>
          <w:iCs/>
          <w:sz w:val="24"/>
          <w:szCs w:val="24"/>
        </w:rPr>
        <w:t>The Great Divide: Separation of Care and Education in Wales: An Examination of Policy, Reform and Research Evidence</w:t>
      </w:r>
      <w:r w:rsidRPr="009B2737">
        <w:rPr>
          <w:rFonts w:ascii="Arial" w:hAnsi="Arial" w:cs="Arial"/>
          <w:sz w:val="24"/>
          <w:szCs w:val="24"/>
        </w:rPr>
        <w:t>. Doctoral thesis. University of Wales Trinity Saint David. Available at: https://repository.uwtsd.ac.uk/id/eprint/985/ (Accessed: 11 October 2026).</w:t>
      </w:r>
    </w:p>
    <w:p w14:paraId="2BF1FEC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Macy, M., Harshbarger, D., Burke, K. and Neukirch, E. (2026) ‘Experiential learning in Reggio Emilia, Italy: Reflections from in-service and pre-service professionals’, </w:t>
      </w:r>
      <w:r w:rsidRPr="009B2737">
        <w:rPr>
          <w:rFonts w:ascii="Arial" w:hAnsi="Arial" w:cs="Arial"/>
          <w:i/>
          <w:iCs/>
          <w:sz w:val="24"/>
          <w:szCs w:val="24"/>
        </w:rPr>
        <w:t>Journal of Early Childhood Teacher Education</w:t>
      </w:r>
      <w:r w:rsidRPr="009B2737">
        <w:rPr>
          <w:rFonts w:ascii="Arial" w:hAnsi="Arial" w:cs="Arial"/>
          <w:sz w:val="24"/>
          <w:szCs w:val="24"/>
        </w:rPr>
        <w:t>, 47(3), pp. 693–715.</w:t>
      </w:r>
    </w:p>
    <w:p w14:paraId="7DC75B8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Morgan, N., </w:t>
      </w:r>
      <w:proofErr w:type="spellStart"/>
      <w:r w:rsidRPr="009B2737">
        <w:rPr>
          <w:rFonts w:ascii="Arial" w:hAnsi="Arial" w:cs="Arial"/>
          <w:sz w:val="24"/>
          <w:szCs w:val="24"/>
        </w:rPr>
        <w:t>Bajjada</w:t>
      </w:r>
      <w:proofErr w:type="spellEnd"/>
      <w:r w:rsidRPr="009B2737">
        <w:rPr>
          <w:rFonts w:ascii="Arial" w:hAnsi="Arial" w:cs="Arial"/>
          <w:sz w:val="24"/>
          <w:szCs w:val="24"/>
        </w:rPr>
        <w:t xml:space="preserve">, T., Andrews, G., Miller, N., Bryer, N., Bebb, H., Roberts, M. and Lawrence, K. (2022) </w:t>
      </w:r>
      <w:r w:rsidRPr="009B2737">
        <w:rPr>
          <w:rFonts w:ascii="Arial" w:hAnsi="Arial" w:cs="Arial"/>
          <w:i/>
          <w:iCs/>
          <w:sz w:val="24"/>
          <w:szCs w:val="24"/>
        </w:rPr>
        <w:t>Research into Assessment Practices in the Foundation Phase: Final Report</w:t>
      </w:r>
      <w:r w:rsidRPr="009B2737">
        <w:rPr>
          <w:rFonts w:ascii="Arial" w:hAnsi="Arial" w:cs="Arial"/>
          <w:sz w:val="24"/>
          <w:szCs w:val="24"/>
        </w:rPr>
        <w:t>. Cardiff: Welsh Government. Available at: https://www.gov.wales/research-assessment-practices-foundation-phase-summary-html (Accessed: 22 October 2026).</w:t>
      </w:r>
    </w:p>
    <w:p w14:paraId="640F17F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Morrison-Love, D., Makara Fuller, K., Singh, S. and Patrick, F. (2026) </w:t>
      </w:r>
      <w:r w:rsidRPr="009B2737">
        <w:rPr>
          <w:rFonts w:ascii="Arial" w:hAnsi="Arial" w:cs="Arial"/>
          <w:i/>
          <w:iCs/>
          <w:sz w:val="24"/>
          <w:szCs w:val="24"/>
        </w:rPr>
        <w:t>Understanding the nature of Curriculum for Wales: a content analysis</w:t>
      </w:r>
      <w:r w:rsidRPr="009B2737">
        <w:rPr>
          <w:rFonts w:ascii="Arial" w:hAnsi="Arial" w:cs="Arial"/>
          <w:sz w:val="24"/>
          <w:szCs w:val="24"/>
        </w:rPr>
        <w:t>. Glasgow: University of Glasgow and University of Wales Trinity Saint David. Available at: https://doi.org/10.36399/gla.pubs.381980 (Accessed: 19 October 2026).</w:t>
      </w:r>
    </w:p>
    <w:p w14:paraId="32175B5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Mphahlele, S.S.R. (2019) ‘Exploring the role of Malaguzzi's “Hundred Languages of Children” in early childhood education’, </w:t>
      </w:r>
      <w:r w:rsidRPr="009B2737">
        <w:rPr>
          <w:rFonts w:ascii="Arial" w:hAnsi="Arial" w:cs="Arial"/>
          <w:i/>
          <w:iCs/>
          <w:sz w:val="24"/>
          <w:szCs w:val="24"/>
        </w:rPr>
        <w:t>South African Journal of Childhood Education</w:t>
      </w:r>
      <w:r w:rsidRPr="009B2737">
        <w:rPr>
          <w:rFonts w:ascii="Arial" w:hAnsi="Arial" w:cs="Arial"/>
          <w:sz w:val="24"/>
          <w:szCs w:val="24"/>
        </w:rPr>
        <w:t>, 9(1).</w:t>
      </w:r>
    </w:p>
    <w:p w14:paraId="4517CEB4"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Murray, J. (2022) ‘Young children’s curriculum experiences’, </w:t>
      </w:r>
      <w:r w:rsidRPr="009B2737">
        <w:rPr>
          <w:rFonts w:ascii="Arial" w:hAnsi="Arial" w:cs="Arial"/>
          <w:i/>
          <w:iCs/>
          <w:sz w:val="24"/>
          <w:szCs w:val="24"/>
        </w:rPr>
        <w:t>International Journal of Early Years Education</w:t>
      </w:r>
      <w:r w:rsidRPr="009B2737">
        <w:rPr>
          <w:rFonts w:ascii="Arial" w:hAnsi="Arial" w:cs="Arial"/>
          <w:sz w:val="24"/>
          <w:szCs w:val="24"/>
        </w:rPr>
        <w:t>, 30(4), pp. 627–633. Available at: https://doi.org/10.1080/09669760.2022.2149092 (Accessed: 4 October 2026).</w:t>
      </w:r>
    </w:p>
    <w:p w14:paraId="3D61AEC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Murray, J., Harris, J. and O'Brien, C. (2019) ‘Observing and assessing children’, in Murray, J., </w:t>
      </w:r>
      <w:proofErr w:type="spellStart"/>
      <w:r w:rsidRPr="009B2737">
        <w:rPr>
          <w:rFonts w:ascii="Arial" w:hAnsi="Arial" w:cs="Arial"/>
          <w:sz w:val="24"/>
          <w:szCs w:val="24"/>
        </w:rPr>
        <w:t>Wheldall</w:t>
      </w:r>
      <w:proofErr w:type="spellEnd"/>
      <w:r w:rsidRPr="009B2737">
        <w:rPr>
          <w:rFonts w:ascii="Arial" w:hAnsi="Arial" w:cs="Arial"/>
          <w:sz w:val="24"/>
          <w:szCs w:val="24"/>
        </w:rPr>
        <w:t xml:space="preserve">, K. and Pendergast, D. (eds.) </w:t>
      </w:r>
      <w:r w:rsidRPr="009B2737">
        <w:rPr>
          <w:rFonts w:ascii="Arial" w:hAnsi="Arial" w:cs="Arial"/>
          <w:i/>
          <w:iCs/>
          <w:sz w:val="24"/>
          <w:szCs w:val="24"/>
        </w:rPr>
        <w:t>Early Childhood Studies</w:t>
      </w:r>
      <w:r w:rsidRPr="009B2737">
        <w:rPr>
          <w:rFonts w:ascii="Arial" w:hAnsi="Arial" w:cs="Arial"/>
          <w:sz w:val="24"/>
          <w:szCs w:val="24"/>
        </w:rPr>
        <w:t>. London: SAGE, pp. 339-358.</w:t>
      </w:r>
    </w:p>
    <w:p w14:paraId="677AC489"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National Association for the Education of Young Children (NAEYC) and National Association of Early Childhood Specialists in State Departments of Education </w:t>
      </w:r>
      <w:r w:rsidRPr="009B2737">
        <w:rPr>
          <w:rFonts w:ascii="Arial" w:hAnsi="Arial" w:cs="Arial"/>
          <w:sz w:val="24"/>
          <w:szCs w:val="24"/>
        </w:rPr>
        <w:lastRenderedPageBreak/>
        <w:t xml:space="preserve">(NAECS/SDE) (2003) </w:t>
      </w:r>
      <w:r w:rsidRPr="009B2737">
        <w:rPr>
          <w:rFonts w:ascii="Arial" w:hAnsi="Arial" w:cs="Arial"/>
          <w:i/>
          <w:iCs/>
          <w:sz w:val="24"/>
          <w:szCs w:val="24"/>
        </w:rPr>
        <w:t>Early Childhood Curriculum, Assessment, and Program Evaluation: Building an Effective, Accountable System in Programs for Children Birth Through Age 8</w:t>
      </w:r>
      <w:r w:rsidRPr="009B2737">
        <w:rPr>
          <w:rFonts w:ascii="Arial" w:hAnsi="Arial" w:cs="Arial"/>
          <w:sz w:val="24"/>
          <w:szCs w:val="24"/>
        </w:rPr>
        <w:t>. Washington, DC: NAEYC. Available at: https://www.naeyc.org (Accessed: 19 October 2026).</w:t>
      </w:r>
    </w:p>
    <w:p w14:paraId="6BD2971B"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Nutbrown, C. (ed.) (2023) </w:t>
      </w:r>
      <w:r w:rsidRPr="009B2737">
        <w:rPr>
          <w:rFonts w:ascii="Arial" w:hAnsi="Arial" w:cs="Arial"/>
          <w:i/>
          <w:iCs/>
          <w:sz w:val="24"/>
          <w:szCs w:val="24"/>
        </w:rPr>
        <w:t>Early Childhood Education: Current Realities and Future Priorities</w:t>
      </w:r>
      <w:r w:rsidRPr="009B2737">
        <w:rPr>
          <w:rFonts w:ascii="Arial" w:hAnsi="Arial" w:cs="Arial"/>
          <w:sz w:val="24"/>
          <w:szCs w:val="24"/>
        </w:rPr>
        <w:t>. London: Sage Publications</w:t>
      </w:r>
    </w:p>
    <w:p w14:paraId="08FBD0C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OECD (2020) </w:t>
      </w:r>
      <w:r w:rsidRPr="009B2737">
        <w:rPr>
          <w:rFonts w:ascii="Arial" w:hAnsi="Arial" w:cs="Arial"/>
          <w:i/>
          <w:iCs/>
          <w:sz w:val="24"/>
          <w:szCs w:val="24"/>
        </w:rPr>
        <w:t>Achieving the New Curriculum for Wales</w:t>
      </w:r>
      <w:r w:rsidRPr="009B2737">
        <w:rPr>
          <w:rFonts w:ascii="Arial" w:hAnsi="Arial" w:cs="Arial"/>
          <w:sz w:val="24"/>
          <w:szCs w:val="24"/>
        </w:rPr>
        <w:t>. Paris: OECD Publishing. Available at: https://doi.org/10.1787/4b483953-en (Accessed: 1 October 2026).</w:t>
      </w:r>
    </w:p>
    <w:p w14:paraId="3F847652"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Olalowo</w:t>
      </w:r>
      <w:proofErr w:type="spellEnd"/>
      <w:r w:rsidRPr="009B2737">
        <w:rPr>
          <w:rFonts w:ascii="Arial" w:hAnsi="Arial" w:cs="Arial"/>
          <w:sz w:val="24"/>
          <w:szCs w:val="24"/>
        </w:rPr>
        <w:t xml:space="preserve">, I.E. and Babalola, A.E. (2024) ‘A Tale of Two Childhoods: Exploring Holistic Development of Preschoolers in a Rural and Urban Community’, </w:t>
      </w:r>
      <w:r w:rsidRPr="009B2737">
        <w:rPr>
          <w:rFonts w:ascii="Arial" w:hAnsi="Arial" w:cs="Arial"/>
          <w:i/>
          <w:iCs/>
          <w:sz w:val="24"/>
          <w:szCs w:val="24"/>
        </w:rPr>
        <w:t>Theory and Practice in Child Development</w:t>
      </w:r>
      <w:r w:rsidRPr="009B2737">
        <w:rPr>
          <w:rFonts w:ascii="Arial" w:hAnsi="Arial" w:cs="Arial"/>
          <w:sz w:val="24"/>
          <w:szCs w:val="24"/>
        </w:rPr>
        <w:t>, 4(1), pp. 57–75. Available at: https://doi.org/10.46303/tpicd.2024.4 (Accessed: 19 October 2026).</w:t>
      </w:r>
    </w:p>
    <w:p w14:paraId="57BC0B7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Organisation for Economic Co-operation and Development (OECD) (2023) </w:t>
      </w:r>
      <w:r w:rsidRPr="009B2737">
        <w:rPr>
          <w:rFonts w:ascii="Arial" w:hAnsi="Arial" w:cs="Arial"/>
          <w:i/>
          <w:iCs/>
          <w:sz w:val="24"/>
          <w:szCs w:val="24"/>
        </w:rPr>
        <w:t>PISA 2022 Results (Volume I): The State of Learning and Equity in Education</w:t>
      </w:r>
      <w:r w:rsidRPr="009B2737">
        <w:rPr>
          <w:rFonts w:ascii="Arial" w:hAnsi="Arial" w:cs="Arial"/>
          <w:sz w:val="24"/>
          <w:szCs w:val="24"/>
        </w:rPr>
        <w:t>. Paris: OECD Publishing. Available at: https://www.oecd.org/en/publications/pisa-2022-results-volume-i_53f23881-en.html (Accessed: 15 October 2026).</w:t>
      </w:r>
    </w:p>
    <w:p w14:paraId="5D2A0E82" w14:textId="77777777" w:rsidR="00401907" w:rsidRPr="00401907" w:rsidRDefault="00401907" w:rsidP="00401907">
      <w:pPr>
        <w:spacing w:line="360" w:lineRule="auto"/>
        <w:rPr>
          <w:rFonts w:ascii="Arial" w:hAnsi="Arial" w:cs="Arial"/>
          <w:sz w:val="24"/>
          <w:szCs w:val="24"/>
        </w:rPr>
      </w:pPr>
      <w:r w:rsidRPr="00401907">
        <w:rPr>
          <w:rFonts w:ascii="Arial" w:hAnsi="Arial" w:cs="Arial"/>
          <w:sz w:val="24"/>
          <w:szCs w:val="24"/>
        </w:rPr>
        <w:t xml:space="preserve">Pacala, F.A. (2023) ‘Curriculum theory and practice: A comparative literature review’, </w:t>
      </w:r>
      <w:r w:rsidRPr="00401907">
        <w:rPr>
          <w:rFonts w:ascii="Arial" w:hAnsi="Arial" w:cs="Arial"/>
          <w:i/>
          <w:iCs/>
          <w:sz w:val="24"/>
          <w:szCs w:val="24"/>
        </w:rPr>
        <w:t>HO CHI MINH City Open University Journal of Science - Social Sciences</w:t>
      </w:r>
      <w:r w:rsidRPr="00401907">
        <w:rPr>
          <w:rFonts w:ascii="Arial" w:hAnsi="Arial" w:cs="Arial"/>
          <w:sz w:val="24"/>
          <w:szCs w:val="24"/>
        </w:rPr>
        <w:t>, 13(2), pp. 89–103. Available at: https://doi.org/10.46223/HCMCOUJS.soci.en.13.2.2793.2023 (Accessed: 22 October 2026).</w:t>
      </w:r>
    </w:p>
    <w:p w14:paraId="4FCCE0F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Palaiologou, I. (2019) </w:t>
      </w:r>
      <w:r w:rsidRPr="009B2737">
        <w:rPr>
          <w:rFonts w:ascii="Arial" w:hAnsi="Arial" w:cs="Arial"/>
          <w:i/>
          <w:iCs/>
          <w:sz w:val="24"/>
          <w:szCs w:val="24"/>
        </w:rPr>
        <w:t>Child Observation: A Guide for Students of Early Childhood</w:t>
      </w:r>
      <w:r w:rsidRPr="009B2737">
        <w:rPr>
          <w:rFonts w:ascii="Arial" w:hAnsi="Arial" w:cs="Arial"/>
          <w:sz w:val="24"/>
          <w:szCs w:val="24"/>
        </w:rPr>
        <w:t xml:space="preserve">. 4th </w:t>
      </w:r>
      <w:proofErr w:type="spellStart"/>
      <w:r w:rsidRPr="009B2737">
        <w:rPr>
          <w:rFonts w:ascii="Arial" w:hAnsi="Arial" w:cs="Arial"/>
          <w:sz w:val="24"/>
          <w:szCs w:val="24"/>
        </w:rPr>
        <w:t>edn</w:t>
      </w:r>
      <w:proofErr w:type="spellEnd"/>
      <w:r w:rsidRPr="009B2737">
        <w:rPr>
          <w:rFonts w:ascii="Arial" w:hAnsi="Arial" w:cs="Arial"/>
          <w:sz w:val="24"/>
          <w:szCs w:val="24"/>
        </w:rPr>
        <w:t>. London: Learning Matters.</w:t>
      </w:r>
    </w:p>
    <w:p w14:paraId="01DF165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Pyle, A. (2023) ‘Play-based learning and assessment practices in early years: methodological explorations’, </w:t>
      </w:r>
      <w:r w:rsidRPr="009B2737">
        <w:rPr>
          <w:rFonts w:ascii="Arial" w:hAnsi="Arial" w:cs="Arial"/>
          <w:i/>
          <w:iCs/>
          <w:sz w:val="24"/>
          <w:szCs w:val="24"/>
        </w:rPr>
        <w:t>Educational Research</w:t>
      </w:r>
      <w:r w:rsidRPr="009B2737">
        <w:rPr>
          <w:rFonts w:ascii="Arial" w:hAnsi="Arial" w:cs="Arial"/>
          <w:sz w:val="24"/>
          <w:szCs w:val="24"/>
        </w:rPr>
        <w:t>, 65(2), pp. 248-266. Available at: https://doi.org/10.1080/00131881.2023.2181201 (Accessed: 17 October 2026).</w:t>
      </w:r>
    </w:p>
    <w:p w14:paraId="66679F7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Reggio Children (n.d.) </w:t>
      </w:r>
      <w:r w:rsidRPr="009B2737">
        <w:rPr>
          <w:rFonts w:ascii="Arial" w:hAnsi="Arial" w:cs="Arial"/>
          <w:i/>
          <w:iCs/>
          <w:sz w:val="24"/>
          <w:szCs w:val="24"/>
        </w:rPr>
        <w:t>The Reggio Emilia approach</w:t>
      </w:r>
      <w:r w:rsidRPr="009B2737">
        <w:rPr>
          <w:rFonts w:ascii="Arial" w:hAnsi="Arial" w:cs="Arial"/>
          <w:sz w:val="24"/>
          <w:szCs w:val="24"/>
        </w:rPr>
        <w:t>. Available at: https://www.reggiochildren.it/en/reggio-emilia-approach/ (Accessed: 10 October 2026).</w:t>
      </w:r>
    </w:p>
    <w:p w14:paraId="305DEFC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Reggio Children (n.d.) </w:t>
      </w:r>
      <w:r w:rsidRPr="009B2737">
        <w:rPr>
          <w:rFonts w:ascii="Arial" w:hAnsi="Arial" w:cs="Arial"/>
          <w:i/>
          <w:iCs/>
          <w:sz w:val="24"/>
          <w:szCs w:val="24"/>
        </w:rPr>
        <w:t>The Reggio Emilia Approach</w:t>
      </w:r>
      <w:r w:rsidRPr="009B2737">
        <w:rPr>
          <w:rFonts w:ascii="Arial" w:hAnsi="Arial" w:cs="Arial"/>
          <w:sz w:val="24"/>
          <w:szCs w:val="24"/>
        </w:rPr>
        <w:t>. Available at: https://www.reggiochildren.it/en/reggio-emilia-approach/ (Accessed: 17 October 2026).</w:t>
      </w:r>
    </w:p>
    <w:p w14:paraId="16D4F3D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Rinaldi, C. (2021) </w:t>
      </w:r>
      <w:r w:rsidRPr="009B2737">
        <w:rPr>
          <w:rFonts w:ascii="Arial" w:hAnsi="Arial" w:cs="Arial"/>
          <w:i/>
          <w:iCs/>
          <w:sz w:val="24"/>
          <w:szCs w:val="24"/>
        </w:rPr>
        <w:t>In Dialogue with Reggio Emilia: Listening, Researching and Learning</w:t>
      </w:r>
      <w:r w:rsidRPr="009B2737">
        <w:rPr>
          <w:rFonts w:ascii="Arial" w:hAnsi="Arial" w:cs="Arial"/>
          <w:sz w:val="24"/>
          <w:szCs w:val="24"/>
        </w:rPr>
        <w:t xml:space="preserve">. 2nd </w:t>
      </w:r>
      <w:proofErr w:type="spellStart"/>
      <w:r w:rsidRPr="009B2737">
        <w:rPr>
          <w:rFonts w:ascii="Arial" w:hAnsi="Arial" w:cs="Arial"/>
          <w:sz w:val="24"/>
          <w:szCs w:val="24"/>
        </w:rPr>
        <w:t>edn</w:t>
      </w:r>
      <w:proofErr w:type="spellEnd"/>
      <w:r w:rsidRPr="009B2737">
        <w:rPr>
          <w:rFonts w:ascii="Arial" w:hAnsi="Arial" w:cs="Arial"/>
          <w:sz w:val="24"/>
          <w:szCs w:val="24"/>
        </w:rPr>
        <w:t xml:space="preserve">. Abingdon: Routledge. </w:t>
      </w:r>
    </w:p>
    <w:p w14:paraId="1677BEB1" w14:textId="77777777" w:rsidR="00354C71" w:rsidRPr="00354C71" w:rsidRDefault="00354C71" w:rsidP="00354C71">
      <w:pPr>
        <w:spacing w:line="360" w:lineRule="auto"/>
        <w:rPr>
          <w:rFonts w:ascii="Arial" w:hAnsi="Arial" w:cs="Arial"/>
          <w:sz w:val="24"/>
          <w:szCs w:val="24"/>
        </w:rPr>
      </w:pPr>
      <w:r w:rsidRPr="00354C71">
        <w:rPr>
          <w:rFonts w:ascii="Arial" w:hAnsi="Arial" w:cs="Arial"/>
          <w:sz w:val="24"/>
          <w:szCs w:val="24"/>
        </w:rPr>
        <w:t xml:space="preserve">Sakr, M. and Kaur, V. (2024) </w:t>
      </w:r>
      <w:proofErr w:type="spellStart"/>
      <w:r w:rsidRPr="00354C71">
        <w:rPr>
          <w:rFonts w:ascii="Arial" w:hAnsi="Arial" w:cs="Arial"/>
          <w:sz w:val="24"/>
          <w:szCs w:val="24"/>
        </w:rPr>
        <w:t>‘Re</w:t>
      </w:r>
      <w:proofErr w:type="spellEnd"/>
      <w:r w:rsidRPr="00354C71">
        <w:rPr>
          <w:rFonts w:ascii="Arial" w:hAnsi="Arial" w:cs="Arial"/>
          <w:sz w:val="24"/>
          <w:szCs w:val="24"/>
        </w:rPr>
        <w:t xml:space="preserve">-imagining the Froebelian influence on early childhood education as a dynamic and ever-changing web of encounter’, </w:t>
      </w:r>
      <w:r w:rsidRPr="00354C71">
        <w:rPr>
          <w:rFonts w:ascii="Arial" w:hAnsi="Arial" w:cs="Arial"/>
          <w:i/>
          <w:iCs/>
          <w:sz w:val="24"/>
          <w:szCs w:val="24"/>
        </w:rPr>
        <w:t>Pedagogy, Culture &amp; Society</w:t>
      </w:r>
      <w:r w:rsidRPr="00354C71">
        <w:rPr>
          <w:rFonts w:ascii="Arial" w:hAnsi="Arial" w:cs="Arial"/>
          <w:sz w:val="24"/>
          <w:szCs w:val="24"/>
        </w:rPr>
        <w:t>, 32(4), pp. 923–940. Available at: https://doi.org/10.1080/14681366.2024.2355092 (Accessed: 22 October 2026)</w:t>
      </w:r>
    </w:p>
    <w:p w14:paraId="178B88D2" w14:textId="5B3B4B71"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Senedd Research (2019) </w:t>
      </w:r>
      <w:r w:rsidRPr="009B2737">
        <w:rPr>
          <w:rFonts w:ascii="Arial" w:hAnsi="Arial" w:cs="Arial"/>
          <w:i/>
          <w:iCs/>
          <w:sz w:val="24"/>
          <w:szCs w:val="24"/>
        </w:rPr>
        <w:t>Curriculum and Assessment Reform</w:t>
      </w:r>
      <w:r w:rsidRPr="009B2737">
        <w:rPr>
          <w:rFonts w:ascii="Arial" w:hAnsi="Arial" w:cs="Arial"/>
          <w:sz w:val="24"/>
          <w:szCs w:val="24"/>
        </w:rPr>
        <w:t>. Available at: https://research.senedd.wales/research-articles/curriculum-and-assessment-reform/ (Accessed: 7 October 2026).</w:t>
      </w:r>
      <w:r w:rsidR="00354C71" w:rsidRPr="009B2737">
        <w:rPr>
          <w:rFonts w:ascii="Arial" w:hAnsi="Arial" w:cs="Arial"/>
          <w:sz w:val="24"/>
          <w:szCs w:val="24"/>
        </w:rPr>
        <w:t xml:space="preserve"> </w:t>
      </w:r>
    </w:p>
    <w:p w14:paraId="2C77E256" w14:textId="77777777" w:rsidR="0088494A" w:rsidRDefault="0088494A" w:rsidP="009B2737">
      <w:pPr>
        <w:spacing w:line="360" w:lineRule="auto"/>
        <w:rPr>
          <w:rFonts w:ascii="Arial" w:hAnsi="Arial" w:cs="Arial"/>
          <w:sz w:val="24"/>
          <w:szCs w:val="24"/>
        </w:rPr>
      </w:pPr>
      <w:r w:rsidRPr="0088494A">
        <w:rPr>
          <w:rFonts w:ascii="Arial" w:hAnsi="Arial" w:cs="Arial"/>
          <w:sz w:val="24"/>
          <w:szCs w:val="24"/>
        </w:rPr>
        <w:t xml:space="preserve">Stewart, S. (2023) </w:t>
      </w:r>
      <w:r w:rsidRPr="0088494A">
        <w:rPr>
          <w:rFonts w:ascii="Arial" w:hAnsi="Arial" w:cs="Arial"/>
          <w:i/>
          <w:iCs/>
          <w:sz w:val="24"/>
          <w:szCs w:val="24"/>
        </w:rPr>
        <w:t>An Exploration of the Conceptualisation and Enactment of Children's Rights in the Curriculum for Wales</w:t>
      </w:r>
      <w:r w:rsidRPr="0088494A">
        <w:rPr>
          <w:rFonts w:ascii="Arial" w:hAnsi="Arial" w:cs="Arial"/>
          <w:sz w:val="24"/>
          <w:szCs w:val="24"/>
        </w:rPr>
        <w:t>. Doctoral thesis. University of Wales Trinity Saint David. Available at: https://repository.uwtsd.ac.uk/id/eprint/2912/ (Accessed: 22 October 2026).</w:t>
      </w:r>
    </w:p>
    <w:p w14:paraId="5F0C9AF5" w14:textId="3BE71E08"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br/>
        <w:t xml:space="preserve">Hay, S.M., Vermeer, H.J., </w:t>
      </w:r>
      <w:proofErr w:type="spellStart"/>
      <w:r w:rsidRPr="009B2737">
        <w:rPr>
          <w:rFonts w:ascii="Arial" w:hAnsi="Arial" w:cs="Arial"/>
          <w:sz w:val="24"/>
          <w:szCs w:val="24"/>
        </w:rPr>
        <w:t>Fukkink</w:t>
      </w:r>
      <w:proofErr w:type="spellEnd"/>
      <w:r w:rsidRPr="009B2737">
        <w:rPr>
          <w:rFonts w:ascii="Arial" w:hAnsi="Arial" w:cs="Arial"/>
          <w:sz w:val="24"/>
          <w:szCs w:val="24"/>
        </w:rPr>
        <w:t xml:space="preserve">, R.G. and Nefs, H.T. (2025) ‘Validating self-assessment measures for quality of </w:t>
      </w:r>
      <w:proofErr w:type="spellStart"/>
      <w:r w:rsidRPr="009B2737">
        <w:rPr>
          <w:rFonts w:ascii="Arial" w:hAnsi="Arial" w:cs="Arial"/>
          <w:sz w:val="24"/>
          <w:szCs w:val="24"/>
        </w:rPr>
        <w:t>center</w:t>
      </w:r>
      <w:proofErr w:type="spellEnd"/>
      <w:r w:rsidRPr="009B2737">
        <w:rPr>
          <w:rFonts w:ascii="Arial" w:hAnsi="Arial" w:cs="Arial"/>
          <w:sz w:val="24"/>
          <w:szCs w:val="24"/>
        </w:rPr>
        <w:t xml:space="preserve">-based childcare: a meta-analysis’, </w:t>
      </w:r>
      <w:r w:rsidRPr="009B2737">
        <w:rPr>
          <w:rFonts w:ascii="Arial" w:hAnsi="Arial" w:cs="Arial"/>
          <w:i/>
          <w:iCs/>
          <w:sz w:val="24"/>
          <w:szCs w:val="24"/>
        </w:rPr>
        <w:t>Early Education and Development</w:t>
      </w:r>
      <w:r w:rsidRPr="009B2737">
        <w:rPr>
          <w:rFonts w:ascii="Arial" w:hAnsi="Arial" w:cs="Arial"/>
          <w:sz w:val="24"/>
          <w:szCs w:val="24"/>
        </w:rPr>
        <w:t>, 36(1), pp. 165–185. Available at: https://doi.org/10.1080/10409289.2024.2360882 (Accessed: 19 October 2026).</w:t>
      </w:r>
    </w:p>
    <w:p w14:paraId="01A1A27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Stodden, D.F., Pesce, C., Zarrett, N., Tomporowski, P., Dotan Ben-Soussan, T., Brian, A., Abrams, T.C. and Weist, M.D. (2023) ‘Holistic Functioning from a Developmental Perspective: A New Synthesis with a Focus on a Multi-tiered System Support Structure’, </w:t>
      </w:r>
      <w:r w:rsidRPr="009B2737">
        <w:rPr>
          <w:rFonts w:ascii="Arial" w:hAnsi="Arial" w:cs="Arial"/>
          <w:i/>
          <w:iCs/>
          <w:sz w:val="24"/>
          <w:szCs w:val="24"/>
        </w:rPr>
        <w:t>Clinical Child and Family Psychology Review</w:t>
      </w:r>
      <w:r w:rsidRPr="009B2737">
        <w:rPr>
          <w:rFonts w:ascii="Arial" w:hAnsi="Arial" w:cs="Arial"/>
          <w:sz w:val="24"/>
          <w:szCs w:val="24"/>
        </w:rPr>
        <w:t>, 26(2), pp. 343–361. Available at: https://doi.org/10.1007/s10567-023-00428-5 (Accessed: 19 October 2026).</w:t>
      </w:r>
    </w:p>
    <w:p w14:paraId="30E27391" w14:textId="77777777" w:rsidR="009B2737" w:rsidRPr="009B2737" w:rsidRDefault="009B2737" w:rsidP="009B2737">
      <w:pPr>
        <w:spacing w:line="360" w:lineRule="auto"/>
        <w:rPr>
          <w:rFonts w:ascii="Arial" w:hAnsi="Arial" w:cs="Arial"/>
          <w:sz w:val="24"/>
          <w:szCs w:val="24"/>
        </w:rPr>
      </w:pPr>
      <w:proofErr w:type="spellStart"/>
      <w:r w:rsidRPr="009B2737">
        <w:rPr>
          <w:rFonts w:ascii="Arial" w:hAnsi="Arial" w:cs="Arial"/>
          <w:sz w:val="24"/>
          <w:szCs w:val="24"/>
        </w:rPr>
        <w:t>Talwelkar</w:t>
      </w:r>
      <w:proofErr w:type="spellEnd"/>
      <w:r w:rsidRPr="009B2737">
        <w:rPr>
          <w:rFonts w:ascii="Arial" w:hAnsi="Arial" w:cs="Arial"/>
          <w:sz w:val="24"/>
          <w:szCs w:val="24"/>
        </w:rPr>
        <w:t xml:space="preserve">, A.S., Uppal, A.G. and </w:t>
      </w:r>
      <w:proofErr w:type="spellStart"/>
      <w:r w:rsidRPr="009B2737">
        <w:rPr>
          <w:rFonts w:ascii="Arial" w:hAnsi="Arial" w:cs="Arial"/>
          <w:sz w:val="24"/>
          <w:szCs w:val="24"/>
        </w:rPr>
        <w:t>Thakarar</w:t>
      </w:r>
      <w:proofErr w:type="spellEnd"/>
      <w:r w:rsidRPr="009B2737">
        <w:rPr>
          <w:rFonts w:ascii="Arial" w:hAnsi="Arial" w:cs="Arial"/>
          <w:sz w:val="24"/>
          <w:szCs w:val="24"/>
        </w:rPr>
        <w:t xml:space="preserve">, G. (2024) ‘Importance of continuous professional development and ways and means to achieve it’, in </w:t>
      </w:r>
      <w:r w:rsidRPr="009B2737">
        <w:rPr>
          <w:rFonts w:ascii="Arial" w:hAnsi="Arial" w:cs="Arial"/>
          <w:i/>
          <w:iCs/>
          <w:sz w:val="24"/>
          <w:szCs w:val="24"/>
        </w:rPr>
        <w:t>International Conference on Business and Technology</w:t>
      </w:r>
      <w:r w:rsidRPr="009B2737">
        <w:rPr>
          <w:rFonts w:ascii="Arial" w:hAnsi="Arial" w:cs="Arial"/>
          <w:sz w:val="24"/>
          <w:szCs w:val="24"/>
        </w:rPr>
        <w:t>. Cham: Springer Nature Switzerland, pp. 411–422.</w:t>
      </w:r>
    </w:p>
    <w:p w14:paraId="7A784E5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Taylor, C., Rhys, M. and Waldron, S. (2016) ‘Implementing curriculum reform in Wales: the case of the Foundation Phase’, </w:t>
      </w:r>
      <w:r w:rsidRPr="009B2737">
        <w:rPr>
          <w:rFonts w:ascii="Arial" w:hAnsi="Arial" w:cs="Arial"/>
          <w:i/>
          <w:iCs/>
          <w:sz w:val="24"/>
          <w:szCs w:val="24"/>
        </w:rPr>
        <w:t>Oxford Review of Education</w:t>
      </w:r>
      <w:r w:rsidRPr="009B2737">
        <w:rPr>
          <w:rFonts w:ascii="Arial" w:hAnsi="Arial" w:cs="Arial"/>
          <w:sz w:val="24"/>
          <w:szCs w:val="24"/>
        </w:rPr>
        <w:t>, 42(3), pp. 299–315. Available at: https://doi.org/10.1080/03054985.2016.1184872 (Accessed: 7 October 2026).</w:t>
      </w:r>
    </w:p>
    <w:p w14:paraId="2C4A3880" w14:textId="77777777" w:rsidR="000E09A7" w:rsidRDefault="009B2737" w:rsidP="009B2737">
      <w:pPr>
        <w:spacing w:line="360" w:lineRule="auto"/>
        <w:rPr>
          <w:rFonts w:ascii="Arial" w:hAnsi="Arial" w:cs="Arial"/>
          <w:sz w:val="24"/>
          <w:szCs w:val="24"/>
        </w:rPr>
      </w:pPr>
      <w:r w:rsidRPr="009B2737">
        <w:rPr>
          <w:rFonts w:ascii="Arial" w:hAnsi="Arial" w:cs="Arial"/>
          <w:sz w:val="24"/>
          <w:szCs w:val="24"/>
        </w:rPr>
        <w:t xml:space="preserve">UNICEF (2019) </w:t>
      </w:r>
      <w:r w:rsidRPr="009B2737">
        <w:rPr>
          <w:rFonts w:ascii="Arial" w:hAnsi="Arial" w:cs="Arial"/>
          <w:i/>
          <w:iCs/>
          <w:sz w:val="24"/>
          <w:szCs w:val="24"/>
        </w:rPr>
        <w:t>A World Ready to Learn: Prioritizing Quality Early Childhood Education</w:t>
      </w:r>
      <w:r w:rsidRPr="009B2737">
        <w:rPr>
          <w:rFonts w:ascii="Arial" w:hAnsi="Arial" w:cs="Arial"/>
          <w:sz w:val="24"/>
          <w:szCs w:val="24"/>
        </w:rPr>
        <w:t>. New York: United Nations Children's Fund. Available at: https://www.unicef.org/reports/a-world-ready-to-learn-2019 (Accessed: 18 October 2026).</w:t>
      </w:r>
    </w:p>
    <w:p w14:paraId="66B14AF1" w14:textId="2EDB409B"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br/>
        <w:t xml:space="preserve">Welsh Government (2017) </w:t>
      </w:r>
      <w:r w:rsidRPr="009B2737">
        <w:rPr>
          <w:rFonts w:ascii="Arial" w:hAnsi="Arial" w:cs="Arial"/>
          <w:i/>
          <w:iCs/>
          <w:sz w:val="24"/>
          <w:szCs w:val="24"/>
        </w:rPr>
        <w:t>Foundation Phase Profile Handbook</w:t>
      </w:r>
      <w:r w:rsidRPr="009B2737">
        <w:rPr>
          <w:rFonts w:ascii="Arial" w:hAnsi="Arial" w:cs="Arial"/>
          <w:sz w:val="24"/>
          <w:szCs w:val="24"/>
        </w:rPr>
        <w:t>. Cardiff: Welsh Government. Available at: https://hwb.gov.wales/storage/f9d85dba-85a4-4e87-bb58-a24730ad7e57/foundation-phase-profile-handbook-revised-september-2017.pdf (Accessed: 22 October 2026).</w:t>
      </w:r>
    </w:p>
    <w:p w14:paraId="3A94EFB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(2022) </w:t>
      </w:r>
      <w:r w:rsidRPr="009B2737">
        <w:rPr>
          <w:rFonts w:ascii="Arial" w:hAnsi="Arial" w:cs="Arial"/>
          <w:i/>
          <w:iCs/>
          <w:sz w:val="24"/>
          <w:szCs w:val="24"/>
        </w:rPr>
        <w:t>Supporting learner progression: assessment guidance</w:t>
      </w:r>
      <w:r w:rsidRPr="009B2737">
        <w:rPr>
          <w:rFonts w:ascii="Arial" w:hAnsi="Arial" w:cs="Arial"/>
          <w:sz w:val="24"/>
          <w:szCs w:val="24"/>
        </w:rPr>
        <w:t>. Available at: https://hwb.gov.wales/curriculum-for-wales/assessment-arrangements/supporting-learner-progression-assessment-guidance/ (Accessed: 19 October 2026).</w:t>
      </w:r>
    </w:p>
    <w:p w14:paraId="7EBD3C7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(2025) </w:t>
      </w:r>
      <w:r w:rsidRPr="009B2737">
        <w:rPr>
          <w:rFonts w:ascii="Arial" w:hAnsi="Arial" w:cs="Arial"/>
          <w:i/>
          <w:iCs/>
          <w:sz w:val="24"/>
          <w:szCs w:val="24"/>
        </w:rPr>
        <w:t>Professional learning course: notice, analyse and respond</w:t>
      </w:r>
      <w:r w:rsidRPr="009B2737">
        <w:rPr>
          <w:rFonts w:ascii="Arial" w:hAnsi="Arial" w:cs="Arial"/>
          <w:sz w:val="24"/>
          <w:szCs w:val="24"/>
        </w:rPr>
        <w:t>. Available at: https://hwb.gov.wales/repository/resource/0a987826-de66-4dd4-849e-2db7bd0f2e73/overview (Accessed: 22 October 2026).</w:t>
      </w:r>
    </w:p>
    <w:p w14:paraId="3CC553CF"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(n.d.) </w:t>
      </w:r>
      <w:r w:rsidRPr="009B2737">
        <w:rPr>
          <w:rFonts w:ascii="Arial" w:hAnsi="Arial" w:cs="Arial"/>
          <w:i/>
          <w:iCs/>
          <w:sz w:val="24"/>
          <w:szCs w:val="24"/>
        </w:rPr>
        <w:t>Curriculum for Wales</w:t>
      </w:r>
      <w:r w:rsidRPr="009B2737">
        <w:rPr>
          <w:rFonts w:ascii="Arial" w:hAnsi="Arial" w:cs="Arial"/>
          <w:sz w:val="24"/>
          <w:szCs w:val="24"/>
        </w:rPr>
        <w:t>. Available at: https://hwb.gov.wales/curriculum-for-wales (Accessed: 17 October 2026).</w:t>
      </w:r>
    </w:p>
    <w:p w14:paraId="4C353356" w14:textId="77777777" w:rsidR="004F592F" w:rsidRPr="007F3175" w:rsidRDefault="004F592F" w:rsidP="00F22240">
      <w:pPr>
        <w:spacing w:line="360" w:lineRule="auto"/>
        <w:rPr>
          <w:rFonts w:ascii="Arial" w:hAnsi="Arial" w:cs="Arial"/>
          <w:sz w:val="24"/>
          <w:szCs w:val="24"/>
        </w:rPr>
      </w:pPr>
    </w:p>
    <w:sectPr w:rsidR="004F592F" w:rsidRPr="007F317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8EF43" w14:textId="77777777" w:rsidR="009E36D4" w:rsidRDefault="009E36D4" w:rsidP="00463A0C">
      <w:pPr>
        <w:spacing w:after="0" w:line="240" w:lineRule="auto"/>
      </w:pPr>
      <w:r>
        <w:separator/>
      </w:r>
    </w:p>
  </w:endnote>
  <w:endnote w:type="continuationSeparator" w:id="0">
    <w:p w14:paraId="6B071469" w14:textId="77777777" w:rsidR="009E36D4" w:rsidRDefault="009E36D4" w:rsidP="00463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20667"/>
      <w:docPartObj>
        <w:docPartGallery w:val="Page Numbers (Bottom of Page)"/>
        <w:docPartUnique/>
      </w:docPartObj>
    </w:sdtPr>
    <w:sdtEndPr/>
    <w:sdtContent>
      <w:p w14:paraId="05C81C42" w14:textId="1A29EC69" w:rsidR="002E6A61" w:rsidRDefault="002E6A61">
        <w:pPr>
          <w:pStyle w:val="Footer"/>
        </w:pPr>
        <w:r>
          <w:fldChar w:fldCharType="begin"/>
        </w:r>
        <w:r>
          <w:instrText>PAGE   \* MERGEFORMAT</w:instrText>
        </w:r>
        <w:r>
          <w:fldChar w:fldCharType="separate"/>
        </w:r>
        <w:r>
          <w:t>2</w:t>
        </w:r>
        <w:r>
          <w:fldChar w:fldCharType="end"/>
        </w:r>
      </w:p>
    </w:sdtContent>
  </w:sdt>
  <w:p w14:paraId="6EF1AB27" w14:textId="4039D5B3" w:rsidR="00735030" w:rsidRDefault="00735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EF043" w14:textId="77777777" w:rsidR="009E36D4" w:rsidRDefault="009E36D4" w:rsidP="00463A0C">
      <w:pPr>
        <w:spacing w:after="0" w:line="240" w:lineRule="auto"/>
      </w:pPr>
      <w:r>
        <w:separator/>
      </w:r>
    </w:p>
  </w:footnote>
  <w:footnote w:type="continuationSeparator" w:id="0">
    <w:p w14:paraId="1A52A561" w14:textId="77777777" w:rsidR="009E36D4" w:rsidRDefault="009E36D4" w:rsidP="00463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82DF8" w14:textId="67FEF452" w:rsidR="00463A0C" w:rsidRDefault="00463A0C">
    <w:pPr>
      <w:pStyle w:val="Header"/>
    </w:pPr>
    <w:r>
      <w:t xml:space="preserve">ECEY6010 </w:t>
    </w:r>
    <w:r>
      <w:tab/>
    </w:r>
    <w:r w:rsidR="00702B2D">
      <w:t>Word count:</w:t>
    </w:r>
    <w:r w:rsidR="00643E53">
      <w:t>4375</w:t>
    </w:r>
    <w:r w:rsidR="00702B2D">
      <w:t xml:space="preserve"> </w:t>
    </w:r>
    <w:r w:rsidR="00737A7C">
      <w:t xml:space="preserve">                 </w:t>
    </w:r>
    <w:r w:rsidR="000070ED">
      <w:t xml:space="preserve">Student number: </w:t>
    </w:r>
    <w:r w:rsidR="00737A7C">
      <w:t xml:space="preserve"> </w:t>
    </w:r>
    <w:r>
      <w:t>2004479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1648"/>
    <w:multiLevelType w:val="hybridMultilevel"/>
    <w:tmpl w:val="B95C8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F2BC7"/>
    <w:multiLevelType w:val="multilevel"/>
    <w:tmpl w:val="47D4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03F72"/>
    <w:multiLevelType w:val="multilevel"/>
    <w:tmpl w:val="5638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865FD"/>
    <w:multiLevelType w:val="multilevel"/>
    <w:tmpl w:val="D858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F55DC"/>
    <w:multiLevelType w:val="multilevel"/>
    <w:tmpl w:val="30C2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22ED1"/>
    <w:multiLevelType w:val="multilevel"/>
    <w:tmpl w:val="9C0CD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767FA"/>
    <w:multiLevelType w:val="multilevel"/>
    <w:tmpl w:val="47B0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55A12"/>
    <w:multiLevelType w:val="multilevel"/>
    <w:tmpl w:val="3FE47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44E26"/>
    <w:multiLevelType w:val="multilevel"/>
    <w:tmpl w:val="962E0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963D7B"/>
    <w:multiLevelType w:val="multilevel"/>
    <w:tmpl w:val="9DA2F894"/>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2DCD5256"/>
    <w:multiLevelType w:val="multilevel"/>
    <w:tmpl w:val="DB62F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C71C1"/>
    <w:multiLevelType w:val="hybridMultilevel"/>
    <w:tmpl w:val="9C52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07438"/>
    <w:multiLevelType w:val="multilevel"/>
    <w:tmpl w:val="AD16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9072F9"/>
    <w:multiLevelType w:val="multilevel"/>
    <w:tmpl w:val="201AF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251D0F"/>
    <w:multiLevelType w:val="multilevel"/>
    <w:tmpl w:val="0F78D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C06FC1"/>
    <w:multiLevelType w:val="hybridMultilevel"/>
    <w:tmpl w:val="950C6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036DC"/>
    <w:multiLevelType w:val="hybridMultilevel"/>
    <w:tmpl w:val="FB684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9623E9"/>
    <w:multiLevelType w:val="multilevel"/>
    <w:tmpl w:val="BF56F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512808"/>
    <w:multiLevelType w:val="multilevel"/>
    <w:tmpl w:val="DDB6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F54D77"/>
    <w:multiLevelType w:val="multilevel"/>
    <w:tmpl w:val="0DFE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616806"/>
    <w:multiLevelType w:val="multilevel"/>
    <w:tmpl w:val="DA884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A757A2"/>
    <w:multiLevelType w:val="hybridMultilevel"/>
    <w:tmpl w:val="3BAE0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A01BE2"/>
    <w:multiLevelType w:val="multilevel"/>
    <w:tmpl w:val="D7E40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B00799"/>
    <w:multiLevelType w:val="hybridMultilevel"/>
    <w:tmpl w:val="35929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280D6A"/>
    <w:multiLevelType w:val="hybridMultilevel"/>
    <w:tmpl w:val="1E2A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1D2A0C"/>
    <w:multiLevelType w:val="multilevel"/>
    <w:tmpl w:val="9AD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C66CBA"/>
    <w:multiLevelType w:val="multilevel"/>
    <w:tmpl w:val="B8820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0013CD"/>
    <w:multiLevelType w:val="multilevel"/>
    <w:tmpl w:val="9632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197CB8"/>
    <w:multiLevelType w:val="multilevel"/>
    <w:tmpl w:val="0682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007481">
    <w:abstractNumId w:val="26"/>
  </w:num>
  <w:num w:numId="2" w16cid:durableId="1935169809">
    <w:abstractNumId w:val="20"/>
  </w:num>
  <w:num w:numId="3" w16cid:durableId="2071224968">
    <w:abstractNumId w:val="9"/>
  </w:num>
  <w:num w:numId="4" w16cid:durableId="1166507655">
    <w:abstractNumId w:val="21"/>
  </w:num>
  <w:num w:numId="5" w16cid:durableId="1089424747">
    <w:abstractNumId w:val="15"/>
  </w:num>
  <w:num w:numId="6" w16cid:durableId="339746455">
    <w:abstractNumId w:val="11"/>
  </w:num>
  <w:num w:numId="7" w16cid:durableId="2084183040">
    <w:abstractNumId w:val="24"/>
  </w:num>
  <w:num w:numId="8" w16cid:durableId="478156946">
    <w:abstractNumId w:val="2"/>
  </w:num>
  <w:num w:numId="9" w16cid:durableId="1597247294">
    <w:abstractNumId w:val="17"/>
  </w:num>
  <w:num w:numId="10" w16cid:durableId="1397125978">
    <w:abstractNumId w:val="27"/>
  </w:num>
  <w:num w:numId="11" w16cid:durableId="100540575">
    <w:abstractNumId w:val="8"/>
  </w:num>
  <w:num w:numId="12" w16cid:durableId="956720922">
    <w:abstractNumId w:val="28"/>
  </w:num>
  <w:num w:numId="13" w16cid:durableId="1346252940">
    <w:abstractNumId w:val="7"/>
  </w:num>
  <w:num w:numId="14" w16cid:durableId="650449997">
    <w:abstractNumId w:val="14"/>
  </w:num>
  <w:num w:numId="15" w16cid:durableId="514927088">
    <w:abstractNumId w:val="3"/>
  </w:num>
  <w:num w:numId="16" w16cid:durableId="1722366942">
    <w:abstractNumId w:val="4"/>
  </w:num>
  <w:num w:numId="17" w16cid:durableId="1619989684">
    <w:abstractNumId w:val="18"/>
  </w:num>
  <w:num w:numId="18" w16cid:durableId="883098447">
    <w:abstractNumId w:val="1"/>
  </w:num>
  <w:num w:numId="19" w16cid:durableId="1865438505">
    <w:abstractNumId w:val="5"/>
  </w:num>
  <w:num w:numId="20" w16cid:durableId="1838495117">
    <w:abstractNumId w:val="10"/>
  </w:num>
  <w:num w:numId="21" w16cid:durableId="265581745">
    <w:abstractNumId w:val="0"/>
  </w:num>
  <w:num w:numId="22" w16cid:durableId="1918396801">
    <w:abstractNumId w:val="16"/>
  </w:num>
  <w:num w:numId="23" w16cid:durableId="42753643">
    <w:abstractNumId w:val="12"/>
  </w:num>
  <w:num w:numId="24" w16cid:durableId="815993987">
    <w:abstractNumId w:val="22"/>
  </w:num>
  <w:num w:numId="25" w16cid:durableId="1423408032">
    <w:abstractNumId w:val="6"/>
  </w:num>
  <w:num w:numId="26" w16cid:durableId="933395288">
    <w:abstractNumId w:val="25"/>
  </w:num>
  <w:num w:numId="27" w16cid:durableId="1103378209">
    <w:abstractNumId w:val="23"/>
  </w:num>
  <w:num w:numId="28" w16cid:durableId="1840730789">
    <w:abstractNumId w:val="19"/>
  </w:num>
  <w:num w:numId="29" w16cid:durableId="21414160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3EC"/>
    <w:rsid w:val="0000124E"/>
    <w:rsid w:val="00001344"/>
    <w:rsid w:val="000020C8"/>
    <w:rsid w:val="000038C5"/>
    <w:rsid w:val="00003CCA"/>
    <w:rsid w:val="00006B8C"/>
    <w:rsid w:val="000070ED"/>
    <w:rsid w:val="000101E9"/>
    <w:rsid w:val="00011391"/>
    <w:rsid w:val="00011508"/>
    <w:rsid w:val="000120EA"/>
    <w:rsid w:val="00015121"/>
    <w:rsid w:val="00015EC6"/>
    <w:rsid w:val="00016145"/>
    <w:rsid w:val="00016418"/>
    <w:rsid w:val="00017623"/>
    <w:rsid w:val="00020A19"/>
    <w:rsid w:val="000331B0"/>
    <w:rsid w:val="000348A0"/>
    <w:rsid w:val="00041601"/>
    <w:rsid w:val="00042322"/>
    <w:rsid w:val="0004386C"/>
    <w:rsid w:val="00043FBD"/>
    <w:rsid w:val="00045E0C"/>
    <w:rsid w:val="00053241"/>
    <w:rsid w:val="000536F3"/>
    <w:rsid w:val="00054E90"/>
    <w:rsid w:val="00056CDF"/>
    <w:rsid w:val="00063092"/>
    <w:rsid w:val="00071293"/>
    <w:rsid w:val="00075A68"/>
    <w:rsid w:val="00075D73"/>
    <w:rsid w:val="000774A7"/>
    <w:rsid w:val="00081D50"/>
    <w:rsid w:val="00085E63"/>
    <w:rsid w:val="00086444"/>
    <w:rsid w:val="00087338"/>
    <w:rsid w:val="00087877"/>
    <w:rsid w:val="00087CBD"/>
    <w:rsid w:val="00091309"/>
    <w:rsid w:val="00091375"/>
    <w:rsid w:val="000A3A8C"/>
    <w:rsid w:val="000A4445"/>
    <w:rsid w:val="000B55FC"/>
    <w:rsid w:val="000C0E2C"/>
    <w:rsid w:val="000D63D3"/>
    <w:rsid w:val="000D7385"/>
    <w:rsid w:val="000D73DD"/>
    <w:rsid w:val="000E09A7"/>
    <w:rsid w:val="000E2ABE"/>
    <w:rsid w:val="000E2C7E"/>
    <w:rsid w:val="000F3272"/>
    <w:rsid w:val="000F39B3"/>
    <w:rsid w:val="000F3A18"/>
    <w:rsid w:val="000F737F"/>
    <w:rsid w:val="000F7DE5"/>
    <w:rsid w:val="00101C08"/>
    <w:rsid w:val="00101E4A"/>
    <w:rsid w:val="001040CE"/>
    <w:rsid w:val="0010423C"/>
    <w:rsid w:val="001048D1"/>
    <w:rsid w:val="00105589"/>
    <w:rsid w:val="0010561A"/>
    <w:rsid w:val="00105B06"/>
    <w:rsid w:val="00107B9F"/>
    <w:rsid w:val="00112057"/>
    <w:rsid w:val="001149C0"/>
    <w:rsid w:val="001160F3"/>
    <w:rsid w:val="001259D3"/>
    <w:rsid w:val="00125DA2"/>
    <w:rsid w:val="0012771A"/>
    <w:rsid w:val="00127F9B"/>
    <w:rsid w:val="001313E8"/>
    <w:rsid w:val="00133E0C"/>
    <w:rsid w:val="00133F2F"/>
    <w:rsid w:val="00141BFA"/>
    <w:rsid w:val="00142793"/>
    <w:rsid w:val="001467DE"/>
    <w:rsid w:val="00146817"/>
    <w:rsid w:val="0014690A"/>
    <w:rsid w:val="00153B9E"/>
    <w:rsid w:val="001546FB"/>
    <w:rsid w:val="00154CB2"/>
    <w:rsid w:val="00156967"/>
    <w:rsid w:val="001637C4"/>
    <w:rsid w:val="00163962"/>
    <w:rsid w:val="001662A4"/>
    <w:rsid w:val="00167B2B"/>
    <w:rsid w:val="001703FD"/>
    <w:rsid w:val="00171CD7"/>
    <w:rsid w:val="00172D4B"/>
    <w:rsid w:val="0017349D"/>
    <w:rsid w:val="001803CC"/>
    <w:rsid w:val="00183255"/>
    <w:rsid w:val="00184783"/>
    <w:rsid w:val="00190768"/>
    <w:rsid w:val="00190F8A"/>
    <w:rsid w:val="00191420"/>
    <w:rsid w:val="00192970"/>
    <w:rsid w:val="00193E74"/>
    <w:rsid w:val="00194F67"/>
    <w:rsid w:val="00195CA8"/>
    <w:rsid w:val="001A258E"/>
    <w:rsid w:val="001A321A"/>
    <w:rsid w:val="001A5431"/>
    <w:rsid w:val="001A58DA"/>
    <w:rsid w:val="001A5C83"/>
    <w:rsid w:val="001B15C8"/>
    <w:rsid w:val="001B17A1"/>
    <w:rsid w:val="001B3518"/>
    <w:rsid w:val="001B4D88"/>
    <w:rsid w:val="001B6A2C"/>
    <w:rsid w:val="001B6B8E"/>
    <w:rsid w:val="001B7595"/>
    <w:rsid w:val="001C037C"/>
    <w:rsid w:val="001C521C"/>
    <w:rsid w:val="001C66A9"/>
    <w:rsid w:val="001D2C9A"/>
    <w:rsid w:val="001D59D0"/>
    <w:rsid w:val="001D78D3"/>
    <w:rsid w:val="001E1B6B"/>
    <w:rsid w:val="001E2C50"/>
    <w:rsid w:val="001E3A6F"/>
    <w:rsid w:val="001F429E"/>
    <w:rsid w:val="001F4AA0"/>
    <w:rsid w:val="001F574F"/>
    <w:rsid w:val="001F5F67"/>
    <w:rsid w:val="0020009F"/>
    <w:rsid w:val="002004E3"/>
    <w:rsid w:val="002031B7"/>
    <w:rsid w:val="0020351E"/>
    <w:rsid w:val="00206F6F"/>
    <w:rsid w:val="00214722"/>
    <w:rsid w:val="00215A4C"/>
    <w:rsid w:val="002175F6"/>
    <w:rsid w:val="00217A6F"/>
    <w:rsid w:val="00220D1E"/>
    <w:rsid w:val="00221960"/>
    <w:rsid w:val="00226DEE"/>
    <w:rsid w:val="00240239"/>
    <w:rsid w:val="00241100"/>
    <w:rsid w:val="00241DEA"/>
    <w:rsid w:val="00241E5A"/>
    <w:rsid w:val="00244B2B"/>
    <w:rsid w:val="00245FB5"/>
    <w:rsid w:val="002467EF"/>
    <w:rsid w:val="00246A82"/>
    <w:rsid w:val="002476C5"/>
    <w:rsid w:val="0025073F"/>
    <w:rsid w:val="00256E5D"/>
    <w:rsid w:val="00257FCC"/>
    <w:rsid w:val="002608D3"/>
    <w:rsid w:val="00263771"/>
    <w:rsid w:val="002641C8"/>
    <w:rsid w:val="00266500"/>
    <w:rsid w:val="002709CC"/>
    <w:rsid w:val="00271AF9"/>
    <w:rsid w:val="002720A4"/>
    <w:rsid w:val="0028102A"/>
    <w:rsid w:val="00283F63"/>
    <w:rsid w:val="00294627"/>
    <w:rsid w:val="00297076"/>
    <w:rsid w:val="002A0700"/>
    <w:rsid w:val="002A12B8"/>
    <w:rsid w:val="002A4EDC"/>
    <w:rsid w:val="002A52D0"/>
    <w:rsid w:val="002A7746"/>
    <w:rsid w:val="002B2CBD"/>
    <w:rsid w:val="002B3123"/>
    <w:rsid w:val="002B3901"/>
    <w:rsid w:val="002B6A1D"/>
    <w:rsid w:val="002B78A8"/>
    <w:rsid w:val="002C704F"/>
    <w:rsid w:val="002D1CA3"/>
    <w:rsid w:val="002D35F5"/>
    <w:rsid w:val="002D53C6"/>
    <w:rsid w:val="002D70A3"/>
    <w:rsid w:val="002E1C46"/>
    <w:rsid w:val="002E3121"/>
    <w:rsid w:val="002E3493"/>
    <w:rsid w:val="002E587A"/>
    <w:rsid w:val="002E5D9F"/>
    <w:rsid w:val="002E6A61"/>
    <w:rsid w:val="002E759B"/>
    <w:rsid w:val="002F1CCF"/>
    <w:rsid w:val="002F30E7"/>
    <w:rsid w:val="002F4AAD"/>
    <w:rsid w:val="002F5846"/>
    <w:rsid w:val="002F58FC"/>
    <w:rsid w:val="00302A72"/>
    <w:rsid w:val="003072A8"/>
    <w:rsid w:val="00312670"/>
    <w:rsid w:val="00312F96"/>
    <w:rsid w:val="00313D00"/>
    <w:rsid w:val="00315B24"/>
    <w:rsid w:val="003160B0"/>
    <w:rsid w:val="003174DC"/>
    <w:rsid w:val="00320132"/>
    <w:rsid w:val="00322BE0"/>
    <w:rsid w:val="003238A3"/>
    <w:rsid w:val="00325011"/>
    <w:rsid w:val="003274D5"/>
    <w:rsid w:val="00334780"/>
    <w:rsid w:val="00334B24"/>
    <w:rsid w:val="003352D0"/>
    <w:rsid w:val="003356AD"/>
    <w:rsid w:val="00335742"/>
    <w:rsid w:val="0034007F"/>
    <w:rsid w:val="0034120C"/>
    <w:rsid w:val="003437BC"/>
    <w:rsid w:val="003450C7"/>
    <w:rsid w:val="003524AA"/>
    <w:rsid w:val="00354C71"/>
    <w:rsid w:val="003565D0"/>
    <w:rsid w:val="00361211"/>
    <w:rsid w:val="003643A9"/>
    <w:rsid w:val="00367538"/>
    <w:rsid w:val="003736EE"/>
    <w:rsid w:val="0037407F"/>
    <w:rsid w:val="00374327"/>
    <w:rsid w:val="00383A15"/>
    <w:rsid w:val="00385377"/>
    <w:rsid w:val="0038607C"/>
    <w:rsid w:val="00387608"/>
    <w:rsid w:val="00387650"/>
    <w:rsid w:val="003933D0"/>
    <w:rsid w:val="00393516"/>
    <w:rsid w:val="00396EA6"/>
    <w:rsid w:val="0039711C"/>
    <w:rsid w:val="00397840"/>
    <w:rsid w:val="003A44D3"/>
    <w:rsid w:val="003A79D2"/>
    <w:rsid w:val="003B479D"/>
    <w:rsid w:val="003B6DDF"/>
    <w:rsid w:val="003B76C3"/>
    <w:rsid w:val="003B7C51"/>
    <w:rsid w:val="003B7EDE"/>
    <w:rsid w:val="003C0CEB"/>
    <w:rsid w:val="003C2055"/>
    <w:rsid w:val="003C3039"/>
    <w:rsid w:val="003C3683"/>
    <w:rsid w:val="003C79DF"/>
    <w:rsid w:val="003D1115"/>
    <w:rsid w:val="003D121A"/>
    <w:rsid w:val="003D2308"/>
    <w:rsid w:val="003D2A69"/>
    <w:rsid w:val="003D3743"/>
    <w:rsid w:val="003D3815"/>
    <w:rsid w:val="003D4C1B"/>
    <w:rsid w:val="003D6C5A"/>
    <w:rsid w:val="003D73C2"/>
    <w:rsid w:val="003E2AF7"/>
    <w:rsid w:val="003E5434"/>
    <w:rsid w:val="003E589D"/>
    <w:rsid w:val="003F3EE7"/>
    <w:rsid w:val="003F7C55"/>
    <w:rsid w:val="00401907"/>
    <w:rsid w:val="00401B36"/>
    <w:rsid w:val="00410427"/>
    <w:rsid w:val="00412674"/>
    <w:rsid w:val="00414776"/>
    <w:rsid w:val="0041567C"/>
    <w:rsid w:val="00416303"/>
    <w:rsid w:val="00416A53"/>
    <w:rsid w:val="004216B6"/>
    <w:rsid w:val="004305CB"/>
    <w:rsid w:val="0043129F"/>
    <w:rsid w:val="004335CA"/>
    <w:rsid w:val="0043552D"/>
    <w:rsid w:val="00440BD3"/>
    <w:rsid w:val="0044218A"/>
    <w:rsid w:val="00443F22"/>
    <w:rsid w:val="0044540F"/>
    <w:rsid w:val="00446DC3"/>
    <w:rsid w:val="00450FD0"/>
    <w:rsid w:val="00451019"/>
    <w:rsid w:val="0045158F"/>
    <w:rsid w:val="00452BD1"/>
    <w:rsid w:val="00455FE0"/>
    <w:rsid w:val="004573C3"/>
    <w:rsid w:val="00460412"/>
    <w:rsid w:val="00461113"/>
    <w:rsid w:val="00461B6C"/>
    <w:rsid w:val="00463A0C"/>
    <w:rsid w:val="004654BF"/>
    <w:rsid w:val="0046628E"/>
    <w:rsid w:val="004663EC"/>
    <w:rsid w:val="00471487"/>
    <w:rsid w:val="004727B9"/>
    <w:rsid w:val="0047445A"/>
    <w:rsid w:val="00477C77"/>
    <w:rsid w:val="00480600"/>
    <w:rsid w:val="004840F1"/>
    <w:rsid w:val="00490067"/>
    <w:rsid w:val="00490532"/>
    <w:rsid w:val="004A6F07"/>
    <w:rsid w:val="004B2057"/>
    <w:rsid w:val="004B2171"/>
    <w:rsid w:val="004B2DEB"/>
    <w:rsid w:val="004B3A97"/>
    <w:rsid w:val="004B4913"/>
    <w:rsid w:val="004B4C74"/>
    <w:rsid w:val="004B7F6B"/>
    <w:rsid w:val="004C1847"/>
    <w:rsid w:val="004C5B96"/>
    <w:rsid w:val="004C7657"/>
    <w:rsid w:val="004D326D"/>
    <w:rsid w:val="004D5CAB"/>
    <w:rsid w:val="004E2239"/>
    <w:rsid w:val="004F0155"/>
    <w:rsid w:val="004F32C2"/>
    <w:rsid w:val="004F3440"/>
    <w:rsid w:val="004F592E"/>
    <w:rsid w:val="004F592F"/>
    <w:rsid w:val="004F6312"/>
    <w:rsid w:val="00501DF1"/>
    <w:rsid w:val="00510DD5"/>
    <w:rsid w:val="00511A55"/>
    <w:rsid w:val="00511A84"/>
    <w:rsid w:val="00512186"/>
    <w:rsid w:val="00512474"/>
    <w:rsid w:val="005148F1"/>
    <w:rsid w:val="00517A97"/>
    <w:rsid w:val="005205B0"/>
    <w:rsid w:val="00522ECF"/>
    <w:rsid w:val="00525FF1"/>
    <w:rsid w:val="00531FBE"/>
    <w:rsid w:val="00532609"/>
    <w:rsid w:val="00542F66"/>
    <w:rsid w:val="00543170"/>
    <w:rsid w:val="00543A38"/>
    <w:rsid w:val="00544CFE"/>
    <w:rsid w:val="00546DD3"/>
    <w:rsid w:val="00551FA8"/>
    <w:rsid w:val="00554E8E"/>
    <w:rsid w:val="00555065"/>
    <w:rsid w:val="005564AE"/>
    <w:rsid w:val="005567E9"/>
    <w:rsid w:val="00557A5F"/>
    <w:rsid w:val="0056392F"/>
    <w:rsid w:val="0056409F"/>
    <w:rsid w:val="0057726D"/>
    <w:rsid w:val="00577D9C"/>
    <w:rsid w:val="00582755"/>
    <w:rsid w:val="005836DC"/>
    <w:rsid w:val="005837D8"/>
    <w:rsid w:val="00585BA4"/>
    <w:rsid w:val="00586D69"/>
    <w:rsid w:val="00586DC6"/>
    <w:rsid w:val="005911D5"/>
    <w:rsid w:val="00597351"/>
    <w:rsid w:val="005A1023"/>
    <w:rsid w:val="005A182D"/>
    <w:rsid w:val="005A3BE0"/>
    <w:rsid w:val="005A5AA2"/>
    <w:rsid w:val="005A7315"/>
    <w:rsid w:val="005A75BC"/>
    <w:rsid w:val="005A76EB"/>
    <w:rsid w:val="005B1056"/>
    <w:rsid w:val="005B1A71"/>
    <w:rsid w:val="005B3BE7"/>
    <w:rsid w:val="005B55BB"/>
    <w:rsid w:val="005B60A4"/>
    <w:rsid w:val="005B6677"/>
    <w:rsid w:val="005B691D"/>
    <w:rsid w:val="005C5B9C"/>
    <w:rsid w:val="005D02FC"/>
    <w:rsid w:val="005D1704"/>
    <w:rsid w:val="005D1940"/>
    <w:rsid w:val="005D3865"/>
    <w:rsid w:val="005E1C8F"/>
    <w:rsid w:val="005E2428"/>
    <w:rsid w:val="005E5FF5"/>
    <w:rsid w:val="005F0E3B"/>
    <w:rsid w:val="005F29BC"/>
    <w:rsid w:val="005F6D09"/>
    <w:rsid w:val="00600E05"/>
    <w:rsid w:val="006010E2"/>
    <w:rsid w:val="00601862"/>
    <w:rsid w:val="00601FCA"/>
    <w:rsid w:val="00603EE6"/>
    <w:rsid w:val="0060480F"/>
    <w:rsid w:val="00604A9D"/>
    <w:rsid w:val="00605071"/>
    <w:rsid w:val="00605833"/>
    <w:rsid w:val="00606643"/>
    <w:rsid w:val="00606C6C"/>
    <w:rsid w:val="00611C00"/>
    <w:rsid w:val="00611CF2"/>
    <w:rsid w:val="0061217E"/>
    <w:rsid w:val="006159D2"/>
    <w:rsid w:val="0062071D"/>
    <w:rsid w:val="0062283A"/>
    <w:rsid w:val="006243FB"/>
    <w:rsid w:val="00624559"/>
    <w:rsid w:val="0063019F"/>
    <w:rsid w:val="0063239C"/>
    <w:rsid w:val="006351EC"/>
    <w:rsid w:val="00637E0E"/>
    <w:rsid w:val="00640C0D"/>
    <w:rsid w:val="00640F8A"/>
    <w:rsid w:val="00642F85"/>
    <w:rsid w:val="00643E53"/>
    <w:rsid w:val="006440B3"/>
    <w:rsid w:val="00644AB3"/>
    <w:rsid w:val="0064550C"/>
    <w:rsid w:val="0064556D"/>
    <w:rsid w:val="00645BF0"/>
    <w:rsid w:val="0064774E"/>
    <w:rsid w:val="00651CBA"/>
    <w:rsid w:val="00652FFF"/>
    <w:rsid w:val="00656B73"/>
    <w:rsid w:val="006576B6"/>
    <w:rsid w:val="006629A6"/>
    <w:rsid w:val="00662CC8"/>
    <w:rsid w:val="00663868"/>
    <w:rsid w:val="00663871"/>
    <w:rsid w:val="00663C7D"/>
    <w:rsid w:val="00663DAD"/>
    <w:rsid w:val="0066528E"/>
    <w:rsid w:val="00671EE8"/>
    <w:rsid w:val="00672254"/>
    <w:rsid w:val="006803D7"/>
    <w:rsid w:val="00680546"/>
    <w:rsid w:val="00683184"/>
    <w:rsid w:val="006833F6"/>
    <w:rsid w:val="00691DB6"/>
    <w:rsid w:val="006923EF"/>
    <w:rsid w:val="00692D90"/>
    <w:rsid w:val="006937DB"/>
    <w:rsid w:val="006949BE"/>
    <w:rsid w:val="006A0491"/>
    <w:rsid w:val="006A4A35"/>
    <w:rsid w:val="006A5062"/>
    <w:rsid w:val="006A5CD4"/>
    <w:rsid w:val="006B268C"/>
    <w:rsid w:val="006B439C"/>
    <w:rsid w:val="006B751E"/>
    <w:rsid w:val="006C1545"/>
    <w:rsid w:val="006C31B3"/>
    <w:rsid w:val="006C38E3"/>
    <w:rsid w:val="006C68C6"/>
    <w:rsid w:val="006D1650"/>
    <w:rsid w:val="006D18B8"/>
    <w:rsid w:val="006D311C"/>
    <w:rsid w:val="006D74A4"/>
    <w:rsid w:val="006D7F70"/>
    <w:rsid w:val="006F4074"/>
    <w:rsid w:val="006F6527"/>
    <w:rsid w:val="00700210"/>
    <w:rsid w:val="007021AF"/>
    <w:rsid w:val="00702B2D"/>
    <w:rsid w:val="00705E3D"/>
    <w:rsid w:val="00706649"/>
    <w:rsid w:val="007115B9"/>
    <w:rsid w:val="007117AB"/>
    <w:rsid w:val="00713182"/>
    <w:rsid w:val="00713F31"/>
    <w:rsid w:val="00720119"/>
    <w:rsid w:val="00725E61"/>
    <w:rsid w:val="0073040E"/>
    <w:rsid w:val="0073273E"/>
    <w:rsid w:val="00735030"/>
    <w:rsid w:val="00737A7C"/>
    <w:rsid w:val="00743041"/>
    <w:rsid w:val="00743C08"/>
    <w:rsid w:val="00744A7B"/>
    <w:rsid w:val="007458FF"/>
    <w:rsid w:val="00751F55"/>
    <w:rsid w:val="00753C72"/>
    <w:rsid w:val="00754748"/>
    <w:rsid w:val="00755274"/>
    <w:rsid w:val="00756505"/>
    <w:rsid w:val="00756EF3"/>
    <w:rsid w:val="007579C0"/>
    <w:rsid w:val="0076003C"/>
    <w:rsid w:val="007603DB"/>
    <w:rsid w:val="00760A92"/>
    <w:rsid w:val="00760E66"/>
    <w:rsid w:val="007635F5"/>
    <w:rsid w:val="007642FA"/>
    <w:rsid w:val="007675DD"/>
    <w:rsid w:val="007705AF"/>
    <w:rsid w:val="00770607"/>
    <w:rsid w:val="00770AEE"/>
    <w:rsid w:val="00774202"/>
    <w:rsid w:val="00777B58"/>
    <w:rsid w:val="00781ED4"/>
    <w:rsid w:val="00782BE1"/>
    <w:rsid w:val="00784589"/>
    <w:rsid w:val="00784A52"/>
    <w:rsid w:val="00784D24"/>
    <w:rsid w:val="00784D4A"/>
    <w:rsid w:val="0078527C"/>
    <w:rsid w:val="00791710"/>
    <w:rsid w:val="007926B9"/>
    <w:rsid w:val="007969E9"/>
    <w:rsid w:val="007A3F1E"/>
    <w:rsid w:val="007A6F08"/>
    <w:rsid w:val="007B69B7"/>
    <w:rsid w:val="007C34B8"/>
    <w:rsid w:val="007C60CE"/>
    <w:rsid w:val="007C6DCB"/>
    <w:rsid w:val="007C75C0"/>
    <w:rsid w:val="007D0056"/>
    <w:rsid w:val="007D0934"/>
    <w:rsid w:val="007D0F00"/>
    <w:rsid w:val="007D19FE"/>
    <w:rsid w:val="007E014C"/>
    <w:rsid w:val="007E38A4"/>
    <w:rsid w:val="007E7BCF"/>
    <w:rsid w:val="007F0FEA"/>
    <w:rsid w:val="007F10F4"/>
    <w:rsid w:val="007F1B46"/>
    <w:rsid w:val="007F3175"/>
    <w:rsid w:val="007F3967"/>
    <w:rsid w:val="007F42E2"/>
    <w:rsid w:val="008023BE"/>
    <w:rsid w:val="00803BA8"/>
    <w:rsid w:val="00803DF2"/>
    <w:rsid w:val="008065D8"/>
    <w:rsid w:val="008076A7"/>
    <w:rsid w:val="00807E49"/>
    <w:rsid w:val="00817F3E"/>
    <w:rsid w:val="00821719"/>
    <w:rsid w:val="00824147"/>
    <w:rsid w:val="00827094"/>
    <w:rsid w:val="00831AAD"/>
    <w:rsid w:val="00832DCD"/>
    <w:rsid w:val="00840CB0"/>
    <w:rsid w:val="008455B9"/>
    <w:rsid w:val="008555D6"/>
    <w:rsid w:val="0085585A"/>
    <w:rsid w:val="008568C1"/>
    <w:rsid w:val="00856DE2"/>
    <w:rsid w:val="00865223"/>
    <w:rsid w:val="008659B5"/>
    <w:rsid w:val="00865F63"/>
    <w:rsid w:val="00875B97"/>
    <w:rsid w:val="0088205B"/>
    <w:rsid w:val="00883C6C"/>
    <w:rsid w:val="0088494A"/>
    <w:rsid w:val="0089081D"/>
    <w:rsid w:val="00891C59"/>
    <w:rsid w:val="008939C8"/>
    <w:rsid w:val="008A341F"/>
    <w:rsid w:val="008A4301"/>
    <w:rsid w:val="008A4657"/>
    <w:rsid w:val="008B349B"/>
    <w:rsid w:val="008B3609"/>
    <w:rsid w:val="008B5037"/>
    <w:rsid w:val="008B5AB9"/>
    <w:rsid w:val="008B62AC"/>
    <w:rsid w:val="008C2763"/>
    <w:rsid w:val="008C2966"/>
    <w:rsid w:val="008C443F"/>
    <w:rsid w:val="008C53F0"/>
    <w:rsid w:val="008C56CD"/>
    <w:rsid w:val="008D6812"/>
    <w:rsid w:val="008D7352"/>
    <w:rsid w:val="008E259E"/>
    <w:rsid w:val="008E5A34"/>
    <w:rsid w:val="008F2012"/>
    <w:rsid w:val="008F4E52"/>
    <w:rsid w:val="008F5A29"/>
    <w:rsid w:val="008F5B12"/>
    <w:rsid w:val="008F5F3D"/>
    <w:rsid w:val="008F641A"/>
    <w:rsid w:val="00902461"/>
    <w:rsid w:val="009046AB"/>
    <w:rsid w:val="009048A9"/>
    <w:rsid w:val="009058C5"/>
    <w:rsid w:val="00907588"/>
    <w:rsid w:val="0091656F"/>
    <w:rsid w:val="00920404"/>
    <w:rsid w:val="009229E8"/>
    <w:rsid w:val="00923856"/>
    <w:rsid w:val="0092720C"/>
    <w:rsid w:val="00927240"/>
    <w:rsid w:val="00932712"/>
    <w:rsid w:val="00933EA6"/>
    <w:rsid w:val="0093441E"/>
    <w:rsid w:val="0093444C"/>
    <w:rsid w:val="00935DA9"/>
    <w:rsid w:val="009424A9"/>
    <w:rsid w:val="00944459"/>
    <w:rsid w:val="0094507A"/>
    <w:rsid w:val="0095546C"/>
    <w:rsid w:val="00961EE0"/>
    <w:rsid w:val="00964198"/>
    <w:rsid w:val="0096543B"/>
    <w:rsid w:val="00965579"/>
    <w:rsid w:val="00967D94"/>
    <w:rsid w:val="00972296"/>
    <w:rsid w:val="00974892"/>
    <w:rsid w:val="00974AE1"/>
    <w:rsid w:val="009801C3"/>
    <w:rsid w:val="00981EC5"/>
    <w:rsid w:val="009844DC"/>
    <w:rsid w:val="00987E14"/>
    <w:rsid w:val="00995C08"/>
    <w:rsid w:val="00997A9C"/>
    <w:rsid w:val="00997BB9"/>
    <w:rsid w:val="009A11BD"/>
    <w:rsid w:val="009A52C4"/>
    <w:rsid w:val="009A7B73"/>
    <w:rsid w:val="009B180B"/>
    <w:rsid w:val="009B2737"/>
    <w:rsid w:val="009B2F2A"/>
    <w:rsid w:val="009B6B26"/>
    <w:rsid w:val="009C0751"/>
    <w:rsid w:val="009C217E"/>
    <w:rsid w:val="009C2436"/>
    <w:rsid w:val="009C2D57"/>
    <w:rsid w:val="009C3AF9"/>
    <w:rsid w:val="009C5E71"/>
    <w:rsid w:val="009C7698"/>
    <w:rsid w:val="009C7BA6"/>
    <w:rsid w:val="009D3A8F"/>
    <w:rsid w:val="009D41C2"/>
    <w:rsid w:val="009D4BCD"/>
    <w:rsid w:val="009E36D4"/>
    <w:rsid w:val="009E43BA"/>
    <w:rsid w:val="009E5E5E"/>
    <w:rsid w:val="009F0CC0"/>
    <w:rsid w:val="009F2A6E"/>
    <w:rsid w:val="009F4ECF"/>
    <w:rsid w:val="009F6624"/>
    <w:rsid w:val="00A0182F"/>
    <w:rsid w:val="00A01997"/>
    <w:rsid w:val="00A02C07"/>
    <w:rsid w:val="00A032DF"/>
    <w:rsid w:val="00A060C0"/>
    <w:rsid w:val="00A06904"/>
    <w:rsid w:val="00A1111A"/>
    <w:rsid w:val="00A114FE"/>
    <w:rsid w:val="00A11D78"/>
    <w:rsid w:val="00A13D6A"/>
    <w:rsid w:val="00A16EC1"/>
    <w:rsid w:val="00A1758B"/>
    <w:rsid w:val="00A226CF"/>
    <w:rsid w:val="00A226FF"/>
    <w:rsid w:val="00A25CB0"/>
    <w:rsid w:val="00A26633"/>
    <w:rsid w:val="00A30534"/>
    <w:rsid w:val="00A3197A"/>
    <w:rsid w:val="00A35B2C"/>
    <w:rsid w:val="00A3626E"/>
    <w:rsid w:val="00A36CD6"/>
    <w:rsid w:val="00A455A7"/>
    <w:rsid w:val="00A478A4"/>
    <w:rsid w:val="00A51518"/>
    <w:rsid w:val="00A528AA"/>
    <w:rsid w:val="00A622A6"/>
    <w:rsid w:val="00A67843"/>
    <w:rsid w:val="00A72D3D"/>
    <w:rsid w:val="00A73C80"/>
    <w:rsid w:val="00A82E29"/>
    <w:rsid w:val="00A864FE"/>
    <w:rsid w:val="00A86EB7"/>
    <w:rsid w:val="00A938CB"/>
    <w:rsid w:val="00A954D9"/>
    <w:rsid w:val="00A96234"/>
    <w:rsid w:val="00A976DA"/>
    <w:rsid w:val="00AA1C66"/>
    <w:rsid w:val="00AB4BA3"/>
    <w:rsid w:val="00AB6EC2"/>
    <w:rsid w:val="00AC017E"/>
    <w:rsid w:val="00AC1BBF"/>
    <w:rsid w:val="00AC2A3B"/>
    <w:rsid w:val="00AC432F"/>
    <w:rsid w:val="00AC5C3B"/>
    <w:rsid w:val="00AC64E7"/>
    <w:rsid w:val="00AD08D8"/>
    <w:rsid w:val="00AD2144"/>
    <w:rsid w:val="00AD2452"/>
    <w:rsid w:val="00AD7F22"/>
    <w:rsid w:val="00AE1DE1"/>
    <w:rsid w:val="00AE384E"/>
    <w:rsid w:val="00AE597D"/>
    <w:rsid w:val="00AE751B"/>
    <w:rsid w:val="00AF32F2"/>
    <w:rsid w:val="00AF3455"/>
    <w:rsid w:val="00AF3FD4"/>
    <w:rsid w:val="00AF4F11"/>
    <w:rsid w:val="00AF612A"/>
    <w:rsid w:val="00AF63D6"/>
    <w:rsid w:val="00B01061"/>
    <w:rsid w:val="00B123E4"/>
    <w:rsid w:val="00B1287A"/>
    <w:rsid w:val="00B1528D"/>
    <w:rsid w:val="00B21170"/>
    <w:rsid w:val="00B2361C"/>
    <w:rsid w:val="00B25BA8"/>
    <w:rsid w:val="00B2699D"/>
    <w:rsid w:val="00B3153C"/>
    <w:rsid w:val="00B31FC9"/>
    <w:rsid w:val="00B32FB7"/>
    <w:rsid w:val="00B3318A"/>
    <w:rsid w:val="00B33C89"/>
    <w:rsid w:val="00B34344"/>
    <w:rsid w:val="00B34801"/>
    <w:rsid w:val="00B3497F"/>
    <w:rsid w:val="00B42CD7"/>
    <w:rsid w:val="00B4587B"/>
    <w:rsid w:val="00B45EB6"/>
    <w:rsid w:val="00B46D9E"/>
    <w:rsid w:val="00B4784D"/>
    <w:rsid w:val="00B50C29"/>
    <w:rsid w:val="00B51060"/>
    <w:rsid w:val="00B53CEE"/>
    <w:rsid w:val="00B553E4"/>
    <w:rsid w:val="00B63A32"/>
    <w:rsid w:val="00B64E0B"/>
    <w:rsid w:val="00B65975"/>
    <w:rsid w:val="00B66923"/>
    <w:rsid w:val="00B67BCE"/>
    <w:rsid w:val="00B71039"/>
    <w:rsid w:val="00B71443"/>
    <w:rsid w:val="00B76094"/>
    <w:rsid w:val="00B7625F"/>
    <w:rsid w:val="00B77A7C"/>
    <w:rsid w:val="00B84F4B"/>
    <w:rsid w:val="00B8586A"/>
    <w:rsid w:val="00B904CD"/>
    <w:rsid w:val="00B93407"/>
    <w:rsid w:val="00B94AB8"/>
    <w:rsid w:val="00B95BBF"/>
    <w:rsid w:val="00B95DCE"/>
    <w:rsid w:val="00B97E6F"/>
    <w:rsid w:val="00BA0A3A"/>
    <w:rsid w:val="00BA20DA"/>
    <w:rsid w:val="00BA2BBE"/>
    <w:rsid w:val="00BA7847"/>
    <w:rsid w:val="00BB0304"/>
    <w:rsid w:val="00BB140D"/>
    <w:rsid w:val="00BB60D8"/>
    <w:rsid w:val="00BB7684"/>
    <w:rsid w:val="00BC1BD2"/>
    <w:rsid w:val="00BC34F7"/>
    <w:rsid w:val="00BC3875"/>
    <w:rsid w:val="00BC68EA"/>
    <w:rsid w:val="00BD2306"/>
    <w:rsid w:val="00BD4728"/>
    <w:rsid w:val="00BD54F6"/>
    <w:rsid w:val="00BD5C9C"/>
    <w:rsid w:val="00BD6836"/>
    <w:rsid w:val="00BF0443"/>
    <w:rsid w:val="00BF1117"/>
    <w:rsid w:val="00BF1A76"/>
    <w:rsid w:val="00BF1C98"/>
    <w:rsid w:val="00BF230E"/>
    <w:rsid w:val="00BF2B2B"/>
    <w:rsid w:val="00BF462C"/>
    <w:rsid w:val="00BF5611"/>
    <w:rsid w:val="00BF610D"/>
    <w:rsid w:val="00BF65D0"/>
    <w:rsid w:val="00BF79FD"/>
    <w:rsid w:val="00C045BD"/>
    <w:rsid w:val="00C10C13"/>
    <w:rsid w:val="00C1265E"/>
    <w:rsid w:val="00C131E7"/>
    <w:rsid w:val="00C26CB8"/>
    <w:rsid w:val="00C3261A"/>
    <w:rsid w:val="00C328A6"/>
    <w:rsid w:val="00C32B10"/>
    <w:rsid w:val="00C33187"/>
    <w:rsid w:val="00C33DDA"/>
    <w:rsid w:val="00C34188"/>
    <w:rsid w:val="00C377C3"/>
    <w:rsid w:val="00C45000"/>
    <w:rsid w:val="00C54183"/>
    <w:rsid w:val="00C5431F"/>
    <w:rsid w:val="00C54B58"/>
    <w:rsid w:val="00C56F14"/>
    <w:rsid w:val="00C6289B"/>
    <w:rsid w:val="00C639B9"/>
    <w:rsid w:val="00C70C2F"/>
    <w:rsid w:val="00C70EE1"/>
    <w:rsid w:val="00C74D58"/>
    <w:rsid w:val="00C757FE"/>
    <w:rsid w:val="00C76C46"/>
    <w:rsid w:val="00C77EF5"/>
    <w:rsid w:val="00C815A2"/>
    <w:rsid w:val="00C81F04"/>
    <w:rsid w:val="00C81F36"/>
    <w:rsid w:val="00C830B2"/>
    <w:rsid w:val="00C83AFD"/>
    <w:rsid w:val="00C9464E"/>
    <w:rsid w:val="00C97407"/>
    <w:rsid w:val="00C975BF"/>
    <w:rsid w:val="00CA0604"/>
    <w:rsid w:val="00CA1412"/>
    <w:rsid w:val="00CA1901"/>
    <w:rsid w:val="00CA20A1"/>
    <w:rsid w:val="00CA3648"/>
    <w:rsid w:val="00CA5D15"/>
    <w:rsid w:val="00CB0615"/>
    <w:rsid w:val="00CB19F2"/>
    <w:rsid w:val="00CB7AA2"/>
    <w:rsid w:val="00CB7B78"/>
    <w:rsid w:val="00CC0695"/>
    <w:rsid w:val="00CC3066"/>
    <w:rsid w:val="00CC3098"/>
    <w:rsid w:val="00CC30C4"/>
    <w:rsid w:val="00CD6029"/>
    <w:rsid w:val="00CE54F5"/>
    <w:rsid w:val="00CF719C"/>
    <w:rsid w:val="00D1099F"/>
    <w:rsid w:val="00D11B63"/>
    <w:rsid w:val="00D14CEA"/>
    <w:rsid w:val="00D16059"/>
    <w:rsid w:val="00D1651D"/>
    <w:rsid w:val="00D16CDF"/>
    <w:rsid w:val="00D16E84"/>
    <w:rsid w:val="00D232D7"/>
    <w:rsid w:val="00D26FB3"/>
    <w:rsid w:val="00D27E90"/>
    <w:rsid w:val="00D43596"/>
    <w:rsid w:val="00D47E68"/>
    <w:rsid w:val="00D57AF6"/>
    <w:rsid w:val="00D60AFD"/>
    <w:rsid w:val="00D61632"/>
    <w:rsid w:val="00D66CEA"/>
    <w:rsid w:val="00D71B10"/>
    <w:rsid w:val="00D7615B"/>
    <w:rsid w:val="00D770B7"/>
    <w:rsid w:val="00D84E13"/>
    <w:rsid w:val="00D84F6F"/>
    <w:rsid w:val="00D85F49"/>
    <w:rsid w:val="00D865C6"/>
    <w:rsid w:val="00D86AED"/>
    <w:rsid w:val="00D8724B"/>
    <w:rsid w:val="00D90CCD"/>
    <w:rsid w:val="00D93C50"/>
    <w:rsid w:val="00DA0244"/>
    <w:rsid w:val="00DA0E7A"/>
    <w:rsid w:val="00DA3CCD"/>
    <w:rsid w:val="00DA4B7D"/>
    <w:rsid w:val="00DA5030"/>
    <w:rsid w:val="00DA7034"/>
    <w:rsid w:val="00DA7719"/>
    <w:rsid w:val="00DB0104"/>
    <w:rsid w:val="00DB085F"/>
    <w:rsid w:val="00DB1991"/>
    <w:rsid w:val="00DB2B40"/>
    <w:rsid w:val="00DB33DF"/>
    <w:rsid w:val="00DB3EC0"/>
    <w:rsid w:val="00DB4682"/>
    <w:rsid w:val="00DB7446"/>
    <w:rsid w:val="00DC030A"/>
    <w:rsid w:val="00DC4164"/>
    <w:rsid w:val="00DD2DED"/>
    <w:rsid w:val="00DD3448"/>
    <w:rsid w:val="00DD381E"/>
    <w:rsid w:val="00DD61F6"/>
    <w:rsid w:val="00DE0386"/>
    <w:rsid w:val="00DE6465"/>
    <w:rsid w:val="00DE75BC"/>
    <w:rsid w:val="00DF0674"/>
    <w:rsid w:val="00DF33D2"/>
    <w:rsid w:val="00DF39C0"/>
    <w:rsid w:val="00DF3B5D"/>
    <w:rsid w:val="00DF4758"/>
    <w:rsid w:val="00DF4FED"/>
    <w:rsid w:val="00DF54FF"/>
    <w:rsid w:val="00E0051E"/>
    <w:rsid w:val="00E00D74"/>
    <w:rsid w:val="00E04703"/>
    <w:rsid w:val="00E0583A"/>
    <w:rsid w:val="00E05D86"/>
    <w:rsid w:val="00E068FA"/>
    <w:rsid w:val="00E06C08"/>
    <w:rsid w:val="00E11CCB"/>
    <w:rsid w:val="00E14A1A"/>
    <w:rsid w:val="00E16AE3"/>
    <w:rsid w:val="00E21420"/>
    <w:rsid w:val="00E21B5A"/>
    <w:rsid w:val="00E25493"/>
    <w:rsid w:val="00E26EC5"/>
    <w:rsid w:val="00E27CCF"/>
    <w:rsid w:val="00E420E1"/>
    <w:rsid w:val="00E50117"/>
    <w:rsid w:val="00E55185"/>
    <w:rsid w:val="00E571CD"/>
    <w:rsid w:val="00E62E73"/>
    <w:rsid w:val="00E66CE8"/>
    <w:rsid w:val="00E67AB0"/>
    <w:rsid w:val="00E711EE"/>
    <w:rsid w:val="00E714FF"/>
    <w:rsid w:val="00E7512B"/>
    <w:rsid w:val="00E75576"/>
    <w:rsid w:val="00E75C02"/>
    <w:rsid w:val="00E76563"/>
    <w:rsid w:val="00E77D66"/>
    <w:rsid w:val="00E85E0C"/>
    <w:rsid w:val="00E87435"/>
    <w:rsid w:val="00E93D91"/>
    <w:rsid w:val="00E9484D"/>
    <w:rsid w:val="00E968F7"/>
    <w:rsid w:val="00E96E5D"/>
    <w:rsid w:val="00EA13F6"/>
    <w:rsid w:val="00EA4944"/>
    <w:rsid w:val="00EA7258"/>
    <w:rsid w:val="00EB0024"/>
    <w:rsid w:val="00EB4672"/>
    <w:rsid w:val="00EB5BEF"/>
    <w:rsid w:val="00EB70D8"/>
    <w:rsid w:val="00EB7D75"/>
    <w:rsid w:val="00ED372C"/>
    <w:rsid w:val="00ED380A"/>
    <w:rsid w:val="00ED6E15"/>
    <w:rsid w:val="00EE0278"/>
    <w:rsid w:val="00EE056A"/>
    <w:rsid w:val="00EE1AE7"/>
    <w:rsid w:val="00EE5498"/>
    <w:rsid w:val="00EE635D"/>
    <w:rsid w:val="00EE7EE7"/>
    <w:rsid w:val="00EF1791"/>
    <w:rsid w:val="00EF2C40"/>
    <w:rsid w:val="00EF4C30"/>
    <w:rsid w:val="00EF4D5D"/>
    <w:rsid w:val="00F04BF6"/>
    <w:rsid w:val="00F113BB"/>
    <w:rsid w:val="00F11D30"/>
    <w:rsid w:val="00F1418F"/>
    <w:rsid w:val="00F16346"/>
    <w:rsid w:val="00F16C61"/>
    <w:rsid w:val="00F206A0"/>
    <w:rsid w:val="00F219B1"/>
    <w:rsid w:val="00F22240"/>
    <w:rsid w:val="00F222DC"/>
    <w:rsid w:val="00F26D05"/>
    <w:rsid w:val="00F26E14"/>
    <w:rsid w:val="00F26F72"/>
    <w:rsid w:val="00F42B12"/>
    <w:rsid w:val="00F47099"/>
    <w:rsid w:val="00F549AC"/>
    <w:rsid w:val="00F556AE"/>
    <w:rsid w:val="00F56408"/>
    <w:rsid w:val="00F600A5"/>
    <w:rsid w:val="00F62C94"/>
    <w:rsid w:val="00F716B9"/>
    <w:rsid w:val="00F72FBF"/>
    <w:rsid w:val="00F73779"/>
    <w:rsid w:val="00F743EF"/>
    <w:rsid w:val="00F77A20"/>
    <w:rsid w:val="00F8043E"/>
    <w:rsid w:val="00F80EB7"/>
    <w:rsid w:val="00F81A56"/>
    <w:rsid w:val="00F81EC6"/>
    <w:rsid w:val="00F8456B"/>
    <w:rsid w:val="00F85F22"/>
    <w:rsid w:val="00F92570"/>
    <w:rsid w:val="00F94756"/>
    <w:rsid w:val="00FA12DF"/>
    <w:rsid w:val="00FA3793"/>
    <w:rsid w:val="00FA695C"/>
    <w:rsid w:val="00FB225E"/>
    <w:rsid w:val="00FB4CF1"/>
    <w:rsid w:val="00FB58FD"/>
    <w:rsid w:val="00FB6917"/>
    <w:rsid w:val="00FB6A16"/>
    <w:rsid w:val="00FB70A1"/>
    <w:rsid w:val="00FC0CAB"/>
    <w:rsid w:val="00FC10F9"/>
    <w:rsid w:val="00FC134D"/>
    <w:rsid w:val="00FC23FA"/>
    <w:rsid w:val="00FC6D68"/>
    <w:rsid w:val="00FC6DB4"/>
    <w:rsid w:val="00FC7631"/>
    <w:rsid w:val="00FD1374"/>
    <w:rsid w:val="00FD2F90"/>
    <w:rsid w:val="00FD7EB3"/>
    <w:rsid w:val="00FE1035"/>
    <w:rsid w:val="00FE3CBF"/>
    <w:rsid w:val="00FE4457"/>
    <w:rsid w:val="00FE4496"/>
    <w:rsid w:val="00FE642B"/>
    <w:rsid w:val="00FF0C69"/>
    <w:rsid w:val="00FF1F9D"/>
    <w:rsid w:val="00FF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74FE"/>
  <w15:chartTrackingRefBased/>
  <w15:docId w15:val="{CB74A739-0461-4478-9D5E-05A3697CD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C30"/>
  </w:style>
  <w:style w:type="paragraph" w:styleId="Heading1">
    <w:name w:val="heading 1"/>
    <w:basedOn w:val="Normal"/>
    <w:next w:val="Normal"/>
    <w:link w:val="Heading1Char"/>
    <w:uiPriority w:val="9"/>
    <w:qFormat/>
    <w:rsid w:val="00466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6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6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6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6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6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6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3EC"/>
    <w:rPr>
      <w:rFonts w:eastAsiaTheme="majorEastAsia" w:cstheme="majorBidi"/>
      <w:color w:val="272727" w:themeColor="text1" w:themeTint="D8"/>
    </w:rPr>
  </w:style>
  <w:style w:type="paragraph" w:styleId="Title">
    <w:name w:val="Title"/>
    <w:basedOn w:val="Normal"/>
    <w:next w:val="Normal"/>
    <w:link w:val="TitleChar"/>
    <w:uiPriority w:val="10"/>
    <w:qFormat/>
    <w:rsid w:val="00466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3EC"/>
    <w:pPr>
      <w:spacing w:before="160"/>
      <w:jc w:val="center"/>
    </w:pPr>
    <w:rPr>
      <w:i/>
      <w:iCs/>
      <w:color w:val="404040" w:themeColor="text1" w:themeTint="BF"/>
    </w:rPr>
  </w:style>
  <w:style w:type="character" w:customStyle="1" w:styleId="QuoteChar">
    <w:name w:val="Quote Char"/>
    <w:basedOn w:val="DefaultParagraphFont"/>
    <w:link w:val="Quote"/>
    <w:uiPriority w:val="29"/>
    <w:rsid w:val="004663EC"/>
    <w:rPr>
      <w:i/>
      <w:iCs/>
      <w:color w:val="404040" w:themeColor="text1" w:themeTint="BF"/>
    </w:rPr>
  </w:style>
  <w:style w:type="paragraph" w:styleId="ListParagraph">
    <w:name w:val="List Paragraph"/>
    <w:basedOn w:val="Normal"/>
    <w:uiPriority w:val="34"/>
    <w:qFormat/>
    <w:rsid w:val="004663EC"/>
    <w:pPr>
      <w:ind w:left="720"/>
      <w:contextualSpacing/>
    </w:pPr>
  </w:style>
  <w:style w:type="character" w:styleId="IntenseEmphasis">
    <w:name w:val="Intense Emphasis"/>
    <w:basedOn w:val="DefaultParagraphFont"/>
    <w:uiPriority w:val="21"/>
    <w:qFormat/>
    <w:rsid w:val="004663EC"/>
    <w:rPr>
      <w:i/>
      <w:iCs/>
      <w:color w:val="0F4761" w:themeColor="accent1" w:themeShade="BF"/>
    </w:rPr>
  </w:style>
  <w:style w:type="paragraph" w:styleId="IntenseQuote">
    <w:name w:val="Intense Quote"/>
    <w:basedOn w:val="Normal"/>
    <w:next w:val="Normal"/>
    <w:link w:val="IntenseQuoteChar"/>
    <w:uiPriority w:val="30"/>
    <w:qFormat/>
    <w:rsid w:val="00466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3EC"/>
    <w:rPr>
      <w:i/>
      <w:iCs/>
      <w:color w:val="0F4761" w:themeColor="accent1" w:themeShade="BF"/>
    </w:rPr>
  </w:style>
  <w:style w:type="character" w:styleId="IntenseReference">
    <w:name w:val="Intense Reference"/>
    <w:basedOn w:val="DefaultParagraphFont"/>
    <w:uiPriority w:val="32"/>
    <w:qFormat/>
    <w:rsid w:val="004663EC"/>
    <w:rPr>
      <w:b/>
      <w:bCs/>
      <w:smallCaps/>
      <w:color w:val="0F4761" w:themeColor="accent1" w:themeShade="BF"/>
      <w:spacing w:val="5"/>
    </w:rPr>
  </w:style>
  <w:style w:type="paragraph" w:styleId="Header">
    <w:name w:val="header"/>
    <w:basedOn w:val="Normal"/>
    <w:link w:val="HeaderChar"/>
    <w:uiPriority w:val="99"/>
    <w:unhideWhenUsed/>
    <w:rsid w:val="00463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A0C"/>
  </w:style>
  <w:style w:type="paragraph" w:styleId="Footer">
    <w:name w:val="footer"/>
    <w:basedOn w:val="Normal"/>
    <w:link w:val="FooterChar"/>
    <w:uiPriority w:val="99"/>
    <w:unhideWhenUsed/>
    <w:rsid w:val="00463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A0C"/>
  </w:style>
  <w:style w:type="character" w:styleId="Emphasis">
    <w:name w:val="Emphasis"/>
    <w:basedOn w:val="DefaultParagraphFont"/>
    <w:uiPriority w:val="20"/>
    <w:qFormat/>
    <w:rsid w:val="008C2763"/>
    <w:rPr>
      <w:i/>
      <w:iCs/>
    </w:rPr>
  </w:style>
  <w:style w:type="paragraph" w:styleId="NormalWeb">
    <w:name w:val="Normal (Web)"/>
    <w:basedOn w:val="Normal"/>
    <w:uiPriority w:val="99"/>
    <w:unhideWhenUsed/>
    <w:rsid w:val="009B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553E4"/>
    <w:rPr>
      <w:color w:val="467886" w:themeColor="hyperlink"/>
      <w:u w:val="single"/>
    </w:rPr>
  </w:style>
  <w:style w:type="character" w:styleId="UnresolvedMention">
    <w:name w:val="Unresolved Mention"/>
    <w:basedOn w:val="DefaultParagraphFont"/>
    <w:uiPriority w:val="99"/>
    <w:semiHidden/>
    <w:unhideWhenUsed/>
    <w:rsid w:val="00B553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dc.gov/aces/about/index.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urriculum-for-wal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ggiochildren.it/en/reggio-emilia-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d3e1fb01c4ecd4ec997b4da7e7020f9">
  <xsd:schema xmlns:xsd="http://www.w3.org/2001/XMLSchema" xmlns:xs="http://www.w3.org/2001/XMLSchema" xmlns:p="http://schemas.microsoft.com/office/2006/metadata/properties" xmlns:ns3="0085e1a2-9cbf-4b92-866b-21f3c89040b6" targetNamespace="http://schemas.microsoft.com/office/2006/metadata/properties" ma:root="true" ma:fieldsID="cfba09fad404c920ca16c269689236e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E226790-177C-40DA-B970-CB31BDF4EFB7}">
  <ds:schemaRefs>
    <ds:schemaRef ds:uri="http://schemas.microsoft.com/sharepoint/v3/contenttype/forms"/>
  </ds:schemaRefs>
</ds:datastoreItem>
</file>

<file path=customXml/itemProps2.xml><?xml version="1.0" encoding="utf-8"?>
<ds:datastoreItem xmlns:ds="http://schemas.openxmlformats.org/officeDocument/2006/customXml" ds:itemID="{792D15D0-75EF-4889-A506-0E7DCB16DC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5BC7D3-7233-4A1E-BC56-3BD0FB18CCBA}">
  <ds:schemaRefs>
    <ds:schemaRef ds:uri="http://schemas.openxmlformats.org/officeDocument/2006/bibliography"/>
  </ds:schemaRefs>
</ds:datastoreItem>
</file>

<file path=customXml/itemProps4.xml><?xml version="1.0" encoding="utf-8"?>
<ds:datastoreItem xmlns:ds="http://schemas.openxmlformats.org/officeDocument/2006/customXml" ds:itemID="{25B15DBC-A3E0-43D8-9C8E-FFAF2313BC4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7890</Words>
  <Characters>44978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2026-10-22T19:31:00Z</dcterms:created>
  <dcterms:modified xsi:type="dcterms:W3CDTF">2026-10-22T19:31:00Z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