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F1B51" w14:textId="6AF8A21E" w:rsidR="000C5F72" w:rsidRPr="000C5F72" w:rsidRDefault="000C5F72" w:rsidP="000C5F72">
      <w:pPr>
        <w:jc w:val="center"/>
      </w:pPr>
      <w:r w:rsidRPr="000C5F72">
        <w:t xml:space="preserve">Existentialism and Phenomenology </w:t>
      </w:r>
      <w:r>
        <w:t xml:space="preserve">- </w:t>
      </w:r>
      <w:r w:rsidRPr="000C5F72">
        <w:t>Assessment 2 – 2,500 Words.</w:t>
      </w:r>
    </w:p>
    <w:p w14:paraId="0B496E28" w14:textId="03E8B9D2" w:rsidR="000C5F72" w:rsidRDefault="000C5F72" w:rsidP="000C5F72">
      <w:pPr>
        <w:jc w:val="center"/>
      </w:pPr>
      <w:r w:rsidRPr="000C5F72">
        <w:t xml:space="preserve">Critically assess the concept of bad </w:t>
      </w:r>
      <w:proofErr w:type="gramStart"/>
      <w:r w:rsidRPr="000C5F72">
        <w:t>faith?</w:t>
      </w:r>
      <w:proofErr w:type="gramEnd"/>
    </w:p>
    <w:p w14:paraId="7BDDB526" w14:textId="3BC8DB72" w:rsidR="00647F57" w:rsidRDefault="000C5F72" w:rsidP="00647F57">
      <w:r>
        <w:t>The concept of ‘bad faith’ was first put forward by existentialist</w:t>
      </w:r>
      <w:r w:rsidR="008D09BC">
        <w:t>s</w:t>
      </w:r>
      <w:r>
        <w:t xml:space="preserve">, these are a group or type of philosophers who emphasise individual existence, freedom and choice asserting that humans define their own meaning in an absurd, purposeless universe. </w:t>
      </w:r>
      <w:r w:rsidR="00B10AB5">
        <w:t xml:space="preserve">One </w:t>
      </w:r>
      <w:r>
        <w:t>core view that existentialist</w:t>
      </w:r>
      <w:r w:rsidR="00FA7271">
        <w:t>s</w:t>
      </w:r>
      <w:r>
        <w:t xml:space="preserve"> hold is that existence precedes essence, this means that individuals are not born with a predetermined </w:t>
      </w:r>
      <w:r w:rsidR="0006664B">
        <w:t>purpose,</w:t>
      </w:r>
      <w:r>
        <w:t xml:space="preserve"> but they create their own nature through actions and choices. In terms of bad faith, it is mainly existentialist John-Paul Sartre who created this concept</w:t>
      </w:r>
      <w:r w:rsidR="00464DEA">
        <w:t xml:space="preserve">, who was </w:t>
      </w:r>
      <w:r w:rsidR="00056610">
        <w:t>heavily</w:t>
      </w:r>
      <w:r w:rsidR="00464DEA">
        <w:t xml:space="preserve"> influenced by other existentialists such as martin Heidegger and </w:t>
      </w:r>
      <w:r w:rsidR="00CC1C49">
        <w:t>Edward Husserl</w:t>
      </w:r>
      <w:r>
        <w:t xml:space="preserve">. </w:t>
      </w:r>
      <w:r w:rsidR="00647F57">
        <w:t>Bad faith, for Sartre specifically refers to dishonesty from intentional self-deception, it’s almost an act that breaks trust, like entering a contract with no intention of fulfilling it. To be an existentialist, one must be a phenomenologist, they study the world as it appears to the human observer, so we attempt to describe our experiences directly through our perception. Various examples of Sartre’s concepts on bad faith comes from his “Existentialism is a Humanism” and “Being in Nothingness”. These will be the main sources for this essay.</w:t>
      </w:r>
    </w:p>
    <w:p w14:paraId="4AFBC6B6" w14:textId="42CFB5BB" w:rsidR="000C5F72" w:rsidRDefault="00647F57" w:rsidP="000C5F72">
      <w:r>
        <w:t>Firstly</w:t>
      </w:r>
      <w:r w:rsidR="00951775">
        <w:t>, I will be outlining</w:t>
      </w:r>
      <w:r w:rsidR="0008665B">
        <w:t xml:space="preserve"> </w:t>
      </w:r>
      <w:r w:rsidR="00951775">
        <w:t>Sartre</w:t>
      </w:r>
      <w:r w:rsidR="0008665B">
        <w:t>’s ontological</w:t>
      </w:r>
      <w:r w:rsidR="006C5BF2">
        <w:t xml:space="preserve"> distinction between</w:t>
      </w:r>
      <w:r w:rsidR="00951775">
        <w:t xml:space="preserve"> a ‘being for itself’ and a ‘being in itself’. </w:t>
      </w:r>
      <w:r w:rsidR="000C5F72">
        <w:t>Sartre believed that humans are a “being for itself” which means their existence comes before their essence</w:t>
      </w:r>
      <w:r w:rsidR="00E91009">
        <w:t xml:space="preserve">: </w:t>
      </w:r>
      <w:r w:rsidR="00E91009">
        <w:t>“if God does not exist</w:t>
      </w:r>
      <w:r w:rsidR="00E91009">
        <w:t>, t</w:t>
      </w:r>
      <w:r w:rsidR="00E91009">
        <w:t>here is at least one being in whom existence precedes essence"</w:t>
      </w:r>
      <w:r w:rsidR="00E91009">
        <w:rPr>
          <w:rStyle w:val="FootnoteReference"/>
        </w:rPr>
        <w:footnoteReference w:id="1"/>
      </w:r>
      <w:r w:rsidR="00E91009">
        <w:t xml:space="preserve">. </w:t>
      </w:r>
      <w:r w:rsidR="000C5F72">
        <w:t>meaning we have a conscious</w:t>
      </w:r>
      <w:r w:rsidR="0006664B">
        <w:t xml:space="preserve"> to make choices, </w:t>
      </w:r>
      <w:r w:rsidR="00871807">
        <w:t xml:space="preserve">as we are free </w:t>
      </w:r>
      <w:r w:rsidR="0006664B">
        <w:t>and we are not fitted to one function</w:t>
      </w:r>
      <w:r w:rsidR="00E91009">
        <w:t xml:space="preserve">. </w:t>
      </w:r>
      <w:r w:rsidR="0006664B">
        <w:t>Sartre compares this in bad faith to a “being in itself”, this could be an object such as a table, because their essence comes before their existence and they are predetermined to a strict function or purpose</w:t>
      </w:r>
      <w:r w:rsidR="005C369B">
        <w:t xml:space="preserve"> – “</w:t>
      </w:r>
      <w:r w:rsidR="009104F1">
        <w:t>serves a definite purpose”</w:t>
      </w:r>
      <w:r w:rsidR="009104F1">
        <w:rPr>
          <w:rStyle w:val="FootnoteReference"/>
        </w:rPr>
        <w:footnoteReference w:id="2"/>
      </w:r>
      <w:r w:rsidR="00F863A3">
        <w:t xml:space="preserve"> </w:t>
      </w:r>
      <w:r w:rsidR="0056441A">
        <w:t xml:space="preserve">Bad faith originates from the idea </w:t>
      </w:r>
      <w:r w:rsidR="008B3DBE">
        <w:t>that because freedom</w:t>
      </w:r>
      <w:r w:rsidR="009D65EB">
        <w:t xml:space="preserve"> brings a sense of anguish, humans try to deceive themselves by limiting their capabilities</w:t>
      </w:r>
      <w:r w:rsidR="00EB7AB2">
        <w:t>, and avoiding this anguish</w:t>
      </w:r>
      <w:r w:rsidR="009D65EB">
        <w:t xml:space="preserve"> by concealing their freedom</w:t>
      </w:r>
      <w:r w:rsidR="00620AE1">
        <w:t xml:space="preserve"> as </w:t>
      </w:r>
      <w:r w:rsidR="00706823">
        <w:t xml:space="preserve">the “liar actually is in complete possession of the truth which he is </w:t>
      </w:r>
      <w:r w:rsidR="0087438F">
        <w:t>hiding</w:t>
      </w:r>
      <w:r w:rsidR="00706823">
        <w:t>”</w:t>
      </w:r>
      <w:r w:rsidR="00706823">
        <w:rPr>
          <w:rStyle w:val="FootnoteReference"/>
        </w:rPr>
        <w:footnoteReference w:id="3"/>
      </w:r>
      <w:r w:rsidR="009D65EB">
        <w:t>.</w:t>
      </w:r>
    </w:p>
    <w:p w14:paraId="57FC2F71" w14:textId="59EF6DED" w:rsidR="0087438F" w:rsidRDefault="00F06CD2" w:rsidP="000C5F72">
      <w:r>
        <w:t>In Sartre’s “Being and Nothingness”, he uses the concept of a waiter.</w:t>
      </w:r>
      <w:r w:rsidR="006F536A">
        <w:t xml:space="preserve"> The waiters “movement is quick</w:t>
      </w:r>
      <w:r w:rsidR="003936A6">
        <w:t xml:space="preserve"> and forward</w:t>
      </w:r>
      <w:r w:rsidR="00015448">
        <w:t>, a little too precise…his gestures and even his voice</w:t>
      </w:r>
      <w:r w:rsidR="00DB04A9">
        <w:t xml:space="preserve"> seems to be mechanisms…</w:t>
      </w:r>
      <w:r w:rsidR="00BD469D">
        <w:t>he is playing at being a waiter in a café”</w:t>
      </w:r>
      <w:r w:rsidR="00BD469D">
        <w:rPr>
          <w:rStyle w:val="FootnoteReference"/>
        </w:rPr>
        <w:footnoteReference w:id="4"/>
      </w:r>
      <w:r w:rsidR="00553F16">
        <w:t>. Sartre here is explaining that the waiter,</w:t>
      </w:r>
      <w:r w:rsidR="008342A8">
        <w:t xml:space="preserve"> </w:t>
      </w:r>
      <w:r w:rsidR="00237EF3">
        <w:t>is overattentive</w:t>
      </w:r>
      <w:r w:rsidR="007D20F1">
        <w:t xml:space="preserve"> and </w:t>
      </w:r>
      <w:r w:rsidR="00237EF3">
        <w:t>trying to convince himself that he is only ever going to be a waiter</w:t>
      </w:r>
      <w:r w:rsidR="009A4B86">
        <w:t>, he acts as if he cannot transcend or go beyond his factual limit</w:t>
      </w:r>
      <w:r w:rsidR="007D20F1">
        <w:t xml:space="preserve">. However, for Sartre because we have a consciousness </w:t>
      </w:r>
      <w:r w:rsidR="00D42C93">
        <w:t xml:space="preserve">we cannot “be in a mode of </w:t>
      </w:r>
      <w:r w:rsidR="00D42C93">
        <w:lastRenderedPageBreak/>
        <w:t>being-in-itself”</w:t>
      </w:r>
      <w:r w:rsidR="00A658D9">
        <w:rPr>
          <w:rStyle w:val="FootnoteReference"/>
        </w:rPr>
        <w:footnoteReference w:id="5"/>
      </w:r>
      <w:r w:rsidR="005D0AF2">
        <w:t>, Sartre encourages us to act</w:t>
      </w:r>
      <w:r w:rsidR="00BF4D27">
        <w:t xml:space="preserve"> o</w:t>
      </w:r>
      <w:r w:rsidR="004C3B94">
        <w:t>n</w:t>
      </w:r>
      <w:r w:rsidR="00BF4D27">
        <w:t xml:space="preserve"> our freedom</w:t>
      </w:r>
      <w:r w:rsidR="00FC4E6E">
        <w:t xml:space="preserve"> and take responsibility for our actions</w:t>
      </w:r>
      <w:r w:rsidR="008C158F">
        <w:t>.</w:t>
      </w:r>
      <w:r w:rsidR="003F48F8">
        <w:t xml:space="preserve"> </w:t>
      </w:r>
      <w:r w:rsidR="006E05A4">
        <w:t>This concept is very compelling as it explains how people can know and not know something at the same time</w:t>
      </w:r>
      <w:r w:rsidR="00382577">
        <w:t xml:space="preserve"> because the waiter knows that their job is a café waiter, but the waiter also knows that they could be more than working in the café.</w:t>
      </w:r>
      <w:r w:rsidR="00CA3450">
        <w:t xml:space="preserve"> It is also compelling as it shows how individuals actively participate in their own illusions</w:t>
      </w:r>
      <w:r w:rsidR="00C329CB">
        <w:t>. Once someone’s conscious splits between itself, people create illusions such as</w:t>
      </w:r>
      <w:r w:rsidR="004C05BC">
        <w:t xml:space="preserve"> a student cheating on a test </w:t>
      </w:r>
      <w:r w:rsidR="00E43DDB">
        <w:t>- ‘</w:t>
      </w:r>
      <w:r w:rsidR="004C05BC">
        <w:t>I had no choice, I would have failed anyway’. That person in question did have alternatives such as studying, accepting failure, or even retaking the exam</w:t>
      </w:r>
      <w:r w:rsidR="00E43DDB">
        <w:t>, they denied their freedom to avoid the guilt, and they reinterpret a different choice as a non-choice.</w:t>
      </w:r>
    </w:p>
    <w:p w14:paraId="1787F8EC" w14:textId="62E13736" w:rsidR="00520FB0" w:rsidRDefault="00520FB0" w:rsidP="000C5F72">
      <w:r>
        <w:t xml:space="preserve">However, a </w:t>
      </w:r>
      <w:r w:rsidR="001C1D2B">
        <w:t>contradiction</w:t>
      </w:r>
      <w:r>
        <w:t xml:space="preserve"> to Sartre’s concept of bad fait</w:t>
      </w:r>
      <w:r w:rsidR="001C50CA">
        <w:t xml:space="preserve">h </w:t>
      </w:r>
      <w:proofErr w:type="gramStart"/>
      <w:r w:rsidR="006B185D">
        <w:t>in regard to</w:t>
      </w:r>
      <w:proofErr w:type="gramEnd"/>
      <w:r w:rsidR="001C50CA">
        <w:t xml:space="preserve"> his waiter analogy is that is overestimates human freedom</w:t>
      </w:r>
      <w:r w:rsidR="00692D89">
        <w:t>, a</w:t>
      </w:r>
      <w:r w:rsidR="00C36C36">
        <w:t>s</w:t>
      </w:r>
      <w:r w:rsidR="00692D89">
        <w:t xml:space="preserve"> Sartre was a radical </w:t>
      </w:r>
      <w:r w:rsidR="00C36C36">
        <w:t>existentialist, he insists that humans are always free, even under extreme constraints.</w:t>
      </w:r>
      <w:r w:rsidR="009F6F10">
        <w:t xml:space="preserve"> This view overlooks real-world</w:t>
      </w:r>
      <w:r w:rsidR="00AB14B3">
        <w:t xml:space="preserve"> limitations</w:t>
      </w:r>
      <w:r w:rsidR="000B7608">
        <w:t xml:space="preserve"> such as class struggles. If an individual was brought up in poverty</w:t>
      </w:r>
      <w:r w:rsidR="00787731">
        <w:t>, a condition such as this would restrict available choices</w:t>
      </w:r>
      <w:r w:rsidR="00830CA6">
        <w:t xml:space="preserve"> such as access to education, healthcare and job opportunities, such as the waiter getting a better paid job by using their freedom t</w:t>
      </w:r>
      <w:r w:rsidR="00353D03">
        <w:t>o leave the café</w:t>
      </w:r>
      <w:r w:rsidR="006A3C3B">
        <w:t>, therefore their identity becomes fully defined by a role, making wider possibilities psychologically erased.</w:t>
      </w:r>
    </w:p>
    <w:p w14:paraId="02926C47" w14:textId="08341472" w:rsidR="001C1D2B" w:rsidRDefault="003422A9" w:rsidP="000C5F72">
      <w:r>
        <w:t>Continuously, Martin Heidegger, who was Sartre’s major influence argued that most of us live in ‘</w:t>
      </w:r>
      <w:r w:rsidR="003C384A">
        <w:t>inauthenticity’</w:t>
      </w:r>
      <w:r w:rsidR="001F2309">
        <w:t xml:space="preserve"> (t</w:t>
      </w:r>
      <w:r w:rsidR="003C384A">
        <w:t>hey-self</w:t>
      </w:r>
      <w:r w:rsidR="001F2309">
        <w:t>)</w:t>
      </w:r>
      <w:r>
        <w:t xml:space="preserve"> and are absorbed in social roles</w:t>
      </w:r>
      <w:r w:rsidR="00CD2717">
        <w:t xml:space="preserve"> this is because </w:t>
      </w:r>
      <w:r w:rsidR="006206B8">
        <w:t>“Dasein, which means being there</w:t>
      </w:r>
      <w:r w:rsidR="006A4975">
        <w:t>”</w:t>
      </w:r>
      <w:r w:rsidR="006A4975">
        <w:rPr>
          <w:rStyle w:val="FootnoteReference"/>
        </w:rPr>
        <w:footnoteReference w:id="6"/>
      </w:r>
      <w:r w:rsidR="00663637">
        <w:t xml:space="preserve"> </w:t>
      </w:r>
      <w:r w:rsidR="006E02F4">
        <w:t>loses its individuality by conforming to norm</w:t>
      </w:r>
      <w:r w:rsidR="0014026C">
        <w:t>s</w:t>
      </w:r>
      <w:r w:rsidR="006E02F4">
        <w:t xml:space="preserve"> </w:t>
      </w:r>
      <w:r w:rsidR="00492995">
        <w:t>a</w:t>
      </w:r>
      <w:r w:rsidR="006E02F4">
        <w:t xml:space="preserve">nd avoiding responsibility of </w:t>
      </w:r>
      <w:r w:rsidR="0014026C">
        <w:t>one’s</w:t>
      </w:r>
      <w:r w:rsidR="006E02F4">
        <w:t xml:space="preserve"> own existence</w:t>
      </w:r>
      <w:r w:rsidR="0014026C">
        <w:t>.</w:t>
      </w:r>
      <w:r w:rsidR="00E04CA3">
        <w:t xml:space="preserve"> Therefore, a</w:t>
      </w:r>
      <w:r w:rsidR="00E04CA3">
        <w:t>re the things we seek security i</w:t>
      </w:r>
      <w:r w:rsidR="00FB476D">
        <w:t>n,</w:t>
      </w:r>
      <w:r w:rsidR="00E04CA3">
        <w:t xml:space="preserve"> is that something that would retreat to the </w:t>
      </w:r>
      <w:proofErr w:type="spellStart"/>
      <w:r w:rsidR="00E04CA3">
        <w:t>theyself</w:t>
      </w:r>
      <w:proofErr w:type="spellEnd"/>
      <w:r w:rsidR="00E04CA3">
        <w:t>?</w:t>
      </w:r>
      <w:r w:rsidR="00004208">
        <w:t xml:space="preserve"> </w:t>
      </w:r>
      <w:r w:rsidR="00855D34">
        <w:t>– “We take pleasure and enjoy ourselves as they take pleasure</w:t>
      </w:r>
      <w:r w:rsidR="00084B32">
        <w:t>…we find ‘shocking what they find shocking”</w:t>
      </w:r>
      <w:r w:rsidR="00084B32">
        <w:rPr>
          <w:rStyle w:val="FootnoteReference"/>
        </w:rPr>
        <w:footnoteReference w:id="7"/>
      </w:r>
      <w:r w:rsidR="00084B32">
        <w:t xml:space="preserve"> </w:t>
      </w:r>
      <w:r w:rsidR="00956DF8">
        <w:t>As Heidegger suggests this is a normal condition of everyday life</w:t>
      </w:r>
      <w:r w:rsidR="00E81EE9">
        <w:t>,</w:t>
      </w:r>
      <w:r w:rsidR="00CB2B7B">
        <w:t xml:space="preserve"> </w:t>
      </w:r>
      <w:r w:rsidR="00FF25EE">
        <w:t>people naturally react to what others do</w:t>
      </w:r>
      <w:r w:rsidR="008B1B2A">
        <w:t xml:space="preserve">, Sartre doesn’t seem to take into account this standpoint in relation to bad faith, </w:t>
      </w:r>
      <w:r w:rsidR="00CB2B7B">
        <w:t>it makes Sartre’s idea less morally harsh, but also weaken his str</w:t>
      </w:r>
      <w:r w:rsidR="00FF25EE">
        <w:t>o</w:t>
      </w:r>
      <w:r w:rsidR="00CB2B7B">
        <w:t>ng emphasis on individual responsibility</w:t>
      </w:r>
    </w:p>
    <w:p w14:paraId="2C8C21DE" w14:textId="2D1AAA50" w:rsidR="006A3C3B" w:rsidRDefault="00987832" w:rsidP="000C5F72">
      <w:r>
        <w:t xml:space="preserve">Furthermore, </w:t>
      </w:r>
      <w:r w:rsidR="00211405">
        <w:t>Sartre uses the idea of bad faith with authenticity.</w:t>
      </w:r>
      <w:r w:rsidR="0040621A">
        <w:t xml:space="preserve"> Sartre put forward this idea by stating we cannot avoid bad faith forever, but we can strive for authenticity, which is </w:t>
      </w:r>
      <w:r w:rsidR="00D5089D">
        <w:t>recognising</w:t>
      </w:r>
      <w:r w:rsidR="0040621A">
        <w:t xml:space="preserve"> our freedom,</w:t>
      </w:r>
      <w:r w:rsidR="00D5089D">
        <w:t xml:space="preserve"> accepting responsibilities and acknowledging our real situation without using it as an excuse</w:t>
      </w:r>
      <w:r w:rsidR="00FD4E2F">
        <w:t xml:space="preserve"> – “he will be </w:t>
      </w:r>
      <w:r w:rsidR="00252C44">
        <w:t>what he makes himself”</w:t>
      </w:r>
      <w:r w:rsidR="00252C44">
        <w:rPr>
          <w:rStyle w:val="FootnoteReference"/>
        </w:rPr>
        <w:footnoteReference w:id="8"/>
      </w:r>
      <w:r w:rsidR="00333A21">
        <w:t xml:space="preserve">. </w:t>
      </w:r>
      <w:r w:rsidR="0045471A">
        <w:t xml:space="preserve">An </w:t>
      </w:r>
      <w:r w:rsidR="00333A21">
        <w:t>example of this could be</w:t>
      </w:r>
      <w:r w:rsidR="00D610C4">
        <w:t xml:space="preserve"> </w:t>
      </w:r>
      <w:r w:rsidR="00644DD6">
        <w:t xml:space="preserve">in ‘Being and </w:t>
      </w:r>
      <w:r w:rsidR="005330EF">
        <w:t>Nothingness’</w:t>
      </w:r>
      <w:r w:rsidR="00644DD6">
        <w:t xml:space="preserve"> with the women who </w:t>
      </w:r>
      <w:r w:rsidR="005330EF">
        <w:t>gees</w:t>
      </w:r>
      <w:r w:rsidR="00644DD6">
        <w:t xml:space="preserve"> on a date. The woman </w:t>
      </w:r>
      <w:r w:rsidR="00007C96">
        <w:t>hears the phrase “I find you so attractive” but “disarms this phrase of its sexual background”</w:t>
      </w:r>
      <w:r w:rsidR="00007C96">
        <w:rPr>
          <w:rStyle w:val="FootnoteReference"/>
        </w:rPr>
        <w:footnoteReference w:id="9"/>
      </w:r>
      <w:r w:rsidR="00505870">
        <w:t xml:space="preserve">, therefore she separates her mind and her body to avoid </w:t>
      </w:r>
      <w:r w:rsidR="00505870">
        <w:lastRenderedPageBreak/>
        <w:t>acknowledging this intention</w:t>
      </w:r>
      <w:r w:rsidR="00D34A3B">
        <w:t xml:space="preserve"> which again, for Sartre creates this self-deception.</w:t>
      </w:r>
      <w:r w:rsidR="008563FE">
        <w:t xml:space="preserve"> However, it is authentic because the woman </w:t>
      </w:r>
      <w:r w:rsidR="00D241A9">
        <w:t>realises,</w:t>
      </w:r>
      <w:r w:rsidR="00203E65">
        <w:t xml:space="preserve"> she’s involved in the situation, that the gesture has meaning and she must choose </w:t>
      </w:r>
      <w:r w:rsidR="008E13FF">
        <w:t>whether</w:t>
      </w:r>
      <w:r w:rsidR="00203E65">
        <w:t xml:space="preserve"> she wants to be in this</w:t>
      </w:r>
      <w:r w:rsidR="008E13FF">
        <w:t>. This shows</w:t>
      </w:r>
      <w:r w:rsidR="002A3158">
        <w:t xml:space="preserve"> </w:t>
      </w:r>
      <w:r w:rsidR="008E13FF">
        <w:t>even if Sartre doesn’t realise, that bad faith and authenticity go together</w:t>
      </w:r>
      <w:r w:rsidR="002A3158">
        <w:t xml:space="preserve"> because it is through the bad faith, that one can discover </w:t>
      </w:r>
      <w:r w:rsidR="005B4FEA">
        <w:t xml:space="preserve">if someone makes a situation authentically meaningful as we discover where we make </w:t>
      </w:r>
      <w:r w:rsidR="00D241A9">
        <w:t>excuses and how to rectify them, there is a constant movement between the two.</w:t>
      </w:r>
      <w:r w:rsidR="0094648C">
        <w:t xml:space="preserve"> Sartre believed regarding relationships that </w:t>
      </w:r>
      <w:r w:rsidR="009316CC">
        <w:t>there</w:t>
      </w:r>
      <w:r w:rsidR="0094648C">
        <w:t xml:space="preserve"> would always be conflict </w:t>
      </w:r>
      <w:r w:rsidR="009316CC">
        <w:t>because inherently there is a struggle for freedom and dominance over how one is perceived.</w:t>
      </w:r>
    </w:p>
    <w:p w14:paraId="1314E53F" w14:textId="4FA93B66" w:rsidR="00CD32D3" w:rsidRDefault="0097287A" w:rsidP="000C5F72">
      <w:r>
        <w:t>On the other hand,</w:t>
      </w:r>
      <w:r w:rsidR="00D35BAA">
        <w:t xml:space="preserve"> bad faith implies that we are always responsible for </w:t>
      </w:r>
      <w:r w:rsidR="00A21DCA">
        <w:t>how</w:t>
      </w:r>
      <w:r w:rsidR="00D35BAA">
        <w:t xml:space="preserve"> we interpret our situations, this could be blaming the victim or denying genuine</w:t>
      </w:r>
      <w:r w:rsidR="00A21DCA">
        <w:t xml:space="preserve"> trauma and tragedy. An example could be someone in an abusive relationship, are they in bad faith for not leaving?</w:t>
      </w:r>
      <w:r w:rsidR="00137D00">
        <w:t xml:space="preserve"> It seems the framework Sartre has for bad faith struggles to handle vulnerability</w:t>
      </w:r>
      <w:r w:rsidR="00405C02">
        <w:t>. This is further shown in the example of the gambler</w:t>
      </w:r>
      <w:r w:rsidR="00D058E8">
        <w:t xml:space="preserve"> as </w:t>
      </w:r>
      <w:r w:rsidR="00BF4873">
        <w:t>“the earlier resolution of not plying anymore is always there”</w:t>
      </w:r>
      <w:r w:rsidR="0072355F">
        <w:rPr>
          <w:rStyle w:val="FootnoteReference"/>
        </w:rPr>
        <w:footnoteReference w:id="10"/>
      </w:r>
      <w:r w:rsidR="00F70A05">
        <w:t xml:space="preserve"> as addiction has no real </w:t>
      </w:r>
      <w:r w:rsidR="00747DF5">
        <w:t>force</w:t>
      </w:r>
      <w:r w:rsidR="00777FC9">
        <w:t>, Sartre suggested that the desire will never determine behaviour as they are just aspects of our situation, which Sar</w:t>
      </w:r>
      <w:r w:rsidR="00BA3115">
        <w:t>t</w:t>
      </w:r>
      <w:r w:rsidR="00777FC9">
        <w:t>re called facticity</w:t>
      </w:r>
      <w:r w:rsidR="007017A4">
        <w:t xml:space="preserve">. However, this is harsh because there could be pressure that the gambler is facing, such as social or </w:t>
      </w:r>
      <w:r w:rsidR="00747DF5">
        <w:t>economic</w:t>
      </w:r>
      <w:r w:rsidR="007017A4">
        <w:t xml:space="preserve"> pressures and </w:t>
      </w:r>
      <w:r w:rsidR="00BA3115">
        <w:t>the view Sartre hold here appears to ignore these constraints and places total lame on the indiv</w:t>
      </w:r>
      <w:r w:rsidR="00747DF5">
        <w:t>id</w:t>
      </w:r>
      <w:r w:rsidR="00BA3115">
        <w:t>u</w:t>
      </w:r>
      <w:r w:rsidR="00747DF5">
        <w:t>a</w:t>
      </w:r>
      <w:r w:rsidR="00BA3115">
        <w:t>l, when it could be out of their control.</w:t>
      </w:r>
    </w:p>
    <w:p w14:paraId="1E07FC2C" w14:textId="319BFE4A" w:rsidR="002158C9" w:rsidRDefault="00330407" w:rsidP="000C5F72">
      <w:r>
        <w:t>Sartre’s bad faith analogy in ‘Existentialism as a Humanism’ provides</w:t>
      </w:r>
      <w:r w:rsidR="002469D7">
        <w:t xml:space="preserve"> stance that </w:t>
      </w:r>
      <w:r w:rsidR="00FB3809">
        <w:t>“nothing can be good for</w:t>
      </w:r>
      <w:r w:rsidR="003A21F3">
        <w:t xml:space="preserve"> any of us, unless it is good for all”</w:t>
      </w:r>
      <w:r w:rsidR="003A21F3">
        <w:rPr>
          <w:rStyle w:val="FootnoteReference"/>
        </w:rPr>
        <w:footnoteReference w:id="11"/>
      </w:r>
      <w:r w:rsidR="007A7012">
        <w:t xml:space="preserve">, therefore if we reject bad faith that means we create meaning through action, it gives Sartre’s existentialist view a deep moral seriousness because although every human is different and their conscious acts in different ways, if one man does good, another man should use that as a basis to follow. An example of this could be </w:t>
      </w:r>
      <w:r w:rsidR="000955EC">
        <w:t>chasing a career path or dream. Using the waiter again as an example, if we do not want to be a waiter, we should use good faith and not bad</w:t>
      </w:r>
      <w:r w:rsidR="00A62833">
        <w:t xml:space="preserve"> faith. We have the </w:t>
      </w:r>
      <w:r w:rsidR="004C6ABF">
        <w:t>complete</w:t>
      </w:r>
      <w:r w:rsidR="00A62833">
        <w:t xml:space="preserve"> capability to chase our dreams, but because </w:t>
      </w:r>
      <w:r w:rsidR="004C6ABF">
        <w:t xml:space="preserve">this </w:t>
      </w:r>
      <w:r w:rsidR="00A62833">
        <w:t>radical freedom gives us stress or anxiety</w:t>
      </w:r>
      <w:r w:rsidR="004C6ABF">
        <w:t xml:space="preserve">, we avoid it because we don’t want to experience these emotions. Sartre believes we should </w:t>
      </w:r>
      <w:r w:rsidR="002158C9">
        <w:t>feel this anxiety as its temporary, and the end results make us happier than we would be being the same waiter in the café for the rest of our lives.</w:t>
      </w:r>
    </w:p>
    <w:p w14:paraId="1C5BB413" w14:textId="11A5913B" w:rsidR="00513732" w:rsidRDefault="00171C30" w:rsidP="000C5F72">
      <w:r>
        <w:t xml:space="preserve">Nevertheless, a strength for Sartre’s bad faith is </w:t>
      </w:r>
      <w:r w:rsidR="00FF65FB">
        <w:t xml:space="preserve">that it has consistent relevance </w:t>
      </w:r>
      <w:r w:rsidR="00B111CA">
        <w:t xml:space="preserve">to modern day life. </w:t>
      </w:r>
      <w:proofErr w:type="gramStart"/>
      <w:r w:rsidR="00B111CA">
        <w:t>Through the use of</w:t>
      </w:r>
      <w:proofErr w:type="gramEnd"/>
      <w:r w:rsidR="00B111CA">
        <w:t xml:space="preserve"> social media people can put on a persona of which has little to no correlation with who they are off social media</w:t>
      </w:r>
      <w:r w:rsidR="0017093D">
        <w:t xml:space="preserve">. The temptation to </w:t>
      </w:r>
      <w:r w:rsidR="004C5ABA">
        <w:t>reduce oneself to a fixed persona is stronger than ever in the 21</w:t>
      </w:r>
      <w:r w:rsidR="004C5ABA" w:rsidRPr="004C5ABA">
        <w:rPr>
          <w:vertAlign w:val="superscript"/>
        </w:rPr>
        <w:t>st</w:t>
      </w:r>
      <w:r w:rsidR="004C5ABA">
        <w:t xml:space="preserve"> century. </w:t>
      </w:r>
      <w:r w:rsidR="008F4244">
        <w:t xml:space="preserve">Therefore, Sartre’s argument highlights the tension between authenticity and social performance, which </w:t>
      </w:r>
      <w:r w:rsidR="008F4244">
        <w:lastRenderedPageBreak/>
        <w:t>again is very relevant to modern day.</w:t>
      </w:r>
      <w:r w:rsidR="00DC6FF9">
        <w:t xml:space="preserve"> However, Sartre is accused of </w:t>
      </w:r>
      <w:proofErr w:type="spellStart"/>
      <w:r w:rsidR="00DC6FF9">
        <w:t>quietism</w:t>
      </w:r>
      <w:proofErr w:type="spellEnd"/>
      <w:r w:rsidR="009413A6">
        <w:t xml:space="preserve"> – “others can do, what I cannot do”</w:t>
      </w:r>
      <w:r w:rsidR="009413A6">
        <w:rPr>
          <w:rStyle w:val="FootnoteReference"/>
        </w:rPr>
        <w:footnoteReference w:id="12"/>
      </w:r>
      <w:r w:rsidR="00DC6FF9">
        <w:t xml:space="preserve"> </w:t>
      </w:r>
      <w:r w:rsidR="00B03E94">
        <w:t>. C</w:t>
      </w:r>
      <w:r w:rsidR="00DC6FF9">
        <w:t xml:space="preserve">ommunists specifically would argue existentialism </w:t>
      </w:r>
      <w:r w:rsidR="006A3670">
        <w:t>emphasise</w:t>
      </w:r>
      <w:r w:rsidR="00DC6FF9">
        <w:t xml:space="preserve"> the absurdity of the world and places all </w:t>
      </w:r>
      <w:r w:rsidR="006A3670">
        <w:t>responsibility</w:t>
      </w:r>
      <w:r w:rsidR="00DC6FF9">
        <w:t xml:space="preserve"> on the </w:t>
      </w:r>
      <w:r w:rsidR="006A3670">
        <w:t xml:space="preserve">individual, this shouldn’t be the case as </w:t>
      </w:r>
      <w:r w:rsidR="00650DFD">
        <w:t xml:space="preserve">it teaches that </w:t>
      </w:r>
      <w:r w:rsidR="00751729">
        <w:t>the soul should be entirely passive. This creates a burden of choice</w:t>
      </w:r>
      <w:r w:rsidR="00FC5AA5">
        <w:t xml:space="preserve"> and as Sartre said “</w:t>
      </w:r>
      <w:r w:rsidR="00B23B19">
        <w:t>th</w:t>
      </w:r>
      <w:r w:rsidR="00DA399A">
        <w:t>e only way to evade [a] disturbing thought is through some kind of bad faith”</w:t>
      </w:r>
      <w:r w:rsidR="00DA399A">
        <w:rPr>
          <w:rStyle w:val="FootnoteReference"/>
        </w:rPr>
        <w:footnoteReference w:id="13"/>
      </w:r>
      <w:r w:rsidR="00513732">
        <w:t xml:space="preserve">. Therefore, what is bad faith that also doesn’t entail good faith? We could think we have done a good deed, but because we have restricted </w:t>
      </w:r>
      <w:proofErr w:type="gramStart"/>
      <w:r w:rsidR="00513732">
        <w:t>ourself</w:t>
      </w:r>
      <w:proofErr w:type="gramEnd"/>
      <w:r w:rsidR="00513732">
        <w:t>, it is bad faith according to Sartre.</w:t>
      </w:r>
      <w:r w:rsidR="00F034ED">
        <w:t xml:space="preserve"> Human being will never know how to act because their freedom can backfire.</w:t>
      </w:r>
    </w:p>
    <w:p w14:paraId="22BF516B" w14:textId="0663A23C" w:rsidR="00747DF5" w:rsidRDefault="00747DF5" w:rsidP="000C5F72">
      <w:r>
        <w:t xml:space="preserve">In addition, another criticism to Sartre’s bad faith could be that we never know what </w:t>
      </w:r>
      <w:r w:rsidR="00073501">
        <w:t xml:space="preserve">characterises a free action which isn’t bad </w:t>
      </w:r>
      <w:r w:rsidR="00D754E3">
        <w:t>faith?</w:t>
      </w:r>
      <w:r w:rsidR="00161B7A">
        <w:t xml:space="preserve"> Going back to the gambler, the closer we are to a situation or event makes us more </w:t>
      </w:r>
      <w:r w:rsidR="00D754E3">
        <w:t>obvious that there is nothing preventing us from doing such act</w:t>
      </w:r>
      <w:r w:rsidR="00AD54B0">
        <w:t xml:space="preserve"> as “</w:t>
      </w:r>
      <w:r w:rsidR="00431297">
        <w:t>the non-gambling is only one of my possibilities, as the fact of gambling is another of them”</w:t>
      </w:r>
      <w:r w:rsidR="00431297">
        <w:rPr>
          <w:rStyle w:val="FootnoteReference"/>
        </w:rPr>
        <w:footnoteReference w:id="14"/>
      </w:r>
      <w:r w:rsidR="00ED07C4">
        <w:t>. This shows that maybe they want to be a gambler, and that is their free choice through their consciousness</w:t>
      </w:r>
      <w:r w:rsidR="0036566C">
        <w:t xml:space="preserve">, I am still a being-for-itself </w:t>
      </w:r>
      <w:r w:rsidR="00035D0C">
        <w:t>because</w:t>
      </w:r>
      <w:r w:rsidR="0036566C">
        <w:t xml:space="preserve"> I recognise that I could do more than just call myself a gambler, however for Sartre he would argue that because you’ve fixed yourself to being called a gambler, you become a being-in-itself because others will perceive you this way.</w:t>
      </w:r>
    </w:p>
    <w:p w14:paraId="694BA5AB" w14:textId="715D656C" w:rsidR="00F034ED" w:rsidRDefault="007D398B" w:rsidP="000C5F72">
      <w:r>
        <w:t>Moreover, it is important to not</w:t>
      </w:r>
      <w:r w:rsidR="00940513">
        <w:t>e</w:t>
      </w:r>
      <w:r>
        <w:t xml:space="preserve"> “the other”</w:t>
      </w:r>
      <w:r w:rsidR="00940513">
        <w:t xml:space="preserve"> in Sartre’s ‘Being and </w:t>
      </w:r>
      <w:r w:rsidR="00EC1465">
        <w:t>Nothingness</w:t>
      </w:r>
      <w:r w:rsidR="00940513">
        <w:t>’.</w:t>
      </w:r>
      <w:r w:rsidR="00A052A7">
        <w:t xml:space="preserve"> The other is another subject like me, a </w:t>
      </w:r>
      <w:r w:rsidR="00EC1465">
        <w:t>conscious</w:t>
      </w:r>
      <w:r w:rsidR="00A052A7">
        <w:t xml:space="preserve"> being who sees the world and has their own freedom</w:t>
      </w:r>
      <w:r w:rsidR="00CA7A75">
        <w:t>.</w:t>
      </w:r>
      <w:r w:rsidR="00D26CE7">
        <w:t xml:space="preserve"> Sartre uses a keyhole </w:t>
      </w:r>
      <w:r w:rsidR="00774343">
        <w:t>analogy;</w:t>
      </w:r>
      <w:r w:rsidR="00D26CE7">
        <w:t xml:space="preserve"> I get caught by the other and they see “the very centre of my act</w:t>
      </w:r>
      <w:r w:rsidR="00774343">
        <w:t xml:space="preserve"> as the solidification and alienation of my own possibilities</w:t>
      </w:r>
      <w:r w:rsidR="00774343">
        <w:rPr>
          <w:rStyle w:val="FootnoteReference"/>
        </w:rPr>
        <w:footnoteReference w:id="15"/>
      </w:r>
      <w:r w:rsidR="00D26CE7">
        <w:t>”</w:t>
      </w:r>
      <w:r w:rsidR="00D97A14">
        <w:t xml:space="preserve">. This for Sartre meant that the other sees me as a </w:t>
      </w:r>
      <w:r w:rsidR="00323D06">
        <w:t>being</w:t>
      </w:r>
      <w:r w:rsidR="00D97A14">
        <w:t>-in-itself, like an object</w:t>
      </w:r>
      <w:r w:rsidR="006B4A7E">
        <w:t xml:space="preserve"> and once I have been captured by the other, </w:t>
      </w:r>
      <w:r w:rsidR="002E5DA5">
        <w:t>I’</w:t>
      </w:r>
      <w:r w:rsidR="006B4A7E">
        <w:t>ve detached myself from the act</w:t>
      </w:r>
      <w:r w:rsidR="002E5DA5">
        <w:t>, my conscious gets flipped back onto itself and this results in me feeling ashamed or embarrassed because I have been stripped of my freedom</w:t>
      </w:r>
      <w:r w:rsidR="00067FCF">
        <w:t xml:space="preserve">, this again is a sign of bad faith. </w:t>
      </w:r>
      <w:r w:rsidR="00EE7512">
        <w:t xml:space="preserve">This </w:t>
      </w:r>
      <w:r w:rsidR="004F1209">
        <w:t>person’s</w:t>
      </w:r>
      <w:r w:rsidR="00EE7512">
        <w:t xml:space="preserve"> freedom that we have gained here does come with a criticism, it encourages judgment that we cannot control, which makes us embarrassed or live in despair</w:t>
      </w:r>
      <w:r w:rsidR="004155CD">
        <w:t xml:space="preserve"> and as “anguish can be seen even when concealed”</w:t>
      </w:r>
      <w:r w:rsidR="004155CD">
        <w:rPr>
          <w:rStyle w:val="FootnoteReference"/>
        </w:rPr>
        <w:footnoteReference w:id="16"/>
      </w:r>
      <w:r w:rsidR="00BB68E5">
        <w:t xml:space="preserve"> and “abandonment entails anguish”</w:t>
      </w:r>
      <w:r w:rsidR="00BB68E5">
        <w:rPr>
          <w:rStyle w:val="FootnoteReference"/>
        </w:rPr>
        <w:footnoteReference w:id="17"/>
      </w:r>
      <w:r w:rsidR="004F1209">
        <w:t xml:space="preserve"> it creates </w:t>
      </w:r>
      <w:r w:rsidR="00E125DA">
        <w:t>suspense on where we go with our life next, and Sartre never fully discovered that answer after we were truly free.</w:t>
      </w:r>
    </w:p>
    <w:p w14:paraId="24B8F678" w14:textId="3E31DB17" w:rsidR="000003CA" w:rsidRDefault="00542DC0" w:rsidP="000C5F72">
      <w:r>
        <w:t>Additionally, a</w:t>
      </w:r>
      <w:r w:rsidR="00D636DD">
        <w:t xml:space="preserve"> strength for the concept of the other could be the </w:t>
      </w:r>
      <w:r w:rsidR="00555C95">
        <w:t>explanation</w:t>
      </w:r>
      <w:r w:rsidR="00D636DD">
        <w:t xml:space="preserve"> of why we want to es</w:t>
      </w:r>
      <w:r w:rsidR="00C37504">
        <w:t>cape our freedom, as bad faith is an attempt to deny it, the pressure from the other makes this temptation much stronger</w:t>
      </w:r>
      <w:r w:rsidR="000003CA">
        <w:t xml:space="preserve">, this is due to being perceived as an object, </w:t>
      </w:r>
      <w:r w:rsidR="000003CA">
        <w:lastRenderedPageBreak/>
        <w:t xml:space="preserve">being judged, fixed and </w:t>
      </w:r>
      <w:r w:rsidR="00EE7512">
        <w:t>labelled. A</w:t>
      </w:r>
      <w:r w:rsidR="003919E9">
        <w:t xml:space="preserve"> criticism</w:t>
      </w:r>
      <w:r w:rsidR="00067FCF">
        <w:t xml:space="preserve"> to the bad faith scenario her</w:t>
      </w:r>
      <w:r w:rsidR="005B089B">
        <w:t xml:space="preserve">e is that it seems very one sided, it </w:t>
      </w:r>
      <w:r w:rsidR="005F2251">
        <w:t xml:space="preserve">ignores </w:t>
      </w:r>
      <w:r w:rsidR="00C17D7B">
        <w:t>relationships</w:t>
      </w:r>
      <w:r w:rsidR="005F2251">
        <w:t xml:space="preserve"> that humans make with one another</w:t>
      </w:r>
      <w:r w:rsidR="00C17D7B">
        <w:t>, reducing them to power struggles and assumes that objectification is inevitable</w:t>
      </w:r>
      <w:r w:rsidR="00533A7B">
        <w:t xml:space="preserve">, it becomes too </w:t>
      </w:r>
      <w:r w:rsidR="00113CE0">
        <w:t>pessimistic. It</w:t>
      </w:r>
      <w:r w:rsidR="006D74A2">
        <w:t xml:space="preserve"> could also be argued that the concept of the other is nihilistic also, this is up to interpretation as it could destroy a stable identity we have for ourselves</w:t>
      </w:r>
      <w:r w:rsidR="008D49CF">
        <w:t xml:space="preserve">, we could question whether we are in total control of ourselves, and that we believe that because the other has defined me in some way, such as an </w:t>
      </w:r>
      <w:r w:rsidR="002A0DCF">
        <w:t>eavesdropper</w:t>
      </w:r>
      <w:r w:rsidR="008D49CF">
        <w:t xml:space="preserve">, I cannot fix </w:t>
      </w:r>
      <w:r w:rsidR="002A0DCF">
        <w:t>it, creating a loss of meaning or essence.</w:t>
      </w:r>
    </w:p>
    <w:p w14:paraId="0B7A4C87" w14:textId="289FC426" w:rsidR="003919E9" w:rsidRDefault="003919E9" w:rsidP="000C5F72">
      <w:r>
        <w:t>In evaluating Sartre’s concept of bad faith</w:t>
      </w:r>
      <w:r w:rsidR="004163C5">
        <w:t>, it does offer a profound account of human freedom, responsibility and self-deception. It captures the ambiguity of human existence and the pressures we face</w:t>
      </w:r>
      <w:r w:rsidR="00653ED8">
        <w:t xml:space="preserve"> as bad faith has the “</w:t>
      </w:r>
      <w:r w:rsidR="00AC612C">
        <w:t>appearance the structure of falsehood”</w:t>
      </w:r>
      <w:r w:rsidR="00AC612C">
        <w:rPr>
          <w:rStyle w:val="FootnoteReference"/>
        </w:rPr>
        <w:footnoteReference w:id="18"/>
      </w:r>
      <w:r w:rsidR="00E627DD">
        <w:t xml:space="preserve"> However, it faces serious chal</w:t>
      </w:r>
      <w:r w:rsidR="00DC7927">
        <w:t xml:space="preserve">lenges </w:t>
      </w:r>
      <w:r w:rsidR="00FB6BDE">
        <w:t>such as being too b</w:t>
      </w:r>
      <w:r w:rsidR="00C97F59">
        <w:t xml:space="preserve">ourgeoise, which shows that </w:t>
      </w:r>
      <w:r w:rsidR="00CA4022">
        <w:t>it’s</w:t>
      </w:r>
      <w:r w:rsidR="00C97F59">
        <w:t xml:space="preserve"> quite morbid to apply it to real life scenarios</w:t>
      </w:r>
      <w:r w:rsidR="002D3B43">
        <w:t>, it focuses too much on the negatives in life rather than the positives.</w:t>
      </w:r>
      <w:r w:rsidR="003607B1">
        <w:t xml:space="preserve"> It also overlooks external </w:t>
      </w:r>
      <w:r w:rsidR="00155F38">
        <w:t>influences</w:t>
      </w:r>
      <w:r w:rsidR="003607B1">
        <w:t xml:space="preserve"> and determinism, such as childhood, past and genetics that make up </w:t>
      </w:r>
      <w:proofErr w:type="gramStart"/>
      <w:r w:rsidR="003607B1">
        <w:t>ones</w:t>
      </w:r>
      <w:proofErr w:type="gramEnd"/>
      <w:r w:rsidR="003607B1">
        <w:t xml:space="preserve"> existence, as these cannot be changed, that is the only bit of human nature that would be fixed</w:t>
      </w:r>
      <w:r w:rsidR="00155F38">
        <w:t xml:space="preserve"> even though we have a conscious because we can’t change our past or parents.</w:t>
      </w:r>
    </w:p>
    <w:p w14:paraId="2FC2DF3A" w14:textId="0ACA7194" w:rsidR="008B1B2A" w:rsidRDefault="00F256F9" w:rsidP="000C5F72">
      <w:r>
        <w:t xml:space="preserve">In </w:t>
      </w:r>
      <w:r w:rsidR="007D398B">
        <w:t>conclusion, Jean</w:t>
      </w:r>
      <w:r w:rsidR="00AF6DFA">
        <w:t>-Paul Sart</w:t>
      </w:r>
      <w:r w:rsidR="0097153D">
        <w:t xml:space="preserve">re’s concept of bad faith provides a striking account of how individuals escape the anxiety of </w:t>
      </w:r>
      <w:r w:rsidR="007D398B">
        <w:t>freedom</w:t>
      </w:r>
      <w:r w:rsidR="0097153D">
        <w:t xml:space="preserve"> by </w:t>
      </w:r>
      <w:r w:rsidR="007D398B">
        <w:t>deceiving</w:t>
      </w:r>
      <w:r w:rsidR="0097153D">
        <w:t xml:space="preserve"> themselves into believing they are a being-in</w:t>
      </w:r>
      <w:r w:rsidR="00BF680B">
        <w:t xml:space="preserve">-itself. Sartre’s bad faith also provides how people deny their responsibility by appealing to social </w:t>
      </w:r>
      <w:r w:rsidR="007D398B">
        <w:t>expectations</w:t>
      </w:r>
      <w:r w:rsidR="00BF680B">
        <w:t xml:space="preserve"> or personal traits</w:t>
      </w:r>
      <w:r w:rsidR="00C063CA">
        <w:t xml:space="preserve">. Heidegger’s ‘they-self’ emphasises that bad faith can be seen as both a personal </w:t>
      </w:r>
      <w:r w:rsidR="0040595E">
        <w:t>and social form of inauthenticity. Although, Sartre’s view faces various challenges</w:t>
      </w:r>
      <w:r w:rsidR="001622DB">
        <w:t xml:space="preserve">, his emphasis on radical freedom may overlook constraints such as sexism, racism and class levels. Despite this, the concept remains valuable as a critical tool, it </w:t>
      </w:r>
      <w:r w:rsidR="007D398B">
        <w:t>compels</w:t>
      </w:r>
      <w:r w:rsidR="001622DB">
        <w:t xml:space="preserve"> individuals to </w:t>
      </w:r>
      <w:r w:rsidR="007D398B">
        <w:t>recognise</w:t>
      </w:r>
      <w:r w:rsidR="001622DB">
        <w:t xml:space="preserve"> their own freedom and how they conceal it</w:t>
      </w:r>
      <w:r w:rsidR="007D398B">
        <w:t xml:space="preserve"> from themselves in everyday life to avoid conflict or that anguish Sartre brings to the argument.</w:t>
      </w:r>
      <w:r w:rsidR="00EF1DFE">
        <w:t xml:space="preserve"> Radical freedom, </w:t>
      </w:r>
      <w:proofErr w:type="gramStart"/>
      <w:r w:rsidR="00EF1DFE">
        <w:t>in regards to</w:t>
      </w:r>
      <w:proofErr w:type="gramEnd"/>
      <w:r w:rsidR="00EF1DFE">
        <w:t xml:space="preserve"> bad faith should be seen</w:t>
      </w:r>
      <w:r w:rsidR="007A72CF">
        <w:t xml:space="preserve"> not as a licence, but as an ontological condition of human existence.</w:t>
      </w:r>
    </w:p>
    <w:p w14:paraId="3AA8837D" w14:textId="06E08B1B" w:rsidR="000C402A" w:rsidRPr="0028619B" w:rsidRDefault="000C402A" w:rsidP="0028619B">
      <w:r w:rsidRPr="0028619B">
        <w:t>Bibliography:</w:t>
      </w:r>
    </w:p>
    <w:p w14:paraId="27036EA9" w14:textId="77777777" w:rsidR="00793989" w:rsidRDefault="0028619B" w:rsidP="00793989">
      <w:pPr>
        <w:pStyle w:val="ListParagraph"/>
        <w:numPr>
          <w:ilvl w:val="0"/>
          <w:numId w:val="2"/>
        </w:numPr>
      </w:pPr>
      <w:r w:rsidRPr="0028619B">
        <w:t>Sartre, J.-P. (2003) Being and Nothingness: An Essay on Phenomenological Ontology. Translated by H. E. Barnes. London: Routledge. Available at: </w:t>
      </w:r>
      <w:hyperlink r:id="rId8" w:tgtFrame="_new" w:history="1">
        <w:r w:rsidRPr="0028619B">
          <w:rPr>
            <w:rStyle w:val="Hyperlink"/>
          </w:rPr>
          <w:t>https://antilogicalism.com/wp-content/uploads/2017/07/being-and-nothingness.pdf</w:t>
        </w:r>
      </w:hyperlink>
    </w:p>
    <w:p w14:paraId="43A85252" w14:textId="77777777" w:rsidR="009B2F77" w:rsidRDefault="00793989" w:rsidP="009B2F77">
      <w:pPr>
        <w:pStyle w:val="ListParagraph"/>
        <w:numPr>
          <w:ilvl w:val="0"/>
          <w:numId w:val="2"/>
        </w:numPr>
      </w:pPr>
      <w:r w:rsidRPr="00793989">
        <w:t>S</w:t>
      </w:r>
      <w:r>
        <w:t>artre</w:t>
      </w:r>
      <w:r w:rsidRPr="00793989">
        <w:t>, J</w:t>
      </w:r>
      <w:r>
        <w:t>ean-Paul</w:t>
      </w:r>
      <w:r w:rsidRPr="00793989">
        <w:t>, et al. “Existentialism Is a Humanism.” Existentialism Is a Humanism, edited by JOHN KULKA, Yale University Press, 2007, pp. 17–</w:t>
      </w:r>
      <w:r w:rsidRPr="00793989">
        <w:lastRenderedPageBreak/>
        <w:t>72. JSTOR</w:t>
      </w:r>
      <w:r w:rsidR="007F305E">
        <w:t xml:space="preserve">. Available at </w:t>
      </w:r>
      <w:hyperlink r:id="rId9" w:history="1">
        <w:r w:rsidR="00903D6C" w:rsidRPr="004460B5">
          <w:rPr>
            <w:rStyle w:val="Hyperlink"/>
          </w:rPr>
          <w:t>https://www-jstor-</w:t>
        </w:r>
        <w:r w:rsidR="00903D6C" w:rsidRPr="004460B5">
          <w:rPr>
            <w:rStyle w:val="Hyperlink"/>
          </w:rPr>
          <w:t>o</w:t>
        </w:r>
        <w:r w:rsidR="00903D6C" w:rsidRPr="004460B5">
          <w:rPr>
            <w:rStyle w:val="Hyperlink"/>
          </w:rPr>
          <w:t>rg.uwtsd.idm.oclc.org/stable/j.ctv15vwkgx.5</w:t>
        </w:r>
      </w:hyperlink>
      <w:r w:rsidR="00903D6C">
        <w:t xml:space="preserve"> </w:t>
      </w:r>
    </w:p>
    <w:p w14:paraId="2A631ACB" w14:textId="379126CF" w:rsidR="00AC605F" w:rsidRDefault="009B2F77" w:rsidP="00542DC0">
      <w:pPr>
        <w:pStyle w:val="ListParagraph"/>
        <w:numPr>
          <w:ilvl w:val="0"/>
          <w:numId w:val="2"/>
        </w:numPr>
      </w:pPr>
      <w:r w:rsidRPr="009B2F77">
        <w:rPr>
          <w:lang w:eastAsia="en-GB"/>
        </w:rPr>
        <w:t>Steeves, James B. “Authenticity and Falling in Martin Heidegger’s ‘Being and Time.’” </w:t>
      </w:r>
      <w:proofErr w:type="spellStart"/>
      <w:r w:rsidRPr="009B2F77">
        <w:rPr>
          <w:lang w:eastAsia="en-GB"/>
        </w:rPr>
        <w:t>Iyyun</w:t>
      </w:r>
      <w:proofErr w:type="spellEnd"/>
      <w:r w:rsidRPr="009B2F77">
        <w:rPr>
          <w:lang w:eastAsia="en-GB"/>
        </w:rPr>
        <w:t xml:space="preserve">: The Jerusalem Philosophical Quarterly / </w:t>
      </w:r>
      <w:proofErr w:type="spellStart"/>
      <w:r w:rsidRPr="009B2F77">
        <w:rPr>
          <w:rFonts w:ascii="Arial" w:hAnsi="Arial" w:cs="Arial"/>
          <w:lang w:eastAsia="en-GB"/>
        </w:rPr>
        <w:t>עיון</w:t>
      </w:r>
      <w:proofErr w:type="spellEnd"/>
      <w:r w:rsidRPr="009B2F77">
        <w:rPr>
          <w:lang w:eastAsia="en-GB"/>
        </w:rPr>
        <w:t xml:space="preserve">: </w:t>
      </w:r>
      <w:proofErr w:type="spellStart"/>
      <w:r w:rsidRPr="009B2F77">
        <w:rPr>
          <w:rFonts w:ascii="Arial" w:hAnsi="Arial" w:cs="Arial"/>
          <w:lang w:eastAsia="en-GB"/>
        </w:rPr>
        <w:t>רבעון</w:t>
      </w:r>
      <w:proofErr w:type="spellEnd"/>
      <w:r w:rsidRPr="009B2F77">
        <w:rPr>
          <w:lang w:eastAsia="en-GB"/>
        </w:rPr>
        <w:t xml:space="preserve"> </w:t>
      </w:r>
      <w:proofErr w:type="spellStart"/>
      <w:r w:rsidRPr="009B2F77">
        <w:rPr>
          <w:rFonts w:ascii="Arial" w:hAnsi="Arial" w:cs="Arial"/>
          <w:lang w:eastAsia="en-GB"/>
        </w:rPr>
        <w:t>פילוסופי</w:t>
      </w:r>
      <w:proofErr w:type="spellEnd"/>
      <w:r w:rsidRPr="009B2F77">
        <w:rPr>
          <w:lang w:eastAsia="en-GB"/>
        </w:rPr>
        <w:t xml:space="preserve">, vol. 46, 1997, pp. 327–38. JSTOR, </w:t>
      </w:r>
      <w:hyperlink r:id="rId10" w:history="1">
        <w:r w:rsidRPr="004460B5">
          <w:rPr>
            <w:rStyle w:val="Hyperlink"/>
            <w:lang w:eastAsia="en-GB"/>
          </w:rPr>
          <w:t>http://www.jstor.org/stable/23352580</w:t>
        </w:r>
      </w:hyperlink>
      <w:r>
        <w:rPr>
          <w:lang w:eastAsia="en-GB"/>
        </w:rPr>
        <w:t xml:space="preserve"> </w:t>
      </w:r>
    </w:p>
    <w:p w14:paraId="392F8BE2" w14:textId="77777777" w:rsidR="001B79D0" w:rsidRDefault="001B79D0"/>
    <w:sectPr w:rsidR="001B79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7E274" w14:textId="77777777" w:rsidR="00452E63" w:rsidRDefault="00452E63" w:rsidP="00452E63">
      <w:pPr>
        <w:spacing w:after="0" w:line="240" w:lineRule="auto"/>
      </w:pPr>
      <w:r>
        <w:separator/>
      </w:r>
    </w:p>
  </w:endnote>
  <w:endnote w:type="continuationSeparator" w:id="0">
    <w:p w14:paraId="29BC7BE2" w14:textId="77777777" w:rsidR="00452E63" w:rsidRDefault="00452E63" w:rsidP="00452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918AC" w14:textId="77777777" w:rsidR="00452E63" w:rsidRDefault="00452E63" w:rsidP="00452E63">
      <w:pPr>
        <w:spacing w:after="0" w:line="240" w:lineRule="auto"/>
      </w:pPr>
      <w:r>
        <w:separator/>
      </w:r>
    </w:p>
  </w:footnote>
  <w:footnote w:type="continuationSeparator" w:id="0">
    <w:p w14:paraId="38B9E66C" w14:textId="77777777" w:rsidR="00452E63" w:rsidRDefault="00452E63" w:rsidP="00452E63">
      <w:pPr>
        <w:spacing w:after="0" w:line="240" w:lineRule="auto"/>
      </w:pPr>
      <w:r>
        <w:continuationSeparator/>
      </w:r>
    </w:p>
  </w:footnote>
  <w:footnote w:id="1">
    <w:p w14:paraId="6084FF20" w14:textId="12A73663" w:rsidR="00E91009" w:rsidRDefault="00E91009">
      <w:pPr>
        <w:pStyle w:val="FootnoteText"/>
      </w:pPr>
      <w:r>
        <w:rPr>
          <w:rStyle w:val="FootnoteReference"/>
        </w:rPr>
        <w:footnoteRef/>
      </w:r>
      <w:r>
        <w:t xml:space="preserve"> Existentialism is a Humanism</w:t>
      </w:r>
      <w:r w:rsidR="0096688C">
        <w:t>,</w:t>
      </w:r>
      <w:r>
        <w:t xml:space="preserve"> pg.</w:t>
      </w:r>
      <w:r w:rsidR="00464DEA">
        <w:t xml:space="preserve"> 22</w:t>
      </w:r>
    </w:p>
  </w:footnote>
  <w:footnote w:id="2">
    <w:p w14:paraId="04686013" w14:textId="1D32D986" w:rsidR="009104F1" w:rsidRDefault="009104F1">
      <w:pPr>
        <w:pStyle w:val="FootnoteText"/>
      </w:pPr>
      <w:r>
        <w:rPr>
          <w:rStyle w:val="FootnoteReference"/>
        </w:rPr>
        <w:footnoteRef/>
      </w:r>
      <w:r>
        <w:t xml:space="preserve"> Existentialism is a Humanism, pg.</w:t>
      </w:r>
      <w:r w:rsidR="00F863A3">
        <w:t xml:space="preserve"> 21</w:t>
      </w:r>
    </w:p>
  </w:footnote>
  <w:footnote w:id="3">
    <w:p w14:paraId="706FC417" w14:textId="630A0679" w:rsidR="00706823" w:rsidRDefault="00706823">
      <w:pPr>
        <w:pStyle w:val="FootnoteText"/>
      </w:pPr>
      <w:r>
        <w:rPr>
          <w:rStyle w:val="FootnoteReference"/>
        </w:rPr>
        <w:footnoteRef/>
      </w:r>
      <w:r>
        <w:t xml:space="preserve"> </w:t>
      </w:r>
      <w:r w:rsidR="0087438F">
        <w:t xml:space="preserve">Being and Nothingness </w:t>
      </w:r>
      <w:r w:rsidR="002C76D8">
        <w:t xml:space="preserve">– Chapter </w:t>
      </w:r>
      <w:r w:rsidR="0096688C">
        <w:t xml:space="preserve">II, Part I, </w:t>
      </w:r>
      <w:r w:rsidR="0087438F">
        <w:t>pg. 48</w:t>
      </w:r>
    </w:p>
  </w:footnote>
  <w:footnote w:id="4">
    <w:p w14:paraId="50FDD25C" w14:textId="4D7FCA19" w:rsidR="00BD469D" w:rsidRDefault="00BD469D">
      <w:pPr>
        <w:pStyle w:val="FootnoteText"/>
      </w:pPr>
      <w:r>
        <w:rPr>
          <w:rStyle w:val="FootnoteReference"/>
        </w:rPr>
        <w:footnoteRef/>
      </w:r>
      <w:r>
        <w:t xml:space="preserve"> Being and Nothingness – </w:t>
      </w:r>
      <w:r w:rsidR="00EB4863">
        <w:t>Chapter II, Part II, pg.59</w:t>
      </w:r>
    </w:p>
  </w:footnote>
  <w:footnote w:id="5">
    <w:p w14:paraId="5FD949E1" w14:textId="72588EDB" w:rsidR="00A658D9" w:rsidRDefault="00A658D9">
      <w:pPr>
        <w:pStyle w:val="FootnoteText"/>
      </w:pPr>
      <w:r>
        <w:rPr>
          <w:rStyle w:val="FootnoteReference"/>
        </w:rPr>
        <w:footnoteRef/>
      </w:r>
      <w:r>
        <w:t xml:space="preserve"> Being and Nothingness – Chapter II, Part II, pg. 60</w:t>
      </w:r>
    </w:p>
  </w:footnote>
  <w:footnote w:id="6">
    <w:p w14:paraId="555D77EF" w14:textId="3EE84456" w:rsidR="006A4975" w:rsidRDefault="006A4975">
      <w:pPr>
        <w:pStyle w:val="FootnoteText"/>
      </w:pPr>
      <w:r>
        <w:rPr>
          <w:rStyle w:val="FootnoteReference"/>
        </w:rPr>
        <w:footnoteRef/>
      </w:r>
      <w:r>
        <w:t xml:space="preserve"> Authenticity and Falling in Martin Heidegger’s Being and Time pg. 327</w:t>
      </w:r>
    </w:p>
  </w:footnote>
  <w:footnote w:id="7">
    <w:p w14:paraId="5FCBE04B" w14:textId="28B14DE6" w:rsidR="00084B32" w:rsidRDefault="00084B32">
      <w:pPr>
        <w:pStyle w:val="FootnoteText"/>
      </w:pPr>
      <w:r>
        <w:rPr>
          <w:rStyle w:val="FootnoteReference"/>
        </w:rPr>
        <w:footnoteRef/>
      </w:r>
      <w:r>
        <w:t xml:space="preserve"> </w:t>
      </w:r>
      <w:r>
        <w:t>Authenticity and Falling in Martin Heidegger’s Being and Time pg. 32</w:t>
      </w:r>
      <w:r>
        <w:t>8</w:t>
      </w:r>
    </w:p>
  </w:footnote>
  <w:footnote w:id="8">
    <w:p w14:paraId="4460D3C2" w14:textId="6D5A936F" w:rsidR="00252C44" w:rsidRDefault="00252C44">
      <w:pPr>
        <w:pStyle w:val="FootnoteText"/>
      </w:pPr>
      <w:r>
        <w:rPr>
          <w:rStyle w:val="FootnoteReference"/>
        </w:rPr>
        <w:footnoteRef/>
      </w:r>
      <w:r>
        <w:t xml:space="preserve"> Existentialism is a Humanism pg.</w:t>
      </w:r>
      <w:r w:rsidR="008A6847">
        <w:t xml:space="preserve"> 22</w:t>
      </w:r>
    </w:p>
  </w:footnote>
  <w:footnote w:id="9">
    <w:p w14:paraId="3089CDD5" w14:textId="0CDA8783" w:rsidR="00007C96" w:rsidRDefault="00007C96">
      <w:pPr>
        <w:pStyle w:val="FootnoteText"/>
      </w:pPr>
      <w:r>
        <w:rPr>
          <w:rStyle w:val="FootnoteReference"/>
        </w:rPr>
        <w:footnoteRef/>
      </w:r>
      <w:r>
        <w:t xml:space="preserve"> Being and Nothingness, Chapter </w:t>
      </w:r>
      <w:r w:rsidR="005330EF">
        <w:t>II, Part II, pg. 55</w:t>
      </w:r>
    </w:p>
  </w:footnote>
  <w:footnote w:id="10">
    <w:p w14:paraId="040F854A" w14:textId="06259DF4" w:rsidR="0072355F" w:rsidRDefault="0072355F">
      <w:pPr>
        <w:pStyle w:val="FootnoteText"/>
      </w:pPr>
      <w:r>
        <w:rPr>
          <w:rStyle w:val="FootnoteReference"/>
        </w:rPr>
        <w:footnoteRef/>
      </w:r>
      <w:r>
        <w:t xml:space="preserve"> Being and Nothingness, </w:t>
      </w:r>
      <w:r w:rsidR="00CF7A47">
        <w:t>Chapter I, pg. 33</w:t>
      </w:r>
    </w:p>
  </w:footnote>
  <w:footnote w:id="11">
    <w:p w14:paraId="259B2DDF" w14:textId="2DB8C0FC" w:rsidR="003A21F3" w:rsidRDefault="003A21F3">
      <w:pPr>
        <w:pStyle w:val="FootnoteText"/>
      </w:pPr>
      <w:r>
        <w:rPr>
          <w:rStyle w:val="FootnoteReference"/>
        </w:rPr>
        <w:footnoteRef/>
      </w:r>
      <w:r>
        <w:t xml:space="preserve"> </w:t>
      </w:r>
      <w:proofErr w:type="spellStart"/>
      <w:r>
        <w:t>Existentialim</w:t>
      </w:r>
      <w:proofErr w:type="spellEnd"/>
      <w:r>
        <w:t xml:space="preserve"> is a Humanism pg. 24</w:t>
      </w:r>
    </w:p>
  </w:footnote>
  <w:footnote w:id="12">
    <w:p w14:paraId="48D3E3DA" w14:textId="6581FB42" w:rsidR="009413A6" w:rsidRDefault="009413A6">
      <w:pPr>
        <w:pStyle w:val="FootnoteText"/>
      </w:pPr>
      <w:r>
        <w:rPr>
          <w:rStyle w:val="FootnoteReference"/>
        </w:rPr>
        <w:footnoteRef/>
      </w:r>
      <w:r>
        <w:t xml:space="preserve"> </w:t>
      </w:r>
      <w:r w:rsidR="00AF70EB">
        <w:t>Existentialism is a Humanism pg. 36</w:t>
      </w:r>
    </w:p>
  </w:footnote>
  <w:footnote w:id="13">
    <w:p w14:paraId="14257B70" w14:textId="09E2CF6E" w:rsidR="00DA399A" w:rsidRDefault="00DA399A">
      <w:pPr>
        <w:pStyle w:val="FootnoteText"/>
      </w:pPr>
      <w:r>
        <w:rPr>
          <w:rStyle w:val="FootnoteReference"/>
        </w:rPr>
        <w:footnoteRef/>
      </w:r>
      <w:r>
        <w:t xml:space="preserve"> Existentialism is a Humanism pg.</w:t>
      </w:r>
      <w:r w:rsidR="00513732">
        <w:t xml:space="preserve"> 25</w:t>
      </w:r>
    </w:p>
  </w:footnote>
  <w:footnote w:id="14">
    <w:p w14:paraId="2E6F1D91" w14:textId="71736110" w:rsidR="00431297" w:rsidRDefault="00431297">
      <w:pPr>
        <w:pStyle w:val="FootnoteText"/>
      </w:pPr>
      <w:r>
        <w:rPr>
          <w:rStyle w:val="FootnoteReference"/>
        </w:rPr>
        <w:footnoteRef/>
      </w:r>
      <w:r>
        <w:t xml:space="preserve"> </w:t>
      </w:r>
      <w:r w:rsidR="009824BC">
        <w:t xml:space="preserve">Being and Nothingness, Chapter I, pg. </w:t>
      </w:r>
      <w:r w:rsidR="002F59B3">
        <w:t>33-34</w:t>
      </w:r>
    </w:p>
  </w:footnote>
  <w:footnote w:id="15">
    <w:p w14:paraId="60D8AD62" w14:textId="016FF5E8" w:rsidR="00774343" w:rsidRDefault="00774343">
      <w:pPr>
        <w:pStyle w:val="FootnoteText"/>
      </w:pPr>
      <w:r>
        <w:rPr>
          <w:rStyle w:val="FootnoteReference"/>
        </w:rPr>
        <w:footnoteRef/>
      </w:r>
      <w:r>
        <w:t xml:space="preserve"> Being and Nothingness pg.263</w:t>
      </w:r>
    </w:p>
  </w:footnote>
  <w:footnote w:id="16">
    <w:p w14:paraId="7F5BCCF9" w14:textId="593EB212" w:rsidR="004155CD" w:rsidRDefault="004155CD">
      <w:pPr>
        <w:pStyle w:val="FootnoteText"/>
      </w:pPr>
      <w:r>
        <w:rPr>
          <w:rStyle w:val="FootnoteReference"/>
        </w:rPr>
        <w:footnoteRef/>
      </w:r>
      <w:r>
        <w:t xml:space="preserve"> Existentialism is a Humanism pg.</w:t>
      </w:r>
      <w:r w:rsidR="00BB68E5">
        <w:t xml:space="preserve"> 26</w:t>
      </w:r>
    </w:p>
  </w:footnote>
  <w:footnote w:id="17">
    <w:p w14:paraId="3A838F89" w14:textId="2A1C0BE6" w:rsidR="00BB68E5" w:rsidRDefault="00BB68E5">
      <w:pPr>
        <w:pStyle w:val="FootnoteText"/>
      </w:pPr>
      <w:r>
        <w:rPr>
          <w:rStyle w:val="FootnoteReference"/>
        </w:rPr>
        <w:footnoteRef/>
      </w:r>
      <w:r>
        <w:t xml:space="preserve"> Existentialism is a Humanism pg. 34</w:t>
      </w:r>
    </w:p>
  </w:footnote>
  <w:footnote w:id="18">
    <w:p w14:paraId="5C6862FD" w14:textId="74E6629B" w:rsidR="00AC612C" w:rsidRDefault="00AC612C">
      <w:pPr>
        <w:pStyle w:val="FootnoteText"/>
      </w:pPr>
      <w:r>
        <w:rPr>
          <w:rStyle w:val="FootnoteReference"/>
        </w:rPr>
        <w:footnoteRef/>
      </w:r>
      <w:r>
        <w:t xml:space="preserve"> Being and Nothingness, Chapter II, Part </w:t>
      </w:r>
      <w:r w:rsidR="00C6489A">
        <w:t xml:space="preserve">I, </w:t>
      </w:r>
      <w:proofErr w:type="spellStart"/>
      <w:r w:rsidR="00C6489A">
        <w:t>pg</w:t>
      </w:r>
      <w:proofErr w:type="spellEnd"/>
      <w:r w:rsidR="00C6489A">
        <w:t xml:space="preserve"> 49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F75B5"/>
    <w:multiLevelType w:val="hybridMultilevel"/>
    <w:tmpl w:val="0B200640"/>
    <w:lvl w:ilvl="0" w:tplc="338CE1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7144844"/>
    <w:multiLevelType w:val="hybridMultilevel"/>
    <w:tmpl w:val="13CE0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6676775">
    <w:abstractNumId w:val="0"/>
  </w:num>
  <w:num w:numId="2" w16cid:durableId="320157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F72"/>
    <w:rsid w:val="000003CA"/>
    <w:rsid w:val="00004208"/>
    <w:rsid w:val="00007C96"/>
    <w:rsid w:val="00011EE2"/>
    <w:rsid w:val="00015448"/>
    <w:rsid w:val="00027241"/>
    <w:rsid w:val="00035D0C"/>
    <w:rsid w:val="00050006"/>
    <w:rsid w:val="00054721"/>
    <w:rsid w:val="00056610"/>
    <w:rsid w:val="0006664B"/>
    <w:rsid w:val="00067FCF"/>
    <w:rsid w:val="00073501"/>
    <w:rsid w:val="00084B32"/>
    <w:rsid w:val="0008665B"/>
    <w:rsid w:val="000955EC"/>
    <w:rsid w:val="000B0B4F"/>
    <w:rsid w:val="000B6DC1"/>
    <w:rsid w:val="000B7608"/>
    <w:rsid w:val="000C402A"/>
    <w:rsid w:val="000C5F72"/>
    <w:rsid w:val="000F4CEE"/>
    <w:rsid w:val="00107B90"/>
    <w:rsid w:val="001136D4"/>
    <w:rsid w:val="00113CE0"/>
    <w:rsid w:val="001225E6"/>
    <w:rsid w:val="00131F12"/>
    <w:rsid w:val="00137D00"/>
    <w:rsid w:val="0014026C"/>
    <w:rsid w:val="00153620"/>
    <w:rsid w:val="00155F38"/>
    <w:rsid w:val="00161B7A"/>
    <w:rsid w:val="001622DB"/>
    <w:rsid w:val="0017093D"/>
    <w:rsid w:val="00171C30"/>
    <w:rsid w:val="00176723"/>
    <w:rsid w:val="001A2E6B"/>
    <w:rsid w:val="001B79D0"/>
    <w:rsid w:val="001C1D2B"/>
    <w:rsid w:val="001C50CA"/>
    <w:rsid w:val="001F2309"/>
    <w:rsid w:val="00203E65"/>
    <w:rsid w:val="00211405"/>
    <w:rsid w:val="002158C9"/>
    <w:rsid w:val="00237EF3"/>
    <w:rsid w:val="002469D7"/>
    <w:rsid w:val="00252C44"/>
    <w:rsid w:val="00276302"/>
    <w:rsid w:val="0028619B"/>
    <w:rsid w:val="002A0DCF"/>
    <w:rsid w:val="002A3158"/>
    <w:rsid w:val="002C76D8"/>
    <w:rsid w:val="002D3B43"/>
    <w:rsid w:val="002E5DA5"/>
    <w:rsid w:val="002F59B3"/>
    <w:rsid w:val="00323D06"/>
    <w:rsid w:val="00330407"/>
    <w:rsid w:val="00333A21"/>
    <w:rsid w:val="003422A9"/>
    <w:rsid w:val="00353D03"/>
    <w:rsid w:val="003607B1"/>
    <w:rsid w:val="0036566C"/>
    <w:rsid w:val="00382577"/>
    <w:rsid w:val="003919E9"/>
    <w:rsid w:val="003936A6"/>
    <w:rsid w:val="003A21F3"/>
    <w:rsid w:val="003C384A"/>
    <w:rsid w:val="003F48F8"/>
    <w:rsid w:val="0040595E"/>
    <w:rsid w:val="00405C02"/>
    <w:rsid w:val="0040621A"/>
    <w:rsid w:val="00414C1B"/>
    <w:rsid w:val="00414D28"/>
    <w:rsid w:val="004155CD"/>
    <w:rsid w:val="004163C5"/>
    <w:rsid w:val="00431297"/>
    <w:rsid w:val="00452E63"/>
    <w:rsid w:val="0045471A"/>
    <w:rsid w:val="00464DEA"/>
    <w:rsid w:val="004655AF"/>
    <w:rsid w:val="00484F80"/>
    <w:rsid w:val="00492995"/>
    <w:rsid w:val="00494CA3"/>
    <w:rsid w:val="004C05BC"/>
    <w:rsid w:val="004C3B94"/>
    <w:rsid w:val="004C5ABA"/>
    <w:rsid w:val="004C6ABF"/>
    <w:rsid w:val="004F1209"/>
    <w:rsid w:val="00505870"/>
    <w:rsid w:val="00505F42"/>
    <w:rsid w:val="00507687"/>
    <w:rsid w:val="00513732"/>
    <w:rsid w:val="00520FB0"/>
    <w:rsid w:val="00522823"/>
    <w:rsid w:val="005330EF"/>
    <w:rsid w:val="00533A7B"/>
    <w:rsid w:val="005356AA"/>
    <w:rsid w:val="00542DC0"/>
    <w:rsid w:val="00553F16"/>
    <w:rsid w:val="00555C95"/>
    <w:rsid w:val="0056441A"/>
    <w:rsid w:val="005B089B"/>
    <w:rsid w:val="005B4FEA"/>
    <w:rsid w:val="005B7E0E"/>
    <w:rsid w:val="005C369B"/>
    <w:rsid w:val="005D0AF2"/>
    <w:rsid w:val="005D66EE"/>
    <w:rsid w:val="005F2251"/>
    <w:rsid w:val="006206B8"/>
    <w:rsid w:val="00620AE1"/>
    <w:rsid w:val="00644DD6"/>
    <w:rsid w:val="00647F57"/>
    <w:rsid w:val="00650DFD"/>
    <w:rsid w:val="0065257D"/>
    <w:rsid w:val="00653ED8"/>
    <w:rsid w:val="00663637"/>
    <w:rsid w:val="00691538"/>
    <w:rsid w:val="00692D89"/>
    <w:rsid w:val="006A3670"/>
    <w:rsid w:val="006A3C3B"/>
    <w:rsid w:val="006A4975"/>
    <w:rsid w:val="006B185D"/>
    <w:rsid w:val="006B4A7E"/>
    <w:rsid w:val="006C5BF2"/>
    <w:rsid w:val="006C65B5"/>
    <w:rsid w:val="006D74A2"/>
    <w:rsid w:val="006E02F4"/>
    <w:rsid w:val="006E05A4"/>
    <w:rsid w:val="006F536A"/>
    <w:rsid w:val="007017A4"/>
    <w:rsid w:val="00706823"/>
    <w:rsid w:val="00716DDC"/>
    <w:rsid w:val="0072355F"/>
    <w:rsid w:val="00747DF5"/>
    <w:rsid w:val="00751729"/>
    <w:rsid w:val="00774343"/>
    <w:rsid w:val="00774710"/>
    <w:rsid w:val="00777FC9"/>
    <w:rsid w:val="007870A8"/>
    <w:rsid w:val="00787731"/>
    <w:rsid w:val="00793989"/>
    <w:rsid w:val="007A7012"/>
    <w:rsid w:val="007A72CF"/>
    <w:rsid w:val="007D20F1"/>
    <w:rsid w:val="007D398B"/>
    <w:rsid w:val="007F305E"/>
    <w:rsid w:val="00830CA6"/>
    <w:rsid w:val="008342A8"/>
    <w:rsid w:val="008422C9"/>
    <w:rsid w:val="00855D34"/>
    <w:rsid w:val="008563FE"/>
    <w:rsid w:val="008629AD"/>
    <w:rsid w:val="00871807"/>
    <w:rsid w:val="0087438F"/>
    <w:rsid w:val="0088661B"/>
    <w:rsid w:val="008A6847"/>
    <w:rsid w:val="008B1B2A"/>
    <w:rsid w:val="008B3DBE"/>
    <w:rsid w:val="008C158F"/>
    <w:rsid w:val="008D09BC"/>
    <w:rsid w:val="008D49CF"/>
    <w:rsid w:val="008E13FF"/>
    <w:rsid w:val="008F4244"/>
    <w:rsid w:val="008F784C"/>
    <w:rsid w:val="00903D6C"/>
    <w:rsid w:val="009104F1"/>
    <w:rsid w:val="009316CC"/>
    <w:rsid w:val="00940513"/>
    <w:rsid w:val="009413A6"/>
    <w:rsid w:val="0094648C"/>
    <w:rsid w:val="00951775"/>
    <w:rsid w:val="00956DF8"/>
    <w:rsid w:val="0096688C"/>
    <w:rsid w:val="0097153D"/>
    <w:rsid w:val="0097287A"/>
    <w:rsid w:val="009824BC"/>
    <w:rsid w:val="0098716B"/>
    <w:rsid w:val="00987832"/>
    <w:rsid w:val="009A4B86"/>
    <w:rsid w:val="009B2F77"/>
    <w:rsid w:val="009B3C97"/>
    <w:rsid w:val="009D65EB"/>
    <w:rsid w:val="009E1182"/>
    <w:rsid w:val="009F6F10"/>
    <w:rsid w:val="00A052A7"/>
    <w:rsid w:val="00A21DCA"/>
    <w:rsid w:val="00A43A16"/>
    <w:rsid w:val="00A535D6"/>
    <w:rsid w:val="00A62833"/>
    <w:rsid w:val="00A658D9"/>
    <w:rsid w:val="00A84C36"/>
    <w:rsid w:val="00A87027"/>
    <w:rsid w:val="00AB14B3"/>
    <w:rsid w:val="00AC605F"/>
    <w:rsid w:val="00AC612C"/>
    <w:rsid w:val="00AD54B0"/>
    <w:rsid w:val="00AF5562"/>
    <w:rsid w:val="00AF6DFA"/>
    <w:rsid w:val="00AF70EB"/>
    <w:rsid w:val="00B0138A"/>
    <w:rsid w:val="00B03E94"/>
    <w:rsid w:val="00B10AB5"/>
    <w:rsid w:val="00B111CA"/>
    <w:rsid w:val="00B23B19"/>
    <w:rsid w:val="00B36D29"/>
    <w:rsid w:val="00B82919"/>
    <w:rsid w:val="00BA3115"/>
    <w:rsid w:val="00BB2407"/>
    <w:rsid w:val="00BB68E5"/>
    <w:rsid w:val="00BD469D"/>
    <w:rsid w:val="00BF4873"/>
    <w:rsid w:val="00BF4D27"/>
    <w:rsid w:val="00BF680B"/>
    <w:rsid w:val="00C063CA"/>
    <w:rsid w:val="00C17D7B"/>
    <w:rsid w:val="00C329CB"/>
    <w:rsid w:val="00C36C36"/>
    <w:rsid w:val="00C37504"/>
    <w:rsid w:val="00C40560"/>
    <w:rsid w:val="00C41F47"/>
    <w:rsid w:val="00C62F33"/>
    <w:rsid w:val="00C6489A"/>
    <w:rsid w:val="00C97F59"/>
    <w:rsid w:val="00CA3450"/>
    <w:rsid w:val="00CA4022"/>
    <w:rsid w:val="00CA6C9F"/>
    <w:rsid w:val="00CA7A75"/>
    <w:rsid w:val="00CB2B7B"/>
    <w:rsid w:val="00CC1C49"/>
    <w:rsid w:val="00CD2717"/>
    <w:rsid w:val="00CD32D3"/>
    <w:rsid w:val="00CE69CF"/>
    <w:rsid w:val="00CF7A47"/>
    <w:rsid w:val="00D058E8"/>
    <w:rsid w:val="00D17288"/>
    <w:rsid w:val="00D241A9"/>
    <w:rsid w:val="00D26CE7"/>
    <w:rsid w:val="00D34A3B"/>
    <w:rsid w:val="00D35BAA"/>
    <w:rsid w:val="00D42C93"/>
    <w:rsid w:val="00D5089D"/>
    <w:rsid w:val="00D610C4"/>
    <w:rsid w:val="00D636DD"/>
    <w:rsid w:val="00D754E3"/>
    <w:rsid w:val="00D97368"/>
    <w:rsid w:val="00D97A14"/>
    <w:rsid w:val="00DA399A"/>
    <w:rsid w:val="00DB04A9"/>
    <w:rsid w:val="00DB4C45"/>
    <w:rsid w:val="00DC6FF9"/>
    <w:rsid w:val="00DC7927"/>
    <w:rsid w:val="00DD3A1E"/>
    <w:rsid w:val="00E00468"/>
    <w:rsid w:val="00E00B7A"/>
    <w:rsid w:val="00E04CA3"/>
    <w:rsid w:val="00E125DA"/>
    <w:rsid w:val="00E43DDB"/>
    <w:rsid w:val="00E5007D"/>
    <w:rsid w:val="00E627DD"/>
    <w:rsid w:val="00E81EE9"/>
    <w:rsid w:val="00E91009"/>
    <w:rsid w:val="00EB4863"/>
    <w:rsid w:val="00EB7AB2"/>
    <w:rsid w:val="00EC1465"/>
    <w:rsid w:val="00ED07C4"/>
    <w:rsid w:val="00EE37BE"/>
    <w:rsid w:val="00EE7512"/>
    <w:rsid w:val="00EF1DFE"/>
    <w:rsid w:val="00F034ED"/>
    <w:rsid w:val="00F06CD2"/>
    <w:rsid w:val="00F148AF"/>
    <w:rsid w:val="00F256F9"/>
    <w:rsid w:val="00F51AF9"/>
    <w:rsid w:val="00F54732"/>
    <w:rsid w:val="00F70A05"/>
    <w:rsid w:val="00F81022"/>
    <w:rsid w:val="00F863A3"/>
    <w:rsid w:val="00FA7271"/>
    <w:rsid w:val="00FB3809"/>
    <w:rsid w:val="00FB476D"/>
    <w:rsid w:val="00FB6BDE"/>
    <w:rsid w:val="00FC4E6E"/>
    <w:rsid w:val="00FC5AA5"/>
    <w:rsid w:val="00FD4E2F"/>
    <w:rsid w:val="00FF25EE"/>
    <w:rsid w:val="00FF6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3F3408"/>
  <w15:chartTrackingRefBased/>
  <w15:docId w15:val="{4B92AC95-C595-6549-BBA4-2EF3AE165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F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F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F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F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F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F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F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F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F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F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F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F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F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F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F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F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F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F72"/>
    <w:rPr>
      <w:rFonts w:eastAsiaTheme="majorEastAsia" w:cstheme="majorBidi"/>
      <w:color w:val="272727" w:themeColor="text1" w:themeTint="D8"/>
    </w:rPr>
  </w:style>
  <w:style w:type="paragraph" w:styleId="Title">
    <w:name w:val="Title"/>
    <w:basedOn w:val="Normal"/>
    <w:next w:val="Normal"/>
    <w:link w:val="TitleChar"/>
    <w:uiPriority w:val="10"/>
    <w:qFormat/>
    <w:rsid w:val="000C5F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F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F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F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F72"/>
    <w:pPr>
      <w:spacing w:before="160"/>
      <w:jc w:val="center"/>
    </w:pPr>
    <w:rPr>
      <w:i/>
      <w:iCs/>
      <w:color w:val="404040" w:themeColor="text1" w:themeTint="BF"/>
    </w:rPr>
  </w:style>
  <w:style w:type="character" w:customStyle="1" w:styleId="QuoteChar">
    <w:name w:val="Quote Char"/>
    <w:basedOn w:val="DefaultParagraphFont"/>
    <w:link w:val="Quote"/>
    <w:uiPriority w:val="29"/>
    <w:rsid w:val="000C5F72"/>
    <w:rPr>
      <w:i/>
      <w:iCs/>
      <w:color w:val="404040" w:themeColor="text1" w:themeTint="BF"/>
    </w:rPr>
  </w:style>
  <w:style w:type="paragraph" w:styleId="ListParagraph">
    <w:name w:val="List Paragraph"/>
    <w:basedOn w:val="Normal"/>
    <w:link w:val="ListParagraphChar"/>
    <w:uiPriority w:val="34"/>
    <w:qFormat/>
    <w:rsid w:val="000C5F72"/>
    <w:pPr>
      <w:ind w:left="720"/>
      <w:contextualSpacing/>
    </w:pPr>
  </w:style>
  <w:style w:type="character" w:styleId="IntenseEmphasis">
    <w:name w:val="Intense Emphasis"/>
    <w:basedOn w:val="DefaultParagraphFont"/>
    <w:uiPriority w:val="21"/>
    <w:qFormat/>
    <w:rsid w:val="000C5F72"/>
    <w:rPr>
      <w:i/>
      <w:iCs/>
      <w:color w:val="0F4761" w:themeColor="accent1" w:themeShade="BF"/>
    </w:rPr>
  </w:style>
  <w:style w:type="paragraph" w:styleId="IntenseQuote">
    <w:name w:val="Intense Quote"/>
    <w:basedOn w:val="Normal"/>
    <w:next w:val="Normal"/>
    <w:link w:val="IntenseQuoteChar"/>
    <w:uiPriority w:val="30"/>
    <w:qFormat/>
    <w:rsid w:val="000C5F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F72"/>
    <w:rPr>
      <w:i/>
      <w:iCs/>
      <w:color w:val="0F4761" w:themeColor="accent1" w:themeShade="BF"/>
    </w:rPr>
  </w:style>
  <w:style w:type="character" w:styleId="IntenseReference">
    <w:name w:val="Intense Reference"/>
    <w:basedOn w:val="DefaultParagraphFont"/>
    <w:uiPriority w:val="32"/>
    <w:qFormat/>
    <w:rsid w:val="000C5F72"/>
    <w:rPr>
      <w:b/>
      <w:bCs/>
      <w:smallCaps/>
      <w:color w:val="0F4761" w:themeColor="accent1" w:themeShade="BF"/>
      <w:spacing w:val="5"/>
    </w:rPr>
  </w:style>
  <w:style w:type="character" w:customStyle="1" w:styleId="ListParagraphChar">
    <w:name w:val="List Paragraph Char"/>
    <w:link w:val="ListParagraph"/>
    <w:uiPriority w:val="34"/>
    <w:locked/>
    <w:rsid w:val="000C5F72"/>
  </w:style>
  <w:style w:type="paragraph" w:styleId="FootnoteText">
    <w:name w:val="footnote text"/>
    <w:basedOn w:val="Normal"/>
    <w:link w:val="FootnoteTextChar"/>
    <w:uiPriority w:val="99"/>
    <w:semiHidden/>
    <w:unhideWhenUsed/>
    <w:rsid w:val="00452E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2E63"/>
    <w:rPr>
      <w:sz w:val="20"/>
      <w:szCs w:val="20"/>
    </w:rPr>
  </w:style>
  <w:style w:type="character" w:styleId="FootnoteReference">
    <w:name w:val="footnote reference"/>
    <w:basedOn w:val="DefaultParagraphFont"/>
    <w:uiPriority w:val="99"/>
    <w:semiHidden/>
    <w:unhideWhenUsed/>
    <w:rsid w:val="00452E63"/>
    <w:rPr>
      <w:vertAlign w:val="superscript"/>
    </w:rPr>
  </w:style>
  <w:style w:type="character" w:customStyle="1" w:styleId="apple-converted-space">
    <w:name w:val="apple-converted-space"/>
    <w:basedOn w:val="DefaultParagraphFont"/>
    <w:rsid w:val="0028619B"/>
  </w:style>
  <w:style w:type="character" w:styleId="Emphasis">
    <w:name w:val="Emphasis"/>
    <w:basedOn w:val="DefaultParagraphFont"/>
    <w:uiPriority w:val="20"/>
    <w:qFormat/>
    <w:rsid w:val="0028619B"/>
    <w:rPr>
      <w:i/>
      <w:iCs/>
    </w:rPr>
  </w:style>
  <w:style w:type="character" w:styleId="Hyperlink">
    <w:name w:val="Hyperlink"/>
    <w:basedOn w:val="DefaultParagraphFont"/>
    <w:uiPriority w:val="99"/>
    <w:unhideWhenUsed/>
    <w:rsid w:val="0028619B"/>
    <w:rPr>
      <w:color w:val="0000FF"/>
      <w:u w:val="single"/>
    </w:rPr>
  </w:style>
  <w:style w:type="character" w:styleId="UnresolvedMention">
    <w:name w:val="Unresolved Mention"/>
    <w:basedOn w:val="DefaultParagraphFont"/>
    <w:uiPriority w:val="99"/>
    <w:semiHidden/>
    <w:unhideWhenUsed/>
    <w:rsid w:val="00903D6C"/>
    <w:rPr>
      <w:color w:val="605E5C"/>
      <w:shd w:val="clear" w:color="auto" w:fill="E1DFDD"/>
    </w:rPr>
  </w:style>
  <w:style w:type="character" w:styleId="FollowedHyperlink">
    <w:name w:val="FollowedHyperlink"/>
    <w:basedOn w:val="DefaultParagraphFont"/>
    <w:uiPriority w:val="99"/>
    <w:semiHidden/>
    <w:unhideWhenUsed/>
    <w:rsid w:val="00903D6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tilogicalism.com/wp-content/uploads/2017/07/being-and-nothingnes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jstor.org/stable/23352580" TargetMode="External"/><Relationship Id="rId4" Type="http://schemas.openxmlformats.org/officeDocument/2006/relationships/settings" Target="settings.xml"/><Relationship Id="rId9" Type="http://schemas.openxmlformats.org/officeDocument/2006/relationships/hyperlink" Target="https://www-jstor-org.uwtsd.idm.oclc.org/stable/j.ctv15vwkgx.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D1AC4-B2C3-A445-A61C-B94F473DF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2212</Words>
  <Characters>12610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Stephens-Hockridge (2405276)</dc:creator>
  <cp:keywords/>
  <dc:description/>
  <cp:lastModifiedBy>Kelsey Stephens-Hockridge (2405276)</cp:lastModifiedBy>
  <cp:revision>2</cp:revision>
  <dcterms:created xsi:type="dcterms:W3CDTF">2026-02-21T19:49:00Z</dcterms:created>
  <dcterms:modified xsi:type="dcterms:W3CDTF">2026-02-21T19:49:00Z</dcterms:modified>
</cp:coreProperties>
</file>