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B73A16" w14:textId="09F89D06" w:rsidR="00E1083D" w:rsidRPr="00E1083D" w:rsidRDefault="00E1083D" w:rsidP="00E1083D">
      <w:pPr>
        <w:jc w:val="center"/>
        <w:rPr>
          <w:sz w:val="24"/>
          <w:szCs w:val="24"/>
        </w:rPr>
      </w:pPr>
      <w:r w:rsidRPr="00E1083D">
        <w:rPr>
          <w:sz w:val="24"/>
          <w:szCs w:val="24"/>
        </w:rPr>
        <w:t xml:space="preserve">Review of </w:t>
      </w:r>
      <w:r w:rsidRPr="00E1083D">
        <w:rPr>
          <w:i/>
          <w:iCs/>
          <w:sz w:val="24"/>
          <w:szCs w:val="24"/>
        </w:rPr>
        <w:t>‘In Search of Personal Welfare: A View of Ancient Chinese Religion’</w:t>
      </w:r>
      <w:r w:rsidRPr="00E1083D">
        <w:rPr>
          <w:sz w:val="24"/>
          <w:szCs w:val="24"/>
        </w:rPr>
        <w:t xml:space="preserve"> by Poo, M. (1998)</w:t>
      </w:r>
    </w:p>
    <w:p w14:paraId="21ACA9B3" w14:textId="77777777" w:rsidR="00E1083D" w:rsidRDefault="00E1083D" w:rsidP="00E1083D">
      <w:pPr>
        <w:jc w:val="center"/>
      </w:pPr>
    </w:p>
    <w:p w14:paraId="35040532" w14:textId="6CBA4E48" w:rsidR="00852FFD" w:rsidRDefault="00E1083D">
      <w:r>
        <w:t xml:space="preserve">  </w:t>
      </w:r>
      <w:r w:rsidR="00460FCE">
        <w:t xml:space="preserve">Poo’s </w:t>
      </w:r>
      <w:r w:rsidR="00460FCE">
        <w:rPr>
          <w:i/>
          <w:iCs/>
        </w:rPr>
        <w:t>In Search of Personal Welfare</w:t>
      </w:r>
      <w:r w:rsidR="00460FCE">
        <w:rPr>
          <w:rStyle w:val="FootnoteReference"/>
          <w:i/>
          <w:iCs/>
        </w:rPr>
        <w:footnoteReference w:id="1"/>
      </w:r>
      <w:r w:rsidR="00460FCE">
        <w:t xml:space="preserve"> functions to highlight the religious beliefs of Ancient China, prior to the introductions of Buddhism and Taoism in the third century</w:t>
      </w:r>
      <w:r w:rsidR="00F765E4">
        <w:t xml:space="preserve"> (BCE)</w:t>
      </w:r>
      <w:r w:rsidR="00AE5A17">
        <w:t>.</w:t>
      </w:r>
      <w:r w:rsidR="00460FCE">
        <w:t xml:space="preserve"> </w:t>
      </w:r>
      <w:r w:rsidR="00852FFD">
        <w:t xml:space="preserve">The chapter in question, chapter 5, deals with the topic of the official courts of Ancient China in the Ch’in empire </w:t>
      </w:r>
      <w:r w:rsidR="00F765E4">
        <w:t xml:space="preserve">as well as discussing the Han dynasty, </w:t>
      </w:r>
      <w:r w:rsidR="00852FFD">
        <w:t>and states the link between the legitimacy of rule, religious observance or piety, as well as personal motives for these rituals and beliefs.</w:t>
      </w:r>
      <w:r w:rsidR="00E03B91">
        <w:rPr>
          <w:rStyle w:val="FootnoteReference"/>
        </w:rPr>
        <w:footnoteReference w:id="2"/>
      </w:r>
      <w:r w:rsidR="002A72FD">
        <w:t xml:space="preserve"> </w:t>
      </w:r>
      <w:r w:rsidR="009147B4">
        <w:t>T</w:t>
      </w:r>
      <w:r w:rsidR="002A72FD">
        <w:t xml:space="preserve">he author comments it is difficult to ascertain </w:t>
      </w:r>
      <w:r w:rsidR="00CC3100">
        <w:t>how cults and beliefs formed or developed outside of the courts in early China</w:t>
      </w:r>
      <w:r w:rsidR="00E66D49">
        <w:t>. Subsequently, t</w:t>
      </w:r>
      <w:r w:rsidR="00CC3100">
        <w:t xml:space="preserve">he contention offered by Poo is </w:t>
      </w:r>
      <w:r w:rsidR="009147B4">
        <w:t xml:space="preserve">that religion </w:t>
      </w:r>
      <w:r w:rsidR="00E66D49">
        <w:t xml:space="preserve">orchestrated </w:t>
      </w:r>
      <w:r w:rsidR="009147B4">
        <w:t xml:space="preserve">for personal welfare was the presiding favourite amongst the people, differentiating the personal </w:t>
      </w:r>
      <w:r w:rsidR="00E66D49">
        <w:t xml:space="preserve">acts </w:t>
      </w:r>
      <w:r w:rsidR="00F765E4">
        <w:t xml:space="preserve">and objects at worship </w:t>
      </w:r>
      <w:r w:rsidR="009147B4">
        <w:t xml:space="preserve">at home </w:t>
      </w:r>
      <w:r w:rsidR="00F765E4">
        <w:t>o</w:t>
      </w:r>
      <w:r w:rsidR="009147B4">
        <w:t>pposed to imperial or state religion practiced in the courts</w:t>
      </w:r>
      <w:r w:rsidR="00E66D49">
        <w:t>.</w:t>
      </w:r>
      <w:r w:rsidR="00AE5A17">
        <w:t xml:space="preserve"> In his preface, the author outlines the issue with establishing what the popular religion of a society is when the texts produced by the elite only reflect the traditions of the elite. </w:t>
      </w:r>
    </w:p>
    <w:p w14:paraId="4197CDF4" w14:textId="772A8A30" w:rsidR="00ED3E28" w:rsidRDefault="00E1083D">
      <w:r>
        <w:t xml:space="preserve">  </w:t>
      </w:r>
      <w:r w:rsidR="00E66D49">
        <w:t xml:space="preserve">Initially, Poo comments on the rulership of one Akhenaten in Ancient Egypt who is considered a heretic due to religious reformation (or cult formation). While the book is </w:t>
      </w:r>
      <w:r w:rsidR="00401FCA">
        <w:t xml:space="preserve">not to be considered as </w:t>
      </w:r>
      <w:r w:rsidR="00E66D49">
        <w:t>a comparative analysis</w:t>
      </w:r>
      <w:r w:rsidR="00F765E4">
        <w:t xml:space="preserve"> with reference to other cultures</w:t>
      </w:r>
      <w:r w:rsidR="00E66D49">
        <w:t>, the use of comparison to a culture more commonly known is a sensible strategy</w:t>
      </w:r>
      <w:r w:rsidR="00401FCA">
        <w:t>, especially with little known of China in the West</w:t>
      </w:r>
      <w:r w:rsidR="00E66D49">
        <w:t>. It provides context in a form more immediately understandable and sets a theme without needing too much explanation</w:t>
      </w:r>
      <w:r w:rsidR="00AE5A17">
        <w:t>, particularly to those familiar with Ancient Egypt</w:t>
      </w:r>
      <w:r w:rsidR="00E66D49">
        <w:t xml:space="preserve">. The example of Akhenaten </w:t>
      </w:r>
      <w:r w:rsidR="00401FCA">
        <w:t xml:space="preserve">introduces </w:t>
      </w:r>
      <w:r w:rsidR="00AE5A17">
        <w:t xml:space="preserve">a portion of </w:t>
      </w:r>
      <w:r w:rsidR="00E66D49">
        <w:t xml:space="preserve">the topic very aptly – the </w:t>
      </w:r>
      <w:r w:rsidR="00401FCA">
        <w:t xml:space="preserve">influences (and </w:t>
      </w:r>
      <w:r w:rsidR="00AE5A17">
        <w:t xml:space="preserve">by extension the </w:t>
      </w:r>
      <w:r w:rsidR="00401FCA">
        <w:t>influencers) of a ruler on religious belief and practice.</w:t>
      </w:r>
      <w:r w:rsidR="00ED3E28">
        <w:t xml:space="preserve"> This is alluded to</w:t>
      </w:r>
      <w:r w:rsidR="00AE5A17">
        <w:t xml:space="preserve"> later in an</w:t>
      </w:r>
      <w:r w:rsidR="00F765E4">
        <w:t xml:space="preserve"> account of</w:t>
      </w:r>
      <w:r w:rsidR="00ED3E28">
        <w:t xml:space="preserve"> the formal recognition by the First Emperor </w:t>
      </w:r>
      <w:r w:rsidR="006D2554">
        <w:t xml:space="preserve">in </w:t>
      </w:r>
      <w:r w:rsidR="00ED3E28">
        <w:t xml:space="preserve">the Ch’in </w:t>
      </w:r>
      <w:r w:rsidR="00B4361E">
        <w:t xml:space="preserve">Empire </w:t>
      </w:r>
      <w:r w:rsidR="00ED3E28">
        <w:t>of the Five Phases or Five Elements, of which everything was believed to be related to. In this theory, five elements each overcame another element – metal overcomes wood, wood overcomes earth, earth overcomes water, water overcomes fire, and fire overcomes metal, thus the cycle continues. The First Emperor claimed Ch’in to be the of the power of water, which overcame the power of fire of the predecessors of the Chou dynasty</w:t>
      </w:r>
      <w:r w:rsidR="00B4361E">
        <w:t>, showing that there is influence from history and the use of religious belief to solidify their authority</w:t>
      </w:r>
      <w:r w:rsidR="006D2554">
        <w:t>, and this example shows this quite simply.</w:t>
      </w:r>
    </w:p>
    <w:p w14:paraId="2CA3EE0C" w14:textId="5C99C876" w:rsidR="00460FCE" w:rsidRDefault="00E1083D">
      <w:r>
        <w:t xml:space="preserve">  </w:t>
      </w:r>
      <w:r w:rsidR="00A4514C">
        <w:t xml:space="preserve">In the early pages of the chapter, it is </w:t>
      </w:r>
      <w:r w:rsidR="00852FFD">
        <w:t xml:space="preserve">given that emperors and kings </w:t>
      </w:r>
      <w:r w:rsidR="00A4514C">
        <w:t>in ancient</w:t>
      </w:r>
      <w:r w:rsidR="00401FCA">
        <w:t xml:space="preserve"> China</w:t>
      </w:r>
      <w:r w:rsidR="00A4514C">
        <w:t xml:space="preserve"> </w:t>
      </w:r>
      <w:r w:rsidR="00852FFD">
        <w:t>would travel to Mount T’ai for a ceremony</w:t>
      </w:r>
      <w:r w:rsidR="00A4514C">
        <w:t xml:space="preserve">. Poo draws upon the words of Ssu-ma Chien to show religious activity within the court and the establishment of political authority were inseparable, following the mandate of heaven given to the king or emperor. Poo later comments </w:t>
      </w:r>
      <w:r w:rsidR="00852FFD">
        <w:t xml:space="preserve">that </w:t>
      </w:r>
      <w:r w:rsidR="00A4514C">
        <w:t xml:space="preserve">the ceremony in question was performed so that it </w:t>
      </w:r>
      <w:r w:rsidR="00852FFD">
        <w:t>might grant the</w:t>
      </w:r>
      <w:r w:rsidR="00A4514C">
        <w:t xml:space="preserve"> ruler </w:t>
      </w:r>
      <w:r w:rsidR="00852FFD">
        <w:t>immortalit</w:t>
      </w:r>
      <w:r w:rsidR="00A4514C">
        <w:t>y,</w:t>
      </w:r>
      <w:r w:rsidR="00852FFD">
        <w:t xml:space="preserve"> </w:t>
      </w:r>
      <w:r w:rsidR="00A4514C">
        <w:t xml:space="preserve">with Poo </w:t>
      </w:r>
      <w:r w:rsidR="00852FFD">
        <w:t>indicati</w:t>
      </w:r>
      <w:r w:rsidR="00A4514C">
        <w:t xml:space="preserve">ng this suggests a more </w:t>
      </w:r>
      <w:r w:rsidR="00852FFD">
        <w:t xml:space="preserve">personal </w:t>
      </w:r>
      <w:r w:rsidR="00A4514C">
        <w:t xml:space="preserve">motivation for the ceremony </w:t>
      </w:r>
      <w:r w:rsidR="00852FFD">
        <w:t xml:space="preserve">than </w:t>
      </w:r>
      <w:r w:rsidR="00A4514C">
        <w:t xml:space="preserve">a </w:t>
      </w:r>
      <w:r w:rsidR="00852FFD">
        <w:t>concern</w:t>
      </w:r>
      <w:r w:rsidR="00A4514C">
        <w:t xml:space="preserve"> with </w:t>
      </w:r>
      <w:r w:rsidR="00852FFD">
        <w:t xml:space="preserve">the longevity of rule. </w:t>
      </w:r>
      <w:r w:rsidR="00A4514C">
        <w:t xml:space="preserve">By simply analysing the title, the book in its totality considers the personal connection </w:t>
      </w:r>
      <w:r w:rsidR="006D2554">
        <w:t xml:space="preserve">of the </w:t>
      </w:r>
      <w:r w:rsidR="00A4514C">
        <w:t>ancient religio</w:t>
      </w:r>
      <w:r w:rsidR="006D2554">
        <w:t xml:space="preserve">us practices and the chapter differentiates between the </w:t>
      </w:r>
      <w:r w:rsidR="00A4514C">
        <w:t xml:space="preserve">elite and </w:t>
      </w:r>
      <w:r w:rsidR="00897093">
        <w:t xml:space="preserve">non-court </w:t>
      </w:r>
      <w:r w:rsidR="00A4514C">
        <w:t>citizens alike</w:t>
      </w:r>
      <w:r w:rsidR="006D2554">
        <w:t>. In the case of rulers seeking immortality, the argument is that the personal desire of the elite was at the forefront of court religion</w:t>
      </w:r>
      <w:r w:rsidR="00A4514C">
        <w:t>.</w:t>
      </w:r>
      <w:r w:rsidR="00ED3E28">
        <w:t xml:space="preserve"> </w:t>
      </w:r>
      <w:r w:rsidR="000A063B">
        <w:t xml:space="preserve">From this, Poo outlines the First Emperor’s preoccupation with immortality and the seeking of magical methods of expelling evil forces which, while not commonly considered to be </w:t>
      </w:r>
      <w:r w:rsidR="000A063B">
        <w:lastRenderedPageBreak/>
        <w:t>aspects of the official cult, Poo states that they were due to their being related to the emperor’s religious attitude and so were instated in the official cult, ordained by the emperor.</w:t>
      </w:r>
      <w:r w:rsidR="006D2554">
        <w:t xml:space="preserve"> </w:t>
      </w:r>
    </w:p>
    <w:p w14:paraId="79402289" w14:textId="76A3D595" w:rsidR="00136271" w:rsidRDefault="00E1083D">
      <w:r>
        <w:t xml:space="preserve">  </w:t>
      </w:r>
      <w:r w:rsidR="004B13F9">
        <w:t>Moving on to the Han dynasty, Poo mentions that Kao-tsu implemented minor alterations to practices by emphasising the role of an altar in his native province, so as not to forget his origins and show loyalty.</w:t>
      </w:r>
      <w:r w:rsidR="00F40616">
        <w:t xml:space="preserve"> This implementation of local custom spread those traditions across the nation to establish a universal common practice. Even so, Poo states that while the government controlled religious activities, lower level citizens were still free to manage their own activities, which comes back to suggest there was a difference in opinion between officials and</w:t>
      </w:r>
      <w:r w:rsidR="00897093">
        <w:t xml:space="preserve"> the general population</w:t>
      </w:r>
      <w:r w:rsidR="00F40616">
        <w:t xml:space="preserve">, probably due to the personal desires of the ruler who influenced the official cults. The personal choices and preferences of emperors and kings is the </w:t>
      </w:r>
      <w:r w:rsidR="006D2554">
        <w:t xml:space="preserve">consistent </w:t>
      </w:r>
      <w:r w:rsidR="00F40616">
        <w:t>theme in this chapter</w:t>
      </w:r>
      <w:r w:rsidR="006D2554">
        <w:t>, regularly reiterated with context and an example for the ruler in question at any time</w:t>
      </w:r>
      <w:r w:rsidR="00F40616">
        <w:t>. In the example of Wu-ti, it is said that his ‘personal whims and fascination with immortality’ led to confusion regarding official cults which were formed purely to assist the emperor’s goal of gaining immortality</w:t>
      </w:r>
      <w:r w:rsidR="006D2554">
        <w:t xml:space="preserve">. This is a fascinating point that with the emperor or king at the head of the religious cult activity, modifications were introduced, and infrastructures were changed, to allow the efficient realisation of the emperor’s goal. </w:t>
      </w:r>
      <w:r w:rsidR="006D2554">
        <w:t xml:space="preserve">Scholars were a key part of the religious activity, interpreting signs and factors for the king or emperor who would have the next say, but even then, the ruler’s decision or understanding could be influenced by minor factors rather than religious or theological considerations. </w:t>
      </w:r>
      <w:r w:rsidR="006D2554">
        <w:t>In one case, many scholars were removed or employed presumably based on their usefulness to their ruler’s wishes, judged by whether or not they served the court’s goal</w:t>
      </w:r>
      <w:r w:rsidR="00686AF2">
        <w:t>s</w:t>
      </w:r>
      <w:r w:rsidR="006D2554">
        <w:t>.</w:t>
      </w:r>
      <w:r w:rsidR="00E81E78">
        <w:t xml:space="preserve"> Thus, </w:t>
      </w:r>
      <w:r w:rsidR="00136271">
        <w:t>Poo defines that non-court religion was separate from the official religion by describing who it benefits – the popular religion focused on personal welfare while the official religious cults focused on the country or humanity and to some extent the goals of the ruler. This seems a logical definition that might not have been considered previously before reading this chapter in which it is made evident.</w:t>
      </w:r>
      <w:r w:rsidR="00E81E78">
        <w:t xml:space="preserve"> The author has gone to great measures of finding the supporting work that ensures the reliability of this book on a topic where not much is easily accessible or known.</w:t>
      </w:r>
    </w:p>
    <w:p w14:paraId="258A1756" w14:textId="585F347F" w:rsidR="000A063B" w:rsidRDefault="00E1083D">
      <w:r>
        <w:t xml:space="preserve">  </w:t>
      </w:r>
      <w:r w:rsidR="000A063B">
        <w:t xml:space="preserve">The chapter is written in a logical and methodical way, analysing events in a chronological </w:t>
      </w:r>
      <w:r w:rsidR="004B13F9">
        <w:t xml:space="preserve">order </w:t>
      </w:r>
      <w:r w:rsidR="000A063B">
        <w:t>with constant reiteration of the overall theme, pertaining to the rulers</w:t>
      </w:r>
      <w:r w:rsidR="00F40616">
        <w:t>’</w:t>
      </w:r>
      <w:r w:rsidR="004B13F9">
        <w:t xml:space="preserve"> opinions</w:t>
      </w:r>
      <w:r w:rsidR="000A063B">
        <w:t xml:space="preserve"> and the</w:t>
      </w:r>
      <w:r w:rsidR="004B13F9">
        <w:t xml:space="preserve">ir official </w:t>
      </w:r>
      <w:r w:rsidR="000A063B">
        <w:t>cults and the intrinsic motivations for ritual activity.</w:t>
      </w:r>
      <w:r w:rsidR="00897093">
        <w:t xml:space="preserve"> The conclusions reached by Poo in this chapter are that there was an overlap between non-court and official members religious practices with the emperor </w:t>
      </w:r>
      <w:r w:rsidR="00AE5A17">
        <w:t xml:space="preserve">as </w:t>
      </w:r>
      <w:r w:rsidR="00897093">
        <w:t xml:space="preserve">a key figure who obeyed the major ceremonies of the official religion but also adhered to and implemented the local beliefs. Following this, the objects of worshipped overlapped similarly due to shamans who performed sacrifices to the same objects of worship in their native regions before moving to the official courts, so they too were implemented. Overall then, Poo demonstrates that the status of a person did not </w:t>
      </w:r>
      <w:r w:rsidR="00136271">
        <w:t>affect</w:t>
      </w:r>
      <w:r w:rsidR="00897093">
        <w:t xml:space="preserve"> or </w:t>
      </w:r>
      <w:r w:rsidR="00136271">
        <w:t>reflect their religious preferences or practices</w:t>
      </w:r>
      <w:r w:rsidR="00636D3E">
        <w:t xml:space="preserve"> as it often came down to personal preference</w:t>
      </w:r>
      <w:r w:rsidR="00136271">
        <w:t xml:space="preserve">. Official religion and popular religion could be practiced </w:t>
      </w:r>
      <w:r w:rsidR="0036125B">
        <w:t xml:space="preserve">or observed </w:t>
      </w:r>
      <w:bookmarkStart w:id="0" w:name="_GoBack"/>
      <w:bookmarkEnd w:id="0"/>
      <w:r w:rsidR="00AE5A17">
        <w:t xml:space="preserve">by any level of citizen regardless of class. </w:t>
      </w:r>
      <w:r w:rsidR="001D0677">
        <w:t>The examples, analogies, and interpretations of each situation and text are expertly described to underpin the central point of the book which makes the following of each paragraph much more manageable as the topic is unravelled.</w:t>
      </w:r>
    </w:p>
    <w:p w14:paraId="74E57686" w14:textId="2200E46C" w:rsidR="00636D3E" w:rsidRDefault="00636D3E"/>
    <w:p w14:paraId="1747D2E3" w14:textId="3972052A" w:rsidR="00636D3E" w:rsidRDefault="00636D3E"/>
    <w:p w14:paraId="663CE6A9" w14:textId="4969C965" w:rsidR="00636D3E" w:rsidRDefault="00636D3E"/>
    <w:p w14:paraId="7A600606" w14:textId="50D40851" w:rsidR="00636D3E" w:rsidRDefault="00636D3E"/>
    <w:p w14:paraId="714FFA3E" w14:textId="24400F2A" w:rsidR="00636D3E" w:rsidRDefault="00636D3E"/>
    <w:p w14:paraId="0EC53A51" w14:textId="47C095B3" w:rsidR="00636D3E" w:rsidRDefault="00636D3E">
      <w:r>
        <w:lastRenderedPageBreak/>
        <w:t>Bibliography</w:t>
      </w:r>
    </w:p>
    <w:p w14:paraId="423BCDCB" w14:textId="0B52AF74" w:rsidR="00636D3E" w:rsidRDefault="00636D3E"/>
    <w:p w14:paraId="7E21AC49" w14:textId="5ED6086C" w:rsidR="00636D3E" w:rsidRPr="00636D3E" w:rsidRDefault="00636D3E" w:rsidP="00636D3E">
      <w:pPr>
        <w:pStyle w:val="FootnoteText"/>
        <w:rPr>
          <w:sz w:val="22"/>
          <w:szCs w:val="22"/>
        </w:rPr>
      </w:pPr>
      <w:r w:rsidRPr="00636D3E">
        <w:rPr>
          <w:sz w:val="22"/>
          <w:szCs w:val="22"/>
        </w:rPr>
        <w:t xml:space="preserve">Poo, M., </w:t>
      </w:r>
      <w:r w:rsidRPr="00636D3E">
        <w:rPr>
          <w:i/>
          <w:iCs/>
          <w:sz w:val="22"/>
          <w:szCs w:val="22"/>
        </w:rPr>
        <w:t>In Search of Personal Welfare: A View of Ancient Chinese Religion.</w:t>
      </w:r>
      <w:r w:rsidRPr="00636D3E">
        <w:rPr>
          <w:sz w:val="22"/>
          <w:szCs w:val="22"/>
        </w:rPr>
        <w:t xml:space="preserve"> Albany: State University of New York Press, 1998</w:t>
      </w:r>
      <w:r>
        <w:rPr>
          <w:sz w:val="22"/>
          <w:szCs w:val="22"/>
        </w:rPr>
        <w:t>.</w:t>
      </w:r>
      <w:r w:rsidRPr="00636D3E">
        <w:rPr>
          <w:sz w:val="22"/>
          <w:szCs w:val="22"/>
        </w:rPr>
        <w:t xml:space="preserve"> </w:t>
      </w:r>
      <w:r>
        <w:rPr>
          <w:sz w:val="22"/>
          <w:szCs w:val="22"/>
        </w:rPr>
        <w:t>C</w:t>
      </w:r>
      <w:r w:rsidRPr="00636D3E">
        <w:rPr>
          <w:sz w:val="22"/>
          <w:szCs w:val="22"/>
        </w:rPr>
        <w:t>h. 5, “Emperors, Courtiers, and the Development of Official Cults”</w:t>
      </w:r>
    </w:p>
    <w:sectPr w:rsidR="00636D3E" w:rsidRPr="00636D3E">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85CCCD" w14:textId="77777777" w:rsidR="00C0711A" w:rsidRDefault="00C0711A" w:rsidP="00460FCE">
      <w:pPr>
        <w:spacing w:after="0" w:line="240" w:lineRule="auto"/>
      </w:pPr>
      <w:r>
        <w:separator/>
      </w:r>
    </w:p>
  </w:endnote>
  <w:endnote w:type="continuationSeparator" w:id="0">
    <w:p w14:paraId="2A52C16E" w14:textId="77777777" w:rsidR="00C0711A" w:rsidRDefault="00C0711A" w:rsidP="00460F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6007877"/>
      <w:docPartObj>
        <w:docPartGallery w:val="Page Numbers (Bottom of Page)"/>
        <w:docPartUnique/>
      </w:docPartObj>
    </w:sdtPr>
    <w:sdtContent>
      <w:sdt>
        <w:sdtPr>
          <w:id w:val="1728636285"/>
          <w:docPartObj>
            <w:docPartGallery w:val="Page Numbers (Top of Page)"/>
            <w:docPartUnique/>
          </w:docPartObj>
        </w:sdtPr>
        <w:sdtContent>
          <w:p w14:paraId="4FE3CFF8" w14:textId="424D8E34" w:rsidR="00460FCE" w:rsidRDefault="00460FCE">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5BD82D0" w14:textId="77777777" w:rsidR="00460FCE" w:rsidRDefault="00460F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A733B8" w14:textId="77777777" w:rsidR="00C0711A" w:rsidRDefault="00C0711A" w:rsidP="00460FCE">
      <w:pPr>
        <w:spacing w:after="0" w:line="240" w:lineRule="auto"/>
      </w:pPr>
      <w:r>
        <w:separator/>
      </w:r>
    </w:p>
  </w:footnote>
  <w:footnote w:type="continuationSeparator" w:id="0">
    <w:p w14:paraId="720E43C2" w14:textId="77777777" w:rsidR="00C0711A" w:rsidRDefault="00C0711A" w:rsidP="00460FCE">
      <w:pPr>
        <w:spacing w:after="0" w:line="240" w:lineRule="auto"/>
      </w:pPr>
      <w:r>
        <w:continuationSeparator/>
      </w:r>
    </w:p>
  </w:footnote>
  <w:footnote w:id="1">
    <w:p w14:paraId="6D13AD4F" w14:textId="0E202CEE" w:rsidR="00460FCE" w:rsidRDefault="00460FCE">
      <w:pPr>
        <w:pStyle w:val="FootnoteText"/>
      </w:pPr>
      <w:r>
        <w:rPr>
          <w:rStyle w:val="FootnoteReference"/>
        </w:rPr>
        <w:footnoteRef/>
      </w:r>
      <w:r>
        <w:t xml:space="preserve"> </w:t>
      </w:r>
      <w:r w:rsidR="00E03B91">
        <w:t xml:space="preserve">Poo, M., </w:t>
      </w:r>
      <w:r w:rsidR="00E03B91" w:rsidRPr="00E03B91">
        <w:rPr>
          <w:i/>
          <w:iCs/>
        </w:rPr>
        <w:t>In Search of Personal Welfare: A View of Ancient Chinese Religion.</w:t>
      </w:r>
      <w:r w:rsidR="00E03B91">
        <w:t xml:space="preserve"> Albany: State University of New York Press, 1998</w:t>
      </w:r>
    </w:p>
  </w:footnote>
  <w:footnote w:id="2">
    <w:p w14:paraId="54EA8263" w14:textId="630B186E" w:rsidR="00E03B91" w:rsidRDefault="00E03B91">
      <w:pPr>
        <w:pStyle w:val="FootnoteText"/>
      </w:pPr>
      <w:r>
        <w:rPr>
          <w:rStyle w:val="FootnoteReference"/>
        </w:rPr>
        <w:footnoteRef/>
      </w:r>
      <w:r>
        <w:t xml:space="preserve"> Poo, 1998, </w:t>
      </w:r>
      <w:r>
        <w:t>Ch. 5, “Emperors, Courtiers, and the Development of Official Cults”</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8CCB75" w14:textId="195F419D" w:rsidR="00852FFD" w:rsidRPr="00852FFD" w:rsidRDefault="00460FCE">
    <w:pPr>
      <w:pStyle w:val="Header"/>
    </w:pPr>
    <w:r>
      <w:t>Thomas Hawkins</w:t>
    </w:r>
    <w:r>
      <w:ptab w:relativeTo="margin" w:alignment="center" w:leader="none"/>
    </w:r>
    <w:r>
      <w:t>Review of Poo</w:t>
    </w:r>
    <w:r>
      <w:t xml:space="preserve">’s </w:t>
    </w:r>
    <w:r>
      <w:rPr>
        <w:i/>
        <w:iCs/>
      </w:rPr>
      <w:t>‘</w:t>
    </w:r>
    <w:r w:rsidR="00852FFD">
      <w:rPr>
        <w:i/>
        <w:iCs/>
      </w:rPr>
      <w:t>Emperors, Courtiers, and the</w:t>
    </w:r>
    <w:r w:rsidR="00852FFD">
      <w:rPr>
        <w:i/>
        <w:iCs/>
      </w:rPr>
      <w:tab/>
    </w:r>
    <w:r w:rsidR="00852FFD">
      <w:t>Theory &amp; Methodology</w:t>
    </w:r>
  </w:p>
  <w:p w14:paraId="62EEA003" w14:textId="51F5C07D" w:rsidR="00460FCE" w:rsidRDefault="00852FFD">
    <w:pPr>
      <w:pStyle w:val="Header"/>
    </w:pPr>
    <w:r>
      <w:rPr>
        <w:i/>
        <w:iCs/>
      </w:rPr>
      <w:tab/>
      <w:t>Development of Official Cults’</w:t>
    </w:r>
    <w:r w:rsidR="00460FCE">
      <w:ptab w:relativeTo="margin" w:alignment="right" w:leader="none"/>
    </w:r>
    <w:r w:rsidR="00460FCE">
      <w:t>CLCL7003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FCE"/>
    <w:rsid w:val="000A063B"/>
    <w:rsid w:val="00136271"/>
    <w:rsid w:val="001D0677"/>
    <w:rsid w:val="002A72FD"/>
    <w:rsid w:val="0036125B"/>
    <w:rsid w:val="00401FCA"/>
    <w:rsid w:val="00460FCE"/>
    <w:rsid w:val="004B13F9"/>
    <w:rsid w:val="00636D3E"/>
    <w:rsid w:val="00686AF2"/>
    <w:rsid w:val="006D2554"/>
    <w:rsid w:val="00852FFD"/>
    <w:rsid w:val="00897093"/>
    <w:rsid w:val="009147B4"/>
    <w:rsid w:val="00A4514C"/>
    <w:rsid w:val="00AE5A17"/>
    <w:rsid w:val="00B4361E"/>
    <w:rsid w:val="00C0711A"/>
    <w:rsid w:val="00CC3100"/>
    <w:rsid w:val="00E03B91"/>
    <w:rsid w:val="00E1083D"/>
    <w:rsid w:val="00E66D49"/>
    <w:rsid w:val="00E743D1"/>
    <w:rsid w:val="00E81E78"/>
    <w:rsid w:val="00ED3E28"/>
    <w:rsid w:val="00F40616"/>
    <w:rsid w:val="00F765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EC56F"/>
  <w15:chartTrackingRefBased/>
  <w15:docId w15:val="{9B9DC42E-EDD5-429F-9415-D5CE892B2C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0F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0FCE"/>
  </w:style>
  <w:style w:type="paragraph" w:styleId="Footer">
    <w:name w:val="footer"/>
    <w:basedOn w:val="Normal"/>
    <w:link w:val="FooterChar"/>
    <w:uiPriority w:val="99"/>
    <w:unhideWhenUsed/>
    <w:rsid w:val="00460F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0FCE"/>
  </w:style>
  <w:style w:type="paragraph" w:styleId="FootnoteText">
    <w:name w:val="footnote text"/>
    <w:basedOn w:val="Normal"/>
    <w:link w:val="FootnoteTextChar"/>
    <w:uiPriority w:val="99"/>
    <w:unhideWhenUsed/>
    <w:rsid w:val="00460FCE"/>
    <w:pPr>
      <w:spacing w:after="0" w:line="240" w:lineRule="auto"/>
    </w:pPr>
    <w:rPr>
      <w:sz w:val="20"/>
      <w:szCs w:val="20"/>
    </w:rPr>
  </w:style>
  <w:style w:type="character" w:customStyle="1" w:styleId="FootnoteTextChar">
    <w:name w:val="Footnote Text Char"/>
    <w:basedOn w:val="DefaultParagraphFont"/>
    <w:link w:val="FootnoteText"/>
    <w:uiPriority w:val="99"/>
    <w:rsid w:val="00460FCE"/>
    <w:rPr>
      <w:sz w:val="20"/>
      <w:szCs w:val="20"/>
    </w:rPr>
  </w:style>
  <w:style w:type="character" w:styleId="FootnoteReference">
    <w:name w:val="footnote reference"/>
    <w:basedOn w:val="DefaultParagraphFont"/>
    <w:uiPriority w:val="99"/>
    <w:semiHidden/>
    <w:unhideWhenUsed/>
    <w:rsid w:val="00460FC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E97BCA-5986-438E-A6C4-2395F674BE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1507</TotalTime>
  <Pages>3</Pages>
  <Words>1144</Words>
  <Characters>6526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Hawkins</dc:creator>
  <cp:keywords/>
  <dc:description/>
  <cp:lastModifiedBy>Thomas Hawkins</cp:lastModifiedBy>
  <cp:revision>11</cp:revision>
  <dcterms:created xsi:type="dcterms:W3CDTF">2020-01-25T12:32:00Z</dcterms:created>
  <dcterms:modified xsi:type="dcterms:W3CDTF">2020-01-26T13:48:00Z</dcterms:modified>
</cp:coreProperties>
</file>