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E0E7E" w:rsidP="39404EB8" w:rsidRDefault="30A9E348" w14:paraId="35C49A9F" w14:textId="20D65B93">
      <w:pPr>
        <w:pStyle w:val="Heading1"/>
        <w:rPr>
          <w:rFonts w:ascii="Arial" w:hAnsi="Arial" w:eastAsia="ＭＳ 明朝" w:cs="Arial" w:asciiTheme="minorAscii" w:hAnsiTheme="minorAscii" w:eastAsiaTheme="minorEastAsia" w:cstheme="minorBidi"/>
          <w:b w:val="1"/>
          <w:bCs w:val="1"/>
          <w:sz w:val="36"/>
          <w:szCs w:val="36"/>
        </w:rPr>
      </w:pPr>
      <w:bookmarkStart w:name="_Toc2057509924" w:id="1613056568"/>
      <w:r w:rsidRPr="39404EB8" w:rsidR="0666F8B5">
        <w:rPr>
          <w:rFonts w:ascii="Arial" w:hAnsi="Arial" w:eastAsia="ＭＳ 明朝" w:cs="Arial" w:asciiTheme="minorAscii" w:hAnsiTheme="minorAscii" w:eastAsiaTheme="minorEastAsia" w:cstheme="minorBidi"/>
          <w:b w:val="1"/>
          <w:bCs w:val="1"/>
          <w:sz w:val="36"/>
          <w:szCs w:val="36"/>
        </w:rPr>
        <w:t>Cover Page</w:t>
      </w:r>
      <w:bookmarkEnd w:id="1613056568"/>
    </w:p>
    <w:p w:rsidR="002E0E7E" w:rsidP="1B5C9B31" w:rsidRDefault="27F0C645" w14:paraId="012278F2" w14:textId="00607BE6">
      <w:pPr>
        <w:rPr>
          <w:rFonts w:ascii="Arial" w:hAnsi="Arial" w:eastAsia="Arial" w:cs="Arial"/>
          <w:b/>
          <w:bCs/>
          <w:i/>
          <w:iCs/>
          <w:sz w:val="32"/>
          <w:szCs w:val="32"/>
        </w:rPr>
      </w:pPr>
      <w:r w:rsidRPr="1B5C9B31">
        <w:rPr>
          <w:b/>
          <w:bCs/>
          <w:i/>
          <w:iCs/>
          <w:sz w:val="32"/>
          <w:szCs w:val="32"/>
        </w:rPr>
        <w:t>Business Development Proposal Outline</w:t>
      </w:r>
    </w:p>
    <w:p w:rsidR="002E0E7E" w:rsidP="40AD2822" w:rsidRDefault="49AF3B22" w14:paraId="21EC3766" w14:textId="409F70C3">
      <w:pPr>
        <w:rPr>
          <w:rFonts w:ascii="Arial" w:hAnsi="Arial" w:eastAsia="Arial" w:cs="Arial"/>
        </w:rPr>
      </w:pPr>
      <w:r>
        <w:rPr>
          <w:noProof/>
        </w:rPr>
        <w:drawing>
          <wp:inline distT="0" distB="0" distL="0" distR="0" wp14:anchorId="37BD6902" wp14:editId="52CFF8B4">
            <wp:extent cx="5943600" cy="1323975"/>
            <wp:effectExtent l="0" t="0" r="0" b="0"/>
            <wp:docPr id="741421776" name="drawing" descr="University Of Wales Logo Is Economics Education Fit For The 2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98098" name="Picture 1774498098"/>
                    <pic:cNvPicPr/>
                  </pic:nvPicPr>
                  <pic:blipFill>
                    <a:blip r:embed="rId7">
                      <a:extLst>
                        <a:ext uri="{28A0092B-C50C-407E-A947-70E740481C1C}">
                          <a14:useLocalDpi xmlns:a14="http://schemas.microsoft.com/office/drawing/2010/main"/>
                        </a:ext>
                      </a:extLst>
                    </a:blip>
                    <a:stretch>
                      <a:fillRect/>
                    </a:stretch>
                  </pic:blipFill>
                  <pic:spPr>
                    <a:xfrm>
                      <a:off x="0" y="0"/>
                      <a:ext cx="5943600" cy="1323975"/>
                    </a:xfrm>
                    <a:prstGeom prst="rect">
                      <a:avLst/>
                    </a:prstGeom>
                  </pic:spPr>
                </pic:pic>
              </a:graphicData>
            </a:graphic>
          </wp:inline>
        </w:drawing>
      </w:r>
    </w:p>
    <w:p w:rsidR="1DE6189D" w:rsidP="40AD2822" w:rsidRDefault="72444A77" w14:paraId="60DF316C" w14:textId="3C0F6124">
      <w:pPr>
        <w:spacing w:before="240" w:after="240" w:line="360" w:lineRule="auto"/>
      </w:pPr>
      <w:r>
        <w:rPr>
          <w:noProof/>
        </w:rPr>
        <w:drawing>
          <wp:inline distT="0" distB="0" distL="0" distR="0" wp14:anchorId="602C1E6F" wp14:editId="34FBF15F">
            <wp:extent cx="5943600" cy="1362268"/>
            <wp:effectExtent l="0" t="0" r="0" b="0"/>
            <wp:docPr id="483004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12203" name="Picture 393612203"/>
                    <pic:cNvPicPr/>
                  </pic:nvPicPr>
                  <pic:blipFill>
                    <a:blip r:embed="rId8">
                      <a:extLst>
                        <a:ext uri="{28A0092B-C50C-407E-A947-70E740481C1C}">
                          <a14:useLocalDpi xmlns:a14="http://schemas.microsoft.com/office/drawing/2010/main"/>
                        </a:ext>
                      </a:extLst>
                    </a:blip>
                    <a:stretch>
                      <a:fillRect/>
                    </a:stretch>
                  </pic:blipFill>
                  <pic:spPr>
                    <a:xfrm>
                      <a:off x="0" y="0"/>
                      <a:ext cx="5943600" cy="1362268"/>
                    </a:xfrm>
                    <a:prstGeom prst="rect">
                      <a:avLst/>
                    </a:prstGeom>
                  </pic:spPr>
                </pic:pic>
              </a:graphicData>
            </a:graphic>
          </wp:inline>
        </w:drawing>
      </w:r>
    </w:p>
    <w:p w:rsidR="1DE6189D" w:rsidP="1B5C9B31" w:rsidRDefault="0F10E9AC" w14:paraId="6256395A" w14:textId="573E28EB">
      <w:pPr>
        <w:spacing w:before="240" w:after="240" w:line="360" w:lineRule="auto"/>
        <w:jc w:val="center"/>
        <w:rPr>
          <w:rFonts w:ascii="Arial" w:hAnsi="Arial" w:eastAsia="Arial" w:cs="Arial"/>
          <w:sz w:val="28"/>
          <w:szCs w:val="28"/>
        </w:rPr>
      </w:pPr>
      <w:r w:rsidRPr="1B5C9B31">
        <w:rPr>
          <w:b/>
          <w:bCs/>
          <w:sz w:val="28"/>
          <w:szCs w:val="28"/>
        </w:rPr>
        <w:t>Programme:</w:t>
      </w:r>
      <w:r w:rsidRPr="1B5C9B31">
        <w:rPr>
          <w:sz w:val="28"/>
          <w:szCs w:val="28"/>
        </w:rPr>
        <w:t xml:space="preserve"> MSc International Business Leadership and Management</w:t>
      </w:r>
      <w:r w:rsidRPr="1B5C9B31" w:rsidR="5EBEEF41">
        <w:rPr>
          <w:sz w:val="28"/>
          <w:szCs w:val="28"/>
        </w:rPr>
        <w:t xml:space="preserve"> – LCMB7037 </w:t>
      </w:r>
    </w:p>
    <w:p w:rsidRPr="003D3741" w:rsidR="1DE6189D" w:rsidP="1B5C9B31" w:rsidRDefault="005D3086" w14:paraId="6927676D" w14:textId="4D48588E">
      <w:pPr>
        <w:spacing w:line="360" w:lineRule="auto"/>
        <w:jc w:val="center"/>
        <w:rPr>
          <w:sz w:val="28"/>
          <w:szCs w:val="28"/>
          <w:lang w:val="nl-NL"/>
        </w:rPr>
      </w:pPr>
      <w:r w:rsidRPr="003D3741">
        <w:rPr>
          <w:b/>
          <w:bCs/>
          <w:sz w:val="28"/>
          <w:szCs w:val="28"/>
          <w:lang w:val="nl-NL"/>
        </w:rPr>
        <w:t xml:space="preserve">Student </w:t>
      </w:r>
      <w:r w:rsidRPr="003D3741" w:rsidR="73A1B881">
        <w:rPr>
          <w:b/>
          <w:bCs/>
          <w:sz w:val="28"/>
          <w:szCs w:val="28"/>
          <w:lang w:val="nl-NL"/>
        </w:rPr>
        <w:t>N</w:t>
      </w:r>
      <w:r w:rsidRPr="003D3741">
        <w:rPr>
          <w:b/>
          <w:bCs/>
          <w:sz w:val="28"/>
          <w:szCs w:val="28"/>
          <w:lang w:val="nl-NL"/>
        </w:rPr>
        <w:t>ame:</w:t>
      </w:r>
      <w:r w:rsidRPr="003D3741">
        <w:rPr>
          <w:sz w:val="28"/>
          <w:szCs w:val="28"/>
          <w:lang w:val="nl-NL"/>
        </w:rPr>
        <w:t xml:space="preserve"> Alicia Naomi Blake</w:t>
      </w:r>
    </w:p>
    <w:p w:rsidRPr="003D3741" w:rsidR="1DE6189D" w:rsidP="1B5C9B31" w:rsidRDefault="005D3086" w14:paraId="3050A9A8" w14:textId="5B7C6A34">
      <w:pPr>
        <w:spacing w:line="360" w:lineRule="auto"/>
        <w:jc w:val="center"/>
        <w:rPr>
          <w:sz w:val="28"/>
          <w:szCs w:val="28"/>
          <w:lang w:val="nl-NL"/>
        </w:rPr>
      </w:pPr>
      <w:r w:rsidRPr="003D3741">
        <w:rPr>
          <w:b/>
          <w:bCs/>
          <w:sz w:val="28"/>
          <w:szCs w:val="28"/>
          <w:lang w:val="nl-NL"/>
        </w:rPr>
        <w:t>Student ID:</w:t>
      </w:r>
      <w:r w:rsidRPr="003D3741">
        <w:rPr>
          <w:sz w:val="28"/>
          <w:szCs w:val="28"/>
          <w:lang w:val="nl-NL"/>
        </w:rPr>
        <w:t xml:space="preserve"> 2208796</w:t>
      </w:r>
    </w:p>
    <w:p w:rsidR="1DE6189D" w:rsidP="1B5C9B31" w:rsidRDefault="28A13050" w14:paraId="244565E2" w14:textId="0D3A669D">
      <w:pPr>
        <w:spacing w:line="360" w:lineRule="auto"/>
        <w:jc w:val="center"/>
        <w:rPr>
          <w:rFonts w:ascii="Arial" w:hAnsi="Arial" w:eastAsia="Arial" w:cs="Arial"/>
          <w:sz w:val="28"/>
          <w:szCs w:val="28"/>
        </w:rPr>
      </w:pPr>
      <w:r w:rsidRPr="1B5C9B31">
        <w:rPr>
          <w:b/>
          <w:bCs/>
          <w:sz w:val="28"/>
          <w:szCs w:val="28"/>
        </w:rPr>
        <w:t>Title:</w:t>
      </w:r>
      <w:r w:rsidRPr="1B5C9B31" w:rsidR="4694FB19">
        <w:rPr>
          <w:sz w:val="28"/>
          <w:szCs w:val="28"/>
        </w:rPr>
        <w:t xml:space="preserve"> </w:t>
      </w:r>
      <w:r w:rsidRPr="1B5C9B31" w:rsidR="417361B0">
        <w:rPr>
          <w:rFonts w:ascii="Arial" w:hAnsi="Arial" w:eastAsia="Arial" w:cs="Arial"/>
          <w:sz w:val="28"/>
          <w:szCs w:val="28"/>
        </w:rPr>
        <w:t>Improving Youth Employability at The King’s Trust: Assessing the Feasibility of Coordinating Digital Skills, Mentoring and Employer Partnerships in Birmingham</w:t>
      </w:r>
    </w:p>
    <w:p w:rsidR="1DE6189D" w:rsidP="1B5C9B31" w:rsidRDefault="2034A986" w14:paraId="60B1D097" w14:textId="402F60F6">
      <w:pPr>
        <w:spacing w:line="360" w:lineRule="auto"/>
        <w:jc w:val="center"/>
        <w:rPr>
          <w:sz w:val="28"/>
          <w:szCs w:val="28"/>
        </w:rPr>
      </w:pPr>
      <w:r w:rsidRPr="1B5C9B31">
        <w:rPr>
          <w:b/>
          <w:bCs/>
          <w:sz w:val="28"/>
          <w:szCs w:val="28"/>
        </w:rPr>
        <w:t>Pathway:</w:t>
      </w:r>
      <w:r w:rsidRPr="1B5C9B31">
        <w:rPr>
          <w:sz w:val="28"/>
          <w:szCs w:val="28"/>
        </w:rPr>
        <w:t xml:space="preserve"> Path B — Business Plan for an Existing Organisation</w:t>
      </w:r>
    </w:p>
    <w:p w:rsidR="1DE6189D" w:rsidP="1B5C9B31" w:rsidRDefault="2034A986" w14:paraId="011403F1" w14:textId="64037C22">
      <w:pPr>
        <w:tabs>
          <w:tab w:val="left" w:pos="0"/>
          <w:tab w:val="left" w:pos="720"/>
        </w:tabs>
        <w:spacing w:after="0" w:line="360" w:lineRule="auto"/>
        <w:jc w:val="center"/>
        <w:rPr>
          <w:rFonts w:ascii="Arial" w:hAnsi="Arial" w:eastAsia="Arial" w:cs="Arial"/>
          <w:sz w:val="28"/>
          <w:szCs w:val="28"/>
        </w:rPr>
      </w:pPr>
      <w:r w:rsidRPr="1B5C9B31">
        <w:rPr>
          <w:rFonts w:ascii="Arial" w:hAnsi="Arial" w:eastAsia="Arial" w:cs="Arial"/>
          <w:b/>
          <w:bCs/>
          <w:color w:val="000000" w:themeColor="text1"/>
          <w:sz w:val="28"/>
          <w:szCs w:val="28"/>
        </w:rPr>
        <w:t>Supervisor:</w:t>
      </w:r>
      <w:r w:rsidRPr="1B5C9B31" w:rsidR="79ED41A5">
        <w:rPr>
          <w:rFonts w:ascii="Arial" w:hAnsi="Arial" w:eastAsia="Arial" w:cs="Arial"/>
          <w:color w:val="000000" w:themeColor="text1"/>
          <w:sz w:val="28"/>
          <w:szCs w:val="28"/>
        </w:rPr>
        <w:t xml:space="preserve"> Dr Ibrahim Rufai</w:t>
      </w:r>
    </w:p>
    <w:p w:rsidR="1DE6189D" w:rsidP="1B5C9B31" w:rsidRDefault="1DE6189D" w14:paraId="1C0AC271" w14:textId="7AF2BCF2"/>
    <w:sdt>
      <w:sdtPr>
        <w:id w:val="1546998312"/>
        <w:docPartObj>
          <w:docPartGallery w:val="Table of Contents"/>
          <w:docPartUnique/>
        </w:docPartObj>
      </w:sdtPr>
      <w:sdtContent>
        <w:p w:rsidR="1DE6189D" w:rsidP="39404EB8" w:rsidRDefault="1DE6189D" w14:paraId="1AF4E8C3" w14:textId="7E0B9D9F">
          <w:pPr>
            <w:pStyle w:val="TOC1"/>
            <w:tabs>
              <w:tab w:val="right" w:leader="dot" w:pos="9360"/>
            </w:tabs>
          </w:pPr>
          <w:r>
            <w:fldChar w:fldCharType="begin"/>
          </w:r>
          <w:r>
            <w:instrText xml:space="preserve">TOC \o "1-9" \z \u \h</w:instrText>
          </w:r>
          <w:r>
            <w:fldChar w:fldCharType="separate"/>
          </w:r>
          <w:r>
            <w:fldChar w:fldCharType="begin"/>
          </w:r>
          <w:r>
            <w:instrText xml:space="preserve">HYPERLINK  \l  "_Toc2057509924" </w:instrText>
          </w:r>
          <w:r>
            <w:fldChar w:fldCharType="separate"/>
          </w:r>
          <w:r w:rsidR="39404EB8">
            <w:rPr/>
            <w:t>Cover Page</w:t>
          </w:r>
          <w:r>
            <w:tab/>
          </w:r>
          <w:r>
            <w:fldChar w:fldCharType="begin"/>
          </w:r>
          <w:r>
            <w:instrText xml:space="preserve">PAGEREF _Toc2057509924 \h</w:instrText>
          </w:r>
          <w:r>
            <w:fldChar w:fldCharType="separate"/>
          </w:r>
          <w:r w:rsidR="39404EB8">
            <w:rPr/>
            <w:t>1</w:t>
          </w:r>
          <w:r>
            <w:fldChar w:fldCharType="end"/>
          </w:r>
          <w:r>
            <w:fldChar w:fldCharType="end"/>
          </w:r>
        </w:p>
        <w:p w:rsidR="1DE6189D" w:rsidP="39404EB8" w:rsidRDefault="43081872" w14:paraId="30B951C3" w14:textId="447979ED">
          <w:pPr>
            <w:pStyle w:val="TOC1"/>
            <w:tabs>
              <w:tab w:val="right" w:leader="dot" w:pos="9360"/>
            </w:tabs>
          </w:pPr>
          <w:r>
            <w:fldChar w:fldCharType="begin"/>
          </w:r>
          <w:r>
            <w:instrText xml:space="preserve">HYPERLINK  \l  "_Toc1394926052" </w:instrText>
          </w:r>
          <w:r>
            <w:fldChar w:fldCharType="separate"/>
          </w:r>
          <w:r w:rsidR="39404EB8">
            <w:rPr/>
            <w:t>Introduction</w:t>
          </w:r>
          <w:r>
            <w:tab/>
          </w:r>
          <w:r>
            <w:fldChar w:fldCharType="begin"/>
          </w:r>
          <w:r>
            <w:instrText xml:space="preserve">PAGEREF _Toc1394926052 \h</w:instrText>
          </w:r>
          <w:r>
            <w:fldChar w:fldCharType="separate"/>
          </w:r>
          <w:r w:rsidR="39404EB8">
            <w:rPr/>
            <w:t>2</w:t>
          </w:r>
          <w:r>
            <w:fldChar w:fldCharType="end"/>
          </w:r>
          <w:r>
            <w:fldChar w:fldCharType="end"/>
          </w:r>
        </w:p>
        <w:p w:rsidR="1DE6189D" w:rsidP="39404EB8" w:rsidRDefault="43081872" w14:paraId="6BCF786E" w14:textId="09356DFF">
          <w:pPr>
            <w:pStyle w:val="TOC1"/>
            <w:tabs>
              <w:tab w:val="right" w:leader="dot" w:pos="9360"/>
            </w:tabs>
          </w:pPr>
          <w:r>
            <w:fldChar w:fldCharType="begin"/>
          </w:r>
          <w:r>
            <w:instrText xml:space="preserve">HYPERLINK  \l  "_Toc911756825" </w:instrText>
          </w:r>
          <w:r>
            <w:fldChar w:fldCharType="separate"/>
          </w:r>
          <w:r w:rsidR="39404EB8">
            <w:rPr/>
            <w:t>1. Company and Idea Description</w:t>
          </w:r>
          <w:r>
            <w:tab/>
          </w:r>
          <w:r>
            <w:fldChar w:fldCharType="begin"/>
          </w:r>
          <w:r>
            <w:instrText xml:space="preserve">PAGEREF _Toc911756825 \h</w:instrText>
          </w:r>
          <w:r>
            <w:fldChar w:fldCharType="separate"/>
          </w:r>
          <w:r w:rsidR="39404EB8">
            <w:rPr/>
            <w:t>3</w:t>
          </w:r>
          <w:r>
            <w:fldChar w:fldCharType="end"/>
          </w:r>
          <w:r>
            <w:fldChar w:fldCharType="end"/>
          </w:r>
        </w:p>
        <w:p w:rsidR="1DE6189D" w:rsidP="39404EB8" w:rsidRDefault="43081872" w14:paraId="2B4C58DC" w14:textId="56A99B1E">
          <w:pPr>
            <w:pStyle w:val="TOC1"/>
            <w:tabs>
              <w:tab w:val="right" w:leader="dot" w:pos="9360"/>
            </w:tabs>
          </w:pPr>
          <w:r>
            <w:fldChar w:fldCharType="begin"/>
          </w:r>
          <w:r>
            <w:instrText xml:space="preserve">HYPERLINK  \l  "_Toc760987744" </w:instrText>
          </w:r>
          <w:r>
            <w:fldChar w:fldCharType="separate"/>
          </w:r>
          <w:r w:rsidR="39404EB8">
            <w:rPr/>
            <w:t>2. Methodology</w:t>
          </w:r>
          <w:r>
            <w:tab/>
          </w:r>
          <w:r>
            <w:fldChar w:fldCharType="begin"/>
          </w:r>
          <w:r>
            <w:instrText xml:space="preserve">PAGEREF _Toc760987744 \h</w:instrText>
          </w:r>
          <w:r>
            <w:fldChar w:fldCharType="separate"/>
          </w:r>
          <w:r w:rsidR="39404EB8">
            <w:rPr/>
            <w:t>6</w:t>
          </w:r>
          <w:r>
            <w:fldChar w:fldCharType="end"/>
          </w:r>
          <w:r>
            <w:fldChar w:fldCharType="end"/>
          </w:r>
        </w:p>
        <w:p w:rsidR="1DE6189D" w:rsidP="39404EB8" w:rsidRDefault="43081872" w14:paraId="4B549543" w14:textId="357DB8A3">
          <w:pPr>
            <w:pStyle w:val="TOC1"/>
            <w:tabs>
              <w:tab w:val="right" w:leader="dot" w:pos="9360"/>
            </w:tabs>
          </w:pPr>
          <w:r>
            <w:fldChar w:fldCharType="begin"/>
          </w:r>
          <w:r>
            <w:instrText xml:space="preserve">HYPERLINK  \l  "_Toc1401412946" </w:instrText>
          </w:r>
          <w:r>
            <w:fldChar w:fldCharType="separate"/>
          </w:r>
          <w:r w:rsidR="39404EB8">
            <w:rPr/>
            <w:t>3. Market Research and Validation</w:t>
          </w:r>
          <w:r>
            <w:tab/>
          </w:r>
          <w:r>
            <w:fldChar w:fldCharType="begin"/>
          </w:r>
          <w:r>
            <w:instrText xml:space="preserve">PAGEREF _Toc1401412946 \h</w:instrText>
          </w:r>
          <w:r>
            <w:fldChar w:fldCharType="separate"/>
          </w:r>
          <w:r w:rsidR="39404EB8">
            <w:rPr/>
            <w:t>9</w:t>
          </w:r>
          <w:r>
            <w:fldChar w:fldCharType="end"/>
          </w:r>
          <w:r>
            <w:fldChar w:fldCharType="end"/>
          </w:r>
        </w:p>
        <w:p w:rsidR="1DE6189D" w:rsidP="39404EB8" w:rsidRDefault="43081872" w14:paraId="19E85054" w14:textId="5A273871">
          <w:pPr>
            <w:pStyle w:val="TOC1"/>
            <w:tabs>
              <w:tab w:val="right" w:leader="dot" w:pos="9360"/>
            </w:tabs>
          </w:pPr>
          <w:r>
            <w:fldChar w:fldCharType="begin"/>
          </w:r>
          <w:r>
            <w:instrText xml:space="preserve">HYPERLINK  \l  "_Toc786510781" </w:instrText>
          </w:r>
          <w:r>
            <w:fldChar w:fldCharType="separate"/>
          </w:r>
          <w:r w:rsidR="39404EB8">
            <w:rPr/>
            <w:t>4. Risks to the Researcher and the Project</w:t>
          </w:r>
          <w:r>
            <w:tab/>
          </w:r>
          <w:r>
            <w:fldChar w:fldCharType="begin"/>
          </w:r>
          <w:r>
            <w:instrText xml:space="preserve">PAGEREF _Toc786510781 \h</w:instrText>
          </w:r>
          <w:r>
            <w:fldChar w:fldCharType="separate"/>
          </w:r>
          <w:r w:rsidR="39404EB8">
            <w:rPr/>
            <w:t>11</w:t>
          </w:r>
          <w:r>
            <w:fldChar w:fldCharType="end"/>
          </w:r>
          <w:r>
            <w:fldChar w:fldCharType="end"/>
          </w:r>
        </w:p>
        <w:p w:rsidR="1DE6189D" w:rsidP="39404EB8" w:rsidRDefault="43081872" w14:paraId="26E04865" w14:textId="495048D9">
          <w:pPr>
            <w:pStyle w:val="TOC1"/>
            <w:tabs>
              <w:tab w:val="right" w:leader="dot" w:pos="9360"/>
            </w:tabs>
          </w:pPr>
          <w:r>
            <w:fldChar w:fldCharType="begin"/>
          </w:r>
          <w:r>
            <w:instrText xml:space="preserve">HYPERLINK  \l  "_Toc232410739" </w:instrText>
          </w:r>
          <w:r>
            <w:fldChar w:fldCharType="separate"/>
          </w:r>
          <w:r w:rsidR="39404EB8">
            <w:rPr/>
            <w:t>5. Timeline: Gantt Chart</w:t>
          </w:r>
          <w:r>
            <w:tab/>
          </w:r>
          <w:r>
            <w:fldChar w:fldCharType="begin"/>
          </w:r>
          <w:r>
            <w:instrText xml:space="preserve">PAGEREF _Toc232410739 \h</w:instrText>
          </w:r>
          <w:r>
            <w:fldChar w:fldCharType="separate"/>
          </w:r>
          <w:r w:rsidR="39404EB8">
            <w:rPr/>
            <w:t>12</w:t>
          </w:r>
          <w:r>
            <w:fldChar w:fldCharType="end"/>
          </w:r>
          <w:r>
            <w:fldChar w:fldCharType="end"/>
          </w:r>
        </w:p>
        <w:p w:rsidR="1DE6189D" w:rsidP="39404EB8" w:rsidRDefault="43081872" w14:paraId="0937ABD3" w14:textId="42D66C9A">
          <w:pPr>
            <w:pStyle w:val="TOC1"/>
            <w:tabs>
              <w:tab w:val="right" w:leader="dot" w:pos="9360"/>
            </w:tabs>
          </w:pPr>
          <w:r>
            <w:fldChar w:fldCharType="begin"/>
          </w:r>
          <w:r>
            <w:instrText xml:space="preserve">HYPERLINK  \l  "_Toc1221332539" </w:instrText>
          </w:r>
          <w:r>
            <w:fldChar w:fldCharType="separate"/>
          </w:r>
          <w:r w:rsidR="39404EB8">
            <w:rPr/>
            <w:t>References</w:t>
          </w:r>
          <w:r>
            <w:tab/>
          </w:r>
          <w:r>
            <w:fldChar w:fldCharType="begin"/>
          </w:r>
          <w:r>
            <w:instrText xml:space="preserve">PAGEREF _Toc1221332539 \h</w:instrText>
          </w:r>
          <w:r>
            <w:fldChar w:fldCharType="separate"/>
          </w:r>
          <w:r w:rsidR="39404EB8">
            <w:rPr/>
            <w:t>13</w:t>
          </w:r>
          <w:r>
            <w:fldChar w:fldCharType="end"/>
          </w:r>
          <w:r>
            <w:fldChar w:fldCharType="end"/>
          </w:r>
        </w:p>
        <w:p w:rsidR="39404EB8" w:rsidP="39404EB8" w:rsidRDefault="39404EB8" w14:paraId="4CE03CCC" w14:textId="6D1AA4A4">
          <w:pPr>
            <w:pStyle w:val="TOC1"/>
            <w:tabs>
              <w:tab w:val="right" w:leader="dot" w:pos="9360"/>
            </w:tabs>
          </w:pPr>
          <w:r>
            <w:fldChar w:fldCharType="begin"/>
          </w:r>
          <w:r>
            <w:instrText xml:space="preserve">HYPERLINK  \l  "_Toc782033519" </w:instrText>
          </w:r>
          <w:r>
            <w:fldChar w:fldCharType="separate"/>
          </w:r>
          <w:r w:rsidR="39404EB8">
            <w:rPr/>
            <w:t>Appendix</w:t>
          </w:r>
          <w:r>
            <w:tab/>
          </w:r>
          <w:r>
            <w:fldChar w:fldCharType="begin"/>
          </w:r>
          <w:r>
            <w:instrText xml:space="preserve">PAGEREF _Toc782033519 \h</w:instrText>
          </w:r>
          <w:r>
            <w:fldChar w:fldCharType="separate"/>
          </w:r>
          <w:r w:rsidR="39404EB8">
            <w:rPr/>
            <w:t>18</w:t>
          </w:r>
          <w:r>
            <w:fldChar w:fldCharType="end"/>
          </w:r>
          <w:r>
            <w:fldChar w:fldCharType="end"/>
          </w:r>
        </w:p>
        <w:p w:rsidR="1DE6189D" w:rsidP="1DE6189D" w:rsidRDefault="1DE6189D" w14:paraId="79913945" w14:textId="028848F0">
          <w:pPr>
            <w:spacing w:before="240" w:after="240" w:line="360" w:lineRule="auto"/>
          </w:pPr>
          <w:r>
            <w:fldChar w:fldCharType="end"/>
          </w:r>
        </w:p>
      </w:sdtContent>
    </w:sdt>
    <w:p w:rsidR="1DE6189D" w:rsidP="40AD2822" w:rsidRDefault="1DE6189D" w14:paraId="2D3967D5" w14:textId="3332662A"/>
    <w:p w:rsidR="1DE6189D" w:rsidP="40AD2822" w:rsidRDefault="1DE6189D" w14:paraId="1397A699" w14:textId="2E57D058">
      <w:pPr>
        <w:jc w:val="center"/>
        <w:rPr>
          <w:sz w:val="36"/>
          <w:szCs w:val="36"/>
        </w:rPr>
      </w:pPr>
    </w:p>
    <w:p w:rsidR="1DE6189D" w:rsidP="40AD2822" w:rsidRDefault="1DE6189D" w14:paraId="33338F99" w14:textId="0F145F50"/>
    <w:p w:rsidR="1DE6189D" w:rsidP="40AD2822" w:rsidRDefault="1DE6189D" w14:paraId="6C55D84E" w14:textId="4D6254C4"/>
    <w:p w:rsidR="1DE6189D" w:rsidP="40AD2822" w:rsidRDefault="1DE6189D" w14:paraId="76881A58" w14:textId="7E4843F1"/>
    <w:p w:rsidR="1DE6189D" w:rsidP="40AD2822" w:rsidRDefault="1DE6189D" w14:paraId="49025343" w14:textId="0A4B0FB6">
      <w:pPr>
        <w:rPr>
          <w:sz w:val="28"/>
          <w:szCs w:val="28"/>
        </w:rPr>
      </w:pPr>
    </w:p>
    <w:p w:rsidR="1B5C9B31" w:rsidP="1B5C9B31" w:rsidRDefault="1B5C9B31" w14:paraId="3A62125F" w14:textId="0254E977">
      <w:pPr>
        <w:rPr>
          <w:sz w:val="28"/>
          <w:szCs w:val="28"/>
        </w:rPr>
      </w:pPr>
    </w:p>
    <w:p w:rsidR="1B5C9B31" w:rsidP="1B5C9B31" w:rsidRDefault="1B5C9B31" w14:paraId="5E03EE2A" w14:textId="0FBFFC51">
      <w:pPr>
        <w:rPr>
          <w:sz w:val="28"/>
          <w:szCs w:val="28"/>
        </w:rPr>
      </w:pPr>
    </w:p>
    <w:p w:rsidR="1B5C9B31" w:rsidP="1B5C9B31" w:rsidRDefault="1B5C9B31" w14:paraId="25B0CF78" w14:textId="54E37424">
      <w:pPr>
        <w:rPr>
          <w:sz w:val="28"/>
          <w:szCs w:val="28"/>
        </w:rPr>
      </w:pPr>
    </w:p>
    <w:p w:rsidR="1B5C9B31" w:rsidP="1B5C9B31" w:rsidRDefault="1B5C9B31" w14:paraId="328D74F0" w14:textId="0785557B">
      <w:pPr>
        <w:rPr>
          <w:sz w:val="28"/>
          <w:szCs w:val="28"/>
        </w:rPr>
      </w:pPr>
    </w:p>
    <w:p w:rsidR="1B5C9B31" w:rsidP="1B5C9B31" w:rsidRDefault="1B5C9B31" w14:paraId="7F94B8CE" w14:textId="600554EA">
      <w:pPr>
        <w:rPr>
          <w:sz w:val="28"/>
          <w:szCs w:val="28"/>
        </w:rPr>
      </w:pPr>
    </w:p>
    <w:p w:rsidR="39404EB8" w:rsidP="39404EB8" w:rsidRDefault="39404EB8" w14:paraId="789DD8C0" w14:textId="456488F8">
      <w:pPr>
        <w:rPr>
          <w:sz w:val="28"/>
          <w:szCs w:val="28"/>
        </w:rPr>
      </w:pPr>
    </w:p>
    <w:p w:rsidR="39404EB8" w:rsidP="39404EB8" w:rsidRDefault="39404EB8" w14:paraId="155037A0" w14:textId="5E136F42">
      <w:pPr>
        <w:rPr>
          <w:sz w:val="28"/>
          <w:szCs w:val="28"/>
        </w:rPr>
      </w:pPr>
    </w:p>
    <w:p w:rsidR="39404EB8" w:rsidP="39404EB8" w:rsidRDefault="39404EB8" w14:paraId="3CE1993D" w14:textId="103F57D0">
      <w:pPr>
        <w:rPr>
          <w:sz w:val="28"/>
          <w:szCs w:val="28"/>
        </w:rPr>
      </w:pPr>
    </w:p>
    <w:p w:rsidR="39404EB8" w:rsidP="39404EB8" w:rsidRDefault="39404EB8" w14:paraId="6638A1E0" w14:textId="69BB6FBE">
      <w:pPr>
        <w:rPr>
          <w:sz w:val="28"/>
          <w:szCs w:val="28"/>
        </w:rPr>
      </w:pPr>
    </w:p>
    <w:p w:rsidR="39404EB8" w:rsidP="39404EB8" w:rsidRDefault="39404EB8" w14:paraId="600D4DC8" w14:textId="0ADCE9A2">
      <w:pPr>
        <w:rPr>
          <w:sz w:val="28"/>
          <w:szCs w:val="28"/>
        </w:rPr>
      </w:pPr>
    </w:p>
    <w:p w:rsidR="39404EB8" w:rsidP="39404EB8" w:rsidRDefault="39404EB8" w14:paraId="71B71B97" w14:textId="51702643">
      <w:pPr>
        <w:rPr>
          <w:sz w:val="28"/>
          <w:szCs w:val="28"/>
        </w:rPr>
      </w:pPr>
    </w:p>
    <w:p w:rsidR="39404EB8" w:rsidP="39404EB8" w:rsidRDefault="39404EB8" w14:paraId="2896389F" w14:textId="2E066F62">
      <w:pPr>
        <w:rPr>
          <w:sz w:val="28"/>
          <w:szCs w:val="28"/>
        </w:rPr>
      </w:pPr>
    </w:p>
    <w:p w:rsidR="39404EB8" w:rsidP="39404EB8" w:rsidRDefault="39404EB8" w14:paraId="74029780" w14:textId="7DDC0C9E">
      <w:pPr>
        <w:rPr>
          <w:sz w:val="28"/>
          <w:szCs w:val="28"/>
        </w:rPr>
      </w:pPr>
    </w:p>
    <w:p w:rsidR="39404EB8" w:rsidP="39404EB8" w:rsidRDefault="39404EB8" w14:paraId="7050A9DB" w14:textId="22ECE007">
      <w:pPr>
        <w:rPr>
          <w:sz w:val="28"/>
          <w:szCs w:val="28"/>
        </w:rPr>
      </w:pPr>
    </w:p>
    <w:p w:rsidR="1DE6189D" w:rsidP="39404EB8" w:rsidRDefault="0BB9285C" w14:paraId="326D95FE" w14:textId="71720CFE">
      <w:pPr>
        <w:pStyle w:val="Heading1"/>
        <w:spacing w:line="360" w:lineRule="auto"/>
        <w:rPr>
          <w:rFonts w:ascii="Arial" w:hAnsi="Arial" w:eastAsia="Arial" w:cs="Arial" w:asciiTheme="minorAscii" w:hAnsiTheme="minorAscii" w:eastAsiaTheme="minorAscii" w:cstheme="minorAscii"/>
          <w:sz w:val="24"/>
          <w:szCs w:val="24"/>
        </w:rPr>
      </w:pPr>
      <w:bookmarkStart w:name="_Toc1394926052" w:id="2002142877"/>
      <w:r w:rsidRPr="39404EB8" w:rsidR="7BF49E6B">
        <w:rPr>
          <w:rFonts w:ascii="Arial" w:hAnsi="Arial" w:eastAsia="Arial" w:cs="Arial" w:asciiTheme="minorAscii" w:hAnsiTheme="minorAscii" w:eastAsiaTheme="minorAscii" w:cstheme="minorAscii"/>
          <w:sz w:val="24"/>
          <w:szCs w:val="24"/>
        </w:rPr>
        <w:t>Introduction</w:t>
      </w:r>
      <w:bookmarkEnd w:id="2002142877"/>
    </w:p>
    <w:p w:rsidR="7ED3228C" w:rsidP="39404EB8" w:rsidRDefault="7ED3228C" w14:paraId="7FA3885C" w14:textId="7500B7A8">
      <w:pPr>
        <w:pStyle w:val="Normal"/>
        <w:spacing w:before="240" w:after="240" w:line="360" w:lineRule="auto"/>
        <w:rPr>
          <w:rFonts w:ascii="Arial" w:hAnsi="Arial" w:eastAsia="Arial" w:cs="Arial" w:asciiTheme="minorAscii" w:hAnsiTheme="minorAscii" w:eastAsiaTheme="minorAscii" w:cstheme="minorAscii"/>
          <w:sz w:val="24"/>
          <w:szCs w:val="24"/>
        </w:rPr>
      </w:pPr>
      <w:r w:rsidRPr="39404EB8" w:rsidR="38888276">
        <w:rPr>
          <w:rFonts w:ascii="Arial" w:hAnsi="Arial" w:eastAsia="Arial" w:cs="Arial" w:asciiTheme="minorAscii" w:hAnsiTheme="minorAscii" w:eastAsiaTheme="minorAscii" w:cstheme="minorAscii"/>
          <w:sz w:val="24"/>
          <w:szCs w:val="24"/>
        </w:rPr>
        <w:t xml:space="preserve">This proposal examines a potential business development opportunity within The King’s Trust’s UK employability provision. It focuses on disadvantaged young people aged 18–24 in Birmingham who are not in employment, </w:t>
      </w:r>
      <w:r w:rsidRPr="39404EB8" w:rsidR="38888276">
        <w:rPr>
          <w:rFonts w:ascii="Arial" w:hAnsi="Arial" w:eastAsia="Arial" w:cs="Arial" w:asciiTheme="minorAscii" w:hAnsiTheme="minorAscii" w:eastAsiaTheme="minorAscii" w:cstheme="minorAscii"/>
          <w:sz w:val="24"/>
          <w:szCs w:val="24"/>
        </w:rPr>
        <w:t>education</w:t>
      </w:r>
      <w:r w:rsidRPr="39404EB8" w:rsidR="38888276">
        <w:rPr>
          <w:rFonts w:ascii="Arial" w:hAnsi="Arial" w:eastAsia="Arial" w:cs="Arial" w:asciiTheme="minorAscii" w:hAnsiTheme="minorAscii" w:eastAsiaTheme="minorAscii" w:cstheme="minorAscii"/>
          <w:sz w:val="24"/>
          <w:szCs w:val="24"/>
        </w:rPr>
        <w:t xml:space="preserve"> or training (NEET)</w:t>
      </w:r>
      <w:r w:rsidRPr="39404EB8" w:rsidR="38888276">
        <w:rPr>
          <w:rFonts w:ascii="Arial" w:hAnsi="Arial" w:eastAsia="Arial" w:cs="Arial" w:asciiTheme="minorAscii" w:hAnsiTheme="minorAscii" w:eastAsiaTheme="minorAscii" w:cstheme="minorAscii"/>
          <w:sz w:val="24"/>
          <w:szCs w:val="24"/>
        </w:rPr>
        <w:t>. The research will assess whether closer coordination between existing digital-skills support, mentoring and employer partnerships represents a feasible improvement. Using secondary evidence, it will consider strategic fit, operational requirements and financial feasibility before recommending improvements to existing provision, a targeted pilot or further investigation.</w:t>
      </w:r>
    </w:p>
    <w:p w:rsidR="7ED3228C" w:rsidP="39404EB8" w:rsidRDefault="7ED3228C" w14:paraId="45832C5A" w14:textId="54441C7D">
      <w:pPr>
        <w:pStyle w:val="Heading1"/>
        <w:spacing w:line="360" w:lineRule="auto"/>
        <w:rPr>
          <w:rFonts w:ascii="Arial" w:hAnsi="Arial" w:eastAsia="Arial" w:cs="Arial" w:asciiTheme="minorAscii" w:hAnsiTheme="minorAscii" w:eastAsiaTheme="minorAscii" w:cstheme="minorAscii"/>
          <w:sz w:val="24"/>
          <w:szCs w:val="24"/>
        </w:rPr>
      </w:pPr>
      <w:bookmarkStart w:name="_Toc911756825" w:id="1878781464"/>
      <w:r w:rsidRPr="39404EB8" w:rsidR="38888276">
        <w:rPr>
          <w:rFonts w:ascii="Arial" w:hAnsi="Arial" w:eastAsia="Arial" w:cs="Arial" w:asciiTheme="minorAscii" w:hAnsiTheme="minorAscii" w:eastAsiaTheme="minorAscii" w:cstheme="minorAscii"/>
          <w:sz w:val="24"/>
          <w:szCs w:val="24"/>
        </w:rPr>
        <w:t>1. Company and Idea Description</w:t>
      </w:r>
      <w:bookmarkEnd w:id="1878781464"/>
    </w:p>
    <w:p w:rsidR="7ED3228C" w:rsidP="39404EB8" w:rsidRDefault="7ED3228C" w14:paraId="723A259A" w14:textId="32E174FF">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38888276">
        <w:rPr>
          <w:rFonts w:ascii="Arial" w:hAnsi="Arial" w:eastAsia="Arial" w:cs="Arial" w:asciiTheme="minorAscii" w:hAnsiTheme="minorAscii" w:eastAsiaTheme="minorAscii" w:cstheme="minorAscii"/>
          <w:b w:val="1"/>
          <w:bCs w:val="1"/>
          <w:sz w:val="24"/>
          <w:szCs w:val="24"/>
        </w:rPr>
        <w:t>Organisational background</w:t>
      </w:r>
    </w:p>
    <w:p w:rsidR="7ED3228C" w:rsidP="39404EB8" w:rsidRDefault="7ED3228C" w14:paraId="47680E30" w14:textId="51DB364B">
      <w:pPr>
        <w:pStyle w:val="Normal"/>
        <w:spacing w:before="240" w:after="240" w:line="360" w:lineRule="auto"/>
        <w:rPr>
          <w:rFonts w:ascii="Arial" w:hAnsi="Arial" w:eastAsia="Arial" w:cs="Arial" w:asciiTheme="minorAscii" w:hAnsiTheme="minorAscii" w:eastAsiaTheme="minorAscii" w:cstheme="minorAscii"/>
          <w:noProof w:val="0"/>
          <w:sz w:val="24"/>
          <w:szCs w:val="24"/>
          <w:lang w:val="en-GB"/>
        </w:rPr>
      </w:pPr>
      <w:r w:rsidRPr="39404EB8" w:rsidR="38888276">
        <w:rPr>
          <w:rFonts w:ascii="Arial" w:hAnsi="Arial" w:eastAsia="Arial" w:cs="Arial" w:asciiTheme="minorAscii" w:hAnsiTheme="minorAscii" w:eastAsiaTheme="minorAscii" w:cstheme="minorAscii"/>
          <w:sz w:val="24"/>
          <w:szCs w:val="24"/>
        </w:rPr>
        <w:t xml:space="preserve">The King’s Trust is a charitable organisation supporting young people aged 11–30 to develop confidence, </w:t>
      </w:r>
      <w:r w:rsidRPr="39404EB8" w:rsidR="38888276">
        <w:rPr>
          <w:rFonts w:ascii="Arial" w:hAnsi="Arial" w:eastAsia="Arial" w:cs="Arial" w:asciiTheme="minorAscii" w:hAnsiTheme="minorAscii" w:eastAsiaTheme="minorAscii" w:cstheme="minorAscii"/>
          <w:sz w:val="24"/>
          <w:szCs w:val="24"/>
        </w:rPr>
        <w:t>skills</w:t>
      </w:r>
      <w:r w:rsidRPr="39404EB8" w:rsidR="38888276">
        <w:rPr>
          <w:rFonts w:ascii="Arial" w:hAnsi="Arial" w:eastAsia="Arial" w:cs="Arial" w:asciiTheme="minorAscii" w:hAnsiTheme="minorAscii" w:eastAsiaTheme="minorAscii" w:cstheme="minorAscii"/>
          <w:sz w:val="24"/>
          <w:szCs w:val="24"/>
        </w:rPr>
        <w:t xml:space="preserve"> and opportunities for progression into education, training, </w:t>
      </w:r>
      <w:r w:rsidRPr="39404EB8" w:rsidR="38888276">
        <w:rPr>
          <w:rFonts w:ascii="Arial" w:hAnsi="Arial" w:eastAsia="Arial" w:cs="Arial" w:asciiTheme="minorAscii" w:hAnsiTheme="minorAscii" w:eastAsiaTheme="minorAscii" w:cstheme="minorAscii"/>
          <w:sz w:val="24"/>
          <w:szCs w:val="24"/>
        </w:rPr>
        <w:t>employment</w:t>
      </w:r>
      <w:r w:rsidRPr="39404EB8" w:rsidR="38888276">
        <w:rPr>
          <w:rFonts w:ascii="Arial" w:hAnsi="Arial" w:eastAsia="Arial" w:cs="Arial" w:asciiTheme="minorAscii" w:hAnsiTheme="minorAscii" w:eastAsiaTheme="minorAscii" w:cstheme="minorAscii"/>
          <w:sz w:val="24"/>
          <w:szCs w:val="24"/>
        </w:rPr>
        <w:t xml:space="preserve"> and self-employment. King Charles III, then Prince of Wales, founded the charity in 1976</w:t>
      </w:r>
      <w:r w:rsidRPr="39404EB8" w:rsidR="601F6694">
        <w:rPr>
          <w:rFonts w:ascii="Arial" w:hAnsi="Arial" w:eastAsia="Arial" w:cs="Arial" w:asciiTheme="minorAscii" w:hAnsiTheme="minorAscii" w:eastAsiaTheme="minorAscii" w:cstheme="minorAscii"/>
          <w:sz w:val="24"/>
          <w:szCs w:val="24"/>
        </w:rPr>
        <w:t>.</w:t>
      </w:r>
      <w:r w:rsidRPr="39404EB8" w:rsidR="4162A6F0">
        <w:rPr>
          <w:rFonts w:ascii="Arial" w:hAnsi="Arial" w:eastAsia="Arial" w:cs="Arial" w:asciiTheme="minorAscii" w:hAnsiTheme="minorAscii" w:eastAsiaTheme="minorAscii" w:cstheme="minorAscii"/>
          <w:sz w:val="24"/>
          <w:szCs w:val="24"/>
        </w:rPr>
        <w:t xml:space="preserve"> </w:t>
      </w:r>
      <w:r w:rsidRPr="39404EB8" w:rsidR="18AF8217">
        <w:rPr>
          <w:rFonts w:ascii="Arial" w:hAnsi="Arial" w:eastAsia="Arial" w:cs="Arial" w:asciiTheme="minorAscii" w:hAnsiTheme="minorAscii" w:eastAsiaTheme="minorAscii" w:cstheme="minorAscii"/>
          <w:noProof w:val="0"/>
          <w:sz w:val="24"/>
          <w:szCs w:val="24"/>
          <w:lang w:val="en-GB"/>
        </w:rPr>
        <w:t xml:space="preserve">The Royal Family, </w:t>
      </w:r>
      <w:r w:rsidRPr="39404EB8" w:rsidR="2405E4F8">
        <w:rPr>
          <w:rFonts w:ascii="Arial" w:hAnsi="Arial" w:eastAsia="Arial" w:cs="Arial" w:asciiTheme="minorAscii" w:hAnsiTheme="minorAscii" w:eastAsiaTheme="minorAscii" w:cstheme="minorAscii"/>
          <w:noProof w:val="0"/>
          <w:sz w:val="24"/>
          <w:szCs w:val="24"/>
          <w:lang w:val="en-GB"/>
        </w:rPr>
        <w:t>(</w:t>
      </w:r>
      <w:r w:rsidRPr="39404EB8" w:rsidR="18AF8217">
        <w:rPr>
          <w:rFonts w:ascii="Arial" w:hAnsi="Arial" w:eastAsia="Arial" w:cs="Arial" w:asciiTheme="minorAscii" w:hAnsiTheme="minorAscii" w:eastAsiaTheme="minorAscii" w:cstheme="minorAscii"/>
          <w:noProof w:val="0"/>
          <w:sz w:val="24"/>
          <w:szCs w:val="24"/>
          <w:lang w:val="en-GB"/>
        </w:rPr>
        <w:t>2023)</w:t>
      </w:r>
      <w:r w:rsidRPr="39404EB8" w:rsidR="38888276">
        <w:rPr>
          <w:rFonts w:ascii="Arial" w:hAnsi="Arial" w:eastAsia="Arial" w:cs="Arial" w:asciiTheme="minorAscii" w:hAnsiTheme="minorAscii" w:eastAsiaTheme="minorAscii" w:cstheme="minorAscii"/>
          <w:sz w:val="24"/>
          <w:szCs w:val="24"/>
        </w:rPr>
        <w:t xml:space="preserve">. Originally known as The Prince’s Trust, it adopted </w:t>
      </w:r>
      <w:r w:rsidRPr="39404EB8" w:rsidR="2F7B62B3">
        <w:rPr>
          <w:rFonts w:ascii="Arial" w:hAnsi="Arial" w:eastAsia="Arial" w:cs="Arial" w:asciiTheme="minorAscii" w:hAnsiTheme="minorAscii" w:eastAsiaTheme="minorAscii" w:cstheme="minorAscii"/>
          <w:sz w:val="24"/>
          <w:szCs w:val="24"/>
        </w:rPr>
        <w:t xml:space="preserve">the name The King’s Trust </w:t>
      </w:r>
      <w:r w:rsidRPr="39404EB8" w:rsidR="38888276">
        <w:rPr>
          <w:rFonts w:ascii="Arial" w:hAnsi="Arial" w:eastAsia="Arial" w:cs="Arial" w:asciiTheme="minorAscii" w:hAnsiTheme="minorAscii" w:eastAsiaTheme="minorAscii" w:cstheme="minorAscii"/>
          <w:sz w:val="24"/>
          <w:szCs w:val="24"/>
        </w:rPr>
        <w:t xml:space="preserve">in October 2024 </w:t>
      </w:r>
      <w:r w:rsidRPr="39404EB8" w:rsidR="1EF225A0">
        <w:rPr>
          <w:rFonts w:ascii="Arial" w:hAnsi="Arial" w:eastAsia="Arial" w:cs="Arial" w:asciiTheme="minorAscii" w:hAnsiTheme="minorAscii" w:eastAsiaTheme="minorAscii" w:cstheme="minorAscii"/>
          <w:noProof w:val="0"/>
          <w:sz w:val="24"/>
          <w:szCs w:val="24"/>
          <w:lang w:val="en-GB"/>
        </w:rPr>
        <w:t>(The King’s Trust, 2025a; The Royal Household, 2018).</w:t>
      </w:r>
    </w:p>
    <w:p w:rsidR="7ED3228C" w:rsidP="39404EB8" w:rsidRDefault="7ED3228C" w14:paraId="76A7F528" w14:textId="019A12F4">
      <w:pPr>
        <w:pStyle w:val="Normal"/>
        <w:spacing w:before="240" w:after="240" w:line="360" w:lineRule="auto"/>
        <w:rPr>
          <w:rFonts w:ascii="Arial" w:hAnsi="Arial" w:eastAsia="Arial" w:cs="Arial" w:asciiTheme="minorAscii" w:hAnsiTheme="minorAscii" w:eastAsiaTheme="minorAscii" w:cstheme="minorAscii"/>
          <w:noProof w:val="0"/>
          <w:sz w:val="24"/>
          <w:szCs w:val="24"/>
          <w:lang w:val="en-GB"/>
        </w:rPr>
      </w:pPr>
      <w:r w:rsidRPr="39404EB8" w:rsidR="38888276">
        <w:rPr>
          <w:rFonts w:ascii="Arial" w:hAnsi="Arial" w:eastAsia="Arial" w:cs="Arial" w:asciiTheme="minorAscii" w:hAnsiTheme="minorAscii" w:eastAsiaTheme="minorAscii" w:cstheme="minorAscii"/>
          <w:sz w:val="24"/>
          <w:szCs w:val="24"/>
        </w:rPr>
        <w:t xml:space="preserve">The UK charity is incorporated by Royal Charter and registered with the Charity Commission for England and Wales under charity number 1079675. Its trustees, collectively known as the Council, oversee its charitable purposes, </w:t>
      </w:r>
      <w:r w:rsidRPr="39404EB8" w:rsidR="38888276">
        <w:rPr>
          <w:rFonts w:ascii="Arial" w:hAnsi="Arial" w:eastAsia="Arial" w:cs="Arial" w:asciiTheme="minorAscii" w:hAnsiTheme="minorAscii" w:eastAsiaTheme="minorAscii" w:cstheme="minorAscii"/>
          <w:sz w:val="24"/>
          <w:szCs w:val="24"/>
        </w:rPr>
        <w:t>governance</w:t>
      </w:r>
      <w:r w:rsidRPr="39404EB8" w:rsidR="38888276">
        <w:rPr>
          <w:rFonts w:ascii="Arial" w:hAnsi="Arial" w:eastAsia="Arial" w:cs="Arial" w:asciiTheme="minorAscii" w:hAnsiTheme="minorAscii" w:eastAsiaTheme="minorAscii" w:cstheme="minorAscii"/>
          <w:sz w:val="24"/>
          <w:szCs w:val="24"/>
        </w:rPr>
        <w:t xml:space="preserve"> and strategic direction. The organisation therefore has a charitable governance structure rather than commercial shareholders</w:t>
      </w:r>
      <w:r w:rsidRPr="39404EB8" w:rsidR="12DA7DC1">
        <w:rPr>
          <w:rFonts w:ascii="Arial" w:hAnsi="Arial" w:eastAsia="Arial" w:cs="Arial" w:asciiTheme="minorAscii" w:hAnsiTheme="minorAscii" w:eastAsiaTheme="minorAscii" w:cstheme="minorAscii"/>
          <w:noProof w:val="0"/>
          <w:sz w:val="24"/>
          <w:szCs w:val="24"/>
          <w:lang w:val="en-GB"/>
        </w:rPr>
        <w:t xml:space="preserve"> (The King’s Trust, 2025a, pp. 41–43).</w:t>
      </w:r>
    </w:p>
    <w:p w:rsidR="7ED3228C" w:rsidP="39404EB8" w:rsidRDefault="7ED3228C" w14:paraId="01479109" w14:textId="338CB53C">
      <w:pPr>
        <w:spacing w:before="240" w:after="240" w:line="360" w:lineRule="auto"/>
        <w:rPr>
          <w:rFonts w:ascii="Arial" w:hAnsi="Arial" w:eastAsia="Arial" w:cs="Arial" w:asciiTheme="minorAscii" w:hAnsiTheme="minorAscii" w:eastAsiaTheme="minorAscii" w:cstheme="minorAscii"/>
          <w:sz w:val="24"/>
          <w:szCs w:val="24"/>
        </w:rPr>
      </w:pPr>
      <w:r w:rsidRPr="39404EB8" w:rsidR="38888276">
        <w:rPr>
          <w:rFonts w:ascii="Arial" w:hAnsi="Arial" w:eastAsia="Arial" w:cs="Arial" w:asciiTheme="minorAscii" w:hAnsiTheme="minorAscii" w:eastAsiaTheme="minorAscii" w:cstheme="minorAscii"/>
          <w:sz w:val="24"/>
          <w:szCs w:val="24"/>
        </w:rPr>
        <w:t xml:space="preserve">The organisation also forms part of a wider international network. During 2024/25, The King’s Trust International supported 20,269 young people through 37 partners in 19 countries. The wider King’s Trust group of charities, including the UK organisation, supported more than 91,000 young people across 24 countries (The King’s Trust International, 2025). This provides organisational context; the proposed research </w:t>
      </w:r>
      <w:r w:rsidRPr="39404EB8" w:rsidR="38888276">
        <w:rPr>
          <w:rFonts w:ascii="Arial" w:hAnsi="Arial" w:eastAsia="Arial" w:cs="Arial" w:asciiTheme="minorAscii" w:hAnsiTheme="minorAscii" w:eastAsiaTheme="minorAscii" w:cstheme="minorAscii"/>
          <w:sz w:val="24"/>
          <w:szCs w:val="24"/>
        </w:rPr>
        <w:t>remains focused on Birmingham.</w:t>
      </w:r>
    </w:p>
    <w:p w:rsidR="7ED3228C" w:rsidP="39404EB8" w:rsidRDefault="7ED3228C" w14:paraId="027EA65B" w14:textId="2BB8A80C">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38888276">
        <w:rPr>
          <w:rFonts w:ascii="Arial" w:hAnsi="Arial" w:eastAsia="Arial" w:cs="Arial" w:asciiTheme="minorAscii" w:hAnsiTheme="minorAscii" w:eastAsiaTheme="minorAscii" w:cstheme="minorAscii"/>
          <w:b w:val="1"/>
          <w:bCs w:val="1"/>
          <w:sz w:val="24"/>
          <w:szCs w:val="24"/>
        </w:rPr>
        <w:t>Strategy, services and value proposition</w:t>
      </w:r>
    </w:p>
    <w:p w:rsidR="3DC4B5FF" w:rsidP="39404EB8" w:rsidRDefault="3DC4B5FF" w14:paraId="66446C84" w14:textId="7582048D">
      <w:pPr>
        <w:spacing w:before="240" w:after="240" w:line="360" w:lineRule="auto"/>
        <w:rPr>
          <w:rFonts w:ascii="Arial" w:hAnsi="Arial" w:eastAsia="Arial" w:cs="Arial" w:asciiTheme="minorAscii" w:hAnsiTheme="minorAscii" w:eastAsiaTheme="minorAscii" w:cstheme="minorAscii"/>
          <w:sz w:val="24"/>
          <w:szCs w:val="24"/>
        </w:rPr>
      </w:pPr>
      <w:r w:rsidRPr="39404EB8" w:rsidR="29E2C4E0">
        <w:rPr>
          <w:rFonts w:ascii="Arial" w:hAnsi="Arial" w:eastAsia="Arial" w:cs="Arial" w:asciiTheme="minorAscii" w:hAnsiTheme="minorAscii" w:eastAsiaTheme="minorAscii" w:cstheme="minorAscii"/>
          <w:sz w:val="24"/>
          <w:szCs w:val="24"/>
        </w:rPr>
        <w:t>The King’s Trust’s 2025–2030 UK strategy sets out a vision of ending youth unemployment. Its priorities include addressing inequality, developing the future workforce, strengthening advocacy and improving organisational sustainability. Commitments to digital capabilities, employer relationships and outcome measurement provide a strategic connection to this proposal (The King’s Trust, 2025b).</w:t>
      </w:r>
    </w:p>
    <w:p w:rsidR="0B76D1A0" w:rsidP="39404EB8" w:rsidRDefault="0B76D1A0" w14:paraId="33C15920" w14:textId="47FA5B56">
      <w:pPr>
        <w:pStyle w:val="Normal"/>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4"/>
          <w:szCs w:val="24"/>
          <w:lang w:val="en-GB"/>
        </w:rPr>
      </w:pPr>
      <w:r w:rsidRPr="39404EB8" w:rsidR="0B76D1A0">
        <w:rPr>
          <w:rFonts w:ascii="Arial" w:hAnsi="Arial" w:eastAsia="Arial" w:cs="Arial" w:asciiTheme="minorAscii" w:hAnsiTheme="minorAscii" w:eastAsiaTheme="minorAscii" w:cstheme="minorAscii"/>
          <w:noProof w:val="0"/>
          <w:sz w:val="24"/>
          <w:szCs w:val="24"/>
          <w:lang w:val="en-GB"/>
        </w:rPr>
        <w:t xml:space="preserve">The King’s Trust combines personal development with practical support to help young people prepare for employment. </w:t>
      </w:r>
      <w:bookmarkStart w:name="_Int_mvJTJdnP" w:id="1956677675"/>
      <w:r w:rsidRPr="39404EB8" w:rsidR="0B76D1A0">
        <w:rPr>
          <w:rFonts w:ascii="Arial" w:hAnsi="Arial" w:eastAsia="Arial" w:cs="Arial" w:asciiTheme="minorAscii" w:hAnsiTheme="minorAscii" w:eastAsiaTheme="minorAscii" w:cstheme="minorAscii"/>
          <w:noProof w:val="0"/>
          <w:sz w:val="24"/>
          <w:szCs w:val="24"/>
          <w:lang w:val="en-GB"/>
        </w:rPr>
        <w:t>Its</w:t>
      </w:r>
      <w:bookmarkEnd w:id="1956677675"/>
      <w:r w:rsidRPr="39404EB8" w:rsidR="0B76D1A0">
        <w:rPr>
          <w:rFonts w:ascii="Arial" w:hAnsi="Arial" w:eastAsia="Arial" w:cs="Arial" w:asciiTheme="minorAscii" w:hAnsiTheme="minorAscii" w:eastAsiaTheme="minorAscii" w:cstheme="minorAscii"/>
          <w:noProof w:val="0"/>
          <w:sz w:val="24"/>
          <w:szCs w:val="24"/>
          <w:lang w:val="en-GB"/>
        </w:rPr>
        <w:t xml:space="preserve"> </w:t>
      </w:r>
      <w:r w:rsidRPr="39404EB8" w:rsidR="0B76D1A0">
        <w:rPr>
          <w:rFonts w:ascii="Arial" w:hAnsi="Arial" w:eastAsia="Arial" w:cs="Arial" w:asciiTheme="minorAscii" w:hAnsiTheme="minorAscii" w:eastAsiaTheme="minorAscii" w:cstheme="minorAscii"/>
          <w:i w:val="1"/>
          <w:iCs w:val="1"/>
          <w:noProof w:val="0"/>
          <w:sz w:val="24"/>
          <w:szCs w:val="24"/>
          <w:lang w:val="en-GB"/>
        </w:rPr>
        <w:t>Get Into</w:t>
      </w:r>
      <w:r w:rsidRPr="39404EB8" w:rsidR="0B76D1A0">
        <w:rPr>
          <w:rFonts w:ascii="Arial" w:hAnsi="Arial" w:eastAsia="Arial" w:cs="Arial" w:asciiTheme="minorAscii" w:hAnsiTheme="minorAscii" w:eastAsiaTheme="minorAscii" w:cstheme="minorAscii"/>
          <w:noProof w:val="0"/>
          <w:sz w:val="24"/>
          <w:szCs w:val="24"/>
          <w:lang w:val="en-GB"/>
        </w:rPr>
        <w:t xml:space="preserve"> programmes offer workplace-related training and job preparation, while </w:t>
      </w:r>
      <w:r w:rsidRPr="39404EB8" w:rsidR="0B76D1A0">
        <w:rPr>
          <w:rFonts w:ascii="Arial" w:hAnsi="Arial" w:eastAsia="Arial" w:cs="Arial" w:asciiTheme="minorAscii" w:hAnsiTheme="minorAscii" w:eastAsiaTheme="minorAscii" w:cstheme="minorAscii"/>
          <w:i w:val="1"/>
          <w:iCs w:val="1"/>
          <w:noProof w:val="0"/>
          <w:sz w:val="24"/>
          <w:szCs w:val="24"/>
          <w:lang w:val="en-GB"/>
        </w:rPr>
        <w:t>Get Hired</w:t>
      </w:r>
      <w:r w:rsidRPr="39404EB8" w:rsidR="0B76D1A0">
        <w:rPr>
          <w:rFonts w:ascii="Arial" w:hAnsi="Arial" w:eastAsia="Arial" w:cs="Arial" w:asciiTheme="minorAscii" w:hAnsiTheme="minorAscii" w:eastAsiaTheme="minorAscii" w:cstheme="minorAscii"/>
          <w:noProof w:val="0"/>
          <w:sz w:val="24"/>
          <w:szCs w:val="24"/>
          <w:lang w:val="en-GB"/>
        </w:rPr>
        <w:t xml:space="preserve"> activities connect young people with employers who are recruiting. Mentoring provides </w:t>
      </w:r>
      <w:r w:rsidRPr="39404EB8" w:rsidR="0B76D1A0">
        <w:rPr>
          <w:rFonts w:ascii="Arial" w:hAnsi="Arial" w:eastAsia="Arial" w:cs="Arial" w:asciiTheme="minorAscii" w:hAnsiTheme="minorAscii" w:eastAsiaTheme="minorAscii" w:cstheme="minorAscii"/>
          <w:noProof w:val="0"/>
          <w:sz w:val="24"/>
          <w:szCs w:val="24"/>
          <w:lang w:val="en-GB"/>
        </w:rPr>
        <w:t>additional</w:t>
      </w:r>
      <w:r w:rsidRPr="39404EB8" w:rsidR="0B76D1A0">
        <w:rPr>
          <w:rFonts w:ascii="Arial" w:hAnsi="Arial" w:eastAsia="Arial" w:cs="Arial" w:asciiTheme="minorAscii" w:hAnsiTheme="minorAscii" w:eastAsiaTheme="minorAscii" w:cstheme="minorAscii"/>
          <w:noProof w:val="0"/>
          <w:sz w:val="24"/>
          <w:szCs w:val="24"/>
          <w:lang w:val="en-GB"/>
        </w:rPr>
        <w:t xml:space="preserve"> guidance and encouragement (The King’s Trust, 2025a). The Trust also offers a </w:t>
      </w:r>
      <w:r w:rsidRPr="39404EB8" w:rsidR="0B76D1A0">
        <w:rPr>
          <w:rFonts w:ascii="Arial" w:hAnsi="Arial" w:eastAsia="Arial" w:cs="Arial" w:asciiTheme="minorAscii" w:hAnsiTheme="minorAscii" w:eastAsiaTheme="minorAscii" w:cstheme="minorAscii"/>
          <w:i w:val="1"/>
          <w:iCs w:val="1"/>
          <w:noProof w:val="0"/>
          <w:sz w:val="24"/>
          <w:szCs w:val="24"/>
          <w:lang w:val="en-GB"/>
        </w:rPr>
        <w:t>Digital Skills</w:t>
      </w:r>
      <w:r w:rsidRPr="39404EB8" w:rsidR="0B76D1A0">
        <w:rPr>
          <w:rFonts w:ascii="Arial" w:hAnsi="Arial" w:eastAsia="Arial" w:cs="Arial" w:asciiTheme="minorAscii" w:hAnsiTheme="minorAscii" w:eastAsiaTheme="minorAscii" w:cstheme="minorAscii"/>
          <w:noProof w:val="0"/>
          <w:sz w:val="24"/>
          <w:szCs w:val="24"/>
          <w:lang w:val="en-GB"/>
        </w:rPr>
        <w:t xml:space="preserve"> unit to help young people develop practical digital capabilities</w:t>
      </w:r>
      <w:r w:rsidRPr="39404EB8" w:rsidR="05EFE226">
        <w:rPr>
          <w:rFonts w:ascii="Arial" w:hAnsi="Arial" w:eastAsia="Arial" w:cs="Arial" w:asciiTheme="minorAscii" w:hAnsiTheme="minorAscii" w:eastAsiaTheme="minorAscii" w:cstheme="minorAscii"/>
          <w:noProof w:val="0"/>
          <w:sz w:val="24"/>
          <w:szCs w:val="24"/>
          <w:lang w:val="en-GB"/>
        </w:rPr>
        <w:t xml:space="preserve"> </w:t>
      </w:r>
      <w:r w:rsidRPr="39404EB8" w:rsidR="6786E6C3">
        <w:rPr>
          <w:rFonts w:ascii="Arial" w:hAnsi="Arial" w:eastAsia="Arial" w:cs="Arial" w:asciiTheme="minorAscii" w:hAnsiTheme="minorAscii" w:eastAsiaTheme="minorAscii" w:cstheme="minorAscii"/>
          <w:noProof w:val="0"/>
          <w:sz w:val="24"/>
          <w:szCs w:val="24"/>
          <w:lang w:val="en-GB"/>
        </w:rPr>
        <w:t>(Kings Trust, 2025a)</w:t>
      </w:r>
      <w:r w:rsidRPr="39404EB8" w:rsidR="05EFE226">
        <w:rPr>
          <w:rFonts w:ascii="Arial" w:hAnsi="Arial" w:eastAsia="Arial" w:cs="Arial" w:asciiTheme="minorAscii" w:hAnsiTheme="minorAscii" w:eastAsiaTheme="minorAscii" w:cstheme="minorAscii"/>
          <w:noProof w:val="0"/>
          <w:sz w:val="24"/>
          <w:szCs w:val="24"/>
          <w:lang w:val="en-GB"/>
        </w:rPr>
        <w:t>.</w:t>
      </w:r>
    </w:p>
    <w:p w:rsidR="05EFE226" w:rsidP="39404EB8" w:rsidRDefault="05EFE226" w14:paraId="31FAFE4C" w14:textId="07A296BF">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05EFE226">
        <w:rPr>
          <w:rFonts w:ascii="Arial" w:hAnsi="Arial" w:eastAsia="Arial" w:cs="Arial" w:asciiTheme="minorAscii" w:hAnsiTheme="minorAscii" w:eastAsiaTheme="minorAscii" w:cstheme="minorAscii"/>
          <w:noProof w:val="0"/>
          <w:sz w:val="24"/>
          <w:szCs w:val="24"/>
          <w:lang w:val="en-GB"/>
        </w:rPr>
        <w:t xml:space="preserve">Taken together, these services suggest a value proposition that combines youth-focused support, skills </w:t>
      </w:r>
      <w:r w:rsidRPr="39404EB8" w:rsidR="05EFE226">
        <w:rPr>
          <w:rFonts w:ascii="Arial" w:hAnsi="Arial" w:eastAsia="Arial" w:cs="Arial" w:asciiTheme="minorAscii" w:hAnsiTheme="minorAscii" w:eastAsiaTheme="minorAscii" w:cstheme="minorAscii"/>
          <w:noProof w:val="0"/>
          <w:sz w:val="24"/>
          <w:szCs w:val="24"/>
          <w:lang w:val="en-GB"/>
        </w:rPr>
        <w:t>development</w:t>
      </w:r>
      <w:r w:rsidRPr="39404EB8" w:rsidR="05EFE226">
        <w:rPr>
          <w:rFonts w:ascii="Arial" w:hAnsi="Arial" w:eastAsia="Arial" w:cs="Arial" w:asciiTheme="minorAscii" w:hAnsiTheme="minorAscii" w:eastAsiaTheme="minorAscii" w:cstheme="minorAscii"/>
          <w:noProof w:val="0"/>
          <w:sz w:val="24"/>
          <w:szCs w:val="24"/>
          <w:lang w:val="en-GB"/>
        </w:rPr>
        <w:t xml:space="preserve"> and access to employer networks. The proposed project will investigate how these elements might work together more effectively for a defined local group. It will not assume that digital training, </w:t>
      </w:r>
      <w:r w:rsidRPr="39404EB8" w:rsidR="05EFE226">
        <w:rPr>
          <w:rFonts w:ascii="Arial" w:hAnsi="Arial" w:eastAsia="Arial" w:cs="Arial" w:asciiTheme="minorAscii" w:hAnsiTheme="minorAscii" w:eastAsiaTheme="minorAscii" w:cstheme="minorAscii"/>
          <w:noProof w:val="0"/>
          <w:sz w:val="24"/>
          <w:szCs w:val="24"/>
          <w:lang w:val="en-GB"/>
        </w:rPr>
        <w:t>mentoring</w:t>
      </w:r>
      <w:r w:rsidRPr="39404EB8" w:rsidR="05EFE226">
        <w:rPr>
          <w:rFonts w:ascii="Arial" w:hAnsi="Arial" w:eastAsia="Arial" w:cs="Arial" w:asciiTheme="minorAscii" w:hAnsiTheme="minorAscii" w:eastAsiaTheme="minorAscii" w:cstheme="minorAscii"/>
          <w:noProof w:val="0"/>
          <w:sz w:val="24"/>
          <w:szCs w:val="24"/>
          <w:lang w:val="en-GB"/>
        </w:rPr>
        <w:t xml:space="preserve"> or employer engagement are absent.</w:t>
      </w:r>
    </w:p>
    <w:p w:rsidR="7ED3228C" w:rsidP="39404EB8" w:rsidRDefault="7ED3228C" w14:paraId="3FCFA42D" w14:textId="252F01B0">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38888276">
        <w:rPr>
          <w:rFonts w:ascii="Arial" w:hAnsi="Arial" w:eastAsia="Arial" w:cs="Arial" w:asciiTheme="minorAscii" w:hAnsiTheme="minorAscii" w:eastAsiaTheme="minorAscii" w:cstheme="minorAscii"/>
          <w:b w:val="1"/>
          <w:bCs w:val="1"/>
          <w:sz w:val="24"/>
          <w:szCs w:val="24"/>
        </w:rPr>
        <w:t>Proposed business development opportunity</w:t>
      </w:r>
    </w:p>
    <w:p w:rsidR="3FB08DFA" w:rsidP="39404EB8" w:rsidRDefault="3FB08DFA" w14:paraId="149BE14C" w14:textId="118553DE">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The proposed beneficiary group is disadvantaged 18–24-year-olds living in Birmingham who are NEET. This focus gives the project a defined age group and location.</w:t>
      </w:r>
    </w:p>
    <w:p w:rsidR="3FB08DFA" w:rsidP="39404EB8" w:rsidRDefault="3FB08DFA" w14:paraId="51BD711D" w14:textId="59ED308A">
      <w:pPr>
        <w:pStyle w:val="Normal"/>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Birmingham’s August 2026 claimant rate for 18–24-year-olds was higher than the corresponding regional and national rates, supporting investigation of employment-related need (Office for National Statistics, n.d.; see Table 1). The Trust also has a Birmingham centre, providing a local organisational setting for the study</w:t>
      </w:r>
      <w:r w:rsidRPr="39404EB8" w:rsidR="57BA901C">
        <w:rPr>
          <w:rFonts w:ascii="Arial" w:hAnsi="Arial" w:eastAsia="Arial" w:cs="Arial" w:asciiTheme="minorAscii" w:hAnsiTheme="minorAscii" w:eastAsiaTheme="minorAscii" w:cstheme="minorAscii"/>
          <w:noProof w:val="0"/>
          <w:sz w:val="24"/>
          <w:szCs w:val="24"/>
          <w:lang w:val="en-GB"/>
        </w:rPr>
        <w:t xml:space="preserve"> (Kings Trust, 2025a).</w:t>
      </w:r>
    </w:p>
    <w:p w:rsidR="3FB08DFA" w:rsidP="39404EB8" w:rsidRDefault="3FB08DFA" w14:paraId="663B004E" w14:textId="2104804E">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These sources support the choice of setting; they do not establish the size of the local NEET population or demand for a new programme. The research will examine barriers associated with low qualifications, limited work experience, financial constraints and access to suitable opportunities, informed by the distinction between individual factors, personal circumstances and external conditions in McQuaid and Lindsay (2005). Any eventual eligibility criteria would require further operational consideration.</w:t>
      </w:r>
    </w:p>
    <w:p w:rsidR="3FB08DFA" w:rsidP="39404EB8" w:rsidRDefault="3FB08DFA" w14:paraId="248A4FA4" w14:textId="47F8114B">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The potential opportunity is closer coordination between existing digital-skills support, mentoring and employer opportunities. The research will examine published evidence of barriers to access, referrals and continuity of support. Published documents can provide incomplete or selectively reported evidence (Bowen, 2009). Accordingly, missing information will be treated as an evidence limitation rather than proof of a service gap.</w:t>
      </w:r>
    </w:p>
    <w:p w:rsidR="3FB08DFA" w:rsidP="39404EB8" w:rsidRDefault="3FB08DFA" w14:paraId="73BB1285" w14:textId="6B6F6E59">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For this project, digital skills means practical capabilities relevant to obtaining and undertaking entry-level work, including digital communication, online applications, basic workplace software and safe technology use (Department for Education, 2018). Specialist technology training is outside the proposed scope.</w:t>
      </w:r>
    </w:p>
    <w:p w:rsidR="3FB08DFA" w:rsidP="39404EB8" w:rsidRDefault="3FB08DFA" w14:paraId="7E458BCD" w14:textId="71EDBBCA">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Depending on the findings, improvements could include clearer referral arrangements, preparatory digital learning, coordinated mentoring or employer-led activities. A targeted pilot would be recommended only where evidence supports additional provision. Its size, duration and delivery arrangements would depend on estimated demand, resources and partner capacity.</w:t>
      </w:r>
    </w:p>
    <w:p w:rsidR="3FB08DFA" w:rsidP="39404EB8" w:rsidRDefault="3FB08DFA" w14:paraId="3004BF87" w14:textId="6792BCBE">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Theoretical foundation</w:t>
      </w:r>
    </w:p>
    <w:p w:rsidR="3FB08DFA" w:rsidP="39404EB8" w:rsidRDefault="3FB08DFA" w14:paraId="204A1BBF" w14:textId="105FD672">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Human capital theory provides a rationale for examining how education and training develop productive capabilities and employment prospects (Becker, 1964). Granovetter’s (1983) discussion of weak ties explains how connections beyond an individual’s immediate social circle can increase access to information and opportunities.</w:t>
      </w:r>
    </w:p>
    <w:p w:rsidR="3FB08DFA" w:rsidP="39404EB8" w:rsidRDefault="3FB08DFA" w14:paraId="00E7E61A" w14:textId="61FE564F">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Together, these perspectives support examining skills development and employer networks. However, they do not establish that training and connections alone can overcome barriers such as insufficient vacancies, caring responsibilities or transport costs (McQuaid and Lindsay, 2005).</w:t>
      </w:r>
    </w:p>
    <w:p w:rsidR="3FB08DFA" w:rsidP="39404EB8" w:rsidRDefault="3FB08DFA" w14:paraId="350A4EAE" w14:textId="4B63CCFC">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Research question</w:t>
      </w:r>
    </w:p>
    <w:p w:rsidR="3FB08DFA" w:rsidP="39404EB8" w:rsidRDefault="3FB08DFA" w14:paraId="0160C601" w14:textId="1546BCFB">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To what extent is closer coordination between digital-skills support, mentoring and employer partnerships a feasible business development opportunity for The King’s Trust’s provision for disadvantaged 18–24-year-olds in Birmingham?</w:t>
      </w:r>
    </w:p>
    <w:p w:rsidR="3FB08DFA" w:rsidP="39404EB8" w:rsidRDefault="3FB08DFA" w14:paraId="71A5682E" w14:textId="296453A9">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Aim</w:t>
      </w:r>
    </w:p>
    <w:p w:rsidR="3FB08DFA" w:rsidP="39404EB8" w:rsidRDefault="3FB08DFA" w14:paraId="1278547A" w14:textId="3325F42D">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To assess the strategic, operational and financial feasibility of improving coordination between digital-skills support, mentoring and employer partnerships for disadvantaged 18–24-year-olds in Birmingham who are not in employment, education or training.</w:t>
      </w:r>
    </w:p>
    <w:p w:rsidR="3FB08DFA" w:rsidP="39404EB8" w:rsidRDefault="3FB08DFA" w14:paraId="6A099783" w14:textId="17B0C458">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Objectives</w:t>
      </w:r>
    </w:p>
    <w:p w:rsidR="3FB08DFA" w:rsidP="39404EB8" w:rsidRDefault="3FB08DFA" w14:paraId="07D8DD21" w14:textId="0B17C2AF">
      <w:pPr>
        <w:pStyle w:val="ListParagraph"/>
        <w:numPr>
          <w:ilvl w:val="0"/>
          <w:numId w:val="24"/>
        </w:num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Analyse published evidence of employment barriers and support needs affecting the target group.</w:t>
      </w:r>
    </w:p>
    <w:p w:rsidR="3FB08DFA" w:rsidP="39404EB8" w:rsidRDefault="3FB08DFA" w14:paraId="5D4C3FC4" w14:textId="4DB41A7D">
      <w:pPr>
        <w:pStyle w:val="ListParagraph"/>
        <w:numPr>
          <w:ilvl w:val="0"/>
          <w:numId w:val="24"/>
        </w:num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Evaluate existing employability provision and identify evidenced gaps or potential opportunities for improved coordination.</w:t>
      </w:r>
    </w:p>
    <w:p w:rsidR="3FB08DFA" w:rsidP="39404EB8" w:rsidRDefault="3FB08DFA" w14:paraId="2E90A9F9" w14:textId="27201422">
      <w:pPr>
        <w:pStyle w:val="ListParagraph"/>
        <w:numPr>
          <w:ilvl w:val="0"/>
          <w:numId w:val="24"/>
        </w:num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Assess the feasibility of a proposed improvement, considering partnerships, delivery capacity, resources, costs and potential funding.</w:t>
      </w:r>
    </w:p>
    <w:p w:rsidR="3FB08DFA" w:rsidP="39404EB8" w:rsidRDefault="3FB08DFA" w14:paraId="3CDC83D6" w14:textId="733096A7">
      <w:pPr>
        <w:pStyle w:val="ListParagraph"/>
        <w:numPr>
          <w:ilvl w:val="0"/>
          <w:numId w:val="24"/>
        </w:num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Recommend whether to improve existing provision, develop a targeted pilot or undertake further investigation, identifying appropriate measures of success.</w:t>
      </w:r>
    </w:p>
    <w:p w:rsidR="3FB08DFA" w:rsidP="39404EB8" w:rsidRDefault="3FB08DFA" w14:paraId="0B8E05EB" w14:textId="109FE48A">
      <w:pPr>
        <w:pStyle w:val="Heading1"/>
        <w:spacing w:line="360" w:lineRule="auto"/>
        <w:rPr>
          <w:rFonts w:ascii="Arial" w:hAnsi="Arial" w:eastAsia="Arial" w:cs="Arial" w:asciiTheme="minorAscii" w:hAnsiTheme="minorAscii" w:eastAsiaTheme="minorAscii" w:cstheme="minorAscii"/>
          <w:b w:val="1"/>
          <w:bCs w:val="1"/>
          <w:noProof w:val="0"/>
          <w:sz w:val="24"/>
          <w:szCs w:val="24"/>
          <w:lang w:val="en-GB"/>
        </w:rPr>
      </w:pPr>
      <w:bookmarkStart w:name="_Toc760987744" w:id="826736733"/>
      <w:r w:rsidRPr="39404EB8" w:rsidR="3FB08DFA">
        <w:rPr>
          <w:rFonts w:ascii="Arial" w:hAnsi="Arial" w:eastAsia="Arial" w:cs="Arial" w:asciiTheme="minorAscii" w:hAnsiTheme="minorAscii" w:eastAsiaTheme="minorAscii" w:cstheme="minorAscii"/>
          <w:noProof w:val="0"/>
          <w:sz w:val="24"/>
          <w:szCs w:val="24"/>
          <w:lang w:val="en-GB"/>
        </w:rPr>
        <w:t>2. Methodology</w:t>
      </w:r>
      <w:bookmarkEnd w:id="826736733"/>
    </w:p>
    <w:p w:rsidR="3FB08DFA" w:rsidP="39404EB8" w:rsidRDefault="3FB08DFA" w14:paraId="39E47C7D" w14:textId="66DAEF4D">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Research design and scope</w:t>
      </w:r>
    </w:p>
    <w:p w:rsidR="3FB08DFA" w:rsidP="39404EB8" w:rsidRDefault="3FB08DFA" w14:paraId="700A8694" w14:textId="1D4E70D8">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As agreed with the supervisor, the project will adopt a secondary-research case-study approach. Research design and the assessment of secondary evidence will be informed by Saunders et al. (2019). The King’s Trust will form the organisational case, with Birmingham as the geographical focus. The project will assess feasibility; it will not implement an intervention or measure its employment effects.</w:t>
      </w:r>
    </w:p>
    <w:p w:rsidR="3FB08DFA" w:rsidP="39404EB8" w:rsidRDefault="3FB08DFA" w14:paraId="1C1872D8" w14:textId="28663604">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Regional and national research will provide context where local evidence is limited. Findings directly concerning Birmingham’s target group will be distinguished from broader evidence.</w:t>
      </w:r>
    </w:p>
    <w:p w:rsidR="3FB08DFA" w:rsidP="39404EB8" w:rsidRDefault="3FB08DFA" w14:paraId="0C0F0551" w14:textId="5877E48B">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Evidence collection</w:t>
      </w:r>
    </w:p>
    <w:p w:rsidR="18DB01CE" w:rsidP="39404EB8" w:rsidRDefault="18DB01CE" w14:paraId="2C89B4B5" w14:textId="37669386">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18DB01CE">
        <w:rPr>
          <w:rFonts w:ascii="Arial" w:hAnsi="Arial" w:eastAsia="Arial" w:cs="Arial" w:asciiTheme="minorAscii" w:hAnsiTheme="minorAscii" w:eastAsiaTheme="minorAscii" w:cstheme="minorAscii"/>
          <w:noProof w:val="0"/>
          <w:sz w:val="24"/>
          <w:szCs w:val="24"/>
          <w:lang w:val="en-GB"/>
        </w:rPr>
        <w:t>W</w:t>
      </w:r>
      <w:r w:rsidRPr="39404EB8" w:rsidR="3FB08DFA">
        <w:rPr>
          <w:rFonts w:ascii="Arial" w:hAnsi="Arial" w:eastAsia="Arial" w:cs="Arial" w:asciiTheme="minorAscii" w:hAnsiTheme="minorAscii" w:eastAsiaTheme="minorAscii" w:cstheme="minorAscii"/>
          <w:noProof w:val="0"/>
          <w:sz w:val="24"/>
          <w:szCs w:val="24"/>
          <w:lang w:val="en-GB"/>
        </w:rPr>
        <w:t>ill include:</w:t>
      </w:r>
    </w:p>
    <w:p w:rsidR="3C3B7714" w:rsidP="39404EB8" w:rsidRDefault="3C3B7714" w14:paraId="3AB966F2" w14:textId="5A623225">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The King’s Trust’s UK strategy, programme information, annual reports and financial statements</w:t>
      </w:r>
      <w:r w:rsidRPr="39404EB8" w:rsidR="3C3B7714">
        <w:rPr>
          <w:noProof w:val="0"/>
          <w:lang w:val="en-GB"/>
        </w:rPr>
        <w:t>, to examine its priorities, existing services, resources and financial position.</w:t>
      </w:r>
    </w:p>
    <w:p w:rsidR="3C3B7714" w:rsidP="39404EB8" w:rsidRDefault="3C3B7714" w14:paraId="6324DB8F" w14:textId="43823AA4">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The Charities Act 2011 and guidance from the Charity Commission for England and Wales</w:t>
      </w:r>
      <w:r w:rsidRPr="39404EB8" w:rsidR="3C3B7714">
        <w:rPr>
          <w:noProof w:val="0"/>
          <w:lang w:val="en-GB"/>
        </w:rPr>
        <w:t>, to inform the assessment of charitable purposes, public benefit, governance and reporting requirements.</w:t>
      </w:r>
    </w:p>
    <w:p w:rsidR="3C3B7714" w:rsidP="39404EB8" w:rsidRDefault="3C3B7714" w14:paraId="337FA708" w14:textId="1B120942">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ONS/Nomis labour-market statistics and Birmingham City Council publications</w:t>
      </w:r>
      <w:r w:rsidRPr="39404EB8" w:rsidR="3C3B7714">
        <w:rPr>
          <w:noProof w:val="0"/>
          <w:lang w:val="en-GB"/>
        </w:rPr>
        <w:t>, to examine local employment-related need.</w:t>
      </w:r>
    </w:p>
    <w:p w:rsidR="3C3B7714" w:rsidP="39404EB8" w:rsidRDefault="3C3B7714" w14:paraId="4933B94C" w14:textId="0B5E5649">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West Midlands Combined Authority employment and skills research</w:t>
      </w:r>
      <w:r w:rsidRPr="39404EB8" w:rsidR="3C3B7714">
        <w:rPr>
          <w:noProof w:val="0"/>
          <w:lang w:val="en-GB"/>
        </w:rPr>
        <w:t>, to understand regional priorities and existing provision.</w:t>
      </w:r>
    </w:p>
    <w:p w:rsidR="3C3B7714" w:rsidP="39404EB8" w:rsidRDefault="3C3B7714" w14:paraId="23868EE9" w14:textId="7D4B2E62">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Government policy documents and evaluation guidance</w:t>
      </w:r>
      <w:r w:rsidRPr="39404EB8" w:rsidR="3C3B7714">
        <w:rPr>
          <w:noProof w:val="0"/>
          <w:lang w:val="en-GB"/>
        </w:rPr>
        <w:t>, to assess policy alignment and appropriate outcome measures.</w:t>
      </w:r>
    </w:p>
    <w:p w:rsidR="3C3B7714" w:rsidP="39404EB8" w:rsidRDefault="3C3B7714" w14:paraId="24791FB9" w14:textId="38D24A7A">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Academic research and independent evaluations</w:t>
      </w:r>
      <w:r w:rsidRPr="39404EB8" w:rsidR="3C3B7714">
        <w:rPr>
          <w:noProof w:val="0"/>
          <w:lang w:val="en-GB"/>
        </w:rPr>
        <w:t xml:space="preserve"> concerning employability, digital inclusion, mentoring and employer engagement.</w:t>
      </w:r>
    </w:p>
    <w:p w:rsidR="3C3B7714" w:rsidP="39404EB8" w:rsidRDefault="3C3B7714" w14:paraId="47162835" w14:textId="11183B04">
      <w:pPr>
        <w:pStyle w:val="ListParagraph"/>
        <w:numPr>
          <w:ilvl w:val="0"/>
          <w:numId w:val="25"/>
        </w:numPr>
        <w:spacing w:before="0" w:beforeAutospacing="off" w:after="0" w:afterAutospacing="off" w:line="360" w:lineRule="auto"/>
        <w:rPr>
          <w:noProof w:val="0"/>
          <w:lang w:val="en-GB"/>
        </w:rPr>
      </w:pPr>
      <w:r w:rsidRPr="39404EB8" w:rsidR="3C3B7714">
        <w:rPr>
          <w:b w:val="1"/>
          <w:bCs w:val="1"/>
          <w:noProof w:val="0"/>
          <w:lang w:val="en-GB"/>
        </w:rPr>
        <w:t xml:space="preserve">Published provider information and salary, </w:t>
      </w:r>
      <w:r w:rsidRPr="39404EB8" w:rsidR="3C3B7714">
        <w:rPr>
          <w:b w:val="1"/>
          <w:bCs w:val="1"/>
          <w:noProof w:val="0"/>
          <w:lang w:val="en-GB"/>
        </w:rPr>
        <w:t>premises</w:t>
      </w:r>
      <w:r w:rsidRPr="39404EB8" w:rsidR="3C3B7714">
        <w:rPr>
          <w:b w:val="1"/>
          <w:bCs w:val="1"/>
          <w:noProof w:val="0"/>
          <w:lang w:val="en-GB"/>
        </w:rPr>
        <w:t xml:space="preserve"> and service-cost benchmarks</w:t>
      </w:r>
      <w:r w:rsidRPr="39404EB8" w:rsidR="3C3B7714">
        <w:rPr>
          <w:noProof w:val="0"/>
          <w:lang w:val="en-GB"/>
        </w:rPr>
        <w:t>, to compare services and inform realistic cost estimates.</w:t>
      </w:r>
    </w:p>
    <w:p w:rsidR="3FB08DFA" w:rsidP="39404EB8" w:rsidRDefault="3FB08DFA" w14:paraId="4953A158" w14:textId="7615FAB9">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The UK charity’s annual report and accounts will inform the organisational financial analysis (The King’s Trust, 2025a). The King’s Trust International’s accounts will provide background only and will not substitute for UK financial evidence.</w:t>
      </w:r>
    </w:p>
    <w:p w:rsidR="3FB08DFA" w:rsidP="39404EB8" w:rsidRDefault="3FB08DFA" w14:paraId="6609B93B" w14:textId="26E6D5CF">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A documented search strategy will use terms including “Birmingham youth employability”, “digital inclusion”, “employment mentoring”, “employer partnerships” and “sustained employment”. Sources will be assessed for relevance, methodology, publication date, geographical coverage and potential bias, drawing on guidance on document selection and appraisal (Bowen, 2009). Established theoretical literature will be retained alongside recent empirical evidence.</w:t>
      </w:r>
    </w:p>
    <w:p w:rsidR="3FB08DFA" w:rsidP="39404EB8" w:rsidRDefault="3FB08DFA" w14:paraId="032F26FA" w14:textId="71A2AFB0">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Analysis</w:t>
      </w:r>
    </w:p>
    <w:p w:rsidR="3FB08DFA" w:rsidP="39404EB8" w:rsidRDefault="3FB08DFA" w14:paraId="6D14ED62" w14:textId="586A7EDF">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Qualitative evidence will be coded and organised into themes covering access barriers, digital capability, referrals, employer involvement and progression support, drawing on Braun and Clarke (2006). These initial themes will be reviewed and refined as the evidence is analysed.</w:t>
      </w:r>
    </w:p>
    <w:p w:rsidR="3FB08DFA" w:rsidP="39404EB8" w:rsidRDefault="3FB08DFA" w14:paraId="186EF6FD" w14:textId="0D38B710">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Quantitative evidence will be analysed descriptively, following general research-methods guidance (Saunders et al., 2019). Differences in age groups, dates, geographical boundaries and outcome definitions will be recorded before comparisons are made.</w:t>
      </w:r>
    </w:p>
    <w:p w:rsidR="3FB08DFA" w:rsidP="39404EB8" w:rsidRDefault="3FB08DFA" w14:paraId="64ADCE18" w14:textId="5E6048E6">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Strategic analysis will draw on the frameworks discussed by Whittington et al. (2023), adapted to The King’s Trust’s charitable context. PESTLE, SWOT, Competitor Analysis, Porter’s Five Forces and Ansoff’s Matrix will inform the business analysis, recognising the Trust’s relationships with beneficiaries, funders and delivery partners. These frameworks will structure the analysis; they will not, by themselves, demonstrate a service gap.</w:t>
      </w:r>
    </w:p>
    <w:p w:rsidR="3FB08DFA" w:rsidP="39404EB8" w:rsidRDefault="3FB08DFA" w14:paraId="58EB3B90" w14:textId="5BC42E37">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Using the Business Model Canvas framework (Strategyzer, n.d.), the research will describe the existing organisational model and identify how the proposed improvement would affect activities, partners, resources, costs and beneficiary value. Beneficiaries will be distinguished from the organisations and individuals financing delivery.</w:t>
      </w:r>
    </w:p>
    <w:p w:rsidR="3FB08DFA" w:rsidP="39404EB8" w:rsidRDefault="3FB08DFA" w14:paraId="07FA5DE2" w14:textId="541566F7">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Financial analysis will examine the latest available UK organisational accounts, including the cash flow statement, alongside estimated improvement costs. The 2024/25 accounts provide an initial organisational source (The King’s Trust, 2025a); the research will check for a more recent report before completing the financial analysis. It will distinguish initial expenditure from recurring costs and assess alternative funding and delivery scenarios. Estimated affordability will not be presented as guaranteed financial sustainability.</w:t>
      </w:r>
    </w:p>
    <w:p w:rsidR="3FB08DFA" w:rsidP="39404EB8" w:rsidRDefault="3FB08DFA" w14:paraId="1B5F0E3F" w14:textId="4BF2D5E1">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3FB08DFA">
        <w:rPr>
          <w:rFonts w:ascii="Arial" w:hAnsi="Arial" w:eastAsia="Arial" w:cs="Arial" w:asciiTheme="minorAscii" w:hAnsiTheme="minorAscii" w:eastAsiaTheme="minorAscii" w:cstheme="minorAscii"/>
          <w:b w:val="1"/>
          <w:bCs w:val="1"/>
          <w:noProof w:val="0"/>
          <w:sz w:val="24"/>
          <w:szCs w:val="24"/>
          <w:lang w:val="en-GB"/>
        </w:rPr>
        <w:t>Limitations</w:t>
      </w:r>
    </w:p>
    <w:p w:rsidR="3FB08DFA" w:rsidP="39404EB8" w:rsidRDefault="3FB08DFA" w14:paraId="2C5C0CCE" w14:textId="7C92E02D">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Documentary evidence may be incomplete and was usually produced for purposes other than this study (Bowen, 2009). Secondary research alone will therefore not be treated as confirmation of current participant preferences, employer commitments or internal delivery capacity. Recommendations will distinguish established evidence, reasonable inferences and assumptions requiring verification.</w:t>
      </w:r>
    </w:p>
    <w:p w:rsidR="3FB08DFA" w:rsidP="39404EB8" w:rsidRDefault="3FB08DFA" w14:paraId="6B671A06" w14:textId="19FDB287">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 xml:space="preserve">Local claimant statistics will </w:t>
      </w:r>
      <w:r w:rsidRPr="39404EB8" w:rsidR="3FB08DFA">
        <w:rPr>
          <w:rFonts w:ascii="Arial" w:hAnsi="Arial" w:eastAsia="Arial" w:cs="Arial" w:asciiTheme="minorAscii" w:hAnsiTheme="minorAscii" w:eastAsiaTheme="minorAscii" w:cstheme="minorAscii"/>
          <w:noProof w:val="0"/>
          <w:sz w:val="24"/>
          <w:szCs w:val="24"/>
          <w:lang w:val="en-GB"/>
        </w:rPr>
        <w:t>indicate</w:t>
      </w:r>
      <w:r w:rsidRPr="39404EB8" w:rsidR="3FB08DFA">
        <w:rPr>
          <w:rFonts w:ascii="Arial" w:hAnsi="Arial" w:eastAsia="Arial" w:cs="Arial" w:asciiTheme="minorAscii" w:hAnsiTheme="minorAscii" w:eastAsiaTheme="minorAscii" w:cstheme="minorAscii"/>
          <w:noProof w:val="0"/>
          <w:sz w:val="24"/>
          <w:szCs w:val="24"/>
          <w:lang w:val="en-GB"/>
        </w:rPr>
        <w:t xml:space="preserve"> employment-related need but will not be treated as a measure of the NEET population. The Nomis profile </w:t>
      </w:r>
      <w:r w:rsidRPr="39404EB8" w:rsidR="3FB08DFA">
        <w:rPr>
          <w:rFonts w:ascii="Arial" w:hAnsi="Arial" w:eastAsia="Arial" w:cs="Arial" w:asciiTheme="minorAscii" w:hAnsiTheme="minorAscii" w:eastAsiaTheme="minorAscii" w:cstheme="minorAscii"/>
          <w:noProof w:val="0"/>
          <w:sz w:val="24"/>
          <w:szCs w:val="24"/>
          <w:lang w:val="en-GB"/>
        </w:rPr>
        <w:t>identifies</w:t>
      </w:r>
      <w:r w:rsidRPr="39404EB8" w:rsidR="3FB08DFA">
        <w:rPr>
          <w:rFonts w:ascii="Arial" w:hAnsi="Arial" w:eastAsia="Arial" w:cs="Arial" w:asciiTheme="minorAscii" w:hAnsiTheme="minorAscii" w:eastAsiaTheme="minorAscii" w:cstheme="minorAscii"/>
          <w:noProof w:val="0"/>
          <w:sz w:val="24"/>
          <w:szCs w:val="24"/>
          <w:lang w:val="en-GB"/>
        </w:rPr>
        <w:t xml:space="preserve"> the claimant count separately from its survey-based employment and unemployment measures (ONS</w:t>
      </w:r>
      <w:r w:rsidRPr="39404EB8" w:rsidR="315B9DF7">
        <w:rPr>
          <w:rFonts w:ascii="Arial" w:hAnsi="Arial" w:eastAsia="Arial" w:cs="Arial" w:asciiTheme="minorAscii" w:hAnsiTheme="minorAscii" w:eastAsiaTheme="minorAscii" w:cstheme="minorAscii"/>
          <w:noProof w:val="0"/>
          <w:sz w:val="24"/>
          <w:szCs w:val="24"/>
          <w:lang w:val="en-GB"/>
        </w:rPr>
        <w:t>, 2024</w:t>
      </w:r>
      <w:r w:rsidRPr="39404EB8" w:rsidR="3FB08DFA">
        <w:rPr>
          <w:rFonts w:ascii="Arial" w:hAnsi="Arial" w:eastAsia="Arial" w:cs="Arial" w:asciiTheme="minorAscii" w:hAnsiTheme="minorAscii" w:eastAsiaTheme="minorAscii" w:cstheme="minorAscii"/>
          <w:noProof w:val="0"/>
          <w:sz w:val="24"/>
          <w:szCs w:val="24"/>
          <w:lang w:val="en-GB"/>
        </w:rPr>
        <w:t>).</w:t>
      </w:r>
    </w:p>
    <w:p w:rsidR="3FB08DFA" w:rsidP="39404EB8" w:rsidRDefault="3FB08DFA" w14:paraId="0F9D34FD" w14:textId="721C2053">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The Department for Education’s March 2025 parliamentary response identified sample-size limitations preventing publication of its survey-based NEET estimates for Birmingham’s 16–24 population (Department for Education, 2025).</w:t>
      </w:r>
    </w:p>
    <w:p w:rsidR="3FB08DFA" w:rsidP="39404EB8" w:rsidRDefault="3FB08DFA" w14:paraId="71B47DAB" w14:textId="70B3FCC5">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noProof w:val="0"/>
          <w:sz w:val="24"/>
          <w:szCs w:val="24"/>
          <w:lang w:val="en-GB"/>
        </w:rPr>
      </w:pPr>
      <w:r w:rsidRPr="39404EB8" w:rsidR="3FB08DFA">
        <w:rPr>
          <w:rFonts w:ascii="Arial" w:hAnsi="Arial" w:eastAsia="Arial" w:cs="Arial" w:asciiTheme="minorAscii" w:hAnsiTheme="minorAscii" w:eastAsiaTheme="minorAscii" w:cstheme="minorAscii"/>
          <w:noProof w:val="0"/>
          <w:sz w:val="24"/>
          <w:szCs w:val="24"/>
          <w:lang w:val="en-GB"/>
        </w:rPr>
        <w:t xml:space="preserve">To address this limitation, the study will combine local claimant and labour-market information with the Trust’s programme information, WMCA provision and wider employability research </w:t>
      </w:r>
      <w:r w:rsidRPr="39404EB8" w:rsidR="70E48CC5">
        <w:rPr>
          <w:rFonts w:ascii="Arial" w:hAnsi="Arial" w:eastAsia="Arial" w:cs="Arial" w:asciiTheme="minorAscii" w:hAnsiTheme="minorAscii" w:eastAsiaTheme="minorAscii" w:cstheme="minorAscii"/>
          <w:noProof w:val="0"/>
          <w:sz w:val="24"/>
          <w:szCs w:val="24"/>
          <w:lang w:val="en-GB"/>
        </w:rPr>
        <w:t>(ONS, 2024</w:t>
      </w:r>
      <w:r w:rsidRPr="39404EB8" w:rsidR="3FB08DFA">
        <w:rPr>
          <w:rFonts w:ascii="Arial" w:hAnsi="Arial" w:eastAsia="Arial" w:cs="Arial" w:asciiTheme="minorAscii" w:hAnsiTheme="minorAscii" w:eastAsiaTheme="minorAscii" w:cstheme="minorAscii"/>
          <w:noProof w:val="0"/>
          <w:sz w:val="24"/>
          <w:szCs w:val="24"/>
          <w:lang w:val="en-GB"/>
        </w:rPr>
        <w:t>; The King’s Trust,</w:t>
      </w:r>
      <w:r w:rsidRPr="39404EB8" w:rsidR="3C973BFA">
        <w:rPr>
          <w:rFonts w:ascii="Arial" w:hAnsi="Arial" w:eastAsia="Arial" w:cs="Arial" w:asciiTheme="minorAscii" w:hAnsiTheme="minorAscii" w:eastAsiaTheme="minorAscii" w:cstheme="minorAscii"/>
          <w:noProof w:val="0"/>
          <w:sz w:val="24"/>
          <w:szCs w:val="24"/>
          <w:lang w:val="en-GB"/>
        </w:rPr>
        <w:t xml:space="preserve"> 2025</w:t>
      </w:r>
      <w:r w:rsidRPr="39404EB8" w:rsidR="3FB08DFA">
        <w:rPr>
          <w:rFonts w:ascii="Arial" w:hAnsi="Arial" w:eastAsia="Arial" w:cs="Arial" w:asciiTheme="minorAscii" w:hAnsiTheme="minorAscii" w:eastAsiaTheme="minorAscii" w:cstheme="minorAscii"/>
          <w:noProof w:val="0"/>
          <w:sz w:val="24"/>
          <w:szCs w:val="24"/>
          <w:lang w:val="en-GB"/>
        </w:rPr>
        <w:t xml:space="preserve">; </w:t>
      </w:r>
      <w:r w:rsidRPr="39404EB8" w:rsidR="19E4CDC5">
        <w:rPr>
          <w:rFonts w:ascii="Arial" w:hAnsi="Arial" w:eastAsia="Arial" w:cs="Arial" w:asciiTheme="minorAscii" w:hAnsiTheme="minorAscii" w:eastAsiaTheme="minorAscii" w:cstheme="minorAscii"/>
          <w:noProof w:val="0"/>
          <w:sz w:val="24"/>
          <w:szCs w:val="24"/>
          <w:lang w:val="en-GB"/>
        </w:rPr>
        <w:t>WMCA, 2025</w:t>
      </w:r>
      <w:r w:rsidRPr="39404EB8" w:rsidR="3FB08DFA">
        <w:rPr>
          <w:rFonts w:ascii="Arial" w:hAnsi="Arial" w:eastAsia="Arial" w:cs="Arial" w:asciiTheme="minorAscii" w:hAnsiTheme="minorAscii" w:eastAsiaTheme="minorAscii" w:cstheme="minorAscii"/>
          <w:noProof w:val="0"/>
          <w:sz w:val="24"/>
          <w:szCs w:val="24"/>
          <w:lang w:val="en-GB"/>
        </w:rPr>
        <w:t xml:space="preserve">; McQuaid and Lindsay, 2005). This will support </w:t>
      </w:r>
      <w:r w:rsidRPr="39404EB8" w:rsidR="3FB08DFA">
        <w:rPr>
          <w:rFonts w:ascii="Arial" w:hAnsi="Arial" w:eastAsia="Arial" w:cs="Arial" w:asciiTheme="minorAscii" w:hAnsiTheme="minorAscii" w:eastAsiaTheme="minorAscii" w:cstheme="minorAscii"/>
          <w:noProof w:val="0"/>
          <w:sz w:val="24"/>
          <w:szCs w:val="24"/>
          <w:lang w:val="en-GB"/>
        </w:rPr>
        <w:t>an initial</w:t>
      </w:r>
      <w:r w:rsidRPr="39404EB8" w:rsidR="3FB08DFA">
        <w:rPr>
          <w:rFonts w:ascii="Arial" w:hAnsi="Arial" w:eastAsia="Arial" w:cs="Arial" w:asciiTheme="minorAscii" w:hAnsiTheme="minorAscii" w:eastAsiaTheme="minorAscii" w:cstheme="minorAscii"/>
          <w:noProof w:val="0"/>
          <w:sz w:val="24"/>
          <w:szCs w:val="24"/>
          <w:lang w:val="en-GB"/>
        </w:rPr>
        <w:t xml:space="preserve"> feasibility assessment rather than a precise estimate of Birmingham’s 18–24 NEET population.</w:t>
      </w:r>
    </w:p>
    <w:p w:rsidR="7ED3228C" w:rsidP="39404EB8" w:rsidRDefault="7ED3228C" w14:paraId="00F6816F" w14:textId="4694A9B5">
      <w:pPr>
        <w:pStyle w:val="Heading1"/>
        <w:spacing w:line="360" w:lineRule="auto"/>
        <w:rPr>
          <w:rFonts w:ascii="Arial" w:hAnsi="Arial" w:eastAsia="Arial" w:cs="Arial" w:asciiTheme="minorAscii" w:hAnsiTheme="minorAscii" w:eastAsiaTheme="minorAscii" w:cstheme="minorAscii"/>
          <w:sz w:val="24"/>
          <w:szCs w:val="24"/>
        </w:rPr>
      </w:pPr>
      <w:bookmarkStart w:name="_Toc1401412946" w:id="731723346"/>
      <w:r w:rsidRPr="39404EB8" w:rsidR="38888276">
        <w:rPr>
          <w:rFonts w:ascii="Arial" w:hAnsi="Arial" w:eastAsia="Arial" w:cs="Arial" w:asciiTheme="minorAscii" w:hAnsiTheme="minorAscii" w:eastAsiaTheme="minorAscii" w:cstheme="minorAscii"/>
          <w:sz w:val="24"/>
          <w:szCs w:val="24"/>
        </w:rPr>
        <w:t>3. Market Research and Validation</w:t>
      </w:r>
      <w:bookmarkEnd w:id="731723346"/>
    </w:p>
    <w:p w:rsidR="7ED3228C" w:rsidP="39404EB8" w:rsidRDefault="7ED3228C" w14:paraId="4AA90B11" w14:textId="75D59629">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38888276">
        <w:rPr>
          <w:rFonts w:ascii="Arial" w:hAnsi="Arial" w:eastAsia="Arial" w:cs="Arial" w:asciiTheme="minorAscii" w:hAnsiTheme="minorAscii" w:eastAsiaTheme="minorAscii" w:cstheme="minorAscii"/>
          <w:b w:val="1"/>
          <w:bCs w:val="1"/>
          <w:sz w:val="24"/>
          <w:szCs w:val="24"/>
        </w:rPr>
        <w:t>Initial local evidence</w:t>
      </w:r>
    </w:p>
    <w:p w:rsidR="0ACF3846" w:rsidP="39404EB8" w:rsidRDefault="0ACF3846" w14:paraId="30598AE8" w14:textId="1258C0EB">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0ACF3846">
        <w:rPr>
          <w:rFonts w:ascii="Arial" w:hAnsi="Arial" w:eastAsia="Arial" w:cs="Arial" w:asciiTheme="minorAscii" w:hAnsiTheme="minorAscii" w:eastAsiaTheme="minorAscii" w:cstheme="minorAscii"/>
          <w:b w:val="1"/>
          <w:bCs w:val="1"/>
          <w:noProof w:val="0"/>
          <w:sz w:val="24"/>
          <w:szCs w:val="24"/>
          <w:lang w:val="en-GB"/>
        </w:rPr>
        <w:t>Table A1:</w:t>
      </w:r>
      <w:r w:rsidRPr="39404EB8" w:rsidR="2B425DD7">
        <w:rPr>
          <w:rFonts w:ascii="Arial" w:hAnsi="Arial" w:eastAsia="Arial" w:cs="Arial" w:asciiTheme="minorAscii" w:hAnsiTheme="minorAscii" w:eastAsiaTheme="minorAscii" w:cstheme="minorAscii"/>
          <w:noProof w:val="0"/>
          <w:sz w:val="24"/>
          <w:szCs w:val="24"/>
          <w:lang w:val="en-GB"/>
        </w:rPr>
        <w:t xml:space="preserve"> National context and local evidence</w:t>
      </w:r>
      <w:r w:rsidRPr="39404EB8" w:rsidR="408E6F04">
        <w:rPr>
          <w:rFonts w:ascii="Arial" w:hAnsi="Arial" w:eastAsia="Arial" w:cs="Arial" w:asciiTheme="minorAscii" w:hAnsiTheme="minorAscii" w:eastAsiaTheme="minorAscii" w:cstheme="minorAscii"/>
          <w:noProof w:val="0"/>
          <w:sz w:val="24"/>
          <w:szCs w:val="24"/>
          <w:lang w:val="en-GB"/>
        </w:rPr>
        <w:t xml:space="preserve"> National research identifies a recent rise in the proportion of young people who are not in employment, education or training. Michael et al. (2026) find that administrative employment and benefit data broadly support this increase. Their analysis also suggests that the rise cannot be explained entirely by a general economic downturn. These findings provide context for investigating youth employability in Birmingham, but do not establish a gap in local services.</w:t>
      </w:r>
    </w:p>
    <w:p w:rsidR="408E6F04" w:rsidP="39404EB8" w:rsidRDefault="408E6F04" w14:paraId="5D946812" w14:textId="75A3D58B">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408E6F04">
        <w:rPr>
          <w:rFonts w:ascii="Arial" w:hAnsi="Arial" w:eastAsia="Arial" w:cs="Arial" w:asciiTheme="minorAscii" w:hAnsiTheme="minorAscii" w:eastAsiaTheme="minorAscii" w:cstheme="minorAscii"/>
          <w:noProof w:val="0"/>
          <w:sz w:val="24"/>
          <w:szCs w:val="24"/>
          <w:lang w:val="en-GB"/>
        </w:rPr>
        <w:t xml:space="preserve">Birmingham’s claimant rate for 18–24-year-olds was 11.4% in August 2026, compared with 8.4% in the West Midlands and 5.9% in Great Britain </w:t>
      </w:r>
      <w:r w:rsidRPr="39404EB8" w:rsidR="408E6F04">
        <w:rPr>
          <w:rFonts w:ascii="Arial" w:hAnsi="Arial" w:eastAsia="Arial" w:cs="Arial" w:asciiTheme="minorAscii" w:hAnsiTheme="minorAscii" w:eastAsiaTheme="minorAscii" w:cstheme="minorAscii"/>
          <w:sz w:val="24"/>
          <w:szCs w:val="24"/>
        </w:rPr>
        <w:t>(ONS/Nomis, 2026)</w:t>
      </w:r>
      <w:r w:rsidRPr="39404EB8" w:rsidR="408E6F04">
        <w:rPr>
          <w:rFonts w:ascii="Arial" w:hAnsi="Arial" w:eastAsia="Arial" w:cs="Arial" w:asciiTheme="minorAscii" w:hAnsiTheme="minorAscii" w:eastAsiaTheme="minorAscii" w:cstheme="minorAscii"/>
          <w:noProof w:val="0"/>
          <w:sz w:val="24"/>
          <w:szCs w:val="24"/>
          <w:lang w:val="en-GB"/>
        </w:rPr>
        <w:t xml:space="preserve">. The comparison </w:t>
      </w:r>
      <w:r w:rsidRPr="39404EB8" w:rsidR="408E6F04">
        <w:rPr>
          <w:rFonts w:ascii="Arial" w:hAnsi="Arial" w:eastAsia="Arial" w:cs="Arial" w:asciiTheme="minorAscii" w:hAnsiTheme="minorAscii" w:eastAsiaTheme="minorAscii" w:cstheme="minorAscii"/>
          <w:noProof w:val="0"/>
          <w:sz w:val="24"/>
          <w:szCs w:val="24"/>
          <w:lang w:val="en-GB"/>
        </w:rPr>
        <w:t>indicates</w:t>
      </w:r>
      <w:r w:rsidRPr="39404EB8" w:rsidR="408E6F04">
        <w:rPr>
          <w:rFonts w:ascii="Arial" w:hAnsi="Arial" w:eastAsia="Arial" w:cs="Arial" w:asciiTheme="minorAscii" w:hAnsiTheme="minorAscii" w:eastAsiaTheme="minorAscii" w:cstheme="minorAscii"/>
          <w:noProof w:val="0"/>
          <w:sz w:val="24"/>
          <w:szCs w:val="24"/>
          <w:lang w:val="en-GB"/>
        </w:rPr>
        <w:t xml:space="preserve"> greater employment-related need in </w:t>
      </w:r>
      <w:r w:rsidRPr="39404EB8" w:rsidR="408E6F04">
        <w:rPr>
          <w:rFonts w:ascii="Arial" w:hAnsi="Arial" w:eastAsia="Arial" w:cs="Arial" w:asciiTheme="minorAscii" w:hAnsiTheme="minorAscii" w:eastAsiaTheme="minorAscii" w:cstheme="minorAscii"/>
          <w:noProof w:val="0"/>
          <w:sz w:val="24"/>
          <w:szCs w:val="24"/>
          <w:lang w:val="en-GB"/>
        </w:rPr>
        <w:t>Birmingham but</w:t>
      </w:r>
      <w:r w:rsidRPr="39404EB8" w:rsidR="408E6F04">
        <w:rPr>
          <w:rFonts w:ascii="Arial" w:hAnsi="Arial" w:eastAsia="Arial" w:cs="Arial" w:asciiTheme="minorAscii" w:hAnsiTheme="minorAscii" w:eastAsiaTheme="minorAscii" w:cstheme="minorAscii"/>
          <w:noProof w:val="0"/>
          <w:sz w:val="24"/>
          <w:szCs w:val="24"/>
          <w:lang w:val="en-GB"/>
        </w:rPr>
        <w:t xml:space="preserve"> does not </w:t>
      </w:r>
      <w:r w:rsidRPr="39404EB8" w:rsidR="408E6F04">
        <w:rPr>
          <w:rFonts w:ascii="Arial" w:hAnsi="Arial" w:eastAsia="Arial" w:cs="Arial" w:asciiTheme="minorAscii" w:hAnsiTheme="minorAscii" w:eastAsiaTheme="minorAscii" w:cstheme="minorAscii"/>
          <w:noProof w:val="0"/>
          <w:sz w:val="24"/>
          <w:szCs w:val="24"/>
          <w:lang w:val="en-GB"/>
        </w:rPr>
        <w:t>establish</w:t>
      </w:r>
      <w:r w:rsidRPr="39404EB8" w:rsidR="408E6F04">
        <w:rPr>
          <w:rFonts w:ascii="Arial" w:hAnsi="Arial" w:eastAsia="Arial" w:cs="Arial" w:asciiTheme="minorAscii" w:hAnsiTheme="minorAscii" w:eastAsiaTheme="minorAscii" w:cstheme="minorAscii"/>
          <w:noProof w:val="0"/>
          <w:sz w:val="24"/>
          <w:szCs w:val="24"/>
          <w:lang w:val="en-GB"/>
        </w:rPr>
        <w:t xml:space="preserve"> the size of the NEET population or a service gap. </w:t>
      </w:r>
      <w:r w:rsidRPr="39404EB8" w:rsidR="408E6F04">
        <w:rPr>
          <w:rFonts w:ascii="Arial" w:hAnsi="Arial" w:eastAsia="Arial" w:cs="Arial" w:asciiTheme="minorAscii" w:hAnsiTheme="minorAscii" w:eastAsiaTheme="minorAscii" w:cstheme="minorAscii"/>
          <w:b w:val="1"/>
          <w:bCs w:val="1"/>
          <w:noProof w:val="0"/>
          <w:sz w:val="24"/>
          <w:szCs w:val="24"/>
          <w:lang w:val="en-GB"/>
        </w:rPr>
        <w:t>Appendix A, Table A1</w:t>
      </w:r>
      <w:r w:rsidRPr="39404EB8" w:rsidR="408E6F04">
        <w:rPr>
          <w:rFonts w:ascii="Arial" w:hAnsi="Arial" w:eastAsia="Arial" w:cs="Arial" w:asciiTheme="minorAscii" w:hAnsiTheme="minorAscii" w:eastAsiaTheme="minorAscii" w:cstheme="minorAscii"/>
          <w:noProof w:val="0"/>
          <w:sz w:val="24"/>
          <w:szCs w:val="24"/>
          <w:lang w:val="en-GB"/>
        </w:rPr>
        <w:t xml:space="preserve"> provides the supporting comparison.</w:t>
      </w:r>
    </w:p>
    <w:p w:rsidR="39404EB8" w:rsidP="39404EB8" w:rsidRDefault="39404EB8" w14:paraId="712B6954" w14:textId="5E931915">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p>
    <w:p w:rsidR="7ED3228C" w:rsidP="39404EB8" w:rsidRDefault="7ED3228C" w14:paraId="30E20AB3" w14:textId="1E8F7034">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38888276">
        <w:rPr>
          <w:rFonts w:ascii="Arial" w:hAnsi="Arial" w:eastAsia="Arial" w:cs="Arial" w:asciiTheme="minorAscii" w:hAnsiTheme="minorAscii" w:eastAsiaTheme="minorAscii" w:cstheme="minorAscii"/>
          <w:b w:val="1"/>
          <w:bCs w:val="1"/>
          <w:sz w:val="24"/>
          <w:szCs w:val="24"/>
        </w:rPr>
        <w:t>Stakeholders and existing provision</w:t>
      </w:r>
    </w:p>
    <w:p w:rsidR="3911B7E0" w:rsidP="39404EB8" w:rsidRDefault="3911B7E0" w14:paraId="7DD9F8EB" w14:textId="200B08D1">
      <w:pPr>
        <w:pStyle w:val="Normal"/>
        <w:spacing w:before="240" w:after="240" w:line="360" w:lineRule="auto"/>
        <w:rPr>
          <w:rFonts w:ascii="Arial" w:hAnsi="Arial" w:eastAsia="Arial" w:cs="Arial" w:asciiTheme="minorAscii" w:hAnsiTheme="minorAscii" w:eastAsiaTheme="minorAscii" w:cstheme="minorAscii"/>
          <w:noProof w:val="0"/>
          <w:sz w:val="24"/>
          <w:szCs w:val="24"/>
          <w:lang w:val="en-GB"/>
        </w:rPr>
      </w:pPr>
      <w:r w:rsidRPr="39404EB8" w:rsidR="3DE3539E">
        <w:rPr>
          <w:rFonts w:ascii="Arial" w:hAnsi="Arial" w:eastAsia="Arial" w:cs="Arial" w:asciiTheme="minorAscii" w:hAnsiTheme="minorAscii" w:eastAsiaTheme="minorAscii" w:cstheme="minorAscii"/>
          <w:b w:val="1"/>
          <w:bCs w:val="1"/>
          <w:noProof w:val="0"/>
          <w:sz w:val="24"/>
          <w:szCs w:val="24"/>
          <w:lang w:val="en-GB"/>
        </w:rPr>
        <w:t>Table B1</w:t>
      </w:r>
      <w:r w:rsidRPr="39404EB8" w:rsidR="6085C39B">
        <w:rPr>
          <w:rFonts w:ascii="Arial" w:hAnsi="Arial" w:eastAsia="Arial" w:cs="Arial" w:asciiTheme="minorAscii" w:hAnsiTheme="minorAscii" w:eastAsiaTheme="minorAscii" w:cstheme="minorAscii"/>
          <w:b w:val="1"/>
          <w:bCs w:val="1"/>
          <w:sz w:val="24"/>
          <w:szCs w:val="24"/>
        </w:rPr>
        <w:t>.</w:t>
      </w:r>
      <w:r w:rsidRPr="39404EB8" w:rsidR="6085C39B">
        <w:rPr>
          <w:rFonts w:ascii="Arial" w:hAnsi="Arial" w:eastAsia="Arial" w:cs="Arial" w:asciiTheme="minorAscii" w:hAnsiTheme="minorAscii" w:eastAsiaTheme="minorAscii" w:cstheme="minorAscii"/>
          <w:sz w:val="24"/>
          <w:szCs w:val="24"/>
        </w:rPr>
        <w:t xml:space="preserve"> </w:t>
      </w:r>
      <w:r w:rsidRPr="39404EB8" w:rsidR="3B536EC0">
        <w:rPr>
          <w:rFonts w:ascii="Arial" w:hAnsi="Arial" w:eastAsia="Arial" w:cs="Arial" w:asciiTheme="minorAscii" w:hAnsiTheme="minorAscii" w:eastAsiaTheme="minorAscii" w:cstheme="minorAscii"/>
          <w:noProof w:val="0"/>
          <w:sz w:val="24"/>
          <w:szCs w:val="24"/>
          <w:lang w:val="en-GB"/>
        </w:rPr>
        <w:t>Stakeholder groups and proposed research questions.</w:t>
      </w:r>
    </w:p>
    <w:p w:rsidR="237C4858" w:rsidP="39404EB8" w:rsidRDefault="237C4858" w14:paraId="30CB88DE" w14:textId="321380C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4309F613">
        <w:rPr>
          <w:rFonts w:ascii="Arial" w:hAnsi="Arial" w:eastAsia="Arial" w:cs="Arial" w:asciiTheme="minorAscii" w:hAnsiTheme="minorAscii" w:eastAsiaTheme="minorAscii" w:cstheme="minorAscii"/>
          <w:noProof w:val="0"/>
          <w:sz w:val="24"/>
          <w:szCs w:val="24"/>
          <w:lang w:val="en-GB"/>
        </w:rPr>
        <w:t xml:space="preserve">The research will examine the needs of young people, employers, referral </w:t>
      </w:r>
      <w:r w:rsidRPr="39404EB8" w:rsidR="4309F613">
        <w:rPr>
          <w:rFonts w:ascii="Arial" w:hAnsi="Arial" w:eastAsia="Arial" w:cs="Arial" w:asciiTheme="minorAscii" w:hAnsiTheme="minorAscii" w:eastAsiaTheme="minorAscii" w:cstheme="minorAscii"/>
          <w:noProof w:val="0"/>
          <w:sz w:val="24"/>
          <w:szCs w:val="24"/>
          <w:lang w:val="en-GB"/>
        </w:rPr>
        <w:t>organisations</w:t>
      </w:r>
      <w:r w:rsidRPr="39404EB8" w:rsidR="4309F613">
        <w:rPr>
          <w:rFonts w:ascii="Arial" w:hAnsi="Arial" w:eastAsia="Arial" w:cs="Arial" w:asciiTheme="minorAscii" w:hAnsiTheme="minorAscii" w:eastAsiaTheme="minorAscii" w:cstheme="minorAscii"/>
          <w:noProof w:val="0"/>
          <w:sz w:val="24"/>
          <w:szCs w:val="24"/>
          <w:lang w:val="en-GB"/>
        </w:rPr>
        <w:t xml:space="preserve"> and funders. It will consider accessibility, employment requirements, referral </w:t>
      </w:r>
      <w:r w:rsidRPr="39404EB8" w:rsidR="4309F613">
        <w:rPr>
          <w:rFonts w:ascii="Arial" w:hAnsi="Arial" w:eastAsia="Arial" w:cs="Arial" w:asciiTheme="minorAscii" w:hAnsiTheme="minorAscii" w:eastAsiaTheme="minorAscii" w:cstheme="minorAscii"/>
          <w:noProof w:val="0"/>
          <w:sz w:val="24"/>
          <w:szCs w:val="24"/>
          <w:lang w:val="en-GB"/>
        </w:rPr>
        <w:t>arrangements</w:t>
      </w:r>
      <w:r w:rsidRPr="39404EB8" w:rsidR="4309F613">
        <w:rPr>
          <w:rFonts w:ascii="Arial" w:hAnsi="Arial" w:eastAsia="Arial" w:cs="Arial" w:asciiTheme="minorAscii" w:hAnsiTheme="minorAscii" w:eastAsiaTheme="minorAscii" w:cstheme="minorAscii"/>
          <w:noProof w:val="0"/>
          <w:sz w:val="24"/>
          <w:szCs w:val="24"/>
          <w:lang w:val="en-GB"/>
        </w:rPr>
        <w:t xml:space="preserve"> and funding expectations. </w:t>
      </w:r>
      <w:r w:rsidRPr="39404EB8" w:rsidR="4309F613">
        <w:rPr>
          <w:rFonts w:ascii="Arial" w:hAnsi="Arial" w:eastAsia="Arial" w:cs="Arial" w:asciiTheme="minorAscii" w:hAnsiTheme="minorAscii" w:eastAsiaTheme="minorAscii" w:cstheme="minorAscii"/>
          <w:b w:val="1"/>
          <w:bCs w:val="1"/>
          <w:noProof w:val="0"/>
          <w:sz w:val="24"/>
          <w:szCs w:val="24"/>
          <w:lang w:val="en-GB"/>
        </w:rPr>
        <w:t>Appendix B, Table B1</w:t>
      </w:r>
      <w:r w:rsidRPr="39404EB8" w:rsidR="4309F613">
        <w:rPr>
          <w:rFonts w:ascii="Arial" w:hAnsi="Arial" w:eastAsia="Arial" w:cs="Arial" w:asciiTheme="minorAscii" w:hAnsiTheme="minorAscii" w:eastAsiaTheme="minorAscii" w:cstheme="minorAscii"/>
          <w:noProof w:val="0"/>
          <w:sz w:val="24"/>
          <w:szCs w:val="24"/>
          <w:lang w:val="en-GB"/>
        </w:rPr>
        <w:t xml:space="preserve"> sets out the proposed questions for each stakeholder group; these are areas for investigation rather than confirmed findings. </w:t>
      </w:r>
      <w:r w:rsidRPr="39404EB8" w:rsidR="21995164">
        <w:rPr>
          <w:rFonts w:ascii="Arial" w:hAnsi="Arial" w:eastAsia="Arial" w:cs="Arial" w:asciiTheme="minorAscii" w:hAnsiTheme="minorAscii" w:eastAsiaTheme="minorAscii" w:cstheme="minorAscii"/>
          <w:noProof w:val="0"/>
          <w:sz w:val="24"/>
          <w:szCs w:val="24"/>
          <w:lang w:val="en-GB"/>
        </w:rPr>
        <w:t>Table 2 sets out the different stakeholder requirements the research will investigate. These are research questions rather than confirmed findings about stakeholder preferences.</w:t>
      </w:r>
    </w:p>
    <w:p w:rsidR="237C4858" w:rsidP="39404EB8" w:rsidRDefault="237C4858" w14:paraId="31222B62" w14:textId="31D7BEC3">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 xml:space="preserve">Existing provision will be compared by target group, eligibility, location, delivery format, digital content, mentoring, employer </w:t>
      </w:r>
      <w:r w:rsidRPr="39404EB8" w:rsidR="21995164">
        <w:rPr>
          <w:rFonts w:ascii="Arial" w:hAnsi="Arial" w:eastAsia="Arial" w:cs="Arial" w:asciiTheme="minorAscii" w:hAnsiTheme="minorAscii" w:eastAsiaTheme="minorAscii" w:cstheme="minorAscii"/>
          <w:noProof w:val="0"/>
          <w:sz w:val="24"/>
          <w:szCs w:val="24"/>
          <w:lang w:val="en-GB"/>
        </w:rPr>
        <w:t>involvement</w:t>
      </w:r>
      <w:r w:rsidRPr="39404EB8" w:rsidR="21995164">
        <w:rPr>
          <w:rFonts w:ascii="Arial" w:hAnsi="Arial" w:eastAsia="Arial" w:cs="Arial" w:asciiTheme="minorAscii" w:hAnsiTheme="minorAscii" w:eastAsiaTheme="minorAscii" w:cstheme="minorAscii"/>
          <w:noProof w:val="0"/>
          <w:sz w:val="24"/>
          <w:szCs w:val="24"/>
          <w:lang w:val="en-GB"/>
        </w:rPr>
        <w:t xml:space="preserve"> and participant charges. The comparison will include The King’s Trust and relevant local or regional providers, starting with published Trust programme information and the WMCA Youth Employment Plan (The King’s Trust, </w:t>
      </w:r>
      <w:r w:rsidRPr="39404EB8" w:rsidR="64299787">
        <w:rPr>
          <w:rFonts w:ascii="Arial" w:hAnsi="Arial" w:eastAsia="Arial" w:cs="Arial" w:asciiTheme="minorAscii" w:hAnsiTheme="minorAscii" w:eastAsiaTheme="minorAscii" w:cstheme="minorAscii"/>
          <w:noProof w:val="0"/>
          <w:sz w:val="24"/>
          <w:szCs w:val="24"/>
          <w:lang w:val="en-GB"/>
        </w:rPr>
        <w:t>2025a</w:t>
      </w:r>
      <w:r w:rsidRPr="39404EB8" w:rsidR="21995164">
        <w:rPr>
          <w:rFonts w:ascii="Arial" w:hAnsi="Arial" w:eastAsia="Arial" w:cs="Arial" w:asciiTheme="minorAscii" w:hAnsiTheme="minorAscii" w:eastAsiaTheme="minorAscii" w:cstheme="minorAscii"/>
          <w:noProof w:val="0"/>
          <w:sz w:val="24"/>
          <w:szCs w:val="24"/>
          <w:lang w:val="en-GB"/>
        </w:rPr>
        <w:t>; WMCA,</w:t>
      </w:r>
      <w:r w:rsidRPr="39404EB8" w:rsidR="6C386519">
        <w:rPr>
          <w:rFonts w:ascii="Arial" w:hAnsi="Arial" w:eastAsia="Arial" w:cs="Arial" w:asciiTheme="minorAscii" w:hAnsiTheme="minorAscii" w:eastAsiaTheme="minorAscii" w:cstheme="minorAscii"/>
          <w:noProof w:val="0"/>
          <w:sz w:val="24"/>
          <w:szCs w:val="24"/>
          <w:lang w:val="en-GB"/>
        </w:rPr>
        <w:t xml:space="preserve"> </w:t>
      </w:r>
      <w:r w:rsidRPr="39404EB8" w:rsidR="6C386519">
        <w:rPr>
          <w:rFonts w:ascii="Arial" w:hAnsi="Arial" w:eastAsia="Arial" w:cs="Arial" w:asciiTheme="minorAscii" w:hAnsiTheme="minorAscii" w:eastAsiaTheme="minorAscii" w:cstheme="minorAscii"/>
          <w:noProof w:val="0"/>
          <w:sz w:val="24"/>
          <w:szCs w:val="24"/>
          <w:lang w:val="en-GB"/>
        </w:rPr>
        <w:t>2025</w:t>
      </w:r>
      <w:r w:rsidRPr="39404EB8" w:rsidR="21995164">
        <w:rPr>
          <w:rFonts w:ascii="Arial" w:hAnsi="Arial" w:eastAsia="Arial" w:cs="Arial" w:asciiTheme="minorAscii" w:hAnsiTheme="minorAscii" w:eastAsiaTheme="minorAscii" w:cstheme="minorAscii"/>
          <w:noProof w:val="0"/>
          <w:sz w:val="24"/>
          <w:szCs w:val="24"/>
          <w:lang w:val="en-GB"/>
        </w:rPr>
        <w:t>)</w:t>
      </w:r>
      <w:r w:rsidRPr="39404EB8" w:rsidR="21995164">
        <w:rPr>
          <w:rFonts w:ascii="Arial" w:hAnsi="Arial" w:eastAsia="Arial" w:cs="Arial" w:asciiTheme="minorAscii" w:hAnsiTheme="minorAscii" w:eastAsiaTheme="minorAscii" w:cstheme="minorAscii"/>
          <w:noProof w:val="0"/>
          <w:sz w:val="24"/>
          <w:szCs w:val="24"/>
          <w:lang w:val="en-GB"/>
        </w:rPr>
        <w:t>.</w:t>
      </w:r>
    </w:p>
    <w:p w:rsidR="237C4858" w:rsidP="39404EB8" w:rsidRDefault="237C4858" w14:paraId="444516AA" w14:textId="0505FAD1">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 xml:space="preserve">The WMCA Youth Employment Plan already includes employer-related pathways for young people. </w:t>
      </w:r>
      <w:r w:rsidRPr="39404EB8" w:rsidR="21995164">
        <w:rPr>
          <w:rFonts w:ascii="Arial" w:hAnsi="Arial" w:eastAsia="Arial" w:cs="Arial" w:asciiTheme="minorAscii" w:hAnsiTheme="minorAscii" w:eastAsiaTheme="minorAscii" w:cstheme="minorAscii"/>
          <w:noProof w:val="0"/>
          <w:sz w:val="24"/>
          <w:szCs w:val="24"/>
          <w:lang w:val="en-GB"/>
        </w:rPr>
        <w:t>YouthPath</w:t>
      </w:r>
      <w:r w:rsidRPr="39404EB8" w:rsidR="21995164">
        <w:rPr>
          <w:rFonts w:ascii="Arial" w:hAnsi="Arial" w:eastAsia="Arial" w:cs="Arial" w:asciiTheme="minorAscii" w:hAnsiTheme="minorAscii" w:eastAsiaTheme="minorAscii" w:cstheme="minorAscii"/>
          <w:noProof w:val="0"/>
          <w:sz w:val="24"/>
          <w:szCs w:val="24"/>
          <w:lang w:val="en-GB"/>
        </w:rPr>
        <w:t xml:space="preserve">, launched in February 2025 with Movement to Work, connects NEET young people aged 18–30 with employers (WMCA, </w:t>
      </w:r>
      <w:r w:rsidRPr="39404EB8" w:rsidR="05B00A43">
        <w:rPr>
          <w:rFonts w:ascii="Arial" w:hAnsi="Arial" w:eastAsia="Arial" w:cs="Arial" w:asciiTheme="minorAscii" w:hAnsiTheme="minorAscii" w:eastAsiaTheme="minorAscii" w:cstheme="minorAscii"/>
          <w:noProof w:val="0"/>
          <w:sz w:val="24"/>
          <w:szCs w:val="24"/>
          <w:lang w:val="en-GB"/>
        </w:rPr>
        <w:t>2025</w:t>
      </w:r>
      <w:r w:rsidRPr="39404EB8" w:rsidR="21995164">
        <w:rPr>
          <w:rFonts w:ascii="Arial" w:hAnsi="Arial" w:eastAsia="Arial" w:cs="Arial" w:asciiTheme="minorAscii" w:hAnsiTheme="minorAscii" w:eastAsiaTheme="minorAscii" w:cstheme="minorAscii"/>
          <w:noProof w:val="0"/>
          <w:sz w:val="24"/>
          <w:szCs w:val="24"/>
          <w:lang w:val="en-GB"/>
        </w:rPr>
        <w:t>).</w:t>
      </w:r>
    </w:p>
    <w:p w:rsidR="237C4858" w:rsidP="39404EB8" w:rsidRDefault="237C4858" w14:paraId="5312A087" w14:textId="4557FF84">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The proposed research will therefore assess existing initiatives as potential partners and possible sources of overlap before recommending additional provision. Programme eligibility and availability will require confirmation before any implementation.</w:t>
      </w:r>
    </w:p>
    <w:p w:rsidR="237C4858" w:rsidP="39404EB8" w:rsidRDefault="237C4858" w14:paraId="5A710D65" w14:textId="40FC23C2">
      <w:pPr>
        <w:pStyle w:val="Normal"/>
        <w:spacing w:line="360" w:lineRule="auto"/>
        <w:rPr>
          <w:rFonts w:ascii="Arial" w:hAnsi="Arial" w:eastAsia="Arial" w:cs="Arial" w:asciiTheme="minorAscii" w:hAnsiTheme="minorAscii" w:eastAsiaTheme="minorAscii" w:cstheme="minorAscii"/>
          <w:b w:val="1"/>
          <w:bCs w:val="1"/>
          <w:noProof w:val="0"/>
          <w:sz w:val="24"/>
          <w:szCs w:val="24"/>
          <w:lang w:val="en-GB"/>
        </w:rPr>
      </w:pPr>
      <w:r w:rsidRPr="39404EB8" w:rsidR="21995164">
        <w:rPr>
          <w:rFonts w:ascii="Arial" w:hAnsi="Arial" w:eastAsia="Arial" w:cs="Arial" w:asciiTheme="minorAscii" w:hAnsiTheme="minorAscii" w:eastAsiaTheme="minorAscii" w:cstheme="minorAscii"/>
          <w:b w:val="1"/>
          <w:bCs w:val="1"/>
          <w:noProof w:val="0"/>
          <w:sz w:val="24"/>
          <w:szCs w:val="24"/>
          <w:lang w:val="en-GB"/>
        </w:rPr>
        <w:t>Digital skills, policy and demand</w:t>
      </w:r>
    </w:p>
    <w:p w:rsidR="237C4858" w:rsidP="39404EB8" w:rsidRDefault="237C4858" w14:paraId="5B819443" w14:textId="1C8EF1F3">
      <w:pPr>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4"/>
          <w:szCs w:val="24"/>
          <w:lang w:val="en-GB"/>
        </w:rPr>
      </w:pPr>
      <w:r w:rsidRPr="39404EB8" w:rsidR="21995164">
        <w:rPr>
          <w:rFonts w:ascii="Arial" w:hAnsi="Arial" w:eastAsia="Arial" w:cs="Arial" w:asciiTheme="minorAscii" w:hAnsiTheme="minorAscii" w:eastAsiaTheme="minorAscii" w:cstheme="minorAscii"/>
          <w:i w:val="0"/>
          <w:iCs w:val="0"/>
          <w:noProof w:val="0"/>
          <w:sz w:val="24"/>
          <w:szCs w:val="24"/>
          <w:lang w:val="en-GB"/>
        </w:rPr>
        <w:t xml:space="preserve">The Department for Education’s </w:t>
      </w:r>
      <w:r w:rsidRPr="39404EB8" w:rsidR="21995164">
        <w:rPr>
          <w:rFonts w:ascii="Arial" w:hAnsi="Arial" w:eastAsia="Arial" w:cs="Arial" w:asciiTheme="minorAscii" w:hAnsiTheme="minorAscii" w:eastAsiaTheme="minorAscii" w:cstheme="minorAscii"/>
          <w:i w:val="0"/>
          <w:iCs w:val="0"/>
          <w:noProof w:val="0"/>
          <w:sz w:val="24"/>
          <w:szCs w:val="24"/>
          <w:lang w:val="en-GB"/>
        </w:rPr>
        <w:t>Essential Digital Skills Framework</w:t>
      </w:r>
      <w:r w:rsidRPr="39404EB8" w:rsidR="21995164">
        <w:rPr>
          <w:rFonts w:ascii="Arial" w:hAnsi="Arial" w:eastAsia="Arial" w:cs="Arial" w:asciiTheme="minorAscii" w:hAnsiTheme="minorAscii" w:eastAsiaTheme="minorAscii" w:cstheme="minorAscii"/>
          <w:i w:val="0"/>
          <w:iCs w:val="0"/>
          <w:noProof w:val="0"/>
          <w:sz w:val="24"/>
          <w:szCs w:val="24"/>
          <w:lang w:val="en-GB"/>
        </w:rPr>
        <w:t xml:space="preserve"> will inform the assessment of practical capabilities relevant to employment (Department for Education, 2018).</w:t>
      </w:r>
    </w:p>
    <w:p w:rsidR="237C4858" w:rsidP="39404EB8" w:rsidRDefault="237C4858" w14:paraId="09437916" w14:textId="56D6681D">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Lindsay’s (2005) research highlights how unequal access to technology and skills can affect online job seeking. As this is an older study of Glasgow, it provides a conceptual rationale for investigating digital barriers rather than current evidence of their prevalence in Birmingham.</w:t>
      </w:r>
    </w:p>
    <w:p w:rsidR="237C4858" w:rsidP="39404EB8" w:rsidRDefault="237C4858" w14:paraId="57B43C80" w14:textId="54D57C5D">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 xml:space="preserve">Local vacancy information and published skills research will help assess employer requirements. Vacancy advertisements will </w:t>
      </w:r>
      <w:r w:rsidRPr="39404EB8" w:rsidR="21995164">
        <w:rPr>
          <w:rFonts w:ascii="Arial" w:hAnsi="Arial" w:eastAsia="Arial" w:cs="Arial" w:asciiTheme="minorAscii" w:hAnsiTheme="minorAscii" w:eastAsiaTheme="minorAscii" w:cstheme="minorAscii"/>
          <w:noProof w:val="0"/>
          <w:sz w:val="24"/>
          <w:szCs w:val="24"/>
          <w:lang w:val="en-GB"/>
        </w:rPr>
        <w:t>indicate</w:t>
      </w:r>
      <w:r w:rsidRPr="39404EB8" w:rsidR="21995164">
        <w:rPr>
          <w:rFonts w:ascii="Arial" w:hAnsi="Arial" w:eastAsia="Arial" w:cs="Arial" w:asciiTheme="minorAscii" w:hAnsiTheme="minorAscii" w:eastAsiaTheme="minorAscii" w:cstheme="minorAscii"/>
          <w:noProof w:val="0"/>
          <w:sz w:val="24"/>
          <w:szCs w:val="24"/>
          <w:lang w:val="en-GB"/>
        </w:rPr>
        <w:t xml:space="preserve"> advertised </w:t>
      </w:r>
      <w:r w:rsidRPr="39404EB8" w:rsidR="64F20432">
        <w:rPr>
          <w:rFonts w:ascii="Arial" w:hAnsi="Arial" w:eastAsia="Arial" w:cs="Arial" w:asciiTheme="minorAscii" w:hAnsiTheme="minorAscii" w:eastAsiaTheme="minorAscii" w:cstheme="minorAscii"/>
          <w:noProof w:val="0"/>
          <w:sz w:val="24"/>
          <w:szCs w:val="24"/>
          <w:lang w:val="en-GB"/>
        </w:rPr>
        <w:t>demand but</w:t>
      </w:r>
      <w:r w:rsidRPr="39404EB8" w:rsidR="21995164">
        <w:rPr>
          <w:rFonts w:ascii="Arial" w:hAnsi="Arial" w:eastAsia="Arial" w:cs="Arial" w:asciiTheme="minorAscii" w:hAnsiTheme="minorAscii" w:eastAsiaTheme="minorAscii" w:cstheme="minorAscii"/>
          <w:noProof w:val="0"/>
          <w:sz w:val="24"/>
          <w:szCs w:val="24"/>
          <w:lang w:val="en-GB"/>
        </w:rPr>
        <w:t xml:space="preserve"> will not be treated as evidence that employers have committed to this proposal.</w:t>
      </w:r>
    </w:p>
    <w:p w:rsidR="237C4858" w:rsidP="39404EB8" w:rsidRDefault="237C4858" w14:paraId="0A3DECB3" w14:textId="04EB49C8">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21995164">
        <w:rPr>
          <w:rFonts w:ascii="Arial" w:hAnsi="Arial" w:eastAsia="Arial" w:cs="Arial" w:asciiTheme="minorAscii" w:hAnsiTheme="minorAscii" w:eastAsiaTheme="minorAscii" w:cstheme="minorAscii"/>
          <w:noProof w:val="0"/>
          <w:sz w:val="24"/>
          <w:szCs w:val="24"/>
          <w:lang w:val="en-GB"/>
        </w:rPr>
        <w:t xml:space="preserve">The Government’s </w:t>
      </w:r>
      <w:r w:rsidRPr="39404EB8" w:rsidR="21995164">
        <w:rPr>
          <w:rFonts w:ascii="Arial" w:hAnsi="Arial" w:eastAsia="Arial" w:cs="Arial" w:asciiTheme="minorAscii" w:hAnsiTheme="minorAscii" w:eastAsiaTheme="minorAscii" w:cstheme="minorAscii"/>
          <w:i w:val="1"/>
          <w:iCs w:val="1"/>
          <w:noProof w:val="0"/>
          <w:sz w:val="24"/>
          <w:szCs w:val="24"/>
          <w:lang w:val="en-GB"/>
        </w:rPr>
        <w:t>Get Britain Working White Paper</w:t>
      </w:r>
      <w:r w:rsidRPr="39404EB8" w:rsidR="21995164">
        <w:rPr>
          <w:rFonts w:ascii="Arial" w:hAnsi="Arial" w:eastAsia="Arial" w:cs="Arial" w:asciiTheme="minorAscii" w:hAnsiTheme="minorAscii" w:eastAsiaTheme="minorAscii" w:cstheme="minorAscii"/>
          <w:noProof w:val="0"/>
          <w:sz w:val="24"/>
          <w:szCs w:val="24"/>
          <w:lang w:val="en-GB"/>
        </w:rPr>
        <w:t xml:space="preserve"> provides policy context for coordinated employment support (DWP, 2024). Policy alignment will not be interpreted as confirmation of funding.</w:t>
      </w:r>
    </w:p>
    <w:p w:rsidR="050FC757" w:rsidP="39404EB8" w:rsidRDefault="050FC757" w14:paraId="3AE204AC" w14:textId="7BC370AE">
      <w:pPr>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4DA34EA5">
        <w:rPr>
          <w:rFonts w:ascii="Arial" w:hAnsi="Arial" w:eastAsia="Arial" w:cs="Arial" w:asciiTheme="minorAscii" w:hAnsiTheme="minorAscii" w:eastAsiaTheme="minorAscii" w:cstheme="minorAscii"/>
          <w:b w:val="1"/>
          <w:bCs w:val="1"/>
          <w:sz w:val="24"/>
          <w:szCs w:val="24"/>
        </w:rPr>
        <w:t>Validation criteria and decision</w:t>
      </w:r>
    </w:p>
    <w:p w:rsidR="4EEAF28A" w:rsidP="39404EB8" w:rsidRDefault="4EEAF28A" w14:paraId="7889FBAB" w14:textId="0C4505AD">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4EEAF28A">
        <w:rPr>
          <w:rFonts w:ascii="Arial" w:hAnsi="Arial" w:eastAsia="Arial" w:cs="Arial" w:asciiTheme="minorAscii" w:hAnsiTheme="minorAscii" w:eastAsiaTheme="minorAscii" w:cstheme="minorAscii"/>
          <w:noProof w:val="0"/>
          <w:sz w:val="24"/>
          <w:szCs w:val="24"/>
          <w:lang w:val="en-GB"/>
        </w:rPr>
        <w:t>The research will assess whether the proposed improvement addresses an evidenced local need and adds value beyond existing provision. Options will be compared by accessibility, delivery capacity, cost and potential benefit to young people.</w:t>
      </w:r>
    </w:p>
    <w:p w:rsidR="4EEAF28A" w:rsidP="39404EB8" w:rsidRDefault="4EEAF28A" w14:paraId="33FDC733" w14:textId="615BDFF2">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4EEAF28A">
        <w:rPr>
          <w:rFonts w:ascii="Arial" w:hAnsi="Arial" w:eastAsia="Arial" w:cs="Arial" w:asciiTheme="minorAscii" w:hAnsiTheme="minorAscii" w:eastAsiaTheme="minorAscii" w:cstheme="minorAscii"/>
          <w:noProof w:val="0"/>
          <w:sz w:val="24"/>
          <w:szCs w:val="24"/>
          <w:lang w:val="en-GB"/>
        </w:rPr>
        <w:t>The analysis will consider whether improved referrals between existing services could meet the need before recommending a separate pilot. Where evidence is insufficient, the recommendation will identify the information required before implementation.</w:t>
      </w:r>
    </w:p>
    <w:p w:rsidR="4EEAF28A" w:rsidP="39404EB8" w:rsidRDefault="4EEAF28A" w14:paraId="7A818FB5" w14:textId="4A0E0935">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4EEAF28A">
        <w:rPr>
          <w:rFonts w:ascii="Arial" w:hAnsi="Arial" w:eastAsia="Arial" w:cs="Arial" w:asciiTheme="minorAscii" w:hAnsiTheme="minorAscii" w:eastAsiaTheme="minorAscii" w:cstheme="minorAscii"/>
          <w:noProof w:val="0"/>
          <w:sz w:val="24"/>
          <w:szCs w:val="24"/>
          <w:lang w:val="en-GB"/>
        </w:rPr>
        <w:t xml:space="preserve">Potential outcome measures include participation, completion, digital competence, job </w:t>
      </w:r>
      <w:r w:rsidRPr="39404EB8" w:rsidR="4EEAF28A">
        <w:rPr>
          <w:rFonts w:ascii="Arial" w:hAnsi="Arial" w:eastAsia="Arial" w:cs="Arial" w:asciiTheme="minorAscii" w:hAnsiTheme="minorAscii" w:eastAsiaTheme="minorAscii" w:cstheme="minorAscii"/>
          <w:noProof w:val="0"/>
          <w:sz w:val="24"/>
          <w:szCs w:val="24"/>
          <w:lang w:val="en-GB"/>
        </w:rPr>
        <w:t>entry</w:t>
      </w:r>
      <w:r w:rsidRPr="39404EB8" w:rsidR="4EEAF28A">
        <w:rPr>
          <w:rFonts w:ascii="Arial" w:hAnsi="Arial" w:eastAsia="Arial" w:cs="Arial" w:asciiTheme="minorAscii" w:hAnsiTheme="minorAscii" w:eastAsiaTheme="minorAscii" w:cstheme="minorAscii"/>
          <w:noProof w:val="0"/>
          <w:sz w:val="24"/>
          <w:szCs w:val="24"/>
          <w:lang w:val="en-GB"/>
        </w:rPr>
        <w:t xml:space="preserve"> and employment retention. These would support evaluation of a future intervention; the dissertation will assess feasibility rather than measure impact. Before-and-after changes alone would not </w:t>
      </w:r>
      <w:r w:rsidRPr="39404EB8" w:rsidR="4EEAF28A">
        <w:rPr>
          <w:rFonts w:ascii="Arial" w:hAnsi="Arial" w:eastAsia="Arial" w:cs="Arial" w:asciiTheme="minorAscii" w:hAnsiTheme="minorAscii" w:eastAsiaTheme="minorAscii" w:cstheme="minorAscii"/>
          <w:noProof w:val="0"/>
          <w:sz w:val="24"/>
          <w:szCs w:val="24"/>
          <w:lang w:val="en-GB"/>
        </w:rPr>
        <w:t>establish</w:t>
      </w:r>
      <w:r w:rsidRPr="39404EB8" w:rsidR="4EEAF28A">
        <w:rPr>
          <w:rFonts w:ascii="Arial" w:hAnsi="Arial" w:eastAsia="Arial" w:cs="Arial" w:asciiTheme="minorAscii" w:hAnsiTheme="minorAscii" w:eastAsiaTheme="minorAscii" w:cstheme="minorAscii"/>
          <w:noProof w:val="0"/>
          <w:sz w:val="24"/>
          <w:szCs w:val="24"/>
          <w:lang w:val="en-GB"/>
        </w:rPr>
        <w:t xml:space="preserve"> causal impact (HM Treasury, 2026).</w:t>
      </w:r>
    </w:p>
    <w:p w:rsidR="7ED3228C" w:rsidP="39404EB8" w:rsidRDefault="7ED3228C" w14:paraId="2D14604A" w14:textId="7E08201F">
      <w:pPr>
        <w:pStyle w:val="Heading1"/>
        <w:spacing w:line="360" w:lineRule="auto"/>
        <w:rPr>
          <w:rFonts w:ascii="Arial" w:hAnsi="Arial" w:eastAsia="Arial" w:cs="Arial" w:asciiTheme="minorAscii" w:hAnsiTheme="minorAscii" w:eastAsiaTheme="minorAscii" w:cstheme="minorAscii"/>
          <w:sz w:val="24"/>
          <w:szCs w:val="24"/>
        </w:rPr>
      </w:pPr>
      <w:bookmarkStart w:name="_Toc786510781" w:id="1545189372"/>
      <w:r w:rsidRPr="39404EB8" w:rsidR="38888276">
        <w:rPr>
          <w:rFonts w:ascii="Arial" w:hAnsi="Arial" w:eastAsia="Arial" w:cs="Arial" w:asciiTheme="minorAscii" w:hAnsiTheme="minorAscii" w:eastAsiaTheme="minorAscii" w:cstheme="minorAscii"/>
          <w:sz w:val="24"/>
          <w:szCs w:val="24"/>
        </w:rPr>
        <w:t>4. Risks to the Researcher and the Project</w:t>
      </w:r>
      <w:bookmarkEnd w:id="1545189372"/>
    </w:p>
    <w:p w:rsidR="7ED3228C" w:rsidP="39404EB8" w:rsidRDefault="7ED3228C" w14:paraId="29DC587A" w14:textId="4731CBAB">
      <w:pPr>
        <w:pStyle w:val="Normal"/>
        <w:spacing w:before="240" w:after="240" w:line="360" w:lineRule="auto"/>
        <w:rPr>
          <w:rFonts w:ascii="Arial" w:hAnsi="Arial" w:eastAsia="Arial" w:cs="Arial" w:asciiTheme="minorAscii" w:hAnsiTheme="minorAscii" w:eastAsiaTheme="minorAscii" w:cstheme="minorAscii"/>
          <w:noProof w:val="0"/>
          <w:sz w:val="24"/>
          <w:szCs w:val="24"/>
          <w:lang w:val="en-GB"/>
        </w:rPr>
      </w:pPr>
      <w:r w:rsidRPr="39404EB8" w:rsidR="44556086">
        <w:rPr>
          <w:rFonts w:ascii="Arial" w:hAnsi="Arial" w:eastAsia="Arial" w:cs="Arial" w:asciiTheme="minorAscii" w:hAnsiTheme="minorAscii" w:eastAsiaTheme="minorAscii" w:cstheme="minorAscii"/>
          <w:noProof w:val="0"/>
          <w:sz w:val="24"/>
          <w:szCs w:val="24"/>
          <w:lang w:val="en-GB"/>
        </w:rPr>
        <w:t xml:space="preserve">Table 3 </w:t>
      </w:r>
      <w:r w:rsidRPr="39404EB8" w:rsidR="44556086">
        <w:rPr>
          <w:rFonts w:ascii="Arial" w:hAnsi="Arial" w:eastAsia="Arial" w:cs="Arial" w:asciiTheme="minorAscii" w:hAnsiTheme="minorAscii" w:eastAsiaTheme="minorAscii" w:cstheme="minorAscii"/>
          <w:noProof w:val="0"/>
          <w:sz w:val="24"/>
          <w:szCs w:val="24"/>
          <w:lang w:val="en-GB"/>
        </w:rPr>
        <w:t>identifies</w:t>
      </w:r>
      <w:r w:rsidRPr="39404EB8" w:rsidR="44556086">
        <w:rPr>
          <w:rFonts w:ascii="Arial" w:hAnsi="Arial" w:eastAsia="Arial" w:cs="Arial" w:asciiTheme="minorAscii" w:hAnsiTheme="minorAscii" w:eastAsiaTheme="minorAscii" w:cstheme="minorAscii"/>
          <w:noProof w:val="0"/>
          <w:sz w:val="24"/>
          <w:szCs w:val="24"/>
          <w:lang w:val="en-GB"/>
        </w:rPr>
        <w:t xml:space="preserve"> the main research and potential delivery risks, together with proportionate controls. It distinguishes risks arising during the dissertation from those associated with implementing a future recommendation.</w:t>
      </w:r>
    </w:p>
    <w:p w:rsidR="7ED3228C" w:rsidP="39404EB8" w:rsidRDefault="7ED3228C" w14:paraId="534FA5F1" w14:textId="0AB5FADD">
      <w:pPr>
        <w:pStyle w:val="Normal"/>
        <w:spacing w:before="240" w:after="240" w:line="360" w:lineRule="auto"/>
        <w:rPr>
          <w:rFonts w:ascii="Arial" w:hAnsi="Arial" w:eastAsia="Arial" w:cs="Arial" w:asciiTheme="minorAscii" w:hAnsiTheme="minorAscii" w:eastAsiaTheme="minorAscii" w:cstheme="minorAscii"/>
          <w:b w:val="1"/>
          <w:bCs w:val="1"/>
          <w:sz w:val="24"/>
          <w:szCs w:val="24"/>
        </w:rPr>
      </w:pPr>
      <w:r w:rsidRPr="39404EB8" w:rsidR="0CDEFDDB">
        <w:rPr>
          <w:rFonts w:ascii="Arial" w:hAnsi="Arial" w:eastAsia="Arial" w:cs="Arial" w:asciiTheme="minorAscii" w:hAnsiTheme="minorAscii" w:eastAsiaTheme="minorAscii" w:cstheme="minorAscii"/>
          <w:b w:val="1"/>
          <w:bCs w:val="1"/>
          <w:noProof w:val="0"/>
          <w:sz w:val="24"/>
          <w:szCs w:val="24"/>
          <w:lang w:val="en-GB"/>
        </w:rPr>
        <w:t>Table C1</w:t>
      </w:r>
      <w:r w:rsidRPr="39404EB8" w:rsidR="38888276">
        <w:rPr>
          <w:rFonts w:ascii="Arial" w:hAnsi="Arial" w:eastAsia="Arial" w:cs="Arial" w:asciiTheme="minorAscii" w:hAnsiTheme="minorAscii" w:eastAsiaTheme="minorAscii" w:cstheme="minorAscii"/>
          <w:b w:val="1"/>
          <w:bCs w:val="1"/>
          <w:sz w:val="24"/>
          <w:szCs w:val="24"/>
        </w:rPr>
        <w:t xml:space="preserve">. Initial research and </w:t>
      </w:r>
      <w:r w:rsidRPr="39404EB8" w:rsidR="47648461">
        <w:rPr>
          <w:rFonts w:ascii="Arial" w:hAnsi="Arial" w:eastAsia="Arial" w:cs="Arial" w:asciiTheme="minorAscii" w:hAnsiTheme="minorAscii" w:eastAsiaTheme="minorAscii" w:cstheme="minorAscii"/>
          <w:b w:val="1"/>
          <w:bCs w:val="1"/>
          <w:sz w:val="24"/>
          <w:szCs w:val="24"/>
        </w:rPr>
        <w:t>proposed delivery</w:t>
      </w:r>
      <w:r w:rsidRPr="39404EB8" w:rsidR="38888276">
        <w:rPr>
          <w:rFonts w:ascii="Arial" w:hAnsi="Arial" w:eastAsia="Arial" w:cs="Arial" w:asciiTheme="minorAscii" w:hAnsiTheme="minorAscii" w:eastAsiaTheme="minorAscii" w:cstheme="minorAscii"/>
          <w:b w:val="1"/>
          <w:bCs w:val="1"/>
          <w:sz w:val="24"/>
          <w:szCs w:val="24"/>
        </w:rPr>
        <w:t xml:space="preserve"> risk assessment.</w:t>
      </w:r>
    </w:p>
    <w:p w:rsidR="7CED2B6C" w:rsidP="39404EB8" w:rsidRDefault="7CED2B6C" w14:paraId="208937ED" w14:textId="6342E3E3">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9404EB8" w:rsidR="7CED2B6C">
        <w:rPr>
          <w:rFonts w:ascii="Arial" w:hAnsi="Arial" w:eastAsia="Arial" w:cs="Arial" w:asciiTheme="minorAscii" w:hAnsiTheme="minorAscii" w:eastAsiaTheme="minorAscii" w:cstheme="minorAscii"/>
          <w:noProof w:val="0"/>
          <w:sz w:val="24"/>
          <w:szCs w:val="24"/>
          <w:lang w:val="en-GB"/>
        </w:rPr>
        <w:t xml:space="preserve">The main research risks are excessive workload, limited local evidence, inconsistent data and researcher bias. Controls include maintaining the agreed scope, checking source definitions, documenting assumptions and considering alternative recommendations. Potential implementation risks include uncertain funding, limited partner capacity and accessibility barriers. </w:t>
      </w:r>
      <w:r w:rsidRPr="39404EB8" w:rsidR="7CED2B6C">
        <w:rPr>
          <w:rFonts w:ascii="Arial" w:hAnsi="Arial" w:eastAsia="Arial" w:cs="Arial" w:asciiTheme="minorAscii" w:hAnsiTheme="minorAscii" w:eastAsiaTheme="minorAscii" w:cstheme="minorAscii"/>
          <w:b w:val="1"/>
          <w:bCs w:val="1"/>
          <w:noProof w:val="0"/>
          <w:sz w:val="24"/>
          <w:szCs w:val="24"/>
          <w:lang w:val="en-GB"/>
        </w:rPr>
        <w:t>Appendix C, Table C1</w:t>
      </w:r>
      <w:r w:rsidRPr="39404EB8" w:rsidR="7CED2B6C">
        <w:rPr>
          <w:rFonts w:ascii="Arial" w:hAnsi="Arial" w:eastAsia="Arial" w:cs="Arial" w:asciiTheme="minorAscii" w:hAnsiTheme="minorAscii" w:eastAsiaTheme="minorAscii" w:cstheme="minorAscii"/>
          <w:noProof w:val="0"/>
          <w:sz w:val="24"/>
          <w:szCs w:val="24"/>
          <w:lang w:val="en-GB"/>
        </w:rPr>
        <w:t xml:space="preserve"> presents these risks and the proposed controls. </w:t>
      </w:r>
      <w:r w:rsidRPr="39404EB8" w:rsidR="607DBADF">
        <w:rPr>
          <w:rFonts w:ascii="Arial" w:hAnsi="Arial" w:eastAsia="Arial" w:cs="Arial" w:asciiTheme="minorAscii" w:hAnsiTheme="minorAscii" w:eastAsiaTheme="minorAscii" w:cstheme="minorAscii"/>
          <w:noProof w:val="0"/>
          <w:sz w:val="24"/>
          <w:szCs w:val="24"/>
          <w:lang w:val="en-GB"/>
        </w:rPr>
        <w:t xml:space="preserve">The project timetable will show the planned research activities, their </w:t>
      </w:r>
      <w:r w:rsidRPr="39404EB8" w:rsidR="607DBADF">
        <w:rPr>
          <w:rFonts w:ascii="Arial" w:hAnsi="Arial" w:eastAsia="Arial" w:cs="Arial" w:asciiTheme="minorAscii" w:hAnsiTheme="minorAscii" w:eastAsiaTheme="minorAscii" w:cstheme="minorAscii"/>
          <w:noProof w:val="0"/>
          <w:sz w:val="24"/>
          <w:szCs w:val="24"/>
          <w:lang w:val="en-GB"/>
        </w:rPr>
        <w:t>duration</w:t>
      </w:r>
      <w:r w:rsidRPr="39404EB8" w:rsidR="607DBADF">
        <w:rPr>
          <w:rFonts w:ascii="Arial" w:hAnsi="Arial" w:eastAsia="Arial" w:cs="Arial" w:asciiTheme="minorAscii" w:hAnsiTheme="minorAscii" w:eastAsiaTheme="minorAscii" w:cstheme="minorAscii"/>
          <w:noProof w:val="0"/>
          <w:sz w:val="24"/>
          <w:szCs w:val="24"/>
          <w:lang w:val="en-GB"/>
        </w:rPr>
        <w:t xml:space="preserve"> and the sequence for completing the Business Development Proposal. It will include evidence collection, analysis of existing provision, application of business models, financial assessment, drafting, </w:t>
      </w:r>
      <w:r w:rsidRPr="39404EB8" w:rsidR="607DBADF">
        <w:rPr>
          <w:rFonts w:ascii="Arial" w:hAnsi="Arial" w:eastAsia="Arial" w:cs="Arial" w:asciiTheme="minorAscii" w:hAnsiTheme="minorAscii" w:eastAsiaTheme="minorAscii" w:cstheme="minorAscii"/>
          <w:noProof w:val="0"/>
          <w:sz w:val="24"/>
          <w:szCs w:val="24"/>
          <w:lang w:val="en-GB"/>
        </w:rPr>
        <w:t>feedback</w:t>
      </w:r>
      <w:r w:rsidRPr="39404EB8" w:rsidR="607DBADF">
        <w:rPr>
          <w:rFonts w:ascii="Arial" w:hAnsi="Arial" w:eastAsia="Arial" w:cs="Arial" w:asciiTheme="minorAscii" w:hAnsiTheme="minorAscii" w:eastAsiaTheme="minorAscii" w:cstheme="minorAscii"/>
          <w:noProof w:val="0"/>
          <w:sz w:val="24"/>
          <w:szCs w:val="24"/>
          <w:lang w:val="en-GB"/>
        </w:rPr>
        <w:t xml:space="preserve"> and revision.</w:t>
      </w:r>
    </w:p>
    <w:p w:rsidR="79837B03" w:rsidP="39404EB8" w:rsidRDefault="79837B03" w14:paraId="6C55224C" w14:textId="15133F3E">
      <w:pPr>
        <w:pStyle w:val="Heading1"/>
        <w:spacing w:line="360" w:lineRule="auto"/>
        <w:rPr>
          <w:rFonts w:ascii="Arial" w:hAnsi="Arial" w:eastAsia="Arial" w:cs="Arial" w:asciiTheme="minorAscii" w:hAnsiTheme="minorAscii" w:eastAsiaTheme="minorAscii" w:cstheme="minorAscii"/>
          <w:b w:val="1"/>
          <w:bCs w:val="1"/>
          <w:sz w:val="24"/>
          <w:szCs w:val="24"/>
        </w:rPr>
      </w:pPr>
      <w:bookmarkStart w:name="_Toc232410739" w:id="801779388"/>
      <w:r w:rsidRPr="39404EB8" w:rsidR="056B654C">
        <w:rPr>
          <w:rFonts w:ascii="Arial" w:hAnsi="Arial" w:eastAsia="Arial" w:cs="Arial" w:asciiTheme="minorAscii" w:hAnsiTheme="minorAscii" w:eastAsiaTheme="minorAscii" w:cstheme="minorAscii"/>
          <w:sz w:val="24"/>
          <w:szCs w:val="24"/>
        </w:rPr>
        <w:t>5. Timeline: Gantt Chart</w:t>
      </w:r>
      <w:bookmarkEnd w:id="801779388"/>
    </w:p>
    <w:p w:rsidR="1B5C9B31" w:rsidP="39404EB8" w:rsidRDefault="1B5C9B31" w14:paraId="6266FF40" w14:textId="6D64FDDC">
      <w:pPr>
        <w:pStyle w:val="ListParagraph"/>
        <w:spacing w:after="0" w:line="360" w:lineRule="auto"/>
        <w:ind w:left="1298"/>
        <w:rPr>
          <w:rFonts w:ascii="Arial" w:hAnsi="Arial" w:eastAsia="Arial" w:cs="Arial" w:asciiTheme="minorAscii" w:hAnsiTheme="minorAscii" w:eastAsiaTheme="minorAscii" w:cstheme="minorAscii"/>
          <w:sz w:val="24"/>
          <w:szCs w:val="24"/>
        </w:rPr>
      </w:pPr>
    </w:p>
    <w:p w:rsidR="79837B03" w:rsidP="39404EB8" w:rsidRDefault="79837B03" w14:paraId="6A40600C" w14:textId="2BA454BC">
      <w:pPr>
        <w:pStyle w:val="ListParagraph"/>
        <w:numPr>
          <w:ilvl w:val="0"/>
          <w:numId w:val="16"/>
        </w:numPr>
        <w:spacing w:after="0" w:line="360" w:lineRule="auto"/>
        <w:ind w:left="1298"/>
        <w:rPr>
          <w:rFonts w:ascii="Arial" w:hAnsi="Arial" w:eastAsia="Arial" w:cs="Arial" w:asciiTheme="minorAscii" w:hAnsiTheme="minorAscii" w:eastAsiaTheme="minorAscii" w:cstheme="minorAscii"/>
          <w:color w:val="0070C0"/>
          <w:sz w:val="24"/>
          <w:szCs w:val="24"/>
        </w:rPr>
      </w:pPr>
      <w:r w:rsidRPr="39404EB8" w:rsidR="056B654C">
        <w:rPr>
          <w:rFonts w:ascii="Arial" w:hAnsi="Arial" w:eastAsia="Arial" w:cs="Arial" w:asciiTheme="minorAscii" w:hAnsiTheme="minorAscii" w:eastAsiaTheme="minorAscii" w:cstheme="minorAscii"/>
          <w:color w:val="0070C0"/>
          <w:sz w:val="24"/>
          <w:szCs w:val="24"/>
        </w:rPr>
        <w:t>Timeline (Gantt chart). Click the link below.</w:t>
      </w:r>
    </w:p>
    <w:p w:rsidR="79837B03" w:rsidP="39404EB8" w:rsidRDefault="79837B03" w14:paraId="4D47AABA" w14:textId="0931D89A">
      <w:pPr>
        <w:spacing w:before="240" w:after="240" w:line="360" w:lineRule="auto"/>
        <w:rPr>
          <w:rFonts w:ascii="Arial" w:hAnsi="Arial" w:eastAsia="Arial" w:cs="Arial" w:asciiTheme="minorAscii" w:hAnsiTheme="minorAscii" w:eastAsiaTheme="minorAscii" w:cstheme="minorAscii"/>
          <w:sz w:val="24"/>
          <w:szCs w:val="24"/>
        </w:rPr>
      </w:pPr>
      <w:hyperlink r:id="R042fc329c3634752">
        <w:r w:rsidRPr="39404EB8" w:rsidR="056B654C">
          <w:rPr>
            <w:rStyle w:val="Hyperlink"/>
            <w:rFonts w:ascii="Arial" w:hAnsi="Arial" w:eastAsia="Arial" w:cs="Arial" w:asciiTheme="minorAscii" w:hAnsiTheme="minorAscii" w:eastAsiaTheme="minorAscii" w:cstheme="minorAscii"/>
            <w:sz w:val="24"/>
            <w:szCs w:val="24"/>
          </w:rPr>
          <w:t>Gantt Chart</w:t>
        </w:r>
      </w:hyperlink>
    </w:p>
    <w:p w:rsidR="5141A231" w:rsidP="39404EB8" w:rsidRDefault="5141A231" w14:paraId="2AD4BB69" w14:textId="01D3769E">
      <w:pPr>
        <w:spacing w:before="240" w:after="240" w:line="360" w:lineRule="auto"/>
        <w:rPr>
          <w:rFonts w:ascii="Arial" w:hAnsi="Arial" w:eastAsia="Arial" w:cs="Arial" w:asciiTheme="minorAscii" w:hAnsiTheme="minorAscii" w:eastAsiaTheme="minorAscii" w:cstheme="minorAscii"/>
          <w:sz w:val="24"/>
          <w:szCs w:val="24"/>
        </w:rPr>
      </w:pPr>
      <w:r w:rsidRPr="39404EB8" w:rsidR="6E676E1A">
        <w:rPr>
          <w:rFonts w:ascii="Arial" w:hAnsi="Arial" w:eastAsia="Arial" w:cs="Arial" w:asciiTheme="minorAscii" w:hAnsiTheme="minorAscii" w:eastAsiaTheme="minorAscii" w:cstheme="minorAscii"/>
          <w:b w:val="1"/>
          <w:bCs w:val="1"/>
          <w:sz w:val="24"/>
          <w:szCs w:val="24"/>
        </w:rPr>
        <w:t xml:space="preserve">Figure </w:t>
      </w:r>
      <w:r w:rsidRPr="39404EB8" w:rsidR="65FCA697">
        <w:rPr>
          <w:rFonts w:ascii="Arial" w:hAnsi="Arial" w:eastAsia="Arial" w:cs="Arial" w:asciiTheme="minorAscii" w:hAnsiTheme="minorAscii" w:eastAsiaTheme="minorAscii" w:cstheme="minorAscii"/>
          <w:b w:val="1"/>
          <w:bCs w:val="1"/>
          <w:sz w:val="24"/>
          <w:szCs w:val="24"/>
        </w:rPr>
        <w:t>D</w:t>
      </w:r>
      <w:r w:rsidRPr="39404EB8" w:rsidR="612E7C94">
        <w:rPr>
          <w:rFonts w:ascii="Arial" w:hAnsi="Arial" w:eastAsia="Arial" w:cs="Arial" w:asciiTheme="minorAscii" w:hAnsiTheme="minorAscii" w:eastAsiaTheme="minorAscii" w:cstheme="minorAscii"/>
          <w:b w:val="1"/>
          <w:bCs w:val="1"/>
          <w:sz w:val="24"/>
          <w:szCs w:val="24"/>
        </w:rPr>
        <w:t>1</w:t>
      </w:r>
      <w:r w:rsidRPr="39404EB8" w:rsidR="6E676E1A">
        <w:rPr>
          <w:rFonts w:ascii="Arial" w:hAnsi="Arial" w:eastAsia="Arial" w:cs="Arial" w:asciiTheme="minorAscii" w:hAnsiTheme="minorAscii" w:eastAsiaTheme="minorAscii" w:cstheme="minorAscii"/>
          <w:b w:val="1"/>
          <w:bCs w:val="1"/>
          <w:sz w:val="24"/>
          <w:szCs w:val="24"/>
        </w:rPr>
        <w:t>.</w:t>
      </w:r>
      <w:r w:rsidRPr="39404EB8" w:rsidR="6E676E1A">
        <w:rPr>
          <w:rFonts w:ascii="Arial" w:hAnsi="Arial" w:eastAsia="Arial" w:cs="Arial" w:asciiTheme="minorAscii" w:hAnsiTheme="minorAscii" w:eastAsiaTheme="minorAscii" w:cstheme="minorAscii"/>
          <w:i w:val="1"/>
          <w:iCs w:val="1"/>
          <w:sz w:val="24"/>
          <w:szCs w:val="24"/>
        </w:rPr>
        <w:t xml:space="preserve"> </w:t>
      </w:r>
      <w:r w:rsidRPr="39404EB8" w:rsidR="6E676E1A">
        <w:rPr>
          <w:rFonts w:ascii="Arial" w:hAnsi="Arial" w:eastAsia="Arial" w:cs="Arial" w:asciiTheme="minorAscii" w:hAnsiTheme="minorAscii" w:eastAsiaTheme="minorAscii" w:cstheme="minorAscii"/>
          <w:sz w:val="24"/>
          <w:szCs w:val="24"/>
        </w:rPr>
        <w:t>Business Development Proposal research timetable.</w:t>
      </w:r>
    </w:p>
    <w:p w:rsidR="382DC2C0" w:rsidP="39404EB8" w:rsidRDefault="382DC2C0" w14:paraId="6E27BB88" w14:textId="710E6BA5">
      <w:pPr>
        <w:pStyle w:val="Normal"/>
        <w:spacing w:before="240" w:after="240" w:line="360" w:lineRule="auto"/>
        <w:rPr>
          <w:rFonts w:ascii="Arial" w:hAnsi="Arial" w:eastAsia="Arial" w:cs="Arial" w:asciiTheme="minorAscii" w:hAnsiTheme="minorAscii" w:eastAsiaTheme="minorAscii" w:cstheme="minorAscii"/>
          <w:noProof w:val="0"/>
          <w:sz w:val="24"/>
          <w:szCs w:val="24"/>
          <w:lang w:val="en-GB"/>
        </w:rPr>
      </w:pPr>
      <w:r w:rsidRPr="39404EB8" w:rsidR="382DC2C0">
        <w:rPr>
          <w:rFonts w:ascii="Arial" w:hAnsi="Arial" w:eastAsia="Arial" w:cs="Arial" w:asciiTheme="minorAscii" w:hAnsiTheme="minorAscii" w:eastAsiaTheme="minorAscii" w:cstheme="minorAscii"/>
          <w:noProof w:val="0"/>
          <w:sz w:val="24"/>
          <w:szCs w:val="24"/>
          <w:lang w:val="en-GB"/>
        </w:rPr>
        <w:t xml:space="preserve">The research timetable covers evidence collection, analysis, feasibility assessment, </w:t>
      </w:r>
      <w:r w:rsidRPr="39404EB8" w:rsidR="382DC2C0">
        <w:rPr>
          <w:rFonts w:ascii="Arial" w:hAnsi="Arial" w:eastAsia="Arial" w:cs="Arial" w:asciiTheme="minorAscii" w:hAnsiTheme="minorAscii" w:eastAsiaTheme="minorAscii" w:cstheme="minorAscii"/>
          <w:noProof w:val="0"/>
          <w:sz w:val="24"/>
          <w:szCs w:val="24"/>
          <w:lang w:val="en-GB"/>
        </w:rPr>
        <w:t>drafting</w:t>
      </w:r>
      <w:r w:rsidRPr="39404EB8" w:rsidR="382DC2C0">
        <w:rPr>
          <w:rFonts w:ascii="Arial" w:hAnsi="Arial" w:eastAsia="Arial" w:cs="Arial" w:asciiTheme="minorAscii" w:hAnsiTheme="minorAscii" w:eastAsiaTheme="minorAscii" w:cstheme="minorAscii"/>
          <w:noProof w:val="0"/>
          <w:sz w:val="24"/>
          <w:szCs w:val="24"/>
          <w:lang w:val="en-GB"/>
        </w:rPr>
        <w:t xml:space="preserve"> and revision. </w:t>
      </w:r>
      <w:r w:rsidRPr="39404EB8" w:rsidR="382DC2C0">
        <w:rPr>
          <w:rFonts w:ascii="Arial" w:hAnsi="Arial" w:eastAsia="Arial" w:cs="Arial" w:asciiTheme="minorAscii" w:hAnsiTheme="minorAscii" w:eastAsiaTheme="minorAscii" w:cstheme="minorAscii"/>
          <w:b w:val="1"/>
          <w:bCs w:val="1"/>
          <w:noProof w:val="0"/>
          <w:sz w:val="24"/>
          <w:szCs w:val="24"/>
          <w:lang w:val="en-GB"/>
        </w:rPr>
        <w:t>Appendix D, Figure D1</w:t>
      </w:r>
      <w:r w:rsidRPr="39404EB8" w:rsidR="382DC2C0">
        <w:rPr>
          <w:rFonts w:ascii="Arial" w:hAnsi="Arial" w:eastAsia="Arial" w:cs="Arial" w:asciiTheme="minorAscii" w:hAnsiTheme="minorAscii" w:eastAsiaTheme="minorAscii" w:cstheme="minorAscii"/>
          <w:noProof w:val="0"/>
          <w:sz w:val="24"/>
          <w:szCs w:val="24"/>
          <w:lang w:val="en-GB"/>
        </w:rPr>
        <w:t xml:space="preserve"> presents the full Gantt chart, showing the planned activities, their duration and overlap, including time for feedback.</w:t>
      </w:r>
    </w:p>
    <w:p w:rsidR="1B5C9B31" w:rsidP="1B5C9B31" w:rsidRDefault="1B5C9B31" w14:paraId="78DCC0F2" w14:textId="70C8F72A">
      <w:pPr>
        <w:spacing w:line="360" w:lineRule="auto"/>
      </w:pPr>
    </w:p>
    <w:p w:rsidR="1B5C9B31" w:rsidP="1B5C9B31" w:rsidRDefault="1B5C9B31" w14:paraId="7A23091B" w14:textId="514A7F3F">
      <w:pPr>
        <w:spacing w:line="360" w:lineRule="auto"/>
      </w:pPr>
    </w:p>
    <w:p w:rsidR="1B5C9B31" w:rsidP="1B5C9B31" w:rsidRDefault="1B5C9B31" w14:paraId="0E7427D9" w14:textId="464938B8">
      <w:pPr>
        <w:spacing w:line="360" w:lineRule="auto"/>
        <w:rPr>
          <w:rFonts w:ascii="Arial" w:hAnsi="Arial" w:eastAsia="Arial" w:cs="Arial"/>
        </w:rPr>
      </w:pPr>
    </w:p>
    <w:p w:rsidR="1B5C9B31" w:rsidP="1B5C9B31" w:rsidRDefault="1B5C9B31" w14:paraId="2FB509EE" w14:textId="4CE9D0F0">
      <w:pPr>
        <w:spacing w:line="360" w:lineRule="auto"/>
        <w:rPr>
          <w:rFonts w:ascii="Arial" w:hAnsi="Arial" w:eastAsia="Arial" w:cs="Arial"/>
        </w:rPr>
      </w:pPr>
    </w:p>
    <w:p w:rsidR="1B5C9B31" w:rsidP="1B5C9B31" w:rsidRDefault="1B5C9B31" w14:paraId="0A75B316" w14:textId="65E2849A">
      <w:pPr>
        <w:spacing w:line="360" w:lineRule="auto"/>
        <w:rPr>
          <w:rFonts w:ascii="Arial" w:hAnsi="Arial" w:eastAsia="Arial" w:cs="Arial"/>
        </w:rPr>
      </w:pPr>
    </w:p>
    <w:p w:rsidR="1B5C9B31" w:rsidP="1B5C9B31" w:rsidRDefault="1B5C9B31" w14:paraId="0EBAA9B7" w14:textId="628AD966">
      <w:pPr>
        <w:spacing w:line="360" w:lineRule="auto"/>
        <w:rPr>
          <w:rFonts w:ascii="Arial" w:hAnsi="Arial" w:eastAsia="Arial" w:cs="Arial"/>
        </w:rPr>
      </w:pPr>
    </w:p>
    <w:p w:rsidR="1B5C9B31" w:rsidP="1B5C9B31" w:rsidRDefault="1B5C9B31" w14:paraId="21EE161F" w14:textId="36BA5BC7">
      <w:pPr>
        <w:spacing w:line="360" w:lineRule="auto"/>
        <w:rPr>
          <w:rFonts w:ascii="Arial" w:hAnsi="Arial" w:eastAsia="Arial" w:cs="Arial"/>
        </w:rPr>
      </w:pPr>
    </w:p>
    <w:p w:rsidR="39404EB8" w:rsidP="39404EB8" w:rsidRDefault="39404EB8" w14:paraId="659D2E10" w14:textId="4F65724F">
      <w:pPr>
        <w:spacing w:line="360" w:lineRule="auto"/>
        <w:rPr>
          <w:rFonts w:ascii="Arial" w:hAnsi="Arial" w:eastAsia="Arial" w:cs="Arial"/>
        </w:rPr>
      </w:pPr>
    </w:p>
    <w:p w:rsidR="39404EB8" w:rsidP="39404EB8" w:rsidRDefault="39404EB8" w14:paraId="22756D73" w14:textId="4B6E0E96">
      <w:pPr>
        <w:spacing w:line="360" w:lineRule="auto"/>
        <w:rPr>
          <w:rFonts w:ascii="Arial" w:hAnsi="Arial" w:eastAsia="Arial" w:cs="Arial"/>
        </w:rPr>
      </w:pPr>
    </w:p>
    <w:p w:rsidR="39404EB8" w:rsidP="39404EB8" w:rsidRDefault="39404EB8" w14:paraId="2656C75F" w14:textId="379CC93E">
      <w:pPr>
        <w:spacing w:line="360" w:lineRule="auto"/>
        <w:rPr>
          <w:rFonts w:ascii="Arial" w:hAnsi="Arial" w:eastAsia="Arial" w:cs="Arial"/>
        </w:rPr>
      </w:pPr>
    </w:p>
    <w:p w:rsidR="39404EB8" w:rsidP="39404EB8" w:rsidRDefault="39404EB8" w14:paraId="4664EB25" w14:textId="3F1C074E">
      <w:pPr>
        <w:spacing w:line="360" w:lineRule="auto"/>
        <w:rPr>
          <w:rFonts w:ascii="Arial" w:hAnsi="Arial" w:eastAsia="Arial" w:cs="Arial"/>
        </w:rPr>
      </w:pPr>
    </w:p>
    <w:p w:rsidR="39404EB8" w:rsidP="39404EB8" w:rsidRDefault="39404EB8" w14:paraId="4059F5FF" w14:textId="3C263B28">
      <w:pPr>
        <w:spacing w:line="360" w:lineRule="auto"/>
        <w:rPr>
          <w:rFonts w:ascii="Arial" w:hAnsi="Arial" w:eastAsia="Arial" w:cs="Arial"/>
        </w:rPr>
      </w:pPr>
    </w:p>
    <w:p w:rsidR="39404EB8" w:rsidP="39404EB8" w:rsidRDefault="39404EB8" w14:paraId="5F52742F" w14:textId="0849D57E">
      <w:pPr>
        <w:spacing w:line="360" w:lineRule="auto"/>
        <w:rPr>
          <w:rFonts w:ascii="Arial" w:hAnsi="Arial" w:eastAsia="Arial" w:cs="Arial"/>
        </w:rPr>
      </w:pPr>
    </w:p>
    <w:p w:rsidR="39404EB8" w:rsidP="39404EB8" w:rsidRDefault="39404EB8" w14:paraId="3A9D2B6C" w14:textId="4DFB2BC1">
      <w:pPr>
        <w:spacing w:line="360" w:lineRule="auto"/>
        <w:rPr>
          <w:rFonts w:ascii="Arial" w:hAnsi="Arial" w:eastAsia="Arial" w:cs="Arial"/>
        </w:rPr>
      </w:pPr>
    </w:p>
    <w:p w:rsidR="39404EB8" w:rsidP="39404EB8" w:rsidRDefault="39404EB8" w14:paraId="15720258" w14:textId="2CDE3C28">
      <w:pPr>
        <w:spacing w:line="360" w:lineRule="auto"/>
        <w:rPr>
          <w:rFonts w:ascii="Arial" w:hAnsi="Arial" w:eastAsia="Arial" w:cs="Arial"/>
        </w:rPr>
      </w:pPr>
    </w:p>
    <w:p w:rsidR="39404EB8" w:rsidP="39404EB8" w:rsidRDefault="39404EB8" w14:paraId="110953DA" w14:textId="0D11080A">
      <w:pPr>
        <w:spacing w:line="360" w:lineRule="auto"/>
        <w:rPr>
          <w:rFonts w:ascii="Arial" w:hAnsi="Arial" w:eastAsia="Arial" w:cs="Arial"/>
        </w:rPr>
      </w:pPr>
    </w:p>
    <w:p w:rsidR="39404EB8" w:rsidP="39404EB8" w:rsidRDefault="39404EB8" w14:paraId="4C750F6C" w14:textId="502B172D">
      <w:pPr>
        <w:spacing w:line="360" w:lineRule="auto"/>
        <w:rPr>
          <w:rFonts w:ascii="Arial" w:hAnsi="Arial" w:eastAsia="Arial" w:cs="Arial"/>
        </w:rPr>
      </w:pPr>
    </w:p>
    <w:p w:rsidR="39404EB8" w:rsidP="39404EB8" w:rsidRDefault="39404EB8" w14:paraId="6B4D2AA6" w14:textId="56BD0FD5">
      <w:pPr>
        <w:spacing w:line="360" w:lineRule="auto"/>
        <w:rPr>
          <w:rFonts w:ascii="Arial" w:hAnsi="Arial" w:eastAsia="Arial" w:cs="Arial"/>
        </w:rPr>
      </w:pPr>
    </w:p>
    <w:p w:rsidR="39404EB8" w:rsidP="39404EB8" w:rsidRDefault="39404EB8" w14:paraId="6BD7D504" w14:textId="38C7F9EA">
      <w:pPr>
        <w:spacing w:line="360" w:lineRule="auto"/>
        <w:rPr>
          <w:rFonts w:ascii="Arial" w:hAnsi="Arial" w:eastAsia="Arial" w:cs="Arial"/>
        </w:rPr>
      </w:pPr>
    </w:p>
    <w:p w:rsidR="678FE180" w:rsidP="39404EB8" w:rsidRDefault="678FE180" w14:paraId="05F5D0CA" w14:textId="2EC7402F">
      <w:pPr>
        <w:pStyle w:val="Heading1"/>
        <w:spacing w:before="240" w:after="240"/>
        <w:rPr>
          <w:rFonts w:ascii="Arial" w:hAnsi="Arial" w:eastAsia="ＭＳ 明朝" w:cs="Arial" w:asciiTheme="minorAscii" w:hAnsiTheme="minorAscii" w:eastAsiaTheme="minorEastAsia" w:cstheme="minorBidi"/>
          <w:sz w:val="28"/>
          <w:szCs w:val="28"/>
        </w:rPr>
      </w:pPr>
      <w:bookmarkStart w:name="_Toc1221332539" w:id="1727388529"/>
      <w:r w:rsidRPr="39404EB8" w:rsidR="0EDFDF17">
        <w:rPr>
          <w:rFonts w:ascii="Arial" w:hAnsi="Arial" w:eastAsia="ＭＳ 明朝" w:cs="Arial" w:asciiTheme="minorAscii" w:hAnsiTheme="minorAscii" w:eastAsiaTheme="minorEastAsia" w:cstheme="minorBidi"/>
          <w:sz w:val="28"/>
          <w:szCs w:val="28"/>
        </w:rPr>
        <w:t>References</w:t>
      </w:r>
      <w:bookmarkEnd w:id="1727388529"/>
    </w:p>
    <w:p w:rsidR="0FD71C32" w:rsidP="39404EB8" w:rsidRDefault="0FD71C32" w14:paraId="203FF624" w14:textId="555FB30E">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Becker, G.S. (1964). </w:t>
      </w:r>
      <w:r w:rsidRPr="39404EB8" w:rsidR="0FD71C32">
        <w:rPr>
          <w:rFonts w:ascii="Arial" w:hAnsi="Arial" w:eastAsia="Arial" w:cs="Arial"/>
          <w:i w:val="1"/>
          <w:iCs w:val="1"/>
          <w:noProof w:val="0"/>
          <w:sz w:val="24"/>
          <w:szCs w:val="24"/>
          <w:lang w:val="en-GB"/>
        </w:rPr>
        <w:t>Human capital: A theoretical and empirical analysis with special reference to education, first edition</w:t>
      </w:r>
      <w:r w:rsidRPr="39404EB8" w:rsidR="0FD71C32">
        <w:rPr>
          <w:rFonts w:ascii="Arial" w:hAnsi="Arial" w:eastAsia="Arial" w:cs="Arial"/>
          <w:noProof w:val="0"/>
          <w:sz w:val="24"/>
          <w:szCs w:val="24"/>
          <w:lang w:val="en-GB"/>
        </w:rPr>
        <w:t xml:space="preserve">. NBER. Available at: </w:t>
      </w:r>
      <w:hyperlink r:id="R3e1f01fe3bd74b8e">
        <w:r w:rsidRPr="39404EB8" w:rsidR="0FD71C32">
          <w:rPr>
            <w:rStyle w:val="Hyperlink"/>
            <w:noProof w:val="0"/>
            <w:lang w:val="en-GB"/>
          </w:rPr>
          <w:t>https://www.nber.org/books-and-chapters/human-capital-theoretical-and-empirical-analysis-special-reference-education-first-edition?utm</w:t>
        </w:r>
      </w:hyperlink>
      <w:r w:rsidRPr="39404EB8" w:rsidR="0FD71C32">
        <w:rPr>
          <w:rFonts w:ascii="Arial" w:hAnsi="Arial" w:eastAsia="Arial" w:cs="Arial"/>
          <w:noProof w:val="0"/>
          <w:sz w:val="24"/>
          <w:szCs w:val="24"/>
          <w:lang w:val="en-GB"/>
        </w:rPr>
        <w:t xml:space="preserve"> </w:t>
      </w:r>
      <w:r w:rsidRPr="39404EB8" w:rsidR="63B147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w:t>
      </w:r>
      <w:r w:rsidRPr="39404EB8" w:rsidR="61479B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7</w:t>
      </w:r>
      <w:r w:rsidRPr="39404EB8" w:rsidR="63B147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September 2026).</w:t>
      </w:r>
    </w:p>
    <w:p w:rsidR="0FD71C32" w:rsidP="39404EB8" w:rsidRDefault="0FD71C32" w14:paraId="5D15D334" w14:textId="044549AC">
      <w:pPr>
        <w:spacing w:before="0" w:beforeAutospacing="off" w:after="240" w:afterAutospacing="off" w:line="360" w:lineRule="auto"/>
      </w:pPr>
      <w:r w:rsidRPr="39404EB8" w:rsidR="0FD71C32">
        <w:rPr>
          <w:rFonts w:ascii="Arial" w:hAnsi="Arial" w:eastAsia="Arial" w:cs="Arial"/>
          <w:noProof w:val="0"/>
          <w:sz w:val="24"/>
          <w:szCs w:val="24"/>
          <w:lang w:val="en-GB"/>
        </w:rPr>
        <w:t xml:space="preserve">Bovaird, T. (2023). Strategic management and marketing in public service organizations. </w:t>
      </w:r>
      <w:r w:rsidRPr="39404EB8" w:rsidR="0FD71C32">
        <w:rPr>
          <w:rFonts w:ascii="Arial" w:hAnsi="Arial" w:eastAsia="Arial" w:cs="Arial"/>
          <w:i w:val="1"/>
          <w:iCs w:val="1"/>
          <w:noProof w:val="0"/>
          <w:sz w:val="24"/>
          <w:szCs w:val="24"/>
          <w:lang w:val="en-GB"/>
        </w:rPr>
        <w:t>Public Management and Governance</w:t>
      </w:r>
      <w:r w:rsidRPr="39404EB8" w:rsidR="0FD71C32">
        <w:rPr>
          <w:rFonts w:ascii="Arial" w:hAnsi="Arial" w:eastAsia="Arial" w:cs="Arial"/>
          <w:noProof w:val="0"/>
          <w:sz w:val="24"/>
          <w:szCs w:val="24"/>
          <w:lang w:val="en-GB"/>
        </w:rPr>
        <w:t xml:space="preserve">, pp.79–102. </w:t>
      </w:r>
      <w:r>
        <w:fldChar w:fldCharType="begin"/>
      </w:r>
      <w:r>
        <w:instrText xml:space="preserve">HYPERLINK "https://doi:10.4324/9781003282839-9" </w:instrText>
      </w:r>
      <w:r>
        <w:fldChar w:fldCharType="separate"/>
      </w:r>
      <w:r w:rsidRPr="39404EB8" w:rsidR="0E901BF3">
        <w:rPr>
          <w:rStyle w:val="Hyperlink"/>
          <w:noProof w:val="0"/>
          <w:lang w:val="en-GB"/>
        </w:rPr>
        <w:t>https:</w:t>
      </w:r>
      <w:r w:rsidRPr="39404EB8" w:rsidR="64AF5579">
        <w:rPr>
          <w:rStyle w:val="Hyperlink"/>
          <w:noProof w:val="0"/>
          <w:lang w:val="en-GB"/>
        </w:rPr>
        <w:t>//</w:t>
      </w:r>
      <w:r w:rsidRPr="39404EB8" w:rsidR="0FD71C32">
        <w:rPr>
          <w:rStyle w:val="Hyperlink"/>
          <w:noProof w:val="0"/>
          <w:lang w:val="en-GB"/>
        </w:rPr>
        <w:t>doi:10.4324/9781003282839-9</w:t>
      </w:r>
      <w:r>
        <w:fldChar w:fldCharType="end"/>
      </w:r>
      <w:r w:rsidRPr="39404EB8" w:rsidR="0FD71C32">
        <w:rPr>
          <w:rFonts w:ascii="Arial" w:hAnsi="Arial" w:eastAsia="Arial" w:cs="Arial"/>
          <w:noProof w:val="0"/>
          <w:sz w:val="24"/>
          <w:szCs w:val="24"/>
          <w:lang w:val="en-GB"/>
        </w:rPr>
        <w:t>.</w:t>
      </w:r>
      <w:r w:rsidRPr="39404EB8" w:rsidR="511B145B">
        <w:rPr>
          <w:rFonts w:ascii="Arial" w:hAnsi="Arial" w:eastAsia="Arial" w:cs="Arial"/>
          <w:noProof w:val="0"/>
          <w:sz w:val="24"/>
          <w:szCs w:val="24"/>
          <w:lang w:val="en-GB"/>
        </w:rPr>
        <w:t xml:space="preserve"> </w:t>
      </w:r>
    </w:p>
    <w:p w:rsidR="0FD71C32" w:rsidP="39404EB8" w:rsidRDefault="0FD71C32" w14:paraId="0679C4A0" w14:textId="200769C7">
      <w:pPr>
        <w:spacing w:before="0" w:beforeAutospacing="off" w:after="240" w:afterAutospacing="off" w:line="360" w:lineRule="auto"/>
      </w:pPr>
      <w:r w:rsidRPr="39404EB8" w:rsidR="0FD71C32">
        <w:rPr>
          <w:rFonts w:ascii="Arial" w:hAnsi="Arial" w:eastAsia="Arial" w:cs="Arial"/>
          <w:noProof w:val="0"/>
          <w:sz w:val="24"/>
          <w:szCs w:val="24"/>
          <w:lang w:val="en-GB"/>
        </w:rPr>
        <w:t xml:space="preserve">Bowen, G.A. (2009). Document analysis as a qualitative research method. </w:t>
      </w:r>
      <w:r w:rsidRPr="39404EB8" w:rsidR="0FD71C32">
        <w:rPr>
          <w:rFonts w:ascii="Arial" w:hAnsi="Arial" w:eastAsia="Arial" w:cs="Arial"/>
          <w:i w:val="1"/>
          <w:iCs w:val="1"/>
          <w:noProof w:val="0"/>
          <w:sz w:val="24"/>
          <w:szCs w:val="24"/>
          <w:lang w:val="en-GB"/>
        </w:rPr>
        <w:t>Qualitative Research Journal</w:t>
      </w:r>
      <w:r w:rsidRPr="39404EB8" w:rsidR="0FD71C32">
        <w:rPr>
          <w:rFonts w:ascii="Arial" w:hAnsi="Arial" w:eastAsia="Arial" w:cs="Arial"/>
          <w:noProof w:val="0"/>
          <w:sz w:val="24"/>
          <w:szCs w:val="24"/>
          <w:lang w:val="en-GB"/>
        </w:rPr>
        <w:t>,</w:t>
      </w:r>
      <w:r w:rsidRPr="39404EB8" w:rsidR="16F71723">
        <w:rPr>
          <w:rFonts w:ascii="Arial" w:hAnsi="Arial" w:eastAsia="Arial" w:cs="Arial"/>
          <w:noProof w:val="0"/>
          <w:sz w:val="24"/>
          <w:szCs w:val="24"/>
          <w:lang w:val="en-GB"/>
        </w:rPr>
        <w:t xml:space="preserve"> </w:t>
      </w:r>
      <w:r w:rsidRPr="39404EB8" w:rsidR="0FD71C32">
        <w:rPr>
          <w:rFonts w:ascii="Arial" w:hAnsi="Arial" w:eastAsia="Arial" w:cs="Arial"/>
          <w:noProof w:val="0"/>
          <w:sz w:val="24"/>
          <w:szCs w:val="24"/>
          <w:lang w:val="en-GB"/>
        </w:rPr>
        <w:t xml:space="preserve">9(2), pp.27–40. </w:t>
      </w:r>
      <w:r>
        <w:fldChar w:fldCharType="begin"/>
      </w:r>
      <w:r>
        <w:instrText xml:space="preserve">HYPERLINK "https://doi:https://doi.org/10.3316/QRJ0902027" </w:instrText>
      </w:r>
      <w:r>
        <w:fldChar w:fldCharType="separate"/>
      </w:r>
      <w:r w:rsidRPr="39404EB8" w:rsidR="2967ED32">
        <w:rPr>
          <w:rStyle w:val="Hyperlink"/>
          <w:noProof w:val="0"/>
          <w:lang w:val="en-GB"/>
        </w:rPr>
        <w:t>https://</w:t>
      </w:r>
      <w:r w:rsidRPr="39404EB8" w:rsidR="0FD71C32">
        <w:rPr>
          <w:rStyle w:val="Hyperlink"/>
          <w:noProof w:val="0"/>
          <w:lang w:val="en-GB"/>
        </w:rPr>
        <w:t>doi:https://doi.org/10.3316/QRJ0902027</w:t>
      </w:r>
      <w:r>
        <w:fldChar w:fldCharType="end"/>
      </w:r>
      <w:r w:rsidRPr="39404EB8" w:rsidR="0FD71C32">
        <w:rPr>
          <w:rFonts w:ascii="Arial" w:hAnsi="Arial" w:eastAsia="Arial" w:cs="Arial"/>
          <w:noProof w:val="0"/>
          <w:sz w:val="24"/>
          <w:szCs w:val="24"/>
          <w:lang w:val="en-GB"/>
        </w:rPr>
        <w:t>.</w:t>
      </w:r>
      <w:r w:rsidRPr="39404EB8" w:rsidR="795AC3D3">
        <w:rPr>
          <w:rFonts w:ascii="Arial" w:hAnsi="Arial" w:eastAsia="Arial" w:cs="Arial"/>
          <w:noProof w:val="0"/>
          <w:sz w:val="24"/>
          <w:szCs w:val="24"/>
          <w:lang w:val="en-GB"/>
        </w:rPr>
        <w:t xml:space="preserve"> </w:t>
      </w:r>
    </w:p>
    <w:p w:rsidR="0FD71C32" w:rsidP="39404EB8" w:rsidRDefault="0FD71C32" w14:paraId="22463FD1" w14:textId="69831580">
      <w:pPr>
        <w:spacing w:before="0" w:beforeAutospacing="off" w:after="240" w:afterAutospacing="off" w:line="360" w:lineRule="auto"/>
      </w:pPr>
      <w:r w:rsidRPr="39404EB8" w:rsidR="0FD71C32">
        <w:rPr>
          <w:rFonts w:ascii="Arial" w:hAnsi="Arial" w:eastAsia="Arial" w:cs="Arial"/>
          <w:noProof w:val="0"/>
          <w:sz w:val="24"/>
          <w:szCs w:val="24"/>
          <w:lang w:val="en-GB"/>
        </w:rPr>
        <w:t xml:space="preserve">Braun, </w:t>
      </w:r>
      <w:r w:rsidRPr="39404EB8" w:rsidR="0FD71C32">
        <w:rPr>
          <w:rFonts w:ascii="Arial" w:hAnsi="Arial" w:eastAsia="Arial" w:cs="Arial"/>
          <w:noProof w:val="0"/>
          <w:sz w:val="24"/>
          <w:szCs w:val="24"/>
          <w:lang w:val="en-GB"/>
        </w:rPr>
        <w:t>V.</w:t>
      </w:r>
      <w:r w:rsidRPr="39404EB8" w:rsidR="0FD71C32">
        <w:rPr>
          <w:rFonts w:ascii="Arial" w:hAnsi="Arial" w:eastAsia="Arial" w:cs="Arial"/>
          <w:noProof w:val="0"/>
          <w:sz w:val="24"/>
          <w:szCs w:val="24"/>
          <w:lang w:val="en-GB"/>
        </w:rPr>
        <w:t xml:space="preserve"> and Clarke, V. (2006). Using thematic analysis in psychology. </w:t>
      </w:r>
      <w:r w:rsidRPr="39404EB8" w:rsidR="0FD71C32">
        <w:rPr>
          <w:rFonts w:ascii="Arial" w:hAnsi="Arial" w:eastAsia="Arial" w:cs="Arial"/>
          <w:i w:val="1"/>
          <w:iCs w:val="1"/>
          <w:noProof w:val="0"/>
          <w:sz w:val="24"/>
          <w:szCs w:val="24"/>
          <w:lang w:val="en-GB"/>
        </w:rPr>
        <w:t>Qualitative Research in Psychology</w:t>
      </w:r>
      <w:r w:rsidRPr="39404EB8" w:rsidR="0FD71C32">
        <w:rPr>
          <w:rFonts w:ascii="Arial" w:hAnsi="Arial" w:eastAsia="Arial" w:cs="Arial"/>
          <w:noProof w:val="0"/>
          <w:sz w:val="24"/>
          <w:szCs w:val="24"/>
          <w:lang w:val="en-GB"/>
        </w:rPr>
        <w:t xml:space="preserve">, 3(2), pp.77–101. </w:t>
      </w:r>
      <w:r>
        <w:fldChar w:fldCharType="begin"/>
      </w:r>
      <w:r>
        <w:instrText xml:space="preserve">HYPERLINK "https://doi:10.1191/1478088706qp063oa" </w:instrText>
      </w:r>
      <w:r>
        <w:fldChar w:fldCharType="separate"/>
      </w:r>
      <w:r w:rsidRPr="39404EB8" w:rsidR="1DC057F8">
        <w:rPr>
          <w:rStyle w:val="Hyperlink"/>
          <w:noProof w:val="0"/>
          <w:lang w:val="en-GB"/>
        </w:rPr>
        <w:t>https://</w:t>
      </w:r>
      <w:r w:rsidRPr="39404EB8" w:rsidR="0FD71C32">
        <w:rPr>
          <w:rStyle w:val="Hyperlink"/>
          <w:noProof w:val="0"/>
          <w:lang w:val="en-GB"/>
        </w:rPr>
        <w:t>doi:10.1191/1478088706qp063oa</w:t>
      </w:r>
      <w:r>
        <w:fldChar w:fldCharType="end"/>
      </w:r>
      <w:r w:rsidRPr="39404EB8" w:rsidR="0FD71C32">
        <w:rPr>
          <w:rFonts w:ascii="Arial" w:hAnsi="Arial" w:eastAsia="Arial" w:cs="Arial"/>
          <w:noProof w:val="0"/>
          <w:sz w:val="24"/>
          <w:szCs w:val="24"/>
          <w:lang w:val="en-GB"/>
        </w:rPr>
        <w:t>.</w:t>
      </w:r>
      <w:r w:rsidRPr="39404EB8" w:rsidR="57C54869">
        <w:rPr>
          <w:rFonts w:ascii="Arial" w:hAnsi="Arial" w:eastAsia="Arial" w:cs="Arial"/>
          <w:noProof w:val="0"/>
          <w:sz w:val="24"/>
          <w:szCs w:val="24"/>
          <w:lang w:val="en-GB"/>
        </w:rPr>
        <w:t xml:space="preserve"> </w:t>
      </w:r>
    </w:p>
    <w:p w:rsidR="0FD71C32" w:rsidP="39404EB8" w:rsidRDefault="0FD71C32" w14:paraId="25FBDD16" w14:textId="681F1A06">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BERA (2024). </w:t>
      </w:r>
      <w:r w:rsidRPr="39404EB8" w:rsidR="0FD71C32">
        <w:rPr>
          <w:rFonts w:ascii="Arial" w:hAnsi="Arial" w:eastAsia="Arial" w:cs="Arial"/>
          <w:i w:val="1"/>
          <w:iCs w:val="1"/>
          <w:noProof w:val="0"/>
          <w:sz w:val="24"/>
          <w:szCs w:val="24"/>
          <w:lang w:val="en-GB"/>
        </w:rPr>
        <w:t>Ethical guidelines for Educational Research, fifth edition (2024)</w:t>
      </w:r>
      <w:r w:rsidRPr="39404EB8" w:rsidR="0FD71C32">
        <w:rPr>
          <w:rFonts w:ascii="Arial" w:hAnsi="Arial" w:eastAsia="Arial" w:cs="Arial"/>
          <w:noProof w:val="0"/>
          <w:sz w:val="24"/>
          <w:szCs w:val="24"/>
          <w:lang w:val="en-GB"/>
        </w:rPr>
        <w:t>.</w:t>
      </w:r>
      <w:r w:rsidRPr="39404EB8" w:rsidR="47530523">
        <w:rPr>
          <w:rFonts w:ascii="Arial" w:hAnsi="Arial" w:eastAsia="Arial" w:cs="Arial"/>
          <w:noProof w:val="0"/>
          <w:sz w:val="24"/>
          <w:szCs w:val="24"/>
          <w:lang w:val="en-GB"/>
        </w:rPr>
        <w:t xml:space="preserve"> </w:t>
      </w:r>
      <w:r w:rsidRPr="39404EB8" w:rsidR="0FD71C32">
        <w:rPr>
          <w:rFonts w:ascii="Arial" w:hAnsi="Arial" w:eastAsia="Arial" w:cs="Arial"/>
          <w:noProof w:val="0"/>
          <w:sz w:val="24"/>
          <w:szCs w:val="24"/>
          <w:lang w:val="en-GB"/>
        </w:rPr>
        <w:t xml:space="preserve">Available at: </w:t>
      </w:r>
      <w:hyperlink r:id="Ra6ac1351652b4df6">
        <w:r w:rsidRPr="39404EB8" w:rsidR="0FD71C32">
          <w:rPr>
            <w:rStyle w:val="Hyperlink"/>
            <w:noProof w:val="0"/>
            <w:lang w:val="en-GB"/>
          </w:rPr>
          <w:t>https://www.bera.ac.uk/publication/ethical-guidelines-for-educational-research-fifth-edition-2024</w:t>
        </w:r>
      </w:hyperlink>
      <w:r w:rsidRPr="39404EB8" w:rsidR="0FD71C32">
        <w:rPr>
          <w:rFonts w:ascii="Arial" w:hAnsi="Arial" w:eastAsia="Arial" w:cs="Arial"/>
          <w:noProof w:val="0"/>
          <w:sz w:val="24"/>
          <w:szCs w:val="24"/>
          <w:lang w:val="en-GB"/>
        </w:rPr>
        <w:t xml:space="preserve"> </w:t>
      </w:r>
      <w:r w:rsidRPr="39404EB8" w:rsidR="483C4E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27 September 2026).</w:t>
      </w:r>
    </w:p>
    <w:p w:rsidR="0FD71C32" w:rsidP="39404EB8" w:rsidRDefault="0FD71C32" w14:paraId="6CBC8F73" w14:textId="7CB8EF4F">
      <w:pPr>
        <w:spacing w:before="0" w:beforeAutospacing="off" w:after="240" w:afterAutospacing="off" w:line="360" w:lineRule="auto"/>
      </w:pPr>
      <w:r w:rsidRPr="39404EB8" w:rsidR="0FD71C32">
        <w:rPr>
          <w:rFonts w:ascii="Arial" w:hAnsi="Arial" w:eastAsia="Arial" w:cs="Arial"/>
          <w:noProof w:val="0"/>
          <w:sz w:val="24"/>
          <w:szCs w:val="24"/>
          <w:lang w:val="en-GB"/>
        </w:rPr>
        <w:t xml:space="preserve">CHARITY COMMISSION (2022). </w:t>
      </w:r>
      <w:r w:rsidRPr="39404EB8" w:rsidR="0FD71C32">
        <w:rPr>
          <w:rFonts w:ascii="Arial" w:hAnsi="Arial" w:eastAsia="Arial" w:cs="Arial"/>
          <w:i w:val="1"/>
          <w:iCs w:val="1"/>
          <w:noProof w:val="0"/>
          <w:sz w:val="24"/>
          <w:szCs w:val="24"/>
          <w:lang w:val="en-GB"/>
        </w:rPr>
        <w:t>The King’s Trust Group Company - charity 1200643</w:t>
      </w:r>
      <w:r w:rsidRPr="39404EB8" w:rsidR="0FD71C32">
        <w:rPr>
          <w:rFonts w:ascii="Arial" w:hAnsi="Arial" w:eastAsia="Arial" w:cs="Arial"/>
          <w:noProof w:val="0"/>
          <w:sz w:val="24"/>
          <w:szCs w:val="24"/>
          <w:lang w:val="en-GB"/>
        </w:rPr>
        <w:t xml:space="preserve">. prd-ds-register-of-charities.charitycommission.gov.uk. Available at: </w:t>
      </w:r>
      <w:hyperlink r:id="Rdbf903204f2946d7">
        <w:r w:rsidRPr="39404EB8" w:rsidR="0FD71C32">
          <w:rPr>
            <w:rStyle w:val="Hyperlink"/>
            <w:noProof w:val="0"/>
            <w:lang w:val="en-GB"/>
          </w:rPr>
          <w:t>https://register-of-charities.charitycommission.gov.uk/en/charity-search/-/charity-details/5201055/governing-document</w:t>
        </w:r>
      </w:hyperlink>
      <w:r w:rsidRPr="39404EB8" w:rsidR="0FD71C32">
        <w:rPr>
          <w:rFonts w:ascii="Arial" w:hAnsi="Arial" w:eastAsia="Arial" w:cs="Arial"/>
          <w:noProof w:val="0"/>
          <w:sz w:val="24"/>
          <w:szCs w:val="24"/>
          <w:lang w:val="en-GB"/>
        </w:rPr>
        <w:t xml:space="preserve"> </w:t>
      </w:r>
      <w:r w:rsidRPr="39404EB8" w:rsidR="407A9C76">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7 Oct</w:t>
      </w:r>
      <w:r w:rsidRPr="39404EB8" w:rsidR="6AD5C3E1">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5EF1F4E1">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644414C3" w14:textId="76338820">
      <w:pPr>
        <w:spacing w:before="0" w:beforeAutospacing="off" w:after="240" w:afterAutospacing="off" w:line="360" w:lineRule="auto"/>
      </w:pPr>
      <w:r w:rsidRPr="39404EB8" w:rsidR="0FD71C32">
        <w:rPr>
          <w:rFonts w:ascii="Arial" w:hAnsi="Arial" w:eastAsia="Arial" w:cs="Arial"/>
          <w:noProof w:val="0"/>
          <w:sz w:val="24"/>
          <w:szCs w:val="24"/>
          <w:lang w:val="en-GB"/>
        </w:rPr>
        <w:t xml:space="preserve">Department for Culture, </w:t>
      </w:r>
      <w:r w:rsidRPr="39404EB8" w:rsidR="0FD71C32">
        <w:rPr>
          <w:rFonts w:ascii="Arial" w:hAnsi="Arial" w:eastAsia="Arial" w:cs="Arial"/>
          <w:noProof w:val="0"/>
          <w:sz w:val="24"/>
          <w:szCs w:val="24"/>
          <w:lang w:val="en-GB"/>
        </w:rPr>
        <w:t>Media</w:t>
      </w:r>
      <w:r w:rsidRPr="39404EB8" w:rsidR="0FD71C32">
        <w:rPr>
          <w:rFonts w:ascii="Arial" w:hAnsi="Arial" w:eastAsia="Arial" w:cs="Arial"/>
          <w:noProof w:val="0"/>
          <w:sz w:val="24"/>
          <w:szCs w:val="24"/>
          <w:lang w:val="en-GB"/>
        </w:rPr>
        <w:t xml:space="preserve"> and Sport (2025). </w:t>
      </w:r>
      <w:r w:rsidRPr="39404EB8" w:rsidR="0FD71C32">
        <w:rPr>
          <w:rFonts w:ascii="Arial" w:hAnsi="Arial" w:eastAsia="Arial" w:cs="Arial"/>
          <w:i w:val="1"/>
          <w:iCs w:val="1"/>
          <w:noProof w:val="0"/>
          <w:sz w:val="24"/>
          <w:szCs w:val="24"/>
          <w:lang w:val="en-GB"/>
        </w:rPr>
        <w:t>Government unveils ambitious plan to tackle youth isolation crisis and deliver real life opportunities</w:t>
      </w:r>
      <w:r w:rsidRPr="39404EB8" w:rsidR="0FD71C32">
        <w:rPr>
          <w:rFonts w:ascii="Arial" w:hAnsi="Arial" w:eastAsia="Arial" w:cs="Arial"/>
          <w:noProof w:val="0"/>
          <w:sz w:val="24"/>
          <w:szCs w:val="24"/>
          <w:lang w:val="en-GB"/>
        </w:rPr>
        <w:t xml:space="preserve">. GOV.UK. Available at: </w:t>
      </w:r>
      <w:hyperlink r:id="Ra6571b2021d242d7">
        <w:r w:rsidRPr="39404EB8" w:rsidR="0FD71C32">
          <w:rPr>
            <w:rStyle w:val="Hyperlink"/>
            <w:noProof w:val="0"/>
            <w:lang w:val="en-GB"/>
          </w:rPr>
          <w:t>https://www.gov.uk/government/news/government-unveils-ambitious-plan-to-tackle-youth-isolation-crisis-and-deliver-real-life-opportunities</w:t>
        </w:r>
      </w:hyperlink>
      <w:r w:rsidRPr="39404EB8" w:rsidR="0FD71C32">
        <w:rPr>
          <w:rFonts w:ascii="Arial" w:hAnsi="Arial" w:eastAsia="Arial" w:cs="Arial"/>
          <w:noProof w:val="0"/>
          <w:sz w:val="24"/>
          <w:szCs w:val="24"/>
          <w:lang w:val="en-GB"/>
        </w:rPr>
        <w:t xml:space="preserve"> </w:t>
      </w:r>
      <w:r w:rsidRPr="39404EB8" w:rsidR="7D4D516D">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6 Oct</w:t>
      </w:r>
      <w:r w:rsidRPr="39404EB8" w:rsidR="1DC6448C">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7FE75BEC">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28AB1D38" w14:textId="43610C0E">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Department for Education (2018). </w:t>
      </w:r>
      <w:r w:rsidRPr="39404EB8" w:rsidR="0FD71C32">
        <w:rPr>
          <w:rFonts w:ascii="Arial" w:hAnsi="Arial" w:eastAsia="Arial" w:cs="Arial"/>
          <w:i w:val="1"/>
          <w:iCs w:val="1"/>
          <w:noProof w:val="0"/>
          <w:sz w:val="24"/>
          <w:szCs w:val="24"/>
          <w:lang w:val="en-GB"/>
        </w:rPr>
        <w:t>Essential digital skills framework</w:t>
      </w:r>
      <w:r w:rsidRPr="39404EB8" w:rsidR="0FD71C32">
        <w:rPr>
          <w:rFonts w:ascii="Arial" w:hAnsi="Arial" w:eastAsia="Arial" w:cs="Arial"/>
          <w:noProof w:val="0"/>
          <w:sz w:val="24"/>
          <w:szCs w:val="24"/>
          <w:lang w:val="en-GB"/>
        </w:rPr>
        <w:t xml:space="preserve">. GOV.UK. Available at: </w:t>
      </w:r>
      <w:hyperlink r:id="Ra92e677d2cfb426c">
        <w:r w:rsidRPr="39404EB8" w:rsidR="0FD71C32">
          <w:rPr>
            <w:rStyle w:val="Hyperlink"/>
            <w:noProof w:val="0"/>
            <w:lang w:val="en-GB"/>
          </w:rPr>
          <w:t>https://www.gov.uk/government/publications/essential-digital-skills-framework/essential-digital-skills-framework</w:t>
        </w:r>
      </w:hyperlink>
      <w:r w:rsidRPr="39404EB8" w:rsidR="0FD71C32">
        <w:rPr>
          <w:rFonts w:ascii="Arial" w:hAnsi="Arial" w:eastAsia="Arial" w:cs="Arial"/>
          <w:noProof w:val="0"/>
          <w:sz w:val="24"/>
          <w:szCs w:val="24"/>
          <w:lang w:val="en-GB"/>
        </w:rPr>
        <w:t xml:space="preserve"> </w:t>
      </w:r>
      <w:r w:rsidRPr="39404EB8" w:rsidR="4257A9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27 September 2026).</w:t>
      </w:r>
    </w:p>
    <w:p w:rsidR="0FD71C32" w:rsidP="39404EB8" w:rsidRDefault="0FD71C32" w14:paraId="32FF158D" w14:textId="0721CD54">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GOV.UK (2024). </w:t>
      </w:r>
      <w:r w:rsidRPr="39404EB8" w:rsidR="0FD71C32">
        <w:rPr>
          <w:rFonts w:ascii="Arial" w:hAnsi="Arial" w:eastAsia="Arial" w:cs="Arial"/>
          <w:i w:val="1"/>
          <w:iCs w:val="1"/>
          <w:noProof w:val="0"/>
          <w:sz w:val="24"/>
          <w:szCs w:val="24"/>
          <w:lang w:val="en-GB"/>
        </w:rPr>
        <w:t>Get Britain working white paper</w:t>
      </w:r>
      <w:r w:rsidRPr="39404EB8" w:rsidR="0FD71C32">
        <w:rPr>
          <w:rFonts w:ascii="Arial" w:hAnsi="Arial" w:eastAsia="Arial" w:cs="Arial"/>
          <w:noProof w:val="0"/>
          <w:sz w:val="24"/>
          <w:szCs w:val="24"/>
          <w:lang w:val="en-GB"/>
        </w:rPr>
        <w:t xml:space="preserve">.  Available at: </w:t>
      </w:r>
      <w:hyperlink r:id="R6d2c3a4eca5a4740">
        <w:r w:rsidRPr="39404EB8" w:rsidR="0FD71C32">
          <w:rPr>
            <w:rStyle w:val="Hyperlink"/>
            <w:noProof w:val="0"/>
            <w:lang w:val="en-GB"/>
          </w:rPr>
          <w:t>https://www.gov.uk/government/publications/get-britain-working-white-paper/get-britain-working-white-paper</w:t>
        </w:r>
      </w:hyperlink>
      <w:r w:rsidRPr="39404EB8" w:rsidR="0FD71C32">
        <w:rPr>
          <w:rFonts w:ascii="Arial" w:hAnsi="Arial" w:eastAsia="Arial" w:cs="Arial"/>
          <w:noProof w:val="0"/>
          <w:sz w:val="24"/>
          <w:szCs w:val="24"/>
          <w:lang w:val="en-GB"/>
        </w:rPr>
        <w:t xml:space="preserve"> </w:t>
      </w:r>
      <w:r w:rsidRPr="39404EB8" w:rsidR="4C872F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22 September 2026).</w:t>
      </w:r>
    </w:p>
    <w:p w:rsidR="0FD71C32" w:rsidP="39404EB8" w:rsidRDefault="0FD71C32" w14:paraId="34E5C4D2" w14:textId="63F98B89">
      <w:pPr>
        <w:spacing w:before="0" w:beforeAutospacing="off" w:after="240" w:afterAutospacing="off" w:line="360" w:lineRule="auto"/>
      </w:pPr>
      <w:r w:rsidRPr="39404EB8" w:rsidR="0FD71C32">
        <w:rPr>
          <w:rFonts w:ascii="Arial" w:hAnsi="Arial" w:eastAsia="Arial" w:cs="Arial"/>
          <w:noProof w:val="0"/>
          <w:sz w:val="24"/>
          <w:szCs w:val="24"/>
          <w:lang w:val="en-GB"/>
        </w:rPr>
        <w:t xml:space="preserve">GOV.UK. (2026). </w:t>
      </w:r>
      <w:r w:rsidRPr="39404EB8" w:rsidR="0FD71C32">
        <w:rPr>
          <w:rFonts w:ascii="Arial" w:hAnsi="Arial" w:eastAsia="Arial" w:cs="Arial"/>
          <w:i w:val="1"/>
          <w:iCs w:val="1"/>
          <w:noProof w:val="0"/>
          <w:sz w:val="24"/>
          <w:szCs w:val="24"/>
          <w:lang w:val="en-GB"/>
        </w:rPr>
        <w:t>Major new package of support for Young People announced with kings trust</w:t>
      </w:r>
      <w:r w:rsidRPr="39404EB8" w:rsidR="0FD71C32">
        <w:rPr>
          <w:rFonts w:ascii="Arial" w:hAnsi="Arial" w:eastAsia="Arial" w:cs="Arial"/>
          <w:noProof w:val="0"/>
          <w:sz w:val="24"/>
          <w:szCs w:val="24"/>
          <w:lang w:val="en-GB"/>
        </w:rPr>
        <w:t xml:space="preserve">. Available at: </w:t>
      </w:r>
      <w:hyperlink r:id="R0a558aa4c4094fdf">
        <w:r w:rsidRPr="39404EB8" w:rsidR="0FD71C32">
          <w:rPr>
            <w:rStyle w:val="Hyperlink"/>
            <w:noProof w:val="0"/>
            <w:lang w:val="en-GB"/>
          </w:rPr>
          <w:t>https://www.gov.uk/government/news/major-new-package-of-support-for-young-people-announced-with-kings-trust</w:t>
        </w:r>
      </w:hyperlink>
      <w:r w:rsidRPr="39404EB8" w:rsidR="0FD71C32">
        <w:rPr>
          <w:rFonts w:ascii="Arial" w:hAnsi="Arial" w:eastAsia="Arial" w:cs="Arial"/>
          <w:noProof w:val="0"/>
          <w:sz w:val="24"/>
          <w:szCs w:val="24"/>
          <w:lang w:val="en-GB"/>
        </w:rPr>
        <w:t xml:space="preserve"> </w:t>
      </w:r>
      <w:r w:rsidRPr="39404EB8" w:rsidR="5F7517D6">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6 Oct</w:t>
      </w:r>
      <w:r w:rsidRPr="39404EB8" w:rsidR="170480F7">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07B80698">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353BD853" w14:textId="46DC1E14">
      <w:pPr>
        <w:spacing w:before="0" w:beforeAutospacing="off" w:after="240" w:afterAutospacing="off" w:line="360" w:lineRule="auto"/>
      </w:pPr>
      <w:r w:rsidRPr="39404EB8" w:rsidR="0FD71C32">
        <w:rPr>
          <w:rFonts w:ascii="Arial" w:hAnsi="Arial" w:eastAsia="Arial" w:cs="Arial"/>
          <w:noProof w:val="0"/>
          <w:sz w:val="24"/>
          <w:szCs w:val="24"/>
          <w:lang w:val="en-GB"/>
        </w:rPr>
        <w:t xml:space="preserve">Granovetter, M. (1973). The strength of weak ties: A network theory revisited. </w:t>
      </w:r>
      <w:r w:rsidRPr="39404EB8" w:rsidR="0FD71C32">
        <w:rPr>
          <w:rFonts w:ascii="Arial" w:hAnsi="Arial" w:eastAsia="Arial" w:cs="Arial"/>
          <w:i w:val="1"/>
          <w:iCs w:val="1"/>
          <w:noProof w:val="0"/>
          <w:sz w:val="24"/>
          <w:szCs w:val="24"/>
          <w:lang w:val="en-GB"/>
        </w:rPr>
        <w:t>Sociological Theory</w:t>
      </w:r>
      <w:r w:rsidRPr="39404EB8" w:rsidR="0FD71C32">
        <w:rPr>
          <w:rFonts w:ascii="Arial" w:hAnsi="Arial" w:eastAsia="Arial" w:cs="Arial"/>
          <w:noProof w:val="0"/>
          <w:sz w:val="24"/>
          <w:szCs w:val="24"/>
          <w:lang w:val="en-GB"/>
        </w:rPr>
        <w:t xml:space="preserve">, 1(6), pp.201–233. </w:t>
      </w:r>
      <w:r>
        <w:fldChar w:fldCharType="begin"/>
      </w:r>
      <w:r>
        <w:instrText xml:space="preserve">HYPERLINK "https://doi:10.2307/202051" </w:instrText>
      </w:r>
      <w:r>
        <w:fldChar w:fldCharType="separate"/>
      </w:r>
      <w:r w:rsidRPr="39404EB8" w:rsidR="3B53F179">
        <w:rPr>
          <w:rStyle w:val="Hyperlink"/>
          <w:noProof w:val="0"/>
          <w:lang w:val="en-GB"/>
        </w:rPr>
        <w:t>https://</w:t>
      </w:r>
      <w:r w:rsidRPr="39404EB8" w:rsidR="0FD71C32">
        <w:rPr>
          <w:rStyle w:val="Hyperlink"/>
          <w:noProof w:val="0"/>
          <w:lang w:val="en-GB"/>
        </w:rPr>
        <w:t>doi:10.2307/202051</w:t>
      </w:r>
      <w:r>
        <w:fldChar w:fldCharType="end"/>
      </w:r>
      <w:r w:rsidRPr="39404EB8" w:rsidR="0FD71C32">
        <w:rPr>
          <w:rFonts w:ascii="Arial" w:hAnsi="Arial" w:eastAsia="Arial" w:cs="Arial"/>
          <w:noProof w:val="0"/>
          <w:sz w:val="24"/>
          <w:szCs w:val="24"/>
          <w:lang w:val="en-GB"/>
        </w:rPr>
        <w:t>.</w:t>
      </w:r>
      <w:r w:rsidRPr="39404EB8" w:rsidR="231BC7FA">
        <w:rPr>
          <w:rFonts w:ascii="Arial" w:hAnsi="Arial" w:eastAsia="Arial" w:cs="Arial"/>
          <w:noProof w:val="0"/>
          <w:sz w:val="24"/>
          <w:szCs w:val="24"/>
          <w:lang w:val="en-GB"/>
        </w:rPr>
        <w:t xml:space="preserve"> </w:t>
      </w:r>
    </w:p>
    <w:p w:rsidR="0FD71C32" w:rsidP="39404EB8" w:rsidRDefault="0FD71C32" w14:paraId="4C05C207" w14:textId="1149388B">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HM Trasury. (2025). </w:t>
      </w:r>
      <w:r w:rsidRPr="39404EB8" w:rsidR="0FD71C32">
        <w:rPr>
          <w:rFonts w:ascii="Arial" w:hAnsi="Arial" w:eastAsia="Arial" w:cs="Arial"/>
          <w:i w:val="1"/>
          <w:iCs w:val="1"/>
          <w:noProof w:val="0"/>
          <w:sz w:val="24"/>
          <w:szCs w:val="24"/>
          <w:lang w:val="en-GB"/>
        </w:rPr>
        <w:t>Magenta book: Central government guidance on evaluation (HTML)</w:t>
      </w:r>
      <w:r w:rsidRPr="39404EB8" w:rsidR="0FD71C32">
        <w:rPr>
          <w:rFonts w:ascii="Arial" w:hAnsi="Arial" w:eastAsia="Arial" w:cs="Arial"/>
          <w:noProof w:val="0"/>
          <w:sz w:val="24"/>
          <w:szCs w:val="24"/>
          <w:lang w:val="en-GB"/>
        </w:rPr>
        <w:t xml:space="preserve">. Available at: </w:t>
      </w:r>
      <w:hyperlink r:id="R404586972b894a48">
        <w:r w:rsidRPr="39404EB8" w:rsidR="0FD71C32">
          <w:rPr>
            <w:rStyle w:val="Hyperlink"/>
            <w:noProof w:val="0"/>
            <w:lang w:val="en-GB"/>
          </w:rPr>
          <w:t>https://www.gov.uk/government/publications/the-magenta-book/magenta-book-central-government-guidance-on-evaluation-html</w:t>
        </w:r>
      </w:hyperlink>
      <w:r w:rsidRPr="39404EB8" w:rsidR="0FD71C32">
        <w:rPr>
          <w:rFonts w:ascii="Arial" w:hAnsi="Arial" w:eastAsia="Arial" w:cs="Arial"/>
          <w:noProof w:val="0"/>
          <w:sz w:val="24"/>
          <w:szCs w:val="24"/>
          <w:lang w:val="en-GB"/>
        </w:rPr>
        <w:t xml:space="preserve"> </w:t>
      </w:r>
      <w:r w:rsidRPr="39404EB8" w:rsidR="6864BB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26 September 2026).</w:t>
      </w:r>
    </w:p>
    <w:p w:rsidR="0FD71C32" w:rsidP="39404EB8" w:rsidRDefault="0FD71C32" w14:paraId="106284C7" w14:textId="1D0C8CA6">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IMPACT Report. (2025). </w:t>
      </w:r>
      <w:r w:rsidRPr="39404EB8" w:rsidR="0FD71C32">
        <w:rPr>
          <w:rFonts w:ascii="Arial" w:hAnsi="Arial" w:eastAsia="Arial" w:cs="Arial"/>
          <w:i w:val="1"/>
          <w:iCs w:val="1"/>
          <w:noProof w:val="0"/>
          <w:sz w:val="24"/>
          <w:szCs w:val="24"/>
          <w:lang w:val="en-GB"/>
        </w:rPr>
        <w:t>The Kings Trust</w:t>
      </w:r>
      <w:r w:rsidRPr="39404EB8" w:rsidR="0FD71C32">
        <w:rPr>
          <w:rFonts w:ascii="Arial" w:hAnsi="Arial" w:eastAsia="Arial" w:cs="Arial"/>
          <w:noProof w:val="0"/>
          <w:sz w:val="24"/>
          <w:szCs w:val="24"/>
          <w:lang w:val="en-GB"/>
        </w:rPr>
        <w:t xml:space="preserve">. The Kings Trust. Available at: </w:t>
      </w:r>
      <w:hyperlink r:id="Reb9759b36cce4362">
        <w:r w:rsidRPr="39404EB8" w:rsidR="0FD71C32">
          <w:rPr>
            <w:rStyle w:val="Hyperlink"/>
            <w:noProof w:val="0"/>
            <w:lang w:val="en-GB"/>
          </w:rPr>
          <w:t>https://kingstrustinternational.org/wp-content/uploads/2025/11/Y1080-KTI-Impact-Report_FINAL.pdf</w:t>
        </w:r>
      </w:hyperlink>
      <w:r w:rsidRPr="39404EB8" w:rsidR="0FD71C32">
        <w:rPr>
          <w:rFonts w:ascii="Arial" w:hAnsi="Arial" w:eastAsia="Arial" w:cs="Arial"/>
          <w:noProof w:val="0"/>
          <w:sz w:val="24"/>
          <w:szCs w:val="24"/>
          <w:lang w:val="en-GB"/>
        </w:rPr>
        <w:t xml:space="preserve"> </w:t>
      </w:r>
      <w:r w:rsidRPr="39404EB8" w:rsidR="05F4CB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3A105C56" w14:textId="1540C863">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Kings Trust (2024). </w:t>
      </w:r>
      <w:r w:rsidRPr="39404EB8" w:rsidR="0FD71C32">
        <w:rPr>
          <w:rFonts w:ascii="Arial" w:hAnsi="Arial" w:eastAsia="Arial" w:cs="Arial"/>
          <w:i w:val="1"/>
          <w:iCs w:val="1"/>
          <w:noProof w:val="0"/>
          <w:sz w:val="24"/>
          <w:szCs w:val="24"/>
          <w:lang w:val="en-GB"/>
        </w:rPr>
        <w:t>The king’s trust | confidence, courses, careers</w:t>
      </w:r>
      <w:r w:rsidRPr="39404EB8" w:rsidR="0FD71C32">
        <w:rPr>
          <w:rFonts w:ascii="Arial" w:hAnsi="Arial" w:eastAsia="Arial" w:cs="Arial"/>
          <w:noProof w:val="0"/>
          <w:sz w:val="24"/>
          <w:szCs w:val="24"/>
          <w:lang w:val="en-GB"/>
        </w:rPr>
        <w:t xml:space="preserve">. Kingstrust.org.uk. Available at: </w:t>
      </w:r>
      <w:hyperlink r:id="R6e6c1290f1dd4285">
        <w:r w:rsidRPr="39404EB8" w:rsidR="0FD71C32">
          <w:rPr>
            <w:rStyle w:val="Hyperlink"/>
            <w:noProof w:val="0"/>
            <w:lang w:val="en-GB"/>
          </w:rPr>
          <w:t>https://www.kingstrust.org.uk/</w:t>
        </w:r>
      </w:hyperlink>
      <w:r w:rsidRPr="39404EB8" w:rsidR="0FD71C32">
        <w:rPr>
          <w:rFonts w:ascii="Arial" w:hAnsi="Arial" w:eastAsia="Arial" w:cs="Arial"/>
          <w:noProof w:val="0"/>
          <w:sz w:val="24"/>
          <w:szCs w:val="24"/>
          <w:lang w:val="en-GB"/>
        </w:rPr>
        <w:t xml:space="preserve"> </w:t>
      </w:r>
      <w:r w:rsidRPr="39404EB8" w:rsidR="7E2F7D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24011437" w14:textId="42BCFF47">
      <w:pPr>
        <w:spacing w:before="0" w:beforeAutospacing="off" w:after="240" w:afterAutospacing="off" w:line="360" w:lineRule="auto"/>
      </w:pPr>
      <w:r w:rsidRPr="39404EB8" w:rsidR="0FD71C32">
        <w:rPr>
          <w:rFonts w:ascii="Arial" w:hAnsi="Arial" w:eastAsia="Arial" w:cs="Arial"/>
          <w:noProof w:val="0"/>
          <w:sz w:val="24"/>
          <w:szCs w:val="24"/>
          <w:lang w:val="en-GB"/>
        </w:rPr>
        <w:t xml:space="preserve">Kings Trust (2025a). </w:t>
      </w:r>
      <w:r w:rsidRPr="39404EB8" w:rsidR="0FD71C32">
        <w:rPr>
          <w:rFonts w:ascii="Arial" w:hAnsi="Arial" w:eastAsia="Arial" w:cs="Arial"/>
          <w:i w:val="1"/>
          <w:iCs w:val="1"/>
          <w:noProof w:val="0"/>
          <w:sz w:val="24"/>
          <w:szCs w:val="24"/>
          <w:lang w:val="en-GB"/>
        </w:rPr>
        <w:t>Digital Skills (PDE)</w:t>
      </w:r>
      <w:r w:rsidRPr="39404EB8" w:rsidR="0FD71C32">
        <w:rPr>
          <w:rFonts w:ascii="Arial" w:hAnsi="Arial" w:eastAsia="Arial" w:cs="Arial"/>
          <w:noProof w:val="0"/>
          <w:sz w:val="24"/>
          <w:szCs w:val="24"/>
          <w:lang w:val="en-GB"/>
        </w:rPr>
        <w:t xml:space="preserve">.  Kingstrust.org.uk. Available at: </w:t>
      </w:r>
      <w:hyperlink r:id="R1755e0f52d3f495c">
        <w:r w:rsidRPr="39404EB8" w:rsidR="0FD71C32">
          <w:rPr>
            <w:rStyle w:val="Hyperlink"/>
            <w:noProof w:val="0"/>
            <w:lang w:val="en-GB"/>
          </w:rPr>
          <w:t>https://education.kingstrust.org.uk/en/units/detail/4FOvopcdPrhaQWG26yPPf8</w:t>
        </w:r>
      </w:hyperlink>
      <w:r w:rsidRPr="39404EB8" w:rsidR="0FD71C32">
        <w:rPr>
          <w:rFonts w:ascii="Arial" w:hAnsi="Arial" w:eastAsia="Arial" w:cs="Arial"/>
          <w:noProof w:val="0"/>
          <w:sz w:val="24"/>
          <w:szCs w:val="24"/>
          <w:lang w:val="en-GB"/>
        </w:rPr>
        <w:t xml:space="preserve"> </w:t>
      </w:r>
      <w:r w:rsidRPr="39404EB8" w:rsidR="2E4B1192">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7 Oct</w:t>
      </w:r>
      <w:r w:rsidRPr="39404EB8" w:rsidR="3AC1400B">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622A0753">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2AC8F598" w14:textId="08FDD8E1">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Kings Trust. (2025b). </w:t>
      </w:r>
      <w:r w:rsidRPr="39404EB8" w:rsidR="0FD71C32">
        <w:rPr>
          <w:rFonts w:ascii="Arial" w:hAnsi="Arial" w:eastAsia="Arial" w:cs="Arial"/>
          <w:i w:val="1"/>
          <w:iCs w:val="1"/>
          <w:noProof w:val="0"/>
          <w:sz w:val="24"/>
          <w:szCs w:val="24"/>
          <w:lang w:val="en-GB"/>
        </w:rPr>
        <w:t>Our 2025 to 2030 strategy | the king’s trust</w:t>
      </w:r>
      <w:r w:rsidRPr="39404EB8" w:rsidR="0FD71C32">
        <w:rPr>
          <w:rFonts w:ascii="Arial" w:hAnsi="Arial" w:eastAsia="Arial" w:cs="Arial"/>
          <w:noProof w:val="0"/>
          <w:sz w:val="24"/>
          <w:szCs w:val="24"/>
          <w:lang w:val="en-GB"/>
        </w:rPr>
        <w:t xml:space="preserve">. Available at: </w:t>
      </w:r>
      <w:hyperlink r:id="R1289c216249e4c58">
        <w:r w:rsidRPr="39404EB8" w:rsidR="0FD71C32">
          <w:rPr>
            <w:rStyle w:val="Hyperlink"/>
            <w:noProof w:val="0"/>
            <w:lang w:val="en-GB"/>
          </w:rPr>
          <w:t>https://www.kingstrust.org.uk/about-us/our-strategy</w:t>
        </w:r>
      </w:hyperlink>
      <w:r w:rsidRPr="39404EB8" w:rsidR="0FD71C32">
        <w:rPr>
          <w:rFonts w:ascii="Arial" w:hAnsi="Arial" w:eastAsia="Arial" w:cs="Arial"/>
          <w:noProof w:val="0"/>
          <w:sz w:val="24"/>
          <w:szCs w:val="24"/>
          <w:lang w:val="en-GB"/>
        </w:rPr>
        <w:t xml:space="preserve"> </w:t>
      </w:r>
      <w:r w:rsidRPr="39404EB8" w:rsidR="5F3BD5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5F3BD5E0" w:rsidP="39404EB8" w:rsidRDefault="5F3BD5E0" w14:paraId="1F2D16D5" w14:textId="532EF6D5">
      <w:pPr>
        <w:pStyle w:val="Normal"/>
        <w:suppressLineNumbers w:val="0"/>
        <w:bidi w:val="0"/>
        <w:spacing w:before="0" w:beforeAutospacing="off" w:after="240" w:afterAutospacing="off" w:line="360" w:lineRule="auto"/>
        <w:ind w:left="0" w:right="0"/>
        <w:jc w:val="left"/>
      </w:pPr>
      <w:r w:rsidRPr="39404EB8" w:rsidR="5F3BD5E0">
        <w:rPr>
          <w:rFonts w:ascii="Arial" w:hAnsi="Arial" w:eastAsia="Arial" w:cs="Arial"/>
          <w:noProof w:val="0"/>
          <w:sz w:val="24"/>
          <w:szCs w:val="24"/>
          <w:lang w:val="en-GB"/>
        </w:rPr>
        <w:t>GOV.UK</w:t>
      </w:r>
      <w:r w:rsidRPr="39404EB8" w:rsidR="0FD71C32">
        <w:rPr>
          <w:rFonts w:ascii="Arial" w:hAnsi="Arial" w:eastAsia="Arial" w:cs="Arial"/>
          <w:noProof w:val="0"/>
          <w:sz w:val="24"/>
          <w:szCs w:val="24"/>
          <w:lang w:val="en-GB"/>
        </w:rPr>
        <w:t xml:space="preserve"> (2011). </w:t>
      </w:r>
      <w:r w:rsidRPr="39404EB8" w:rsidR="0FD71C32">
        <w:rPr>
          <w:rFonts w:ascii="Arial" w:hAnsi="Arial" w:eastAsia="Arial" w:cs="Arial"/>
          <w:i w:val="1"/>
          <w:iCs w:val="1"/>
          <w:noProof w:val="0"/>
          <w:sz w:val="24"/>
          <w:szCs w:val="24"/>
          <w:lang w:val="en-GB"/>
        </w:rPr>
        <w:t xml:space="preserve">Charities act </w:t>
      </w:r>
      <w:r w:rsidRPr="39404EB8" w:rsidR="67441860">
        <w:rPr>
          <w:rFonts w:ascii="Arial" w:hAnsi="Arial" w:eastAsia="Arial" w:cs="Arial"/>
          <w:i w:val="1"/>
          <w:iCs w:val="1"/>
          <w:noProof w:val="0"/>
          <w:sz w:val="24"/>
          <w:szCs w:val="24"/>
          <w:lang w:val="en-GB"/>
        </w:rPr>
        <w:t>2011.</w:t>
      </w:r>
      <w:r w:rsidRPr="39404EB8" w:rsidR="0FD71C32">
        <w:rPr>
          <w:rFonts w:ascii="Arial" w:hAnsi="Arial" w:eastAsia="Arial" w:cs="Arial"/>
          <w:noProof w:val="0"/>
          <w:sz w:val="24"/>
          <w:szCs w:val="24"/>
          <w:lang w:val="en-GB"/>
        </w:rPr>
        <w:t xml:space="preserve">Legislation.gov.uk. Available at: </w:t>
      </w:r>
      <w:hyperlink r:id="R7c895431794645ac">
        <w:r w:rsidRPr="39404EB8" w:rsidR="0FD71C32">
          <w:rPr>
            <w:rStyle w:val="Hyperlink"/>
            <w:noProof w:val="0"/>
            <w:lang w:val="en-GB"/>
          </w:rPr>
          <w:t>https://www.legislation.gov.uk/ukpga/2011/25/contents</w:t>
        </w:r>
      </w:hyperlink>
      <w:r w:rsidRPr="39404EB8" w:rsidR="0FD71C32">
        <w:rPr>
          <w:rFonts w:ascii="Arial" w:hAnsi="Arial" w:eastAsia="Arial" w:cs="Arial"/>
          <w:noProof w:val="0"/>
          <w:sz w:val="24"/>
          <w:szCs w:val="24"/>
          <w:lang w:val="en-GB"/>
        </w:rPr>
        <w:t xml:space="preserve"> </w:t>
      </w:r>
      <w:r w:rsidRPr="39404EB8" w:rsidR="0531A757">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7 Oct</w:t>
      </w:r>
      <w:r w:rsidRPr="39404EB8" w:rsidR="15B47911">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52BD53F6">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66608F34" w14:textId="373B0268">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Lindsay, C. (2026). </w:t>
      </w:r>
      <w:r w:rsidRPr="39404EB8" w:rsidR="0FD71C32">
        <w:rPr>
          <w:rFonts w:ascii="Arial" w:hAnsi="Arial" w:eastAsia="Arial" w:cs="Arial"/>
          <w:i w:val="1"/>
          <w:iCs w:val="1"/>
          <w:noProof w:val="0"/>
          <w:sz w:val="24"/>
          <w:szCs w:val="24"/>
          <w:lang w:val="en-GB"/>
        </w:rPr>
        <w:t xml:space="preserve">Employability, services for unemployed job seekers and the digital divide - </w:t>
      </w:r>
      <w:r w:rsidRPr="39404EB8" w:rsidR="0FD71C32">
        <w:rPr>
          <w:rFonts w:ascii="Arial" w:hAnsi="Arial" w:eastAsia="Arial" w:cs="Arial"/>
          <w:i w:val="1"/>
          <w:iCs w:val="1"/>
          <w:noProof w:val="0"/>
          <w:sz w:val="24"/>
          <w:szCs w:val="24"/>
          <w:lang w:val="en-GB"/>
        </w:rPr>
        <w:t>strathprints</w:t>
      </w:r>
      <w:r w:rsidRPr="39404EB8" w:rsidR="0FD71C32">
        <w:rPr>
          <w:rFonts w:ascii="Arial" w:hAnsi="Arial" w:eastAsia="Arial" w:cs="Arial"/>
          <w:noProof w:val="0"/>
          <w:sz w:val="24"/>
          <w:szCs w:val="24"/>
          <w:lang w:val="en-GB"/>
        </w:rPr>
        <w:t xml:space="preserve">. Strath.ac.uk. Available at: </w:t>
      </w:r>
      <w:hyperlink r:id="Rc4890c3a71d140ee">
        <w:r w:rsidRPr="39404EB8" w:rsidR="0FD71C32">
          <w:rPr>
            <w:rStyle w:val="Hyperlink"/>
            <w:noProof w:val="0"/>
            <w:lang w:val="en-GB"/>
          </w:rPr>
          <w:t>https://strathprints.strath.ac.uk/40094/</w:t>
        </w:r>
      </w:hyperlink>
      <w:r w:rsidRPr="39404EB8" w:rsidR="0FD71C32">
        <w:rPr>
          <w:rFonts w:ascii="Arial" w:hAnsi="Arial" w:eastAsia="Arial" w:cs="Arial"/>
          <w:noProof w:val="0"/>
          <w:sz w:val="24"/>
          <w:szCs w:val="24"/>
          <w:lang w:val="en-GB"/>
        </w:rPr>
        <w:t xml:space="preserve"> </w:t>
      </w:r>
      <w:r w:rsidRPr="39404EB8" w:rsidR="06BA02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4E4A0F2F" w14:textId="0AAF2912">
      <w:pPr>
        <w:spacing w:before="0" w:beforeAutospacing="off" w:after="240" w:afterAutospacing="off" w:line="360" w:lineRule="auto"/>
      </w:pPr>
      <w:r w:rsidRPr="39404EB8" w:rsidR="0FD71C32">
        <w:rPr>
          <w:rFonts w:ascii="Arial" w:hAnsi="Arial" w:eastAsia="Arial" w:cs="Arial"/>
          <w:noProof w:val="0"/>
          <w:sz w:val="24"/>
          <w:szCs w:val="24"/>
          <w:lang w:val="en-GB"/>
        </w:rPr>
        <w:t xml:space="preserve">McQuaid, R.W. and Lindsay, C. (2005). The concept of employability. </w:t>
      </w:r>
      <w:r w:rsidRPr="39404EB8" w:rsidR="0FD71C32">
        <w:rPr>
          <w:rFonts w:ascii="Arial" w:hAnsi="Arial" w:eastAsia="Arial" w:cs="Arial"/>
          <w:i w:val="1"/>
          <w:iCs w:val="1"/>
          <w:noProof w:val="0"/>
          <w:sz w:val="24"/>
          <w:szCs w:val="24"/>
          <w:lang w:val="en-GB"/>
        </w:rPr>
        <w:t>Urban Studies</w:t>
      </w:r>
      <w:r w:rsidRPr="39404EB8" w:rsidR="0FD71C32">
        <w:rPr>
          <w:rFonts w:ascii="Arial" w:hAnsi="Arial" w:eastAsia="Arial" w:cs="Arial"/>
          <w:noProof w:val="0"/>
          <w:sz w:val="24"/>
          <w:szCs w:val="24"/>
          <w:lang w:val="en-GB"/>
        </w:rPr>
        <w:t xml:space="preserve">, 42(2), pp.197–219. </w:t>
      </w:r>
      <w:r>
        <w:fldChar w:fldCharType="begin"/>
      </w:r>
      <w:r>
        <w:instrText xml:space="preserve">HYPERLINK "https://doi:10.1080/0042098042000316100" </w:instrText>
      </w:r>
      <w:r>
        <w:fldChar w:fldCharType="separate"/>
      </w:r>
      <w:r w:rsidRPr="39404EB8" w:rsidR="67AC1E7A">
        <w:rPr>
          <w:rStyle w:val="Hyperlink"/>
          <w:noProof w:val="0"/>
          <w:lang w:val="en-GB"/>
        </w:rPr>
        <w:t>https://</w:t>
      </w:r>
      <w:r w:rsidRPr="39404EB8" w:rsidR="0FD71C32">
        <w:rPr>
          <w:rStyle w:val="Hyperlink"/>
          <w:noProof w:val="0"/>
          <w:lang w:val="en-GB"/>
        </w:rPr>
        <w:t>doi:10.1080/0042098042000316100</w:t>
      </w:r>
      <w:r>
        <w:fldChar w:fldCharType="end"/>
      </w:r>
      <w:r w:rsidRPr="39404EB8" w:rsidR="0FD71C32">
        <w:rPr>
          <w:rFonts w:ascii="Arial" w:hAnsi="Arial" w:eastAsia="Arial" w:cs="Arial"/>
          <w:noProof w:val="0"/>
          <w:sz w:val="24"/>
          <w:szCs w:val="24"/>
          <w:lang w:val="en-GB"/>
        </w:rPr>
        <w:t>.</w:t>
      </w:r>
      <w:r w:rsidRPr="39404EB8" w:rsidR="5542003F">
        <w:rPr>
          <w:rFonts w:ascii="Arial" w:hAnsi="Arial" w:eastAsia="Arial" w:cs="Arial"/>
          <w:noProof w:val="0"/>
          <w:sz w:val="24"/>
          <w:szCs w:val="24"/>
          <w:lang w:val="en-GB"/>
        </w:rPr>
        <w:t xml:space="preserve"> </w:t>
      </w:r>
    </w:p>
    <w:p w:rsidR="0FD71C32" w:rsidP="39404EB8" w:rsidRDefault="0FD71C32" w14:paraId="3885CFCE" w14:textId="46503C1E">
      <w:pPr>
        <w:spacing w:before="0" w:beforeAutospacing="off" w:after="240" w:afterAutospacing="off" w:line="360" w:lineRule="auto"/>
      </w:pPr>
      <w:r w:rsidRPr="39404EB8" w:rsidR="0FD71C32">
        <w:rPr>
          <w:rFonts w:ascii="Arial" w:hAnsi="Arial" w:eastAsia="Arial" w:cs="Arial"/>
          <w:noProof w:val="0"/>
          <w:sz w:val="24"/>
          <w:szCs w:val="24"/>
          <w:lang w:val="en-GB"/>
        </w:rPr>
        <w:t xml:space="preserve">Michael, J., Waters, </w:t>
      </w:r>
      <w:r w:rsidRPr="39404EB8" w:rsidR="0FD71C32">
        <w:rPr>
          <w:rFonts w:ascii="Arial" w:hAnsi="Arial" w:eastAsia="Arial" w:cs="Arial"/>
          <w:noProof w:val="0"/>
          <w:sz w:val="24"/>
          <w:szCs w:val="24"/>
          <w:lang w:val="en-GB"/>
        </w:rPr>
        <w:t>T.</w:t>
      </w:r>
      <w:r w:rsidRPr="39404EB8" w:rsidR="0FD71C32">
        <w:rPr>
          <w:rFonts w:ascii="Arial" w:hAnsi="Arial" w:eastAsia="Arial" w:cs="Arial"/>
          <w:noProof w:val="0"/>
          <w:sz w:val="24"/>
          <w:szCs w:val="24"/>
          <w:lang w:val="en-GB"/>
        </w:rPr>
        <w:t xml:space="preserve"> and Xu, X. (2026). Why has the NEET rate risen? Understanding trends and drivers using administrative data. </w:t>
      </w:r>
      <w:r w:rsidRPr="39404EB8" w:rsidR="0FD71C32">
        <w:rPr>
          <w:rFonts w:ascii="Arial" w:hAnsi="Arial" w:eastAsia="Arial" w:cs="Arial"/>
          <w:i w:val="1"/>
          <w:iCs w:val="1"/>
          <w:noProof w:val="0"/>
          <w:sz w:val="24"/>
          <w:szCs w:val="24"/>
          <w:lang w:val="en-GB"/>
        </w:rPr>
        <w:t>IFS</w:t>
      </w:r>
      <w:r w:rsidRPr="39404EB8" w:rsidR="0FD71C32">
        <w:rPr>
          <w:rFonts w:ascii="Arial" w:hAnsi="Arial" w:eastAsia="Arial" w:cs="Arial"/>
          <w:noProof w:val="0"/>
          <w:sz w:val="24"/>
          <w:szCs w:val="24"/>
          <w:lang w:val="en-GB"/>
        </w:rPr>
        <w:t xml:space="preserve">. </w:t>
      </w:r>
      <w:r>
        <w:fldChar w:fldCharType="begin"/>
      </w:r>
      <w:r>
        <w:instrText xml:space="preserve">HYPERLINK "https://doi:10.1920/re.ifs.2026.0030" </w:instrText>
      </w:r>
      <w:r>
        <w:fldChar w:fldCharType="separate"/>
      </w:r>
      <w:r w:rsidRPr="39404EB8" w:rsidR="64ADD402">
        <w:rPr>
          <w:rStyle w:val="Hyperlink"/>
          <w:noProof w:val="0"/>
          <w:lang w:val="en-GB"/>
        </w:rPr>
        <w:t>https://</w:t>
      </w:r>
      <w:r w:rsidRPr="39404EB8" w:rsidR="0FD71C32">
        <w:rPr>
          <w:rStyle w:val="Hyperlink"/>
          <w:noProof w:val="0"/>
          <w:lang w:val="en-GB"/>
        </w:rPr>
        <w:t>doi:10.1920/re.ifs.2026.0030</w:t>
      </w:r>
      <w:r>
        <w:fldChar w:fldCharType="end"/>
      </w:r>
      <w:r w:rsidRPr="39404EB8" w:rsidR="0FD71C32">
        <w:rPr>
          <w:rFonts w:ascii="Arial" w:hAnsi="Arial" w:eastAsia="Arial" w:cs="Arial"/>
          <w:noProof w:val="0"/>
          <w:sz w:val="24"/>
          <w:szCs w:val="24"/>
          <w:lang w:val="en-GB"/>
        </w:rPr>
        <w:t>.</w:t>
      </w:r>
      <w:r w:rsidRPr="39404EB8" w:rsidR="4BBE12BA">
        <w:rPr>
          <w:rFonts w:ascii="Arial" w:hAnsi="Arial" w:eastAsia="Arial" w:cs="Arial"/>
          <w:noProof w:val="0"/>
          <w:sz w:val="24"/>
          <w:szCs w:val="24"/>
          <w:lang w:val="en-GB"/>
        </w:rPr>
        <w:t xml:space="preserve"> </w:t>
      </w:r>
    </w:p>
    <w:p w:rsidR="0FD71C32" w:rsidP="39404EB8" w:rsidRDefault="0FD71C32" w14:paraId="451714EE" w14:textId="726B8E25">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ONS (2024). </w:t>
      </w:r>
      <w:r w:rsidRPr="39404EB8" w:rsidR="0FD71C32">
        <w:rPr>
          <w:rFonts w:ascii="Arial" w:hAnsi="Arial" w:eastAsia="Arial" w:cs="Arial"/>
          <w:i w:val="1"/>
          <w:iCs w:val="1"/>
          <w:noProof w:val="0"/>
          <w:sz w:val="24"/>
          <w:szCs w:val="24"/>
          <w:lang w:val="en-GB"/>
        </w:rPr>
        <w:t xml:space="preserve">Labour market profile - </w:t>
      </w:r>
      <w:r w:rsidRPr="39404EB8" w:rsidR="0FD71C32">
        <w:rPr>
          <w:rFonts w:ascii="Arial" w:hAnsi="Arial" w:eastAsia="Arial" w:cs="Arial"/>
          <w:i w:val="1"/>
          <w:iCs w:val="1"/>
          <w:noProof w:val="0"/>
          <w:sz w:val="24"/>
          <w:szCs w:val="24"/>
          <w:lang w:val="en-GB"/>
        </w:rPr>
        <w:t>nomis</w:t>
      </w:r>
      <w:r w:rsidRPr="39404EB8" w:rsidR="0FD71C32">
        <w:rPr>
          <w:rFonts w:ascii="Arial" w:hAnsi="Arial" w:eastAsia="Arial" w:cs="Arial"/>
          <w:i w:val="1"/>
          <w:iCs w:val="1"/>
          <w:noProof w:val="0"/>
          <w:sz w:val="24"/>
          <w:szCs w:val="24"/>
          <w:lang w:val="en-GB"/>
        </w:rPr>
        <w:t xml:space="preserve"> - official census and labour market statistics</w:t>
      </w:r>
      <w:r w:rsidRPr="39404EB8" w:rsidR="0FD71C32">
        <w:rPr>
          <w:rFonts w:ascii="Arial" w:hAnsi="Arial" w:eastAsia="Arial" w:cs="Arial"/>
          <w:noProof w:val="0"/>
          <w:sz w:val="24"/>
          <w:szCs w:val="24"/>
          <w:lang w:val="en-GB"/>
        </w:rPr>
        <w:t xml:space="preserve">.  </w:t>
      </w:r>
      <w:r w:rsidRPr="39404EB8" w:rsidR="0FD71C32">
        <w:rPr>
          <w:rFonts w:ascii="Arial" w:hAnsi="Arial" w:eastAsia="Arial" w:cs="Arial"/>
          <w:noProof w:val="0"/>
          <w:sz w:val="24"/>
          <w:szCs w:val="24"/>
          <w:lang w:val="en-GB"/>
        </w:rPr>
        <w:t xml:space="preserve">Nomisweb.co.uk. Available at: </w:t>
      </w:r>
      <w:hyperlink r:id="Ra1d9f8f3a5b84db7">
        <w:r w:rsidRPr="39404EB8" w:rsidR="0FD71C32">
          <w:rPr>
            <w:rStyle w:val="Hyperlink"/>
            <w:noProof w:val="0"/>
            <w:lang w:val="en-GB"/>
          </w:rPr>
          <w:t>https://www.nomisweb.co.uk/reports/lmp/lad/1778385147/report.aspx?utm</w:t>
        </w:r>
      </w:hyperlink>
      <w:r w:rsidRPr="39404EB8" w:rsidR="0FD71C32">
        <w:rPr>
          <w:rFonts w:ascii="Arial" w:hAnsi="Arial" w:eastAsia="Arial" w:cs="Arial"/>
          <w:noProof w:val="0"/>
          <w:sz w:val="24"/>
          <w:szCs w:val="24"/>
          <w:lang w:val="en-GB"/>
        </w:rPr>
        <w:t xml:space="preserve"> </w:t>
      </w:r>
      <w:r w:rsidRPr="39404EB8" w:rsidR="314607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13EF1093" w14:textId="5078140B">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Powell, A., Francis-Devine, </w:t>
      </w:r>
      <w:r w:rsidRPr="39404EB8" w:rsidR="0FD71C32">
        <w:rPr>
          <w:rFonts w:ascii="Arial" w:hAnsi="Arial" w:eastAsia="Arial" w:cs="Arial"/>
          <w:noProof w:val="0"/>
          <w:sz w:val="24"/>
          <w:szCs w:val="24"/>
          <w:lang w:val="en-GB"/>
        </w:rPr>
        <w:t>B.</w:t>
      </w:r>
      <w:r w:rsidRPr="39404EB8" w:rsidR="0FD71C32">
        <w:rPr>
          <w:rFonts w:ascii="Arial" w:hAnsi="Arial" w:eastAsia="Arial" w:cs="Arial"/>
          <w:noProof w:val="0"/>
          <w:sz w:val="24"/>
          <w:szCs w:val="24"/>
          <w:lang w:val="en-GB"/>
        </w:rPr>
        <w:t xml:space="preserve"> and Foley, N. (2026). Youth unemployment statistics. </w:t>
      </w:r>
      <w:r w:rsidRPr="39404EB8" w:rsidR="0FD71C32">
        <w:rPr>
          <w:rFonts w:ascii="Arial" w:hAnsi="Arial" w:eastAsia="Arial" w:cs="Arial"/>
          <w:i w:val="1"/>
          <w:iCs w:val="1"/>
          <w:noProof w:val="0"/>
          <w:sz w:val="24"/>
          <w:szCs w:val="24"/>
          <w:lang w:val="en-GB"/>
        </w:rPr>
        <w:t>commonslibrary.parliament.uk</w:t>
      </w:r>
      <w:r w:rsidRPr="39404EB8" w:rsidR="0FD71C32">
        <w:rPr>
          <w:rFonts w:ascii="Arial" w:hAnsi="Arial" w:eastAsia="Arial" w:cs="Arial"/>
          <w:noProof w:val="0"/>
          <w:sz w:val="24"/>
          <w:szCs w:val="24"/>
          <w:lang w:val="en-GB"/>
        </w:rPr>
        <w:t xml:space="preserve">. Available at: </w:t>
      </w:r>
      <w:hyperlink r:id="R0bfbf2b09a014b11">
        <w:r w:rsidRPr="39404EB8" w:rsidR="0FD71C32">
          <w:rPr>
            <w:rStyle w:val="Hyperlink"/>
            <w:noProof w:val="0"/>
            <w:lang w:val="en-GB"/>
          </w:rPr>
          <w:t>https://commonslibrary.parliament.uk/research-briefings/sn05871/</w:t>
        </w:r>
      </w:hyperlink>
      <w:r w:rsidRPr="39404EB8" w:rsidR="0FD71C32">
        <w:rPr>
          <w:rFonts w:ascii="Arial" w:hAnsi="Arial" w:eastAsia="Arial" w:cs="Arial"/>
          <w:noProof w:val="0"/>
          <w:sz w:val="24"/>
          <w:szCs w:val="24"/>
          <w:lang w:val="en-GB"/>
        </w:rPr>
        <w:t xml:space="preserve"> </w:t>
      </w:r>
      <w:r w:rsidRPr="39404EB8" w:rsidR="040D89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78D4681E" w14:textId="7E14D16D">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Saunders, M., Lewis, </w:t>
      </w:r>
      <w:r w:rsidRPr="39404EB8" w:rsidR="0FD71C32">
        <w:rPr>
          <w:rFonts w:ascii="Arial" w:hAnsi="Arial" w:eastAsia="Arial" w:cs="Arial"/>
          <w:noProof w:val="0"/>
          <w:sz w:val="24"/>
          <w:szCs w:val="24"/>
          <w:lang w:val="en-GB"/>
        </w:rPr>
        <w:t>P.</w:t>
      </w:r>
      <w:r w:rsidRPr="39404EB8" w:rsidR="0FD71C32">
        <w:rPr>
          <w:rFonts w:ascii="Arial" w:hAnsi="Arial" w:eastAsia="Arial" w:cs="Arial"/>
          <w:noProof w:val="0"/>
          <w:sz w:val="24"/>
          <w:szCs w:val="24"/>
          <w:lang w:val="en-GB"/>
        </w:rPr>
        <w:t xml:space="preserve"> and Thornhill, A. (2019). </w:t>
      </w:r>
      <w:r w:rsidRPr="39404EB8" w:rsidR="0FD71C32">
        <w:rPr>
          <w:rFonts w:ascii="Arial" w:hAnsi="Arial" w:eastAsia="Arial" w:cs="Arial"/>
          <w:i w:val="1"/>
          <w:iCs w:val="1"/>
          <w:noProof w:val="0"/>
          <w:sz w:val="24"/>
          <w:szCs w:val="24"/>
          <w:lang w:val="en-GB"/>
        </w:rPr>
        <w:t>Title: Research methods for business students author</w:t>
      </w:r>
      <w:r w:rsidRPr="39404EB8" w:rsidR="0FD71C32">
        <w:rPr>
          <w:rFonts w:ascii="Arial" w:hAnsi="Arial" w:eastAsia="Arial" w:cs="Arial"/>
          <w:noProof w:val="0"/>
          <w:sz w:val="24"/>
          <w:szCs w:val="24"/>
          <w:lang w:val="en-GB"/>
        </w:rPr>
        <w:t xml:space="preserve">. Available at: </w:t>
      </w:r>
      <w:hyperlink r:id="R8e18b99981054d60">
        <w:r w:rsidRPr="39404EB8" w:rsidR="0FD71C32">
          <w:rPr>
            <w:rStyle w:val="Hyperlink"/>
            <w:noProof w:val="0"/>
            <w:lang w:val="en-GB"/>
          </w:rPr>
          <w:t>https://amberton.edu/wp-content/uploads/2024/07/RGS6035_E2_Fall2024.pdf</w:t>
        </w:r>
      </w:hyperlink>
      <w:r w:rsidRPr="39404EB8" w:rsidR="0FD71C32">
        <w:rPr>
          <w:rFonts w:ascii="Arial" w:hAnsi="Arial" w:eastAsia="Arial" w:cs="Arial"/>
          <w:noProof w:val="0"/>
          <w:sz w:val="24"/>
          <w:szCs w:val="24"/>
          <w:lang w:val="en-GB"/>
        </w:rPr>
        <w:t xml:space="preserve"> </w:t>
      </w:r>
      <w:r w:rsidRPr="39404EB8" w:rsidR="53C8A3D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27 September 2026).</w:t>
      </w:r>
    </w:p>
    <w:p w:rsidR="0FD71C32" w:rsidP="39404EB8" w:rsidRDefault="0FD71C32" w14:paraId="3855578D" w14:textId="596FD093">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The King’s Trust (2025a). </w:t>
      </w:r>
      <w:r w:rsidRPr="39404EB8" w:rsidR="0FD71C32">
        <w:rPr>
          <w:rFonts w:ascii="Arial" w:hAnsi="Arial" w:eastAsia="Arial" w:cs="Arial"/>
          <w:i w:val="1"/>
          <w:iCs w:val="1"/>
          <w:noProof w:val="0"/>
          <w:sz w:val="24"/>
          <w:szCs w:val="24"/>
          <w:lang w:val="en-GB"/>
        </w:rPr>
        <w:t>Annual Report and Accounts 2024/25</w:t>
      </w:r>
      <w:r w:rsidRPr="39404EB8" w:rsidR="0FD71C32">
        <w:rPr>
          <w:rFonts w:ascii="Arial" w:hAnsi="Arial" w:eastAsia="Arial" w:cs="Arial"/>
          <w:noProof w:val="0"/>
          <w:sz w:val="24"/>
          <w:szCs w:val="24"/>
          <w:lang w:val="en-GB"/>
        </w:rPr>
        <w:t xml:space="preserve">. The King’s </w:t>
      </w:r>
      <w:r w:rsidRPr="39404EB8" w:rsidR="0FD71C32">
        <w:rPr>
          <w:rFonts w:ascii="Arial" w:hAnsi="Arial" w:eastAsia="Arial" w:cs="Arial"/>
          <w:noProof w:val="0"/>
          <w:sz w:val="24"/>
          <w:szCs w:val="24"/>
          <w:lang w:val="en-GB"/>
        </w:rPr>
        <w:t>Trust .</w:t>
      </w:r>
      <w:r w:rsidRPr="39404EB8" w:rsidR="0FD71C32">
        <w:rPr>
          <w:rFonts w:ascii="Arial" w:hAnsi="Arial" w:eastAsia="Arial" w:cs="Arial"/>
          <w:noProof w:val="0"/>
          <w:sz w:val="24"/>
          <w:szCs w:val="24"/>
          <w:lang w:val="en-GB"/>
        </w:rPr>
        <w:t xml:space="preserve"> Available at: </w:t>
      </w:r>
      <w:hyperlink r:id="Re13a50e256c64a3f">
        <w:r w:rsidRPr="39404EB8" w:rsidR="0FD71C32">
          <w:rPr>
            <w:rStyle w:val="Hyperlink"/>
            <w:noProof w:val="0"/>
            <w:lang w:val="en-GB"/>
          </w:rPr>
          <w:t>https://assets.ctfassets.net/qq0roodynp09/7l8lx8RwNdcL5lERtP2Xox/a9c686cc2ca8639bfa8544fd3e549b6a/King-s_Trust_Annual_Report_2024-25.pdf</w:t>
        </w:r>
      </w:hyperlink>
      <w:r w:rsidRPr="39404EB8" w:rsidR="0FD71C32">
        <w:rPr>
          <w:rFonts w:ascii="Arial" w:hAnsi="Arial" w:eastAsia="Arial" w:cs="Arial"/>
          <w:noProof w:val="0"/>
          <w:sz w:val="24"/>
          <w:szCs w:val="24"/>
          <w:lang w:val="en-GB"/>
        </w:rPr>
        <w:t xml:space="preserve"> </w:t>
      </w:r>
      <w:r w:rsidRPr="39404EB8" w:rsidR="7F7C1F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3F6B5529" w14:textId="294CC409">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The King’s Trust (2025b). </w:t>
      </w:r>
      <w:r w:rsidRPr="39404EB8" w:rsidR="0FD71C32">
        <w:rPr>
          <w:rFonts w:ascii="Arial" w:hAnsi="Arial" w:eastAsia="Arial" w:cs="Arial"/>
          <w:i w:val="1"/>
          <w:iCs w:val="1"/>
          <w:noProof w:val="0"/>
          <w:sz w:val="24"/>
          <w:szCs w:val="24"/>
          <w:lang w:val="en-GB"/>
        </w:rPr>
        <w:t>Building a future that works for young people our 2025 -2030 UK strategy</w:t>
      </w:r>
      <w:r w:rsidRPr="39404EB8" w:rsidR="0FD71C32">
        <w:rPr>
          <w:rFonts w:ascii="Arial" w:hAnsi="Arial" w:eastAsia="Arial" w:cs="Arial"/>
          <w:noProof w:val="0"/>
          <w:sz w:val="24"/>
          <w:szCs w:val="24"/>
          <w:lang w:val="en-GB"/>
        </w:rPr>
        <w:t xml:space="preserve">. </w:t>
      </w:r>
      <w:r w:rsidRPr="39404EB8" w:rsidR="0FD71C32">
        <w:rPr>
          <w:rFonts w:ascii="Arial" w:hAnsi="Arial" w:eastAsia="Arial" w:cs="Arial"/>
          <w:i w:val="1"/>
          <w:iCs w:val="1"/>
          <w:noProof w:val="0"/>
          <w:sz w:val="24"/>
          <w:szCs w:val="24"/>
          <w:lang w:val="en-GB"/>
        </w:rPr>
        <w:t>The Kings Trust</w:t>
      </w:r>
      <w:r w:rsidRPr="39404EB8" w:rsidR="0FD71C32">
        <w:rPr>
          <w:rFonts w:ascii="Arial" w:hAnsi="Arial" w:eastAsia="Arial" w:cs="Arial"/>
          <w:noProof w:val="0"/>
          <w:sz w:val="24"/>
          <w:szCs w:val="24"/>
          <w:lang w:val="en-GB"/>
        </w:rPr>
        <w:t xml:space="preserve">. The Kings Trust. Available at: </w:t>
      </w:r>
      <w:hyperlink r:id="R1abbe4dea38a4946">
        <w:r w:rsidRPr="39404EB8" w:rsidR="0FD71C32">
          <w:rPr>
            <w:rStyle w:val="Hyperlink"/>
            <w:noProof w:val="0"/>
            <w:lang w:val="en-GB"/>
          </w:rPr>
          <w:t>https://assets.ctfassets.net/qq0roodynp09/7gEucIbAX83Q49Bhisay6v/9e9b6748d581a21007d0ed8d9f2eb661/DSN5704_KT_strategy_2025-30_Final_accessible.pdf</w:t>
        </w:r>
      </w:hyperlink>
      <w:r w:rsidRPr="39404EB8" w:rsidR="0FD71C32">
        <w:rPr>
          <w:rFonts w:ascii="Arial" w:hAnsi="Arial" w:eastAsia="Arial" w:cs="Arial"/>
          <w:noProof w:val="0"/>
          <w:sz w:val="24"/>
          <w:szCs w:val="24"/>
          <w:lang w:val="en-GB"/>
        </w:rPr>
        <w:t xml:space="preserve"> </w:t>
      </w:r>
      <w:r w:rsidRPr="39404EB8" w:rsidR="22AB3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4EF7183F" w14:textId="34B9116E">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The Royal Family. (2018). </w:t>
      </w:r>
      <w:r w:rsidRPr="39404EB8" w:rsidR="0FD71C32">
        <w:rPr>
          <w:rFonts w:ascii="Arial" w:hAnsi="Arial" w:eastAsia="Arial" w:cs="Arial"/>
          <w:i w:val="1"/>
          <w:iCs w:val="1"/>
          <w:noProof w:val="0"/>
          <w:sz w:val="24"/>
          <w:szCs w:val="24"/>
          <w:lang w:val="en-GB"/>
        </w:rPr>
        <w:t>The prince of Wales’s charities</w:t>
      </w:r>
      <w:r w:rsidRPr="39404EB8" w:rsidR="0FD71C32">
        <w:rPr>
          <w:rFonts w:ascii="Arial" w:hAnsi="Arial" w:eastAsia="Arial" w:cs="Arial"/>
          <w:noProof w:val="0"/>
          <w:sz w:val="24"/>
          <w:szCs w:val="24"/>
          <w:lang w:val="en-GB"/>
        </w:rPr>
        <w:t xml:space="preserve">. Available at: </w:t>
      </w:r>
      <w:hyperlink r:id="Re6ffeaa64c0c45e8">
        <w:r w:rsidRPr="39404EB8" w:rsidR="0FD71C32">
          <w:rPr>
            <w:rStyle w:val="Hyperlink"/>
            <w:noProof w:val="0"/>
            <w:lang w:val="en-GB"/>
          </w:rPr>
          <w:t>https://www.royal.uk/clarencehouse/prince-of-wales-charities</w:t>
        </w:r>
      </w:hyperlink>
      <w:r w:rsidRPr="39404EB8" w:rsidR="0FD71C32">
        <w:rPr>
          <w:rFonts w:ascii="Arial" w:hAnsi="Arial" w:eastAsia="Arial" w:cs="Arial"/>
          <w:noProof w:val="0"/>
          <w:sz w:val="24"/>
          <w:szCs w:val="24"/>
          <w:lang w:val="en-GB"/>
        </w:rPr>
        <w:t xml:space="preserve"> </w:t>
      </w:r>
      <w:r w:rsidRPr="39404EB8" w:rsidR="0E39D3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64E5F34F" w14:textId="5984E021">
      <w:pPr>
        <w:spacing w:before="0" w:beforeAutospacing="off" w:after="240" w:afterAutospacing="off" w:line="360" w:lineRule="auto"/>
      </w:pPr>
      <w:r w:rsidRPr="39404EB8" w:rsidR="0FD71C32">
        <w:rPr>
          <w:rFonts w:ascii="Arial" w:hAnsi="Arial" w:eastAsia="Arial" w:cs="Arial"/>
          <w:noProof w:val="0"/>
          <w:sz w:val="24"/>
          <w:szCs w:val="24"/>
          <w:lang w:val="en-GB"/>
        </w:rPr>
        <w:t xml:space="preserve">The Royal Family. (2023). </w:t>
      </w:r>
      <w:r w:rsidRPr="39404EB8" w:rsidR="0FD71C32">
        <w:rPr>
          <w:rFonts w:ascii="Arial" w:hAnsi="Arial" w:eastAsia="Arial" w:cs="Arial"/>
          <w:i w:val="1"/>
          <w:iCs w:val="1"/>
          <w:noProof w:val="0"/>
          <w:sz w:val="24"/>
          <w:szCs w:val="24"/>
          <w:lang w:val="en-GB"/>
        </w:rPr>
        <w:t>Charities founded by his majesty the king as the prince of Wales</w:t>
      </w:r>
      <w:r w:rsidRPr="39404EB8" w:rsidR="0FD71C32">
        <w:rPr>
          <w:rFonts w:ascii="Arial" w:hAnsi="Arial" w:eastAsia="Arial" w:cs="Arial"/>
          <w:noProof w:val="0"/>
          <w:sz w:val="24"/>
          <w:szCs w:val="24"/>
          <w:lang w:val="en-GB"/>
        </w:rPr>
        <w:t xml:space="preserve">. Available at: </w:t>
      </w:r>
      <w:hyperlink r:id="R01dae6f0953142c6">
        <w:r w:rsidRPr="39404EB8" w:rsidR="0FD71C32">
          <w:rPr>
            <w:rStyle w:val="Hyperlink"/>
            <w:noProof w:val="0"/>
            <w:lang w:val="en-GB"/>
          </w:rPr>
          <w:t>https://www.royal.uk/news-and-activity/2023-11-10/charities-founded-by-his-majesty-the-king-as-the-prince-of-wales</w:t>
        </w:r>
      </w:hyperlink>
      <w:r w:rsidRPr="39404EB8" w:rsidR="0FD71C32">
        <w:rPr>
          <w:rFonts w:ascii="Arial" w:hAnsi="Arial" w:eastAsia="Arial" w:cs="Arial"/>
          <w:noProof w:val="0"/>
          <w:sz w:val="24"/>
          <w:szCs w:val="24"/>
          <w:lang w:val="en-GB"/>
        </w:rPr>
        <w:t xml:space="preserve"> </w:t>
      </w:r>
      <w:r w:rsidRPr="39404EB8" w:rsidR="2BA54F30">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Accessed 8 Oct</w:t>
      </w:r>
      <w:r w:rsidRPr="39404EB8" w:rsidR="40F087DD">
        <w:rPr>
          <w:rFonts w:ascii="Arial" w:hAnsi="Arial" w:eastAsia="Arial" w:cs="Arial"/>
          <w:noProof w:val="0"/>
          <w:sz w:val="24"/>
          <w:szCs w:val="24"/>
          <w:lang w:val="en-GB"/>
        </w:rPr>
        <w:t>ober</w:t>
      </w:r>
      <w:r w:rsidRPr="39404EB8" w:rsidR="0FD71C32">
        <w:rPr>
          <w:rFonts w:ascii="Arial" w:hAnsi="Arial" w:eastAsia="Arial" w:cs="Arial"/>
          <w:noProof w:val="0"/>
          <w:sz w:val="24"/>
          <w:szCs w:val="24"/>
          <w:lang w:val="en-GB"/>
        </w:rPr>
        <w:t xml:space="preserve"> 2026</w:t>
      </w:r>
      <w:r w:rsidRPr="39404EB8" w:rsidR="3A5D3DE0">
        <w:rPr>
          <w:rFonts w:ascii="Arial" w:hAnsi="Arial" w:eastAsia="Arial" w:cs="Arial"/>
          <w:noProof w:val="0"/>
          <w:sz w:val="24"/>
          <w:szCs w:val="24"/>
          <w:lang w:val="en-GB"/>
        </w:rPr>
        <w:t>)</w:t>
      </w:r>
      <w:r w:rsidRPr="39404EB8" w:rsidR="0FD71C32">
        <w:rPr>
          <w:rFonts w:ascii="Arial" w:hAnsi="Arial" w:eastAsia="Arial" w:cs="Arial"/>
          <w:noProof w:val="0"/>
          <w:sz w:val="24"/>
          <w:szCs w:val="24"/>
          <w:lang w:val="en-GB"/>
        </w:rPr>
        <w:t>.</w:t>
      </w:r>
    </w:p>
    <w:p w:rsidR="0FD71C32" w:rsidP="39404EB8" w:rsidRDefault="0FD71C32" w14:paraId="3C2094B8" w14:textId="10CC5639">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UK Parliament. (2025). </w:t>
      </w:r>
      <w:r w:rsidRPr="39404EB8" w:rsidR="0FD71C32">
        <w:rPr>
          <w:rFonts w:ascii="Arial" w:hAnsi="Arial" w:eastAsia="Arial" w:cs="Arial"/>
          <w:i w:val="1"/>
          <w:iCs w:val="1"/>
          <w:noProof w:val="0"/>
          <w:sz w:val="24"/>
          <w:szCs w:val="24"/>
          <w:lang w:val="en-GB"/>
        </w:rPr>
        <w:t>Written questions and answers - Written questions, answers and statements - UK Parliament</w:t>
      </w:r>
      <w:r w:rsidRPr="39404EB8" w:rsidR="0FD71C32">
        <w:rPr>
          <w:rFonts w:ascii="Arial" w:hAnsi="Arial" w:eastAsia="Arial" w:cs="Arial"/>
          <w:noProof w:val="0"/>
          <w:sz w:val="24"/>
          <w:szCs w:val="24"/>
          <w:lang w:val="en-GB"/>
        </w:rPr>
        <w:t xml:space="preserve">. Available at: </w:t>
      </w:r>
      <w:hyperlink r:id="Rddb23df129564128">
        <w:r w:rsidRPr="39404EB8" w:rsidR="0FD71C32">
          <w:rPr>
            <w:rStyle w:val="Hyperlink"/>
            <w:noProof w:val="0"/>
            <w:lang w:val="en-GB"/>
          </w:rPr>
          <w:t>https://questions-statements.parliament.uk/written-questions/detail/2025-03-19/39542?utm</w:t>
        </w:r>
      </w:hyperlink>
      <w:r w:rsidRPr="39404EB8" w:rsidR="0FD71C32">
        <w:rPr>
          <w:rFonts w:ascii="Arial" w:hAnsi="Arial" w:eastAsia="Arial" w:cs="Arial"/>
          <w:noProof w:val="0"/>
          <w:sz w:val="24"/>
          <w:szCs w:val="24"/>
          <w:lang w:val="en-GB"/>
        </w:rPr>
        <w:t xml:space="preserve"> </w:t>
      </w:r>
      <w:r w:rsidRPr="39404EB8" w:rsidR="1723DF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644261F1" w14:textId="364E6A57">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WMCA (2024). </w:t>
      </w:r>
      <w:r w:rsidRPr="39404EB8" w:rsidR="0FD71C32">
        <w:rPr>
          <w:rFonts w:ascii="Arial" w:hAnsi="Arial" w:eastAsia="Arial" w:cs="Arial"/>
          <w:i w:val="1"/>
          <w:iCs w:val="1"/>
          <w:noProof w:val="0"/>
          <w:sz w:val="24"/>
          <w:szCs w:val="24"/>
          <w:lang w:val="en-GB"/>
        </w:rPr>
        <w:t>Employment and skills strategy 2024 - 2027</w:t>
      </w:r>
      <w:r w:rsidRPr="39404EB8" w:rsidR="0FD71C32">
        <w:rPr>
          <w:rFonts w:ascii="Arial" w:hAnsi="Arial" w:eastAsia="Arial" w:cs="Arial"/>
          <w:noProof w:val="0"/>
          <w:sz w:val="24"/>
          <w:szCs w:val="24"/>
          <w:lang w:val="en-GB"/>
        </w:rPr>
        <w:t xml:space="preserve">.  </w:t>
      </w:r>
      <w:r w:rsidRPr="39404EB8" w:rsidR="0FD71C32">
        <w:rPr>
          <w:rFonts w:ascii="Arial" w:hAnsi="Arial" w:eastAsia="Arial" w:cs="Arial"/>
          <w:noProof w:val="0"/>
          <w:sz w:val="24"/>
          <w:szCs w:val="24"/>
          <w:lang w:val="en-GB"/>
        </w:rPr>
        <w:t xml:space="preserve">Available at: </w:t>
      </w:r>
      <w:hyperlink r:id="Rd3aa0b2c07a94b0c">
        <w:r w:rsidRPr="39404EB8" w:rsidR="0FD71C32">
          <w:rPr>
            <w:rStyle w:val="Hyperlink"/>
            <w:noProof w:val="0"/>
            <w:lang w:val="en-GB"/>
          </w:rPr>
          <w:t>https://www.wmca.org.uk/documents/productivity-skills/employment-and-skills-strategy-2024-2027/employment-and-skills-strategy-2024-2027/</w:t>
        </w:r>
      </w:hyperlink>
      <w:r w:rsidRPr="39404EB8" w:rsidR="0FD71C32">
        <w:rPr>
          <w:rFonts w:ascii="Arial" w:hAnsi="Arial" w:eastAsia="Arial" w:cs="Arial"/>
          <w:noProof w:val="0"/>
          <w:sz w:val="24"/>
          <w:szCs w:val="24"/>
          <w:lang w:val="en-GB"/>
        </w:rPr>
        <w:t xml:space="preserve"> </w:t>
      </w:r>
      <w:r w:rsidRPr="39404EB8" w:rsidR="291092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27 September 2026).</w:t>
      </w:r>
    </w:p>
    <w:p w:rsidR="0FD71C32" w:rsidP="39404EB8" w:rsidRDefault="0FD71C32" w14:paraId="7AE5851C" w14:textId="4D96818D">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WMCA. (2025). </w:t>
      </w:r>
      <w:r w:rsidRPr="39404EB8" w:rsidR="0FD71C32">
        <w:rPr>
          <w:rFonts w:ascii="Arial" w:hAnsi="Arial" w:eastAsia="Arial" w:cs="Arial"/>
          <w:i w:val="1"/>
          <w:iCs w:val="1"/>
          <w:noProof w:val="0"/>
          <w:sz w:val="24"/>
          <w:szCs w:val="24"/>
          <w:lang w:val="en-GB"/>
        </w:rPr>
        <w:t>WMCA Board approves £1.2bn budget to drive growth, jobs, housing and better transport</w:t>
      </w:r>
      <w:r w:rsidRPr="39404EB8" w:rsidR="0FD71C32">
        <w:rPr>
          <w:rFonts w:ascii="Arial" w:hAnsi="Arial" w:eastAsia="Arial" w:cs="Arial"/>
          <w:noProof w:val="0"/>
          <w:sz w:val="24"/>
          <w:szCs w:val="24"/>
          <w:lang w:val="en-GB"/>
        </w:rPr>
        <w:t xml:space="preserve">. Available at: </w:t>
      </w:r>
      <w:hyperlink r:id="Rbeccc61d5274442a">
        <w:r w:rsidRPr="39404EB8" w:rsidR="0FD71C32">
          <w:rPr>
            <w:rStyle w:val="Hyperlink"/>
            <w:noProof w:val="0"/>
            <w:lang w:val="en-GB"/>
          </w:rPr>
          <w:t>https://www.wmca.org.uk/news/wmca-board-approves-1-2bn-budget-to-drive-growth-jobs-housing-and-better-transport/</w:t>
        </w:r>
      </w:hyperlink>
      <w:r w:rsidRPr="39404EB8" w:rsidR="0FD71C32">
        <w:rPr>
          <w:rFonts w:ascii="Arial" w:hAnsi="Arial" w:eastAsia="Arial" w:cs="Arial"/>
          <w:noProof w:val="0"/>
          <w:sz w:val="24"/>
          <w:szCs w:val="24"/>
          <w:lang w:val="en-GB"/>
        </w:rPr>
        <w:t xml:space="preserve"> </w:t>
      </w:r>
      <w:r w:rsidRPr="39404EB8" w:rsidR="1AE5DE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0FD71C32" w:rsidP="39404EB8" w:rsidRDefault="0FD71C32" w14:paraId="416C930E" w14:textId="1532CDE0">
      <w:pPr>
        <w:pStyle w:val="Normal"/>
        <w:spacing w:before="0" w:beforeAutospacing="off" w:after="240" w:afterAutospacing="off" w:line="360" w:lineRule="auto"/>
        <w:rPr>
          <w:rFonts w:ascii="Arial" w:hAnsi="Arial" w:eastAsia="Arial" w:cs="Arial"/>
          <w:noProof w:val="0"/>
          <w:sz w:val="24"/>
          <w:szCs w:val="24"/>
          <w:lang w:val="en-GB"/>
        </w:rPr>
      </w:pPr>
      <w:r w:rsidRPr="39404EB8" w:rsidR="0FD71C32">
        <w:rPr>
          <w:rFonts w:ascii="Arial" w:hAnsi="Arial" w:eastAsia="Arial" w:cs="Arial"/>
          <w:noProof w:val="0"/>
          <w:sz w:val="24"/>
          <w:szCs w:val="24"/>
          <w:lang w:val="en-GB"/>
        </w:rPr>
        <w:t xml:space="preserve">World Desk, T. (2026). </w:t>
      </w:r>
      <w:r w:rsidRPr="39404EB8" w:rsidR="0FD71C32">
        <w:rPr>
          <w:rFonts w:ascii="Arial" w:hAnsi="Arial" w:eastAsia="Arial" w:cs="Arial"/>
          <w:i w:val="1"/>
          <w:iCs w:val="1"/>
          <w:noProof w:val="0"/>
          <w:sz w:val="24"/>
          <w:szCs w:val="24"/>
          <w:lang w:val="en-GB"/>
        </w:rPr>
        <w:t>How king Charles III used his navy severance pay to start a youth charity that grew far beyond him</w:t>
      </w:r>
      <w:r w:rsidRPr="39404EB8" w:rsidR="0FD71C32">
        <w:rPr>
          <w:rFonts w:ascii="Arial" w:hAnsi="Arial" w:eastAsia="Arial" w:cs="Arial"/>
          <w:noProof w:val="0"/>
          <w:sz w:val="24"/>
          <w:szCs w:val="24"/>
          <w:lang w:val="en-GB"/>
        </w:rPr>
        <w:t>.</w:t>
      </w:r>
      <w:r w:rsidRPr="39404EB8" w:rsidR="58B38A49">
        <w:rPr>
          <w:rFonts w:ascii="Arial" w:hAnsi="Arial" w:eastAsia="Arial" w:cs="Arial"/>
          <w:noProof w:val="0"/>
          <w:sz w:val="24"/>
          <w:szCs w:val="24"/>
          <w:lang w:val="en-GB"/>
        </w:rPr>
        <w:t xml:space="preserve"> </w:t>
      </w:r>
      <w:r w:rsidRPr="39404EB8" w:rsidR="0FD71C32">
        <w:rPr>
          <w:rFonts w:ascii="Arial" w:hAnsi="Arial" w:eastAsia="Arial" w:cs="Arial"/>
          <w:noProof w:val="0"/>
          <w:sz w:val="24"/>
          <w:szCs w:val="24"/>
          <w:lang w:val="en-GB"/>
        </w:rPr>
        <w:t xml:space="preserve">The Times of India. Available at: </w:t>
      </w:r>
      <w:hyperlink r:id="Rd2995d7a2dc04fc0">
        <w:r w:rsidRPr="39404EB8" w:rsidR="0FD71C32">
          <w:rPr>
            <w:rStyle w:val="Hyperlink"/>
            <w:noProof w:val="0"/>
            <w:lang w:val="en-GB"/>
          </w:rPr>
          <w:t>https://timesofindia.indiatimes.com/world/uk/how-king-charles-iii-used-his-navy-severance-pay-to-start-a-youth-charity-that-grew-far-beyond-him/articleshow/131387929.cms</w:t>
        </w:r>
      </w:hyperlink>
      <w:r w:rsidRPr="39404EB8" w:rsidR="0FD71C32">
        <w:rPr>
          <w:rFonts w:ascii="Arial" w:hAnsi="Arial" w:eastAsia="Arial" w:cs="Arial"/>
          <w:noProof w:val="0"/>
          <w:sz w:val="24"/>
          <w:szCs w:val="24"/>
          <w:lang w:val="en-GB"/>
        </w:rPr>
        <w:t xml:space="preserve"> </w:t>
      </w:r>
      <w:r w:rsidRPr="39404EB8" w:rsidR="29776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25 September 2026).</w:t>
      </w:r>
    </w:p>
    <w:p w:rsidR="39404EB8" w:rsidP="39404EB8" w:rsidRDefault="39404EB8" w14:paraId="0A441D55" w14:textId="06B338A9">
      <w:pPr>
        <w:spacing w:before="240" w:after="240" w:line="360" w:lineRule="auto"/>
      </w:pPr>
    </w:p>
    <w:p w:rsidR="39404EB8" w:rsidP="39404EB8" w:rsidRDefault="39404EB8" w14:paraId="367EA9A8" w14:textId="6F8C96A8">
      <w:pPr>
        <w:spacing w:before="240" w:after="240" w:line="360" w:lineRule="auto"/>
      </w:pPr>
    </w:p>
    <w:p w:rsidR="39404EB8" w:rsidP="39404EB8" w:rsidRDefault="39404EB8" w14:paraId="3F8AF5CC" w14:textId="779425D9">
      <w:pPr>
        <w:spacing w:before="240" w:after="240" w:line="360" w:lineRule="auto"/>
      </w:pPr>
    </w:p>
    <w:p w:rsidR="39404EB8" w:rsidP="39404EB8" w:rsidRDefault="39404EB8" w14:paraId="4FD9ED49" w14:textId="46679B9B">
      <w:pPr>
        <w:spacing w:before="240" w:after="240" w:line="360" w:lineRule="auto"/>
      </w:pPr>
    </w:p>
    <w:p w:rsidR="39404EB8" w:rsidP="39404EB8" w:rsidRDefault="39404EB8" w14:paraId="6067EF1A" w14:textId="3A35C3B5">
      <w:pPr>
        <w:spacing w:before="240" w:after="240" w:line="360" w:lineRule="auto"/>
      </w:pPr>
    </w:p>
    <w:p w:rsidR="39404EB8" w:rsidP="39404EB8" w:rsidRDefault="39404EB8" w14:paraId="4BDC10CD" w14:textId="3524DC61">
      <w:pPr>
        <w:spacing w:before="240" w:after="240" w:line="360" w:lineRule="auto"/>
      </w:pPr>
    </w:p>
    <w:p w:rsidR="0A20BE54" w:rsidP="39404EB8" w:rsidRDefault="0A20BE54" w14:paraId="0DBA72D1" w14:textId="271DA4E3">
      <w:pPr>
        <w:pStyle w:val="Heading1"/>
        <w:rPr>
          <w:rFonts w:ascii="Arial" w:hAnsi="Arial" w:eastAsia="Arial" w:cs="Arial" w:asciiTheme="minorAscii" w:hAnsiTheme="minorAscii" w:eastAsiaTheme="minorAscii" w:cstheme="minorAscii"/>
          <w:noProof w:val="0"/>
          <w:sz w:val="28"/>
          <w:szCs w:val="28"/>
          <w:lang w:val="en-GB"/>
        </w:rPr>
      </w:pPr>
      <w:bookmarkStart w:name="_Toc782033519" w:id="1877944544"/>
      <w:r w:rsidRPr="39404EB8" w:rsidR="0A20BE54">
        <w:rPr>
          <w:rFonts w:ascii="Arial" w:hAnsi="Arial" w:eastAsia="Arial" w:cs="Arial" w:asciiTheme="minorAscii" w:hAnsiTheme="minorAscii" w:eastAsiaTheme="minorAscii" w:cstheme="minorAscii"/>
          <w:noProof w:val="0"/>
          <w:sz w:val="28"/>
          <w:szCs w:val="28"/>
          <w:lang w:val="en-GB"/>
        </w:rPr>
        <w:t>Appendix</w:t>
      </w:r>
      <w:bookmarkEnd w:id="1877944544"/>
      <w:r w:rsidRPr="39404EB8" w:rsidR="0A20BE54">
        <w:rPr>
          <w:rFonts w:ascii="Arial" w:hAnsi="Arial" w:eastAsia="Arial" w:cs="Arial" w:asciiTheme="minorAscii" w:hAnsiTheme="minorAscii" w:eastAsiaTheme="minorAscii" w:cstheme="minorAscii"/>
          <w:noProof w:val="0"/>
          <w:sz w:val="28"/>
          <w:szCs w:val="28"/>
          <w:lang w:val="en-GB"/>
        </w:rPr>
        <w:t xml:space="preserve"> </w:t>
      </w:r>
    </w:p>
    <w:p w:rsidR="38A37E75" w:rsidP="39404EB8" w:rsidRDefault="38A37E75" w14:paraId="36BC97D2" w14:textId="646B38FB">
      <w:pPr>
        <w:pStyle w:val="Normal"/>
        <w:spacing w:before="240" w:after="240" w:line="360" w:lineRule="auto"/>
      </w:pPr>
      <w:r w:rsidRPr="39404EB8" w:rsidR="38A37E75">
        <w:rPr>
          <w:rFonts w:ascii="Arial" w:hAnsi="Arial" w:eastAsia="Arial" w:cs="Arial"/>
          <w:b w:val="1"/>
          <w:bCs w:val="1"/>
          <w:noProof w:val="0"/>
          <w:sz w:val="24"/>
          <w:szCs w:val="24"/>
          <w:lang w:val="en-GB"/>
        </w:rPr>
        <w:t>Appendix A</w:t>
      </w:r>
      <w:r w:rsidRPr="39404EB8" w:rsidR="38A37E75">
        <w:rPr>
          <w:b w:val="1"/>
          <w:bCs w:val="1"/>
        </w:rPr>
        <w:t xml:space="preserve"> </w:t>
      </w:r>
    </w:p>
    <w:p w:rsidR="38A37E75" w:rsidP="39404EB8" w:rsidRDefault="38A37E75" w14:paraId="5108CC76" w14:textId="345C4A90">
      <w:pPr>
        <w:spacing w:before="240" w:after="240" w:line="360" w:lineRule="auto"/>
      </w:pPr>
      <w:r w:rsidRPr="39404EB8" w:rsidR="38A37E75">
        <w:rPr>
          <w:b w:val="1"/>
          <w:bCs w:val="1"/>
        </w:rPr>
        <w:t>Table 1.</w:t>
      </w:r>
      <w:r w:rsidR="38A37E75">
        <w:rPr/>
        <w:t xml:space="preserve"> Claimant rates for people aged 18–24, August 2026.</w:t>
      </w:r>
    </w:p>
    <w:tbl>
      <w:tblPr>
        <w:tblStyle w:val="TableGrid"/>
        <w:tblW w:w="0" w:type="auto"/>
        <w:tblLook w:val="06A0" w:firstRow="1" w:lastRow="0" w:firstColumn="1" w:lastColumn="0" w:noHBand="1" w:noVBand="1"/>
      </w:tblPr>
      <w:tblGrid>
        <w:gridCol w:w="4675"/>
        <w:gridCol w:w="4675"/>
      </w:tblGrid>
      <w:tr w:rsidR="39404EB8" w:rsidTr="39404EB8" w14:paraId="05A0B625">
        <w:trPr>
          <w:trHeight w:val="300"/>
        </w:trPr>
        <w:tc>
          <w:tcPr>
            <w:tcW w:w="4675" w:type="dxa"/>
            <w:tcMar/>
          </w:tcPr>
          <w:p w:rsidR="39404EB8" w:rsidP="39404EB8" w:rsidRDefault="39404EB8" w14:paraId="59E2E632" w14:textId="61E6DAC7">
            <w:pPr>
              <w:spacing w:line="360" w:lineRule="auto"/>
              <w:jc w:val="center"/>
            </w:pPr>
            <w:r w:rsidR="39404EB8">
              <w:rPr/>
              <w:t>Area</w:t>
            </w:r>
          </w:p>
        </w:tc>
        <w:tc>
          <w:tcPr>
            <w:tcW w:w="4675" w:type="dxa"/>
            <w:tcMar/>
          </w:tcPr>
          <w:p w:rsidR="39404EB8" w:rsidP="39404EB8" w:rsidRDefault="39404EB8" w14:paraId="521CF481" w14:textId="3B47D765">
            <w:pPr>
              <w:spacing w:line="360" w:lineRule="auto"/>
              <w:jc w:val="center"/>
            </w:pPr>
            <w:r w:rsidR="39404EB8">
              <w:rPr/>
              <w:t>Claimant rate</w:t>
            </w:r>
          </w:p>
        </w:tc>
      </w:tr>
      <w:tr w:rsidR="39404EB8" w:rsidTr="39404EB8" w14:paraId="44354013">
        <w:trPr>
          <w:trHeight w:val="300"/>
        </w:trPr>
        <w:tc>
          <w:tcPr>
            <w:tcW w:w="4675" w:type="dxa"/>
            <w:tcMar/>
          </w:tcPr>
          <w:p w:rsidR="39404EB8" w:rsidP="39404EB8" w:rsidRDefault="39404EB8" w14:paraId="3E68B606" w14:textId="0EC8BB0D">
            <w:pPr>
              <w:spacing w:line="360" w:lineRule="auto"/>
            </w:pPr>
            <w:r w:rsidR="39404EB8">
              <w:rPr/>
              <w:t>Birmingham</w:t>
            </w:r>
          </w:p>
        </w:tc>
        <w:tc>
          <w:tcPr>
            <w:tcW w:w="4675" w:type="dxa"/>
            <w:tcMar/>
          </w:tcPr>
          <w:p w:rsidR="39404EB8" w:rsidP="39404EB8" w:rsidRDefault="39404EB8" w14:paraId="271CFC3E" w14:textId="3457C42D">
            <w:pPr>
              <w:spacing w:line="360" w:lineRule="auto"/>
            </w:pPr>
            <w:r w:rsidR="39404EB8">
              <w:rPr/>
              <w:t>11.4%</w:t>
            </w:r>
          </w:p>
        </w:tc>
      </w:tr>
      <w:tr w:rsidR="39404EB8" w:rsidTr="39404EB8" w14:paraId="4B85F10B">
        <w:trPr>
          <w:trHeight w:val="300"/>
        </w:trPr>
        <w:tc>
          <w:tcPr>
            <w:tcW w:w="4675" w:type="dxa"/>
            <w:tcMar/>
          </w:tcPr>
          <w:p w:rsidR="39404EB8" w:rsidP="39404EB8" w:rsidRDefault="39404EB8" w14:paraId="3F11D4F0" w14:textId="0471BA1E">
            <w:pPr>
              <w:spacing w:line="360" w:lineRule="auto"/>
            </w:pPr>
            <w:r w:rsidR="39404EB8">
              <w:rPr/>
              <w:t>West Midlands region</w:t>
            </w:r>
          </w:p>
        </w:tc>
        <w:tc>
          <w:tcPr>
            <w:tcW w:w="4675" w:type="dxa"/>
            <w:tcMar/>
          </w:tcPr>
          <w:p w:rsidR="39404EB8" w:rsidP="39404EB8" w:rsidRDefault="39404EB8" w14:paraId="35F69685" w14:textId="5CCFA340">
            <w:pPr>
              <w:spacing w:line="360" w:lineRule="auto"/>
            </w:pPr>
            <w:r w:rsidR="39404EB8">
              <w:rPr/>
              <w:t>8.4%</w:t>
            </w:r>
          </w:p>
          <w:p w:rsidR="39404EB8" w:rsidP="39404EB8" w:rsidRDefault="39404EB8" w14:paraId="42B81097" w14:textId="1A766FFD">
            <w:pPr>
              <w:rPr>
                <w:i w:val="1"/>
                <w:iCs w:val="1"/>
              </w:rPr>
            </w:pPr>
          </w:p>
        </w:tc>
      </w:tr>
      <w:tr w:rsidR="39404EB8" w:rsidTr="39404EB8" w14:paraId="03E2205C">
        <w:trPr>
          <w:trHeight w:val="300"/>
        </w:trPr>
        <w:tc>
          <w:tcPr>
            <w:tcW w:w="4675" w:type="dxa"/>
            <w:tcMar/>
          </w:tcPr>
          <w:p w:rsidR="39404EB8" w:rsidP="39404EB8" w:rsidRDefault="39404EB8" w14:paraId="684C0E2D" w14:textId="098E490D">
            <w:pPr>
              <w:spacing w:line="360" w:lineRule="auto"/>
            </w:pPr>
            <w:r w:rsidR="39404EB8">
              <w:rPr/>
              <w:t>Great Britain</w:t>
            </w:r>
          </w:p>
        </w:tc>
        <w:tc>
          <w:tcPr>
            <w:tcW w:w="4675" w:type="dxa"/>
            <w:tcMar/>
          </w:tcPr>
          <w:p w:rsidR="39404EB8" w:rsidP="39404EB8" w:rsidRDefault="39404EB8" w14:paraId="53B2DDB7" w14:textId="13B2EDAE">
            <w:pPr>
              <w:spacing w:line="360" w:lineRule="auto"/>
            </w:pPr>
            <w:r w:rsidR="39404EB8">
              <w:rPr/>
              <w:t>5.9%</w:t>
            </w:r>
          </w:p>
        </w:tc>
      </w:tr>
    </w:tbl>
    <w:p w:rsidR="38A37E75" w:rsidP="39404EB8" w:rsidRDefault="38A37E75" w14:paraId="7DC1BF37" w14:textId="22291D59">
      <w:pPr>
        <w:pStyle w:val="Normal"/>
        <w:spacing w:before="240" w:after="240" w:line="360" w:lineRule="auto"/>
      </w:pPr>
      <w:r w:rsidR="38A37E75">
        <w:rPr/>
        <w:t>(ONS/Nomis, 2026).</w:t>
      </w:r>
    </w:p>
    <w:p w:rsidR="38A37E75" w:rsidP="39404EB8" w:rsidRDefault="38A37E75" w14:paraId="578531D9" w14:textId="0A26A9AC">
      <w:pPr>
        <w:pStyle w:val="Normal"/>
        <w:spacing w:before="240" w:after="240" w:line="360" w:lineRule="auto"/>
      </w:pPr>
      <w:r w:rsidRPr="39404EB8" w:rsidR="38A37E75">
        <w:rPr>
          <w:rFonts w:ascii="Arial" w:hAnsi="Arial" w:eastAsia="Arial" w:cs="Arial"/>
          <w:b w:val="1"/>
          <w:bCs w:val="1"/>
          <w:noProof w:val="0"/>
          <w:sz w:val="24"/>
          <w:szCs w:val="24"/>
          <w:lang w:val="en-GB"/>
        </w:rPr>
        <w:t>Appendix B</w:t>
      </w:r>
    </w:p>
    <w:p w:rsidR="74E99082" w:rsidP="39404EB8" w:rsidRDefault="74E99082" w14:paraId="0F0335A1" w14:textId="5612391C">
      <w:pPr>
        <w:pStyle w:val="Normal"/>
        <w:spacing w:before="240" w:after="240" w:line="360" w:lineRule="auto"/>
      </w:pPr>
      <w:r w:rsidRPr="39404EB8" w:rsidR="74E99082">
        <w:rPr>
          <w:b w:val="1"/>
          <w:bCs w:val="1"/>
        </w:rPr>
        <w:t>Table 2.</w:t>
      </w:r>
      <w:r w:rsidR="74E99082">
        <w:rPr/>
        <w:t xml:space="preserve"> </w:t>
      </w:r>
      <w:r w:rsidRPr="39404EB8" w:rsidR="74E99082">
        <w:rPr>
          <w:rFonts w:ascii="Arial" w:hAnsi="Arial" w:eastAsia="Arial" w:cs="Arial"/>
          <w:noProof w:val="0"/>
          <w:sz w:val="24"/>
          <w:szCs w:val="24"/>
          <w:lang w:val="en-GB"/>
        </w:rPr>
        <w:t>Stakeholder groups and proposed research questions.</w:t>
      </w:r>
    </w:p>
    <w:tbl>
      <w:tblPr>
        <w:tblStyle w:val="TableGrid"/>
        <w:tblW w:w="0" w:type="auto"/>
        <w:tblLook w:val="06A0" w:firstRow="1" w:lastRow="0" w:firstColumn="1" w:lastColumn="0" w:noHBand="1" w:noVBand="1"/>
      </w:tblPr>
      <w:tblGrid>
        <w:gridCol w:w="4675"/>
        <w:gridCol w:w="4675"/>
      </w:tblGrid>
      <w:tr w:rsidR="39404EB8" w:rsidTr="39404EB8" w14:paraId="2A446AC3">
        <w:trPr>
          <w:trHeight w:val="300"/>
        </w:trPr>
        <w:tc>
          <w:tcPr>
            <w:tcW w:w="4675" w:type="dxa"/>
            <w:tcMar/>
          </w:tcPr>
          <w:p w:rsidR="39404EB8" w:rsidP="39404EB8" w:rsidRDefault="39404EB8" w14:paraId="61BF8395" w14:textId="37B40C0D">
            <w:pPr>
              <w:spacing w:line="360" w:lineRule="auto"/>
              <w:jc w:val="center"/>
            </w:pPr>
            <w:r w:rsidR="39404EB8">
              <w:rPr/>
              <w:t>Stakeholder</w:t>
            </w:r>
          </w:p>
        </w:tc>
        <w:tc>
          <w:tcPr>
            <w:tcW w:w="4675" w:type="dxa"/>
            <w:tcMar/>
          </w:tcPr>
          <w:p w:rsidR="39404EB8" w:rsidP="39404EB8" w:rsidRDefault="39404EB8" w14:paraId="5F257542" w14:textId="2E3B2BF2">
            <w:pPr>
              <w:spacing w:line="360" w:lineRule="auto"/>
              <w:jc w:val="center"/>
            </w:pPr>
            <w:r w:rsidR="39404EB8">
              <w:rPr/>
              <w:t>Issues to examine</w:t>
            </w:r>
          </w:p>
        </w:tc>
      </w:tr>
      <w:tr w:rsidR="39404EB8" w:rsidTr="39404EB8" w14:paraId="121CF851">
        <w:trPr>
          <w:trHeight w:val="300"/>
        </w:trPr>
        <w:tc>
          <w:tcPr>
            <w:tcW w:w="4675" w:type="dxa"/>
            <w:tcMar/>
          </w:tcPr>
          <w:p w:rsidR="39404EB8" w:rsidP="39404EB8" w:rsidRDefault="39404EB8" w14:paraId="6735BAEC" w14:textId="5194092D">
            <w:pPr>
              <w:spacing w:line="360" w:lineRule="auto"/>
            </w:pPr>
            <w:r w:rsidR="39404EB8">
              <w:rPr/>
              <w:t>Young people</w:t>
            </w:r>
          </w:p>
        </w:tc>
        <w:tc>
          <w:tcPr>
            <w:tcW w:w="4675" w:type="dxa"/>
            <w:tcMar/>
          </w:tcPr>
          <w:p w:rsidR="39404EB8" w:rsidP="39404EB8" w:rsidRDefault="39404EB8" w14:paraId="5404A510" w14:textId="1907FF36">
            <w:pPr>
              <w:spacing w:line="360" w:lineRule="auto"/>
            </w:pPr>
            <w:r w:rsidR="39404EB8">
              <w:rPr/>
              <w:t xml:space="preserve">Accessibility, support needs, participation </w:t>
            </w:r>
            <w:r w:rsidR="39404EB8">
              <w:rPr/>
              <w:t>barriers</w:t>
            </w:r>
            <w:r w:rsidR="39404EB8">
              <w:rPr/>
              <w:t xml:space="preserve"> and progression opportunities</w:t>
            </w:r>
            <w:r w:rsidR="39404EB8">
              <w:rPr/>
              <w:t>.</w:t>
            </w:r>
          </w:p>
        </w:tc>
      </w:tr>
      <w:tr w:rsidR="39404EB8" w:rsidTr="39404EB8" w14:paraId="75E475D9">
        <w:trPr>
          <w:trHeight w:val="300"/>
        </w:trPr>
        <w:tc>
          <w:tcPr>
            <w:tcW w:w="4675" w:type="dxa"/>
            <w:tcMar/>
          </w:tcPr>
          <w:p w:rsidR="39404EB8" w:rsidP="39404EB8" w:rsidRDefault="39404EB8" w14:paraId="5FB414E7" w14:textId="45D45BDB">
            <w:pPr>
              <w:spacing w:line="360" w:lineRule="auto"/>
            </w:pPr>
            <w:r w:rsidR="39404EB8">
              <w:rPr/>
              <w:t>Employers</w:t>
            </w:r>
          </w:p>
        </w:tc>
        <w:tc>
          <w:tcPr>
            <w:tcW w:w="4675" w:type="dxa"/>
            <w:tcMar/>
          </w:tcPr>
          <w:p w:rsidR="39404EB8" w:rsidP="39404EB8" w:rsidRDefault="39404EB8" w14:paraId="41DE3891" w14:textId="49AA1CEE">
            <w:pPr>
              <w:spacing w:line="360" w:lineRule="auto"/>
            </w:pPr>
            <w:r w:rsidR="39404EB8">
              <w:rPr/>
              <w:t xml:space="preserve">Entry-level skills requirements, recruitment </w:t>
            </w:r>
            <w:r w:rsidR="39404EB8">
              <w:rPr/>
              <w:t>needs</w:t>
            </w:r>
            <w:r w:rsidR="39404EB8">
              <w:rPr/>
              <w:t xml:space="preserve"> and capacity to support activities or placements</w:t>
            </w:r>
            <w:r w:rsidR="39404EB8">
              <w:rPr/>
              <w:t>.</w:t>
            </w:r>
          </w:p>
        </w:tc>
      </w:tr>
      <w:tr w:rsidR="39404EB8" w:rsidTr="39404EB8" w14:paraId="2C6CACFB">
        <w:trPr>
          <w:trHeight w:val="300"/>
        </w:trPr>
        <w:tc>
          <w:tcPr>
            <w:tcW w:w="4675" w:type="dxa"/>
            <w:tcMar/>
          </w:tcPr>
          <w:p w:rsidR="39404EB8" w:rsidRDefault="39404EB8" w14:paraId="6E147327" w14:textId="2DEC0061">
            <w:r w:rsidR="39404EB8">
              <w:rPr/>
              <w:t>Referral organisations</w:t>
            </w:r>
          </w:p>
        </w:tc>
        <w:tc>
          <w:tcPr>
            <w:tcW w:w="4675" w:type="dxa"/>
            <w:tcMar/>
          </w:tcPr>
          <w:p w:rsidR="39404EB8" w:rsidP="39404EB8" w:rsidRDefault="39404EB8" w14:paraId="79F95006" w14:textId="54256CBE">
            <w:pPr>
              <w:spacing w:line="360" w:lineRule="auto"/>
            </w:pPr>
            <w:r w:rsidR="39404EB8">
              <w:rPr/>
              <w:t>Eligibility, referral processes and continuity between services.</w:t>
            </w:r>
          </w:p>
        </w:tc>
      </w:tr>
      <w:tr w:rsidR="39404EB8" w:rsidTr="39404EB8" w14:paraId="2C807AEF">
        <w:trPr>
          <w:trHeight w:val="300"/>
        </w:trPr>
        <w:tc>
          <w:tcPr>
            <w:tcW w:w="4675" w:type="dxa"/>
            <w:tcMar/>
          </w:tcPr>
          <w:p w:rsidR="39404EB8" w:rsidP="39404EB8" w:rsidRDefault="39404EB8" w14:paraId="7F742CD3" w14:textId="03440FD0">
            <w:pPr>
              <w:spacing w:line="360" w:lineRule="auto"/>
            </w:pPr>
            <w:r w:rsidR="39404EB8">
              <w:rPr/>
              <w:t>Funders</w:t>
            </w:r>
          </w:p>
        </w:tc>
        <w:tc>
          <w:tcPr>
            <w:tcW w:w="4675" w:type="dxa"/>
            <w:tcMar/>
          </w:tcPr>
          <w:p w:rsidR="39404EB8" w:rsidP="39404EB8" w:rsidRDefault="39404EB8" w14:paraId="4953DA6A" w14:textId="2DCE345B">
            <w:pPr>
              <w:spacing w:line="360" w:lineRule="auto"/>
            </w:pPr>
            <w:r w:rsidR="39404EB8">
              <w:rPr/>
              <w:t>Strategic fit, delivery costs, measurable outcomes and sustainability requirements.</w:t>
            </w:r>
          </w:p>
        </w:tc>
      </w:tr>
    </w:tbl>
    <w:p w:rsidR="74E99082" w:rsidP="39404EB8" w:rsidRDefault="74E99082" w14:paraId="34ABE910" w14:textId="3A62D80C">
      <w:pPr>
        <w:pStyle w:val="Normal"/>
        <w:spacing w:before="240" w:after="240" w:line="360" w:lineRule="auto"/>
      </w:pPr>
      <w:r w:rsidRPr="39404EB8" w:rsidR="74E99082">
        <w:rPr>
          <w:rFonts w:ascii="Arial" w:hAnsi="Arial" w:eastAsia="Arial" w:cs="Arial"/>
          <w:noProof w:val="0"/>
          <w:sz w:val="24"/>
          <w:szCs w:val="24"/>
          <w:lang w:val="en-GB"/>
        </w:rPr>
        <w:t>McQuaid and Lindsay (2005), The King’s Trust (2025b</w:t>
      </w:r>
      <w:r w:rsidRPr="39404EB8" w:rsidR="74E99082">
        <w:rPr>
          <w:rFonts w:ascii="Arial" w:hAnsi="Arial" w:eastAsia="Arial" w:cs="Arial"/>
          <w:noProof w:val="0"/>
          <w:sz w:val="24"/>
          <w:szCs w:val="24"/>
          <w:lang w:val="en-GB"/>
        </w:rPr>
        <w:t>)</w:t>
      </w:r>
      <w:r w:rsidRPr="39404EB8" w:rsidR="74E99082">
        <w:rPr>
          <w:rFonts w:ascii="Arial" w:hAnsi="Arial" w:eastAsia="Arial" w:cs="Arial"/>
          <w:noProof w:val="0"/>
          <w:sz w:val="24"/>
          <w:szCs w:val="24"/>
          <w:lang w:val="en-GB"/>
        </w:rPr>
        <w:t xml:space="preserve"> and HM Treasury (2026).</w:t>
      </w:r>
    </w:p>
    <w:p w:rsidR="38A37E75" w:rsidP="39404EB8" w:rsidRDefault="38A37E75" w14:paraId="6E0014B6" w14:textId="1C93EB59">
      <w:pPr>
        <w:pStyle w:val="Normal"/>
        <w:spacing w:before="240" w:after="240" w:line="360" w:lineRule="auto"/>
      </w:pPr>
      <w:r w:rsidRPr="39404EB8" w:rsidR="38A37E75">
        <w:rPr>
          <w:rFonts w:ascii="Arial" w:hAnsi="Arial" w:eastAsia="Arial" w:cs="Arial"/>
          <w:b w:val="1"/>
          <w:bCs w:val="1"/>
          <w:noProof w:val="0"/>
          <w:sz w:val="24"/>
          <w:szCs w:val="24"/>
          <w:lang w:val="en-GB"/>
        </w:rPr>
        <w:t>Appendix C</w:t>
      </w:r>
    </w:p>
    <w:p w:rsidR="0C04BA31" w:rsidP="39404EB8" w:rsidRDefault="0C04BA31" w14:paraId="7A5A65CD" w14:textId="5299F0D8">
      <w:pPr>
        <w:spacing w:before="240" w:after="240" w:line="360" w:lineRule="auto"/>
        <w:rPr>
          <w:b w:val="1"/>
          <w:bCs w:val="1"/>
        </w:rPr>
      </w:pPr>
      <w:r w:rsidRPr="39404EB8" w:rsidR="0C04BA31">
        <w:rPr>
          <w:b w:val="1"/>
          <w:bCs w:val="1"/>
        </w:rPr>
        <w:t>Table 3. Initial research and proposed delivery risk assessment.</w:t>
      </w:r>
    </w:p>
    <w:tbl>
      <w:tblPr>
        <w:tblStyle w:val="TableGrid"/>
        <w:tblW w:w="0" w:type="auto"/>
        <w:tblLook w:val="06A0" w:firstRow="1" w:lastRow="0" w:firstColumn="1" w:lastColumn="0" w:noHBand="1" w:noVBand="1"/>
      </w:tblPr>
      <w:tblGrid>
        <w:gridCol w:w="3116"/>
        <w:gridCol w:w="3117"/>
        <w:gridCol w:w="3117"/>
      </w:tblGrid>
      <w:tr w:rsidR="39404EB8" w:rsidTr="39404EB8" w14:paraId="68980075">
        <w:trPr>
          <w:trHeight w:val="300"/>
        </w:trPr>
        <w:tc>
          <w:tcPr>
            <w:tcW w:w="3116" w:type="dxa"/>
            <w:tcMar/>
          </w:tcPr>
          <w:p w:rsidR="39404EB8" w:rsidP="39404EB8" w:rsidRDefault="39404EB8" w14:paraId="29C91913" w14:textId="24C2188B">
            <w:pPr>
              <w:jc w:val="center"/>
            </w:pPr>
            <w:r w:rsidRPr="39404EB8" w:rsidR="39404EB8">
              <w:rPr>
                <w:b w:val="1"/>
                <w:bCs w:val="1"/>
              </w:rPr>
              <w:t>Risk area</w:t>
            </w:r>
          </w:p>
        </w:tc>
        <w:tc>
          <w:tcPr>
            <w:tcW w:w="3117" w:type="dxa"/>
            <w:tcMar/>
          </w:tcPr>
          <w:p w:rsidR="39404EB8" w:rsidP="39404EB8" w:rsidRDefault="39404EB8" w14:paraId="1D35A3DF" w14:textId="69D89BCA">
            <w:pPr>
              <w:jc w:val="center"/>
            </w:pPr>
            <w:r w:rsidRPr="39404EB8" w:rsidR="39404EB8">
              <w:rPr>
                <w:b w:val="1"/>
                <w:bCs w:val="1"/>
              </w:rPr>
              <w:t>Potential risk</w:t>
            </w:r>
          </w:p>
        </w:tc>
        <w:tc>
          <w:tcPr>
            <w:tcW w:w="3117" w:type="dxa"/>
            <w:tcMar/>
          </w:tcPr>
          <w:p w:rsidR="39404EB8" w:rsidP="39404EB8" w:rsidRDefault="39404EB8" w14:paraId="46168C52" w14:textId="502E3A69">
            <w:pPr>
              <w:jc w:val="center"/>
            </w:pPr>
            <w:r w:rsidRPr="39404EB8" w:rsidR="39404EB8">
              <w:rPr>
                <w:b w:val="1"/>
                <w:bCs w:val="1"/>
              </w:rPr>
              <w:t>Proposed response</w:t>
            </w:r>
          </w:p>
        </w:tc>
      </w:tr>
      <w:tr w:rsidR="39404EB8" w:rsidTr="39404EB8" w14:paraId="0CAFED0A">
        <w:trPr>
          <w:trHeight w:val="300"/>
        </w:trPr>
        <w:tc>
          <w:tcPr>
            <w:tcW w:w="3116" w:type="dxa"/>
            <w:tcMar/>
          </w:tcPr>
          <w:p w:rsidR="39404EB8" w:rsidRDefault="39404EB8" w14:paraId="0ADFB405" w14:textId="43AEC13C">
            <w:r w:rsidRPr="39404EB8" w:rsidR="39404EB8">
              <w:rPr>
                <w:rFonts w:ascii="Arial" w:hAnsi="Arial" w:eastAsia="Arial" w:cs="Arial"/>
              </w:rPr>
              <w:t>Researcher workload</w:t>
            </w:r>
            <w:r w:rsidRPr="39404EB8" w:rsidR="39404EB8">
              <w:rPr>
                <w:rFonts w:ascii="Arial" w:hAnsi="Arial" w:eastAsia="Arial" w:cs="Arial"/>
              </w:rPr>
              <w:t xml:space="preserve"> and wellbeing</w:t>
            </w:r>
          </w:p>
        </w:tc>
        <w:tc>
          <w:tcPr>
            <w:tcW w:w="3117" w:type="dxa"/>
            <w:tcMar/>
          </w:tcPr>
          <w:p w:rsidR="39404EB8" w:rsidRDefault="39404EB8" w14:paraId="70EDE459" w14:textId="5BA18C1E">
            <w:r w:rsidR="39404EB8">
              <w:rPr/>
              <w:t>Excessive scope or emotionally demanding material.</w:t>
            </w:r>
          </w:p>
        </w:tc>
        <w:tc>
          <w:tcPr>
            <w:tcW w:w="3117" w:type="dxa"/>
            <w:tcMar/>
          </w:tcPr>
          <w:p w:rsidR="39404EB8" w:rsidRDefault="39404EB8" w14:paraId="272B0FF7" w14:textId="17894661">
            <w:r w:rsidR="39404EB8">
              <w:rPr/>
              <w:t>Focus on Birmingham and ages 18–24; use milestones, breaks and supervision.</w:t>
            </w:r>
          </w:p>
        </w:tc>
      </w:tr>
      <w:tr w:rsidR="39404EB8" w:rsidTr="39404EB8" w14:paraId="2DAF6E4E">
        <w:trPr>
          <w:trHeight w:val="300"/>
        </w:trPr>
        <w:tc>
          <w:tcPr>
            <w:tcW w:w="3116" w:type="dxa"/>
            <w:tcMar/>
          </w:tcPr>
          <w:p w:rsidR="39404EB8" w:rsidRDefault="39404EB8" w14:paraId="7EEF296C" w14:textId="770E7779">
            <w:r w:rsidR="39404EB8">
              <w:rPr/>
              <w:t>Research ethics</w:t>
            </w:r>
          </w:p>
        </w:tc>
        <w:tc>
          <w:tcPr>
            <w:tcW w:w="3117" w:type="dxa"/>
            <w:tcMar/>
          </w:tcPr>
          <w:p w:rsidR="39404EB8" w:rsidRDefault="39404EB8" w14:paraId="400900D8" w14:textId="7BDFAE2E">
            <w:r w:rsidR="39404EB8">
              <w:rPr/>
              <w:t>Sensitive information in published sources.</w:t>
            </w:r>
          </w:p>
        </w:tc>
        <w:tc>
          <w:tcPr>
            <w:tcW w:w="3117" w:type="dxa"/>
            <w:tcMar/>
          </w:tcPr>
          <w:p w:rsidR="39404EB8" w:rsidP="39404EB8" w:rsidRDefault="39404EB8" w14:paraId="159776BE" w14:textId="63C5748E">
            <w:pPr>
              <w:pStyle w:val="Normal"/>
            </w:pPr>
            <w:r w:rsidR="39404EB8">
              <w:rPr/>
              <w:t>Avoid unnecessary personal details and follow university guidance</w:t>
            </w:r>
            <w:r w:rsidR="39404EB8">
              <w:rPr/>
              <w:t xml:space="preserve"> </w:t>
            </w:r>
            <w:r w:rsidRPr="39404EB8" w:rsidR="39404EB8">
              <w:rPr>
                <w:rFonts w:ascii="Arial" w:hAnsi="Arial" w:eastAsia="Arial" w:cs="Arial"/>
                <w:noProof w:val="0"/>
                <w:sz w:val="24"/>
                <w:szCs w:val="24"/>
                <w:lang w:val="en-GB"/>
              </w:rPr>
              <w:t>BERA, (</w:t>
            </w:r>
            <w:r w:rsidRPr="39404EB8" w:rsidR="39404EB8">
              <w:rPr>
                <w:rFonts w:ascii="Arial" w:hAnsi="Arial" w:eastAsia="Arial" w:cs="Arial"/>
                <w:noProof w:val="0"/>
                <w:sz w:val="24"/>
                <w:szCs w:val="24"/>
                <w:lang w:val="en-GB"/>
              </w:rPr>
              <w:t>2024).</w:t>
            </w:r>
          </w:p>
        </w:tc>
      </w:tr>
      <w:tr w:rsidR="39404EB8" w:rsidTr="39404EB8" w14:paraId="18572660">
        <w:trPr>
          <w:trHeight w:val="300"/>
        </w:trPr>
        <w:tc>
          <w:tcPr>
            <w:tcW w:w="3116" w:type="dxa"/>
            <w:tcMar/>
          </w:tcPr>
          <w:p w:rsidR="39404EB8" w:rsidRDefault="39404EB8" w14:paraId="271569D4" w14:textId="7CAF90AA">
            <w:r w:rsidR="39404EB8">
              <w:rPr/>
              <w:t>Evidence quality and availability</w:t>
            </w:r>
          </w:p>
        </w:tc>
        <w:tc>
          <w:tcPr>
            <w:tcW w:w="3117" w:type="dxa"/>
            <w:tcMar/>
          </w:tcPr>
          <w:p w:rsidR="39404EB8" w:rsidRDefault="39404EB8" w14:paraId="5B06CCF4" w14:textId="1895B0B2">
            <w:r w:rsidR="39404EB8">
              <w:rPr/>
              <w:t>Missing data or misleading comparisons.</w:t>
            </w:r>
          </w:p>
        </w:tc>
        <w:tc>
          <w:tcPr>
            <w:tcW w:w="3117" w:type="dxa"/>
            <w:tcMar/>
          </w:tcPr>
          <w:p w:rsidR="39404EB8" w:rsidP="39404EB8" w:rsidRDefault="39404EB8" w14:paraId="3DB943A4" w14:textId="6A2D91D7">
            <w:pPr>
              <w:pStyle w:val="Normal"/>
            </w:pPr>
            <w:r w:rsidR="39404EB8">
              <w:rPr/>
              <w:t xml:space="preserve">Check definitions, distinguish local from wider evidence and </w:t>
            </w:r>
            <w:r w:rsidR="39404EB8">
              <w:rPr/>
              <w:t>disclose</w:t>
            </w:r>
            <w:r w:rsidR="39404EB8">
              <w:rPr/>
              <w:t xml:space="preserve"> gaps</w:t>
            </w:r>
            <w:r w:rsidR="39404EB8">
              <w:rPr/>
              <w:t xml:space="preserve"> </w:t>
            </w:r>
            <w:r w:rsidRPr="39404EB8" w:rsidR="39404EB8">
              <w:rPr>
                <w:rFonts w:ascii="Arial" w:hAnsi="Arial" w:eastAsia="Arial" w:cs="Arial"/>
                <w:noProof w:val="0"/>
                <w:sz w:val="24"/>
                <w:szCs w:val="24"/>
                <w:lang w:val="en-GB"/>
              </w:rPr>
              <w:t>(Bowen, 2009</w:t>
            </w:r>
            <w:r w:rsidRPr="39404EB8" w:rsidR="39404EB8">
              <w:rPr>
                <w:rFonts w:ascii="Arial" w:hAnsi="Arial" w:eastAsia="Arial" w:cs="Arial"/>
                <w:noProof w:val="0"/>
                <w:sz w:val="24"/>
                <w:szCs w:val="24"/>
                <w:lang w:val="en-GB"/>
              </w:rPr>
              <w:t>)</w:t>
            </w:r>
            <w:r w:rsidR="39404EB8">
              <w:rPr/>
              <w:t>.</w:t>
            </w:r>
          </w:p>
        </w:tc>
      </w:tr>
      <w:tr w:rsidR="39404EB8" w:rsidTr="39404EB8" w14:paraId="669AB43D">
        <w:trPr>
          <w:trHeight w:val="2150"/>
        </w:trPr>
        <w:tc>
          <w:tcPr>
            <w:tcW w:w="3116" w:type="dxa"/>
            <w:tcMar/>
          </w:tcPr>
          <w:p w:rsidR="39404EB8" w:rsidRDefault="39404EB8" w14:paraId="664CC2AC" w14:textId="7EEB8A68">
            <w:r w:rsidR="39404EB8">
              <w:rPr/>
              <w:t>Bias and unsupported conclusions</w:t>
            </w:r>
          </w:p>
        </w:tc>
        <w:tc>
          <w:tcPr>
            <w:tcW w:w="3117" w:type="dxa"/>
            <w:tcMar/>
          </w:tcPr>
          <w:p w:rsidR="39404EB8" w:rsidRDefault="39404EB8" w14:paraId="70C0B963" w14:textId="23045C7E">
            <w:r w:rsidR="39404EB8">
              <w:rPr/>
              <w:t>Assuming a service gap or favouring a pilot without sufficient evidence.</w:t>
            </w:r>
          </w:p>
        </w:tc>
        <w:tc>
          <w:tcPr>
            <w:tcW w:w="3117" w:type="dxa"/>
            <w:tcMar/>
          </w:tcPr>
          <w:p w:rsidR="39404EB8" w:rsidP="39404EB8" w:rsidRDefault="39404EB8" w14:paraId="433C902B" w14:textId="4BC495E8">
            <w:pPr>
              <w:pStyle w:val="Normal"/>
            </w:pPr>
            <w:r w:rsidR="39404EB8">
              <w:rPr/>
              <w:t>Examine conflicting findings, separate evidence from assumptions and consider alternatives</w:t>
            </w:r>
            <w:r w:rsidR="39404EB8">
              <w:rPr/>
              <w:t xml:space="preserve"> </w:t>
            </w:r>
            <w:r w:rsidRPr="39404EB8" w:rsidR="39404EB8">
              <w:rPr>
                <w:rFonts w:ascii="Arial" w:hAnsi="Arial" w:eastAsia="Arial" w:cs="Arial"/>
                <w:noProof w:val="0"/>
                <w:sz w:val="24"/>
                <w:szCs w:val="24"/>
                <w:lang w:val="en-GB"/>
              </w:rPr>
              <w:t>(Bowen, 2009)</w:t>
            </w:r>
            <w:r w:rsidR="39404EB8">
              <w:rPr/>
              <w:t>.</w:t>
            </w:r>
          </w:p>
        </w:tc>
      </w:tr>
      <w:tr w:rsidR="39404EB8" w:rsidTr="39404EB8" w14:paraId="39E20EAE">
        <w:trPr>
          <w:trHeight w:val="300"/>
        </w:trPr>
        <w:tc>
          <w:tcPr>
            <w:tcW w:w="3116" w:type="dxa"/>
            <w:tcMar/>
          </w:tcPr>
          <w:p w:rsidR="39404EB8" w:rsidRDefault="39404EB8" w14:paraId="3AB4936A" w14:textId="6C5880A1">
            <w:r w:rsidR="39404EB8">
              <w:rPr/>
              <w:t>Financial feasibility</w:t>
            </w:r>
          </w:p>
        </w:tc>
        <w:tc>
          <w:tcPr>
            <w:tcW w:w="3117" w:type="dxa"/>
            <w:tcMar/>
          </w:tcPr>
          <w:p w:rsidR="39404EB8" w:rsidRDefault="39404EB8" w14:paraId="45D7F629" w14:textId="18E98F37">
            <w:r w:rsidR="39404EB8">
              <w:rPr/>
              <w:t>Underestimated costs or uncertain funding.</w:t>
            </w:r>
          </w:p>
        </w:tc>
        <w:tc>
          <w:tcPr>
            <w:tcW w:w="3117" w:type="dxa"/>
            <w:tcMar/>
          </w:tcPr>
          <w:p w:rsidR="39404EB8" w:rsidRDefault="39404EB8" w14:paraId="0CD9472C" w14:textId="421B6EF2">
            <w:r w:rsidR="39404EB8">
              <w:rPr/>
              <w:t>Include full costs and test alternative financial scenarios.</w:t>
            </w:r>
          </w:p>
        </w:tc>
      </w:tr>
      <w:tr w:rsidR="39404EB8" w:rsidTr="39404EB8" w14:paraId="21A989B7">
        <w:trPr>
          <w:trHeight w:val="300"/>
        </w:trPr>
        <w:tc>
          <w:tcPr>
            <w:tcW w:w="3116" w:type="dxa"/>
            <w:tcMar/>
          </w:tcPr>
          <w:p w:rsidR="39404EB8" w:rsidRDefault="39404EB8" w14:paraId="477B7FBA" w14:textId="37F0B70B">
            <w:r w:rsidR="39404EB8">
              <w:rPr/>
              <w:t>Future delivery</w:t>
            </w:r>
          </w:p>
        </w:tc>
        <w:tc>
          <w:tcPr>
            <w:tcW w:w="3117" w:type="dxa"/>
            <w:tcMar/>
          </w:tcPr>
          <w:p w:rsidR="39404EB8" w:rsidRDefault="39404EB8" w14:paraId="36D8BD29" w14:textId="3D655B20">
            <w:r w:rsidR="39404EB8">
              <w:rPr/>
              <w:t>Low participation or insufficient staff and partner capacity</w:t>
            </w:r>
            <w:r w:rsidR="39404EB8">
              <w:rPr/>
              <w:t>.</w:t>
            </w:r>
          </w:p>
        </w:tc>
        <w:tc>
          <w:tcPr>
            <w:tcW w:w="3117" w:type="dxa"/>
            <w:tcMar/>
          </w:tcPr>
          <w:p w:rsidR="39404EB8" w:rsidRDefault="39404EB8" w14:paraId="57763172" w14:textId="08097607">
            <w:r w:rsidR="39404EB8">
              <w:rPr/>
              <w:t>Assess recruitment, support and resources; confirm partners before implementation.</w:t>
            </w:r>
          </w:p>
        </w:tc>
      </w:tr>
      <w:tr w:rsidR="39404EB8" w:rsidTr="39404EB8" w14:paraId="1292F0D4">
        <w:trPr>
          <w:trHeight w:val="300"/>
        </w:trPr>
        <w:tc>
          <w:tcPr>
            <w:tcW w:w="3116" w:type="dxa"/>
            <w:tcMar/>
          </w:tcPr>
          <w:p w:rsidR="39404EB8" w:rsidRDefault="39404EB8" w14:paraId="17405038" w14:textId="1D1B99D3">
            <w:r w:rsidR="39404EB8">
              <w:rPr/>
              <w:t>Accessibility and safeguarding</w:t>
            </w:r>
          </w:p>
        </w:tc>
        <w:tc>
          <w:tcPr>
            <w:tcW w:w="3117" w:type="dxa"/>
            <w:tcMar/>
          </w:tcPr>
          <w:p w:rsidR="39404EB8" w:rsidP="39404EB8" w:rsidRDefault="39404EB8" w14:paraId="7CCE53D2" w14:textId="142AD697">
            <w:pPr>
              <w:rPr>
                <w:lang w:val="fr-FR"/>
              </w:rPr>
            </w:pPr>
            <w:r w:rsidRPr="39404EB8" w:rsidR="39404EB8">
              <w:rPr>
                <w:lang w:val="fr-FR"/>
              </w:rPr>
              <w:t>Digital exclusion or unsuitable placements.</w:t>
            </w:r>
          </w:p>
        </w:tc>
        <w:tc>
          <w:tcPr>
            <w:tcW w:w="3117" w:type="dxa"/>
            <w:tcMar/>
          </w:tcPr>
          <w:p w:rsidR="39404EB8" w:rsidRDefault="39404EB8" w14:paraId="6B143188" w14:textId="0ADA817C">
            <w:r w:rsidR="39404EB8">
              <w:rPr/>
              <w:t>Assess technology access, accessible delivery and placement safeguards.</w:t>
            </w:r>
          </w:p>
        </w:tc>
      </w:tr>
    </w:tbl>
    <w:p w:rsidR="0C04BA31" w:rsidP="39404EB8" w:rsidRDefault="0C04BA31" w14:paraId="7DAA5046" w14:textId="115EC059">
      <w:pPr>
        <w:pStyle w:val="Normal"/>
        <w:spacing w:before="240" w:after="240" w:line="360" w:lineRule="auto"/>
      </w:pPr>
      <w:r w:rsidRPr="39404EB8" w:rsidR="0C04BA31">
        <w:rPr>
          <w:rFonts w:ascii="Arial" w:hAnsi="Arial" w:eastAsia="Arial" w:cs="Arial"/>
          <w:noProof w:val="0"/>
          <w:sz w:val="24"/>
          <w:szCs w:val="24"/>
          <w:lang w:val="en-GB"/>
        </w:rPr>
        <w:t>(Bowen, 2009; BERA, 2024; Lindsay 2005)</w:t>
      </w:r>
      <w:r w:rsidR="0C04BA31">
        <w:rPr/>
        <w:t>.</w:t>
      </w:r>
    </w:p>
    <w:p w:rsidR="38A37E75" w:rsidP="39404EB8" w:rsidRDefault="38A37E75" w14:paraId="0378FC46" w14:textId="023DAFD2">
      <w:pPr>
        <w:pStyle w:val="Normal"/>
        <w:spacing w:before="240" w:after="240" w:line="360" w:lineRule="auto"/>
        <w:rPr>
          <w:rFonts w:ascii="Arial" w:hAnsi="Arial" w:eastAsia="Arial" w:cs="Arial"/>
          <w:b w:val="1"/>
          <w:bCs w:val="1"/>
          <w:noProof w:val="0"/>
          <w:sz w:val="24"/>
          <w:szCs w:val="24"/>
          <w:lang w:val="en-GB"/>
        </w:rPr>
      </w:pPr>
      <w:r w:rsidRPr="39404EB8" w:rsidR="38A37E75">
        <w:rPr>
          <w:rFonts w:ascii="Arial" w:hAnsi="Arial" w:eastAsia="Arial" w:cs="Arial"/>
          <w:b w:val="1"/>
          <w:bCs w:val="1"/>
          <w:noProof w:val="0"/>
          <w:sz w:val="24"/>
          <w:szCs w:val="24"/>
          <w:lang w:val="en-GB"/>
        </w:rPr>
        <w:t>Appendix D</w:t>
      </w:r>
    </w:p>
    <w:p w:rsidR="0B4F1029" w:rsidP="39404EB8" w:rsidRDefault="0B4F1029" w14:paraId="68451874" w14:textId="1711ED16">
      <w:pPr>
        <w:spacing w:before="240" w:after="240"/>
      </w:pPr>
      <w:r w:rsidRPr="39404EB8" w:rsidR="0B4F1029">
        <w:rPr>
          <w:rFonts w:ascii="Arial" w:hAnsi="Arial" w:eastAsia="Arial" w:cs="Arial"/>
          <w:b w:val="1"/>
          <w:bCs w:val="1"/>
        </w:rPr>
        <w:t xml:space="preserve">Figure </w:t>
      </w:r>
      <w:r w:rsidRPr="39404EB8" w:rsidR="231AEF6C">
        <w:rPr>
          <w:rFonts w:ascii="Arial" w:hAnsi="Arial" w:eastAsia="Arial" w:cs="Arial"/>
          <w:b w:val="1"/>
          <w:bCs w:val="1"/>
        </w:rPr>
        <w:t>D</w:t>
      </w:r>
      <w:r w:rsidRPr="39404EB8" w:rsidR="0B4F1029">
        <w:rPr>
          <w:rFonts w:ascii="Arial" w:hAnsi="Arial" w:eastAsia="Arial" w:cs="Arial"/>
          <w:b w:val="1"/>
          <w:bCs w:val="1"/>
        </w:rPr>
        <w:t>1</w:t>
      </w:r>
      <w:r w:rsidRPr="39404EB8" w:rsidR="0B4F1029">
        <w:rPr>
          <w:rFonts w:ascii="Arial" w:hAnsi="Arial" w:eastAsia="Arial" w:cs="Arial"/>
          <w:b w:val="1"/>
          <w:bCs w:val="1"/>
        </w:rPr>
        <w:t>.</w:t>
      </w:r>
      <w:r w:rsidRPr="39404EB8" w:rsidR="0B4F1029">
        <w:rPr>
          <w:rFonts w:ascii="Arial" w:hAnsi="Arial" w:eastAsia="Arial" w:cs="Arial"/>
          <w:i w:val="1"/>
          <w:iCs w:val="1"/>
        </w:rPr>
        <w:t xml:space="preserve"> </w:t>
      </w:r>
      <w:r w:rsidRPr="39404EB8" w:rsidR="0B4F1029">
        <w:rPr>
          <w:rFonts w:ascii="Arial" w:hAnsi="Arial" w:eastAsia="Arial" w:cs="Arial"/>
        </w:rPr>
        <w:t>Business Development Proposal research timetable.</w:t>
      </w:r>
    </w:p>
    <w:p w:rsidR="0B4F1029" w:rsidP="39404EB8" w:rsidRDefault="0B4F1029" w14:paraId="19896296" w14:textId="4929F807">
      <w:pPr>
        <w:spacing w:before="240" w:after="240" w:line="360" w:lineRule="auto"/>
      </w:pPr>
      <w:r w:rsidR="0B4F1029">
        <w:drawing>
          <wp:inline wp14:editId="2FB9A359" wp14:anchorId="5962717F">
            <wp:extent cx="5943600" cy="2457450"/>
            <wp:effectExtent l="0" t="0" r="0" b="0"/>
            <wp:docPr id="15420789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7088206" name="Picture 927088206"/>
                    <pic:cNvPicPr/>
                  </pic:nvPicPr>
                  <pic:blipFill>
                    <a:blip xmlns:r="http://schemas.openxmlformats.org/officeDocument/2006/relationships" r:embed="rId14">
                      <a:extLst>
                        <a:ext uri="{28A0092B-C50C-407E-A947-70E740481C1C}">
                          <a14:useLocalDpi xmlns:a14="http://schemas.microsoft.com/office/drawing/2010/main"/>
                        </a:ext>
                      </a:extLst>
                    </a:blip>
                    <a:stretch>
                      <a:fillRect/>
                    </a:stretch>
                  </pic:blipFill>
                  <pic:spPr>
                    <a:xfrm>
                      <a:off x="0" y="0"/>
                      <a:ext cx="5943600" cy="2457450"/>
                    </a:xfrm>
                    <a:prstGeom prst="rect">
                      <a:avLst/>
                    </a:prstGeom>
                  </pic:spPr>
                </pic:pic>
              </a:graphicData>
            </a:graphic>
          </wp:inline>
        </w:drawing>
      </w:r>
    </w:p>
    <w:p w:rsidR="0B4F1029" w:rsidP="39404EB8" w:rsidRDefault="0B4F1029" w14:paraId="0DCAF6E6" w14:textId="6E9D6D11">
      <w:pPr>
        <w:spacing w:before="240" w:after="240" w:line="360" w:lineRule="auto"/>
      </w:pPr>
      <w:r w:rsidR="0B4F1029">
        <w:drawing>
          <wp:inline wp14:editId="003980D0" wp14:anchorId="05FC58D2">
            <wp:extent cx="5943600" cy="1085850"/>
            <wp:effectExtent l="0" t="0" r="0" b="0"/>
            <wp:docPr id="3817709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4293078" name="Picture 1784293078"/>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5943600" cy="1085850"/>
                    </a:xfrm>
                    <a:prstGeom prst="rect">
                      <a:avLst/>
                    </a:prstGeom>
                  </pic:spPr>
                </pic:pic>
              </a:graphicData>
            </a:graphic>
          </wp:inline>
        </w:drawing>
      </w:r>
    </w:p>
    <w:p w:rsidR="0B4F1029" w:rsidP="39404EB8" w:rsidRDefault="0B4F1029" w14:paraId="6459E067" w14:textId="0EFE4837">
      <w:pPr>
        <w:spacing w:before="240" w:after="240" w:line="360" w:lineRule="auto"/>
      </w:pPr>
      <w:r w:rsidR="0B4F1029">
        <w:drawing>
          <wp:inline wp14:editId="1F05CC0B" wp14:anchorId="75777F57">
            <wp:extent cx="5943600" cy="1143000"/>
            <wp:effectExtent l="0" t="0" r="0" b="0"/>
            <wp:docPr id="13140900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8304305" name="Picture 1508304305"/>
                    <pic:cNvPicPr/>
                  </pic:nvPicPr>
                  <pic:blipFill>
                    <a:blip xmlns:r="http://schemas.openxmlformats.org/officeDocument/2006/relationships" r:embed="rId16">
                      <a:extLst>
                        <a:ext uri="{28A0092B-C50C-407E-A947-70E740481C1C}">
                          <a14:useLocalDpi xmlns:a14="http://schemas.microsoft.com/office/drawing/2010/main"/>
                        </a:ext>
                      </a:extLst>
                    </a:blip>
                    <a:stretch>
                      <a:fillRect/>
                    </a:stretch>
                  </pic:blipFill>
                  <pic:spPr>
                    <a:xfrm>
                      <a:off x="0" y="0"/>
                      <a:ext cx="5943600" cy="1143000"/>
                    </a:xfrm>
                    <a:prstGeom prst="rect">
                      <a:avLst/>
                    </a:prstGeom>
                  </pic:spPr>
                </pic:pic>
              </a:graphicData>
            </a:graphic>
          </wp:inline>
        </w:drawing>
      </w:r>
    </w:p>
    <w:p w:rsidR="0B4F1029" w:rsidP="39404EB8" w:rsidRDefault="0B4F1029" w14:paraId="30D3093D" w14:textId="3578E068">
      <w:pPr>
        <w:spacing w:before="240" w:after="240" w:line="360" w:lineRule="auto"/>
      </w:pPr>
      <w:r w:rsidR="0B4F1029">
        <w:drawing>
          <wp:inline wp14:editId="1AD50EED" wp14:anchorId="671CDE6B">
            <wp:extent cx="5943600" cy="1038225"/>
            <wp:effectExtent l="0" t="0" r="0" b="0"/>
            <wp:docPr id="11798729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931374" name="Picture 1536931374"/>
                    <pic:cNvPicPr/>
                  </pic:nvPicPr>
                  <pic:blipFill>
                    <a:blip xmlns:r="http://schemas.openxmlformats.org/officeDocument/2006/relationships" r:embed="rId17">
                      <a:extLst>
                        <a:ext uri="{28A0092B-C50C-407E-A947-70E740481C1C}">
                          <a14:useLocalDpi xmlns:a14="http://schemas.microsoft.com/office/drawing/2010/main"/>
                        </a:ext>
                      </a:extLst>
                    </a:blip>
                    <a:stretch>
                      <a:fillRect/>
                    </a:stretch>
                  </pic:blipFill>
                  <pic:spPr>
                    <a:xfrm>
                      <a:off x="0" y="0"/>
                      <a:ext cx="5943600" cy="1038225"/>
                    </a:xfrm>
                    <a:prstGeom prst="rect">
                      <a:avLst/>
                    </a:prstGeom>
                  </pic:spPr>
                </pic:pic>
              </a:graphicData>
            </a:graphic>
          </wp:inline>
        </w:drawing>
      </w:r>
    </w:p>
    <w:p w:rsidR="0B4F1029" w:rsidP="39404EB8" w:rsidRDefault="0B4F1029" w14:paraId="7C7D515E" w14:textId="3AF1302B">
      <w:pPr>
        <w:spacing w:before="240" w:after="240" w:line="360" w:lineRule="auto"/>
      </w:pPr>
      <w:r w:rsidR="0B4F1029">
        <w:drawing>
          <wp:inline wp14:editId="3D151F96" wp14:anchorId="1AAE3B69">
            <wp:extent cx="5943600" cy="1038225"/>
            <wp:effectExtent l="0" t="0" r="0" b="0"/>
            <wp:docPr id="2128787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6680180" name="Picture 586680180"/>
                    <pic:cNvPicPr/>
                  </pic:nvPicPr>
                  <pic:blipFill>
                    <a:blip xmlns:r="http://schemas.openxmlformats.org/officeDocument/2006/relationships" r:embed="rId18">
                      <a:extLst>
                        <a:ext uri="{28A0092B-C50C-407E-A947-70E740481C1C}">
                          <a14:useLocalDpi xmlns:a14="http://schemas.microsoft.com/office/drawing/2010/main"/>
                        </a:ext>
                      </a:extLst>
                    </a:blip>
                    <a:stretch>
                      <a:fillRect/>
                    </a:stretch>
                  </pic:blipFill>
                  <pic:spPr>
                    <a:xfrm>
                      <a:off x="0" y="0"/>
                      <a:ext cx="5943600" cy="1038225"/>
                    </a:xfrm>
                    <a:prstGeom prst="rect">
                      <a:avLst/>
                    </a:prstGeom>
                  </pic:spPr>
                </pic:pic>
              </a:graphicData>
            </a:graphic>
          </wp:inline>
        </w:drawing>
      </w:r>
    </w:p>
    <w:p w:rsidR="0B4F1029" w:rsidP="39404EB8" w:rsidRDefault="0B4F1029" w14:paraId="699CBCEB" w14:textId="42DC7560">
      <w:pPr>
        <w:spacing w:before="240" w:after="240" w:line="360" w:lineRule="auto"/>
      </w:pPr>
      <w:r w:rsidR="0B4F1029">
        <w:drawing>
          <wp:inline wp14:editId="101D5DB4" wp14:anchorId="3BBE1733">
            <wp:extent cx="5943600" cy="1298575"/>
            <wp:effectExtent l="0" t="0" r="0" b="0"/>
            <wp:docPr id="16138870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7483719" name="Picture 2037483719"/>
                    <pic:cNvPicPr/>
                  </pic:nvPicPr>
                  <pic:blipFill>
                    <a:blip xmlns:r="http://schemas.openxmlformats.org/officeDocument/2006/relationships" r:embed="rId19">
                      <a:extLst>
                        <a:ext uri="{28A0092B-C50C-407E-A947-70E740481C1C}">
                          <a14:useLocalDpi xmlns:a14="http://schemas.microsoft.com/office/drawing/2010/main"/>
                        </a:ext>
                      </a:extLst>
                    </a:blip>
                    <a:stretch>
                      <a:fillRect/>
                    </a:stretch>
                  </pic:blipFill>
                  <pic:spPr>
                    <a:xfrm>
                      <a:off x="0" y="0"/>
                      <a:ext cx="5943600" cy="1298575"/>
                    </a:xfrm>
                    <a:prstGeom prst="rect">
                      <a:avLst/>
                    </a:prstGeom>
                  </pic:spPr>
                </pic:pic>
              </a:graphicData>
            </a:graphic>
          </wp:inline>
        </w:drawing>
      </w:r>
    </w:p>
    <w:p w:rsidR="0B4F1029" w:rsidP="39404EB8" w:rsidRDefault="0B4F1029" w14:paraId="77D78D79" w14:textId="2B9B86E1">
      <w:pPr>
        <w:spacing w:before="240" w:after="240" w:line="360" w:lineRule="auto"/>
      </w:pPr>
      <w:r w:rsidR="0B4F1029">
        <w:drawing>
          <wp:inline wp14:editId="7C1F0C1F" wp14:anchorId="24387E43">
            <wp:extent cx="5943600" cy="2371725"/>
            <wp:effectExtent l="0" t="0" r="0" b="0"/>
            <wp:docPr id="14841580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6589345" name="Picture 1126589345"/>
                    <pic:cNvPicPr/>
                  </pic:nvPicPr>
                  <pic:blipFill>
                    <a:blip xmlns:r="http://schemas.openxmlformats.org/officeDocument/2006/relationships" r:embed="rId20">
                      <a:extLst>
                        <a:ext uri="{28A0092B-C50C-407E-A947-70E740481C1C}">
                          <a14:useLocalDpi xmlns:a14="http://schemas.microsoft.com/office/drawing/2010/main"/>
                        </a:ext>
                      </a:extLst>
                    </a:blip>
                    <a:stretch>
                      <a:fillRect/>
                    </a:stretch>
                  </pic:blipFill>
                  <pic:spPr>
                    <a:xfrm>
                      <a:off x="0" y="0"/>
                      <a:ext cx="5943600" cy="2371725"/>
                    </a:xfrm>
                    <a:prstGeom prst="rect">
                      <a:avLst/>
                    </a:prstGeom>
                  </pic:spPr>
                </pic:pic>
              </a:graphicData>
            </a:graphic>
          </wp:inline>
        </w:drawing>
      </w:r>
    </w:p>
    <w:p w:rsidR="0B4F1029" w:rsidP="39404EB8" w:rsidRDefault="0B4F1029" w14:paraId="4E8607D8" w14:textId="59426FB6">
      <w:pPr>
        <w:spacing w:line="360" w:lineRule="auto"/>
      </w:pPr>
      <w:r w:rsidR="0B4F1029">
        <w:drawing>
          <wp:inline wp14:editId="1AC30FEA" wp14:anchorId="0348945D">
            <wp:extent cx="5943600" cy="2286000"/>
            <wp:effectExtent l="0" t="0" r="0" b="0"/>
            <wp:docPr id="896885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296979" name="Picture 146296979"/>
                    <pic:cNvPicPr/>
                  </pic:nvPicPr>
                  <pic:blipFill>
                    <a:blip xmlns:r="http://schemas.openxmlformats.org/officeDocument/2006/relationships" r:embed="rId21">
                      <a:extLst>
                        <a:ext uri="{28A0092B-C50C-407E-A947-70E740481C1C}">
                          <a14:useLocalDpi xmlns:a14="http://schemas.microsoft.com/office/drawing/2010/main"/>
                        </a:ext>
                      </a:extLst>
                    </a:blip>
                    <a:stretch>
                      <a:fillRect/>
                    </a:stretch>
                  </pic:blipFill>
                  <pic:spPr>
                    <a:xfrm>
                      <a:off x="0" y="0"/>
                      <a:ext cx="5943600" cy="2286000"/>
                    </a:xfrm>
                    <a:prstGeom prst="rect">
                      <a:avLst/>
                    </a:prstGeom>
                  </pic:spPr>
                </pic:pic>
              </a:graphicData>
            </a:graphic>
          </wp:inline>
        </w:drawing>
      </w:r>
    </w:p>
    <w:p w:rsidR="39404EB8" w:rsidP="39404EB8" w:rsidRDefault="39404EB8" w14:paraId="69967781" w14:textId="0A22C64F">
      <w:pPr>
        <w:pStyle w:val="Normal"/>
        <w:spacing w:before="240" w:after="240" w:line="360" w:lineRule="auto"/>
        <w:rPr>
          <w:rFonts w:ascii="Arial" w:hAnsi="Arial" w:eastAsia="Arial" w:cs="Arial"/>
          <w:b w:val="1"/>
          <w:bCs w:val="1"/>
          <w:noProof w:val="0"/>
          <w:sz w:val="24"/>
          <w:szCs w:val="24"/>
          <w:lang w:val="en-GB"/>
        </w:rPr>
      </w:pPr>
    </w:p>
    <w:p w:rsidR="39404EB8" w:rsidP="39404EB8" w:rsidRDefault="39404EB8" w14:paraId="4FED45B5" w14:textId="6CEEAEDC">
      <w:pPr>
        <w:pStyle w:val="Normal"/>
        <w:spacing w:before="240" w:after="240"/>
        <w:rPr>
          <w:rFonts w:ascii="Arial" w:hAnsi="Arial" w:eastAsia="Arial" w:cs="Arial"/>
          <w:noProof w:val="0"/>
          <w:sz w:val="24"/>
          <w:szCs w:val="24"/>
          <w:lang w:val="en-GB"/>
        </w:rPr>
      </w:pPr>
    </w:p>
    <w:p w:rsidR="1B5C9B31" w:rsidP="1B5C9B31" w:rsidRDefault="1B5C9B31" w14:paraId="7273FA33" w14:textId="645DDB29">
      <w:pPr>
        <w:spacing w:before="240" w:after="240"/>
        <w:rPr>
          <w:rFonts w:ascii="Arial" w:hAnsi="Arial" w:eastAsia="Arial" w:cs="Arial"/>
          <w:b/>
          <w:bCs/>
        </w:rPr>
      </w:pPr>
    </w:p>
    <w:p w:rsidR="1B5C9B31" w:rsidP="1B5C9B31" w:rsidRDefault="1B5C9B31" w14:paraId="5E158CC1" w14:textId="7B6FB7A9">
      <w:pPr>
        <w:spacing w:before="240" w:after="240"/>
        <w:rPr>
          <w:rFonts w:ascii="Arial" w:hAnsi="Arial" w:eastAsia="Arial" w:cs="Arial"/>
          <w:b/>
          <w:bCs/>
        </w:rPr>
      </w:pPr>
    </w:p>
    <w:p w:rsidR="1B5C9B31" w:rsidP="1B5C9B31" w:rsidRDefault="1B5C9B31" w14:paraId="739B979E" w14:textId="19A56243">
      <w:pPr>
        <w:spacing w:before="240" w:after="240"/>
        <w:rPr>
          <w:rFonts w:ascii="Arial" w:hAnsi="Arial" w:eastAsia="Arial" w:cs="Arial"/>
          <w:b/>
          <w:bCs/>
        </w:rPr>
      </w:pPr>
    </w:p>
    <w:p w:rsidR="1B5C9B31" w:rsidP="1B5C9B31" w:rsidRDefault="1B5C9B31" w14:paraId="5CE45AF3" w14:textId="152ED839">
      <w:pPr>
        <w:spacing w:before="240" w:after="240"/>
        <w:rPr>
          <w:rFonts w:ascii="Arial" w:hAnsi="Arial" w:eastAsia="Arial" w:cs="Arial"/>
          <w:b/>
          <w:bCs/>
        </w:rPr>
      </w:pPr>
    </w:p>
    <w:p w:rsidR="1B5C9B31" w:rsidP="1B5C9B31" w:rsidRDefault="1B5C9B31" w14:paraId="57548B4C" w14:textId="4C4BBA1B">
      <w:pPr>
        <w:spacing w:before="240" w:after="240"/>
        <w:rPr>
          <w:rFonts w:ascii="Arial" w:hAnsi="Arial" w:eastAsia="Arial" w:cs="Arial"/>
          <w:b/>
          <w:bCs/>
        </w:rPr>
      </w:pPr>
    </w:p>
    <w:p w:rsidR="1B5C9B31" w:rsidP="1B5C9B31" w:rsidRDefault="1B5C9B31" w14:paraId="4A10172D" w14:textId="04A48E3B">
      <w:pPr>
        <w:spacing w:before="240" w:after="240"/>
        <w:rPr>
          <w:rFonts w:ascii="Arial" w:hAnsi="Arial" w:eastAsia="Arial" w:cs="Arial"/>
          <w:b/>
          <w:bCs/>
        </w:rPr>
      </w:pPr>
    </w:p>
    <w:p w:rsidR="1B5C9B31" w:rsidP="1B5C9B31" w:rsidRDefault="1B5C9B31" w14:paraId="1CBD327C" w14:textId="2F396124">
      <w:pPr>
        <w:spacing w:before="240" w:after="240"/>
        <w:rPr>
          <w:rFonts w:ascii="Arial" w:hAnsi="Arial" w:eastAsia="Arial" w:cs="Arial"/>
          <w:b/>
          <w:bCs/>
        </w:rPr>
      </w:pPr>
    </w:p>
    <w:p w:rsidR="1B5C9B31" w:rsidP="1B5C9B31" w:rsidRDefault="1B5C9B31" w14:paraId="70FBA8E5" w14:textId="0F1A8D1F">
      <w:pPr>
        <w:spacing w:before="240" w:after="240"/>
        <w:rPr>
          <w:rFonts w:ascii="Arial" w:hAnsi="Arial" w:eastAsia="Arial" w:cs="Arial"/>
          <w:b/>
          <w:bCs/>
        </w:rPr>
      </w:pPr>
    </w:p>
    <w:p w:rsidR="1B5C9B31" w:rsidP="1B5C9B31" w:rsidRDefault="1B5C9B31" w14:paraId="2B8C1D87" w14:textId="6FFB95B4">
      <w:pPr>
        <w:spacing w:before="240" w:after="240"/>
        <w:rPr>
          <w:rFonts w:ascii="Arial" w:hAnsi="Arial" w:eastAsia="Arial" w:cs="Arial"/>
          <w:b/>
          <w:bCs/>
        </w:rPr>
      </w:pPr>
    </w:p>
    <w:p w:rsidR="1B5C9B31" w:rsidP="1B5C9B31" w:rsidRDefault="1B5C9B31" w14:paraId="40A6F085" w14:textId="614BB76F">
      <w:pPr>
        <w:spacing w:before="240" w:after="240"/>
        <w:rPr>
          <w:rFonts w:ascii="Arial" w:hAnsi="Arial" w:eastAsia="Arial" w:cs="Arial"/>
          <w:b/>
          <w:bCs/>
        </w:rPr>
      </w:pPr>
    </w:p>
    <w:p w:rsidR="1B5C9B31" w:rsidP="1B5C9B31" w:rsidRDefault="1B5C9B31" w14:paraId="3393DBD6" w14:textId="3444A32B">
      <w:pPr>
        <w:spacing w:before="240" w:after="240"/>
        <w:rPr>
          <w:rFonts w:ascii="Arial" w:hAnsi="Arial" w:eastAsia="Arial" w:cs="Arial"/>
          <w:b/>
          <w:bCs/>
        </w:rPr>
      </w:pPr>
    </w:p>
    <w:p w:rsidR="1B5C9B31" w:rsidP="1B5C9B31" w:rsidRDefault="1B5C9B31" w14:paraId="2B5FA6AF" w14:textId="5F792EA1">
      <w:pPr>
        <w:spacing w:before="240" w:after="240"/>
        <w:rPr>
          <w:rFonts w:ascii="Arial" w:hAnsi="Arial" w:eastAsia="Arial" w:cs="Arial"/>
          <w:b/>
          <w:bCs/>
        </w:rPr>
      </w:pPr>
    </w:p>
    <w:p w:rsidR="1B5C9B31" w:rsidP="1B5C9B31" w:rsidRDefault="1B5C9B31" w14:paraId="22137C09" w14:textId="3BD061B7">
      <w:pPr>
        <w:spacing w:before="240" w:after="240"/>
        <w:rPr>
          <w:rFonts w:ascii="Arial" w:hAnsi="Arial" w:eastAsia="Arial" w:cs="Arial"/>
          <w:b/>
          <w:bCs/>
        </w:rPr>
      </w:pPr>
    </w:p>
    <w:p w:rsidR="1B5C9B31" w:rsidP="1B5C9B31" w:rsidRDefault="1B5C9B31" w14:paraId="43F58A76" w14:textId="74E8861F">
      <w:pPr>
        <w:spacing w:before="240" w:after="240"/>
        <w:rPr>
          <w:rFonts w:ascii="Arial" w:hAnsi="Arial" w:eastAsia="Arial" w:cs="Arial"/>
          <w:b/>
          <w:bCs/>
        </w:rPr>
      </w:pPr>
    </w:p>
    <w:p w:rsidR="51ED3ABD" w:rsidP="1B5C9B31" w:rsidRDefault="51ED3ABD" w14:paraId="4279D4FD" w14:textId="056414E1">
      <w:pPr>
        <w:spacing w:before="240" w:after="240"/>
      </w:pPr>
      <w:r w:rsidRPr="1B5C9B31">
        <w:rPr>
          <w:rFonts w:ascii="Arial" w:hAnsi="Arial" w:eastAsia="Arial" w:cs="Arial"/>
          <w:b/>
          <w:bCs/>
        </w:rPr>
        <w:t>Planned structure of the final 15,000-word BDP</w:t>
      </w:r>
    </w:p>
    <w:p w:rsidR="51ED3ABD" w:rsidP="1B5C9B31" w:rsidRDefault="51ED3ABD" w14:paraId="67445A44" w14:textId="6F235085">
      <w:pPr>
        <w:spacing w:before="240" w:after="240"/>
      </w:pPr>
      <w:r w:rsidRPr="1B5C9B31">
        <w:rPr>
          <w:rFonts w:ascii="Arial" w:hAnsi="Arial" w:eastAsia="Arial" w:cs="Arial"/>
        </w:rPr>
        <w:t>The completed business plan will follow the required assignment structure:</w:t>
      </w:r>
    </w:p>
    <w:p w:rsidR="51ED3ABD" w:rsidP="1B5C9B31" w:rsidRDefault="51ED3ABD" w14:paraId="5D3D1596" w14:textId="0F425079">
      <w:pPr>
        <w:pStyle w:val="ListParagraph"/>
        <w:numPr>
          <w:ilvl w:val="0"/>
          <w:numId w:val="1"/>
        </w:numPr>
        <w:spacing w:after="0"/>
        <w:rPr>
          <w:rFonts w:ascii="Arial" w:hAnsi="Arial" w:eastAsia="Arial" w:cs="Arial"/>
        </w:rPr>
      </w:pPr>
      <w:r w:rsidRPr="1B5C9B31">
        <w:rPr>
          <w:rFonts w:ascii="Arial" w:hAnsi="Arial" w:eastAsia="Arial" w:cs="Arial"/>
        </w:rPr>
        <w:t xml:space="preserve">Executive Summary </w:t>
      </w:r>
    </w:p>
    <w:p w:rsidR="51ED3ABD" w:rsidP="1B5C9B31" w:rsidRDefault="51ED3ABD" w14:paraId="3058FBD6" w14:textId="33776324">
      <w:pPr>
        <w:pStyle w:val="ListParagraph"/>
        <w:numPr>
          <w:ilvl w:val="0"/>
          <w:numId w:val="1"/>
        </w:numPr>
        <w:spacing w:after="0"/>
        <w:rPr>
          <w:rFonts w:ascii="Arial" w:hAnsi="Arial" w:eastAsia="Arial" w:cs="Arial"/>
        </w:rPr>
      </w:pPr>
      <w:r w:rsidRPr="1B5C9B31">
        <w:rPr>
          <w:rFonts w:ascii="Arial" w:hAnsi="Arial" w:eastAsia="Arial" w:cs="Arial"/>
        </w:rPr>
        <w:t xml:space="preserve">Company Description </w:t>
      </w:r>
    </w:p>
    <w:p w:rsidR="51ED3ABD" w:rsidP="1B5C9B31" w:rsidRDefault="51ED3ABD" w14:paraId="343AA757" w14:textId="0F7FE104">
      <w:pPr>
        <w:pStyle w:val="ListParagraph"/>
        <w:numPr>
          <w:ilvl w:val="0"/>
          <w:numId w:val="1"/>
        </w:numPr>
        <w:spacing w:after="0"/>
        <w:rPr>
          <w:rFonts w:ascii="Arial" w:hAnsi="Arial" w:eastAsia="Arial" w:cs="Arial"/>
        </w:rPr>
      </w:pPr>
      <w:r w:rsidRPr="1B5C9B31">
        <w:rPr>
          <w:rFonts w:ascii="Arial" w:hAnsi="Arial" w:eastAsia="Arial" w:cs="Arial"/>
        </w:rPr>
        <w:t xml:space="preserve">Market Research and Validation </w:t>
      </w:r>
    </w:p>
    <w:p w:rsidR="51ED3ABD" w:rsidP="1B5C9B31" w:rsidRDefault="51ED3ABD" w14:paraId="582F1F7D" w14:textId="6253FDCA">
      <w:pPr>
        <w:pStyle w:val="ListParagraph"/>
        <w:numPr>
          <w:ilvl w:val="0"/>
          <w:numId w:val="1"/>
        </w:numPr>
        <w:spacing w:after="0"/>
        <w:rPr>
          <w:rFonts w:ascii="Arial" w:hAnsi="Arial" w:eastAsia="Arial" w:cs="Arial"/>
        </w:rPr>
      </w:pPr>
      <w:r w:rsidRPr="1B5C9B31">
        <w:rPr>
          <w:rFonts w:ascii="Arial" w:hAnsi="Arial" w:eastAsia="Arial" w:cs="Arial"/>
        </w:rPr>
        <w:t xml:space="preserve">Business Model Canvas </w:t>
      </w:r>
    </w:p>
    <w:p w:rsidR="51ED3ABD" w:rsidP="1B5C9B31" w:rsidRDefault="51ED3ABD" w14:paraId="08594145" w14:textId="66F6BD28">
      <w:pPr>
        <w:pStyle w:val="ListParagraph"/>
        <w:numPr>
          <w:ilvl w:val="0"/>
          <w:numId w:val="1"/>
        </w:numPr>
        <w:spacing w:after="0"/>
        <w:rPr>
          <w:rFonts w:ascii="Arial" w:hAnsi="Arial" w:eastAsia="Arial" w:cs="Arial"/>
        </w:rPr>
      </w:pPr>
      <w:r w:rsidRPr="1B5C9B31">
        <w:rPr>
          <w:rFonts w:ascii="Arial" w:hAnsi="Arial" w:eastAsia="Arial" w:cs="Arial"/>
        </w:rPr>
        <w:t xml:space="preserve">Marketing and Sales Strategy </w:t>
      </w:r>
    </w:p>
    <w:p w:rsidR="51ED3ABD" w:rsidP="1B5C9B31" w:rsidRDefault="51ED3ABD" w14:paraId="4BDAD740" w14:textId="71180114">
      <w:pPr>
        <w:pStyle w:val="ListParagraph"/>
        <w:numPr>
          <w:ilvl w:val="0"/>
          <w:numId w:val="1"/>
        </w:numPr>
        <w:spacing w:after="0"/>
        <w:rPr>
          <w:rFonts w:ascii="Arial" w:hAnsi="Arial" w:eastAsia="Arial" w:cs="Arial"/>
        </w:rPr>
      </w:pPr>
      <w:r w:rsidRPr="1B5C9B31">
        <w:rPr>
          <w:rFonts w:ascii="Arial" w:hAnsi="Arial" w:eastAsia="Arial" w:cs="Arial"/>
        </w:rPr>
        <w:t xml:space="preserve">Operation Plan </w:t>
      </w:r>
    </w:p>
    <w:p w:rsidR="51ED3ABD" w:rsidP="1B5C9B31" w:rsidRDefault="51ED3ABD" w14:paraId="280857FA" w14:textId="7762BEF9">
      <w:pPr>
        <w:pStyle w:val="ListParagraph"/>
        <w:numPr>
          <w:ilvl w:val="0"/>
          <w:numId w:val="1"/>
        </w:numPr>
        <w:spacing w:after="0"/>
        <w:rPr>
          <w:rFonts w:ascii="Arial" w:hAnsi="Arial" w:eastAsia="Arial" w:cs="Arial"/>
        </w:rPr>
      </w:pPr>
      <w:r w:rsidRPr="1B5C9B31">
        <w:rPr>
          <w:rFonts w:ascii="Arial" w:hAnsi="Arial" w:eastAsia="Arial" w:cs="Arial"/>
        </w:rPr>
        <w:t xml:space="preserve">Human Resource Capital Allocation </w:t>
      </w:r>
    </w:p>
    <w:p w:rsidR="51ED3ABD" w:rsidP="1B5C9B31" w:rsidRDefault="51ED3ABD" w14:paraId="7428DDDA" w14:textId="3CD0DC65">
      <w:pPr>
        <w:pStyle w:val="ListParagraph"/>
        <w:numPr>
          <w:ilvl w:val="0"/>
          <w:numId w:val="1"/>
        </w:numPr>
        <w:spacing w:after="0"/>
        <w:rPr>
          <w:rFonts w:ascii="Arial" w:hAnsi="Arial" w:eastAsia="Arial" w:cs="Arial"/>
        </w:rPr>
      </w:pPr>
      <w:r w:rsidRPr="1B5C9B31">
        <w:rPr>
          <w:rFonts w:ascii="Arial" w:hAnsi="Arial" w:eastAsia="Arial" w:cs="Arial"/>
        </w:rPr>
        <w:t xml:space="preserve">Business Analysis Models </w:t>
      </w:r>
    </w:p>
    <w:p w:rsidR="51ED3ABD" w:rsidP="1B5C9B31" w:rsidRDefault="51ED3ABD" w14:paraId="628D0B12" w14:textId="6D68FA8F">
      <w:pPr>
        <w:pStyle w:val="ListParagraph"/>
        <w:numPr>
          <w:ilvl w:val="0"/>
          <w:numId w:val="1"/>
        </w:numPr>
        <w:spacing w:after="0"/>
        <w:rPr>
          <w:rFonts w:ascii="Arial" w:hAnsi="Arial" w:eastAsia="Arial" w:cs="Arial"/>
        </w:rPr>
      </w:pPr>
      <w:r w:rsidRPr="1B5C9B31">
        <w:rPr>
          <w:rFonts w:ascii="Arial" w:hAnsi="Arial" w:eastAsia="Arial" w:cs="Arial"/>
        </w:rPr>
        <w:t xml:space="preserve">Financial Plan </w:t>
      </w:r>
    </w:p>
    <w:p w:rsidR="51ED3ABD" w:rsidP="1B5C9B31" w:rsidRDefault="51ED3ABD" w14:paraId="40DFB7C6" w14:textId="39F70208">
      <w:pPr>
        <w:pStyle w:val="ListParagraph"/>
        <w:numPr>
          <w:ilvl w:val="0"/>
          <w:numId w:val="1"/>
        </w:numPr>
        <w:spacing w:after="0"/>
        <w:rPr>
          <w:rFonts w:ascii="Arial" w:hAnsi="Arial" w:eastAsia="Arial" w:cs="Arial"/>
        </w:rPr>
      </w:pPr>
      <w:r w:rsidRPr="1B5C9B31">
        <w:rPr>
          <w:rFonts w:ascii="Arial" w:hAnsi="Arial" w:eastAsia="Arial" w:cs="Arial"/>
        </w:rPr>
        <w:t xml:space="preserve">Reflection </w:t>
      </w:r>
    </w:p>
    <w:p w:rsidR="51ED3ABD" w:rsidP="1B5C9B31" w:rsidRDefault="51ED3ABD" w14:paraId="37EF7BF1" w14:textId="64867323">
      <w:pPr>
        <w:pStyle w:val="ListParagraph"/>
        <w:numPr>
          <w:ilvl w:val="0"/>
          <w:numId w:val="1"/>
        </w:numPr>
        <w:spacing w:after="0"/>
        <w:rPr>
          <w:rFonts w:ascii="Arial" w:hAnsi="Arial" w:eastAsia="Arial" w:cs="Arial"/>
        </w:rPr>
      </w:pPr>
      <w:r w:rsidRPr="1B5C9B31">
        <w:rPr>
          <w:rFonts w:ascii="Arial" w:hAnsi="Arial" w:eastAsia="Arial" w:cs="Arial"/>
        </w:rPr>
        <w:t xml:space="preserve">References </w:t>
      </w:r>
    </w:p>
    <w:p w:rsidR="51ED3ABD" w:rsidP="1B5C9B31" w:rsidRDefault="51ED3ABD" w14:paraId="3E3DA5D0" w14:textId="3652BB17">
      <w:pPr>
        <w:pStyle w:val="ListParagraph"/>
        <w:numPr>
          <w:ilvl w:val="0"/>
          <w:numId w:val="1"/>
        </w:numPr>
        <w:spacing w:after="0"/>
        <w:rPr>
          <w:rFonts w:ascii="Arial" w:hAnsi="Arial" w:eastAsia="Arial" w:cs="Arial"/>
        </w:rPr>
      </w:pPr>
      <w:r w:rsidRPr="1B5C9B31">
        <w:rPr>
          <w:rFonts w:ascii="Arial" w:hAnsi="Arial" w:eastAsia="Arial" w:cs="Arial"/>
        </w:rPr>
        <w:t>Appendices, where required</w:t>
      </w:r>
    </w:p>
    <w:p w:rsidR="1B5C9B31" w:rsidP="1B5C9B31" w:rsidRDefault="1B5C9B31" w14:paraId="12FA01BB" w14:textId="7A476B55">
      <w:pPr>
        <w:spacing w:line="360" w:lineRule="auto"/>
        <w:rPr>
          <w:rFonts w:ascii="Arial" w:hAnsi="Arial" w:eastAsia="Arial" w:cs="Arial"/>
        </w:rPr>
      </w:pPr>
    </w:p>
    <w:p w:rsidR="1B5C9B31" w:rsidP="1B5C9B31" w:rsidRDefault="1B5C9B31" w14:paraId="70E3BBEF" w14:textId="38B11DF8">
      <w:pPr>
        <w:spacing w:line="360" w:lineRule="auto"/>
        <w:rPr>
          <w:rFonts w:ascii="Arial" w:hAnsi="Arial" w:eastAsia="Arial" w:cs="Arial"/>
        </w:rPr>
      </w:pPr>
    </w:p>
    <w:p w:rsidR="1B5C9B31" w:rsidP="1B5C9B31" w:rsidRDefault="1B5C9B31" w14:paraId="1F0F60D0" w14:textId="331B7E71">
      <w:pPr>
        <w:spacing w:line="360" w:lineRule="auto"/>
        <w:rPr>
          <w:rFonts w:ascii="Arial" w:hAnsi="Arial" w:eastAsia="Arial" w:cs="Arial"/>
        </w:rPr>
      </w:pPr>
    </w:p>
    <w:p w:rsidR="1B5C9B31" w:rsidP="1B5C9B31" w:rsidRDefault="1B5C9B31" w14:paraId="63F86FD0" w14:textId="53468A95">
      <w:pPr>
        <w:spacing w:line="360" w:lineRule="auto"/>
        <w:rPr>
          <w:rFonts w:ascii="Arial" w:hAnsi="Arial" w:eastAsia="Arial" w:cs="Arial"/>
        </w:rPr>
      </w:pPr>
    </w:p>
    <w:p w:rsidR="1DE6189D" w:rsidP="40AD2822" w:rsidRDefault="1DE6189D" w14:paraId="51CD8BEB" w14:textId="43AEDF1C"/>
    <w:p w:rsidR="1DE6189D" w:rsidP="40AD2822" w:rsidRDefault="1DE6189D" w14:paraId="3E2DBEF8" w14:textId="0D0EC775">
      <w:pPr>
        <w:spacing w:before="240" w:after="240" w:line="360" w:lineRule="auto"/>
      </w:pPr>
    </w:p>
    <w:sectPr w:rsidR="1DE6189D">
      <w:footerReference w:type="default" r:id="rId26"/>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2C8D" w:rsidRDefault="00B82C8D" w14:paraId="4EDCA2FE" w14:textId="77777777">
      <w:pPr>
        <w:spacing w:after="0" w:line="240" w:lineRule="auto"/>
      </w:pPr>
      <w:r>
        <w:separator/>
      </w:r>
    </w:p>
  </w:endnote>
  <w:endnote w:type="continuationSeparator" w:id="0">
    <w:p w:rsidR="00B82C8D" w:rsidRDefault="00B82C8D" w14:paraId="373888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3363EFC" w:rsidTr="1B5C9B31" w14:paraId="02E91F96" w14:textId="77777777">
      <w:trPr>
        <w:trHeight w:val="300"/>
      </w:trPr>
      <w:tc>
        <w:tcPr>
          <w:tcW w:w="3120" w:type="dxa"/>
        </w:tcPr>
        <w:p w:rsidR="23363EFC" w:rsidP="23363EFC" w:rsidRDefault="23363EFC" w14:paraId="54BEB656" w14:textId="1618F46B">
          <w:pPr>
            <w:pStyle w:val="Header"/>
            <w:ind w:left="-115"/>
          </w:pPr>
        </w:p>
      </w:tc>
      <w:tc>
        <w:tcPr>
          <w:tcW w:w="3120" w:type="dxa"/>
        </w:tcPr>
        <w:p w:rsidR="23363EFC" w:rsidP="23363EFC" w:rsidRDefault="23363EFC" w14:paraId="6A09295C" w14:textId="6E993B10">
          <w:pPr>
            <w:pStyle w:val="Header"/>
            <w:jc w:val="center"/>
          </w:pPr>
          <w:r>
            <w:fldChar w:fldCharType="begin"/>
          </w:r>
          <w:r>
            <w:instrText>PAGE</w:instrText>
          </w:r>
          <w:r>
            <w:fldChar w:fldCharType="separate"/>
          </w:r>
          <w:r w:rsidR="003D3741">
            <w:rPr>
              <w:noProof/>
            </w:rPr>
            <w:t>1</w:t>
          </w:r>
          <w:r>
            <w:fldChar w:fldCharType="end"/>
          </w:r>
        </w:p>
      </w:tc>
      <w:tc>
        <w:tcPr>
          <w:tcW w:w="3120" w:type="dxa"/>
        </w:tcPr>
        <w:p w:rsidR="23363EFC" w:rsidP="23363EFC" w:rsidRDefault="23363EFC" w14:paraId="0555D966" w14:textId="4287C623">
          <w:pPr>
            <w:pStyle w:val="Header"/>
            <w:ind w:right="-115"/>
            <w:jc w:val="right"/>
          </w:pPr>
        </w:p>
      </w:tc>
    </w:tr>
  </w:tbl>
  <w:p w:rsidR="23363EFC" w:rsidP="23363EFC" w:rsidRDefault="23363EFC" w14:paraId="1B498A6B" w14:textId="04474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2C8D" w:rsidRDefault="00B82C8D" w14:paraId="62481A57" w14:textId="77777777">
      <w:pPr>
        <w:spacing w:after="0" w:line="240" w:lineRule="auto"/>
      </w:pPr>
      <w:r>
        <w:separator/>
      </w:r>
    </w:p>
  </w:footnote>
  <w:footnote w:type="continuationSeparator" w:id="0">
    <w:p w:rsidR="00B82C8D" w:rsidRDefault="00B82C8D" w14:paraId="1BBD11C6"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7ejImdfl">
      <int2:state int2:type="spell" int2:value="Rejected"/>
    </int2:textHash>
    <int2:textHash int2:hashCode="ni8UUdXdlt6RIo" int2:id="reoMxtPf">
      <int2:state int2:type="spell" int2:value="Rejected"/>
    </int2:textHash>
    <int2:bookmark int2:bookmarkName="_Int_mvJTJdnP" int2:invalidationBookmarkName="" int2:hashCode="oGxG7XxhB/hCud" int2:id="RpsNNbe8">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39c96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69af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e2c26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8D9901"/>
    <w:multiLevelType w:val="hybridMultilevel"/>
    <w:tmpl w:val="FFFFFFFF"/>
    <w:lvl w:ilvl="0" w:tplc="B6F8B8CC">
      <w:start w:val="1"/>
      <w:numFmt w:val="decimal"/>
      <w:lvlText w:val="%1."/>
      <w:lvlJc w:val="left"/>
      <w:pPr>
        <w:ind w:left="720" w:hanging="360"/>
      </w:pPr>
    </w:lvl>
    <w:lvl w:ilvl="1" w:tplc="061A8D0A">
      <w:start w:val="1"/>
      <w:numFmt w:val="lowerLetter"/>
      <w:lvlText w:val="%2."/>
      <w:lvlJc w:val="left"/>
      <w:pPr>
        <w:ind w:left="1440" w:hanging="360"/>
      </w:pPr>
    </w:lvl>
    <w:lvl w:ilvl="2" w:tplc="64C43C78">
      <w:start w:val="1"/>
      <w:numFmt w:val="lowerRoman"/>
      <w:lvlText w:val="%3."/>
      <w:lvlJc w:val="right"/>
      <w:pPr>
        <w:ind w:left="2160" w:hanging="180"/>
      </w:pPr>
    </w:lvl>
    <w:lvl w:ilvl="3" w:tplc="539617B0">
      <w:start w:val="1"/>
      <w:numFmt w:val="decimal"/>
      <w:lvlText w:val="%4."/>
      <w:lvlJc w:val="left"/>
      <w:pPr>
        <w:ind w:left="2880" w:hanging="360"/>
      </w:pPr>
    </w:lvl>
    <w:lvl w:ilvl="4" w:tplc="43C67740">
      <w:start w:val="1"/>
      <w:numFmt w:val="lowerLetter"/>
      <w:lvlText w:val="%5."/>
      <w:lvlJc w:val="left"/>
      <w:pPr>
        <w:ind w:left="3600" w:hanging="360"/>
      </w:pPr>
    </w:lvl>
    <w:lvl w:ilvl="5" w:tplc="62524AC6">
      <w:start w:val="1"/>
      <w:numFmt w:val="lowerRoman"/>
      <w:lvlText w:val="%6."/>
      <w:lvlJc w:val="right"/>
      <w:pPr>
        <w:ind w:left="4320" w:hanging="180"/>
      </w:pPr>
    </w:lvl>
    <w:lvl w:ilvl="6" w:tplc="0CFEF272">
      <w:start w:val="1"/>
      <w:numFmt w:val="decimal"/>
      <w:lvlText w:val="%7."/>
      <w:lvlJc w:val="left"/>
      <w:pPr>
        <w:ind w:left="5040" w:hanging="360"/>
      </w:pPr>
    </w:lvl>
    <w:lvl w:ilvl="7" w:tplc="A7EC73A0">
      <w:start w:val="1"/>
      <w:numFmt w:val="lowerLetter"/>
      <w:lvlText w:val="%8."/>
      <w:lvlJc w:val="left"/>
      <w:pPr>
        <w:ind w:left="5760" w:hanging="360"/>
      </w:pPr>
    </w:lvl>
    <w:lvl w:ilvl="8" w:tplc="667AB75E">
      <w:start w:val="1"/>
      <w:numFmt w:val="lowerRoman"/>
      <w:lvlText w:val="%9."/>
      <w:lvlJc w:val="right"/>
      <w:pPr>
        <w:ind w:left="6480" w:hanging="180"/>
      </w:pPr>
    </w:lvl>
  </w:abstractNum>
  <w:abstractNum w:abstractNumId="1" w15:restartNumberingAfterBreak="0">
    <w:nsid w:val="0496CA18"/>
    <w:multiLevelType w:val="hybridMultilevel"/>
    <w:tmpl w:val="FFFFFFFF"/>
    <w:lvl w:ilvl="0" w:tplc="D2E68216">
      <w:start w:val="1"/>
      <w:numFmt w:val="decimal"/>
      <w:lvlText w:val="%1."/>
      <w:lvlJc w:val="left"/>
      <w:pPr>
        <w:ind w:left="720" w:hanging="360"/>
      </w:pPr>
    </w:lvl>
    <w:lvl w:ilvl="1" w:tplc="07246A58">
      <w:start w:val="1"/>
      <w:numFmt w:val="lowerLetter"/>
      <w:lvlText w:val="%2."/>
      <w:lvlJc w:val="left"/>
      <w:pPr>
        <w:ind w:left="1440" w:hanging="360"/>
      </w:pPr>
    </w:lvl>
    <w:lvl w:ilvl="2" w:tplc="41B4127C">
      <w:start w:val="1"/>
      <w:numFmt w:val="lowerRoman"/>
      <w:lvlText w:val="%3."/>
      <w:lvlJc w:val="right"/>
      <w:pPr>
        <w:ind w:left="2160" w:hanging="180"/>
      </w:pPr>
    </w:lvl>
    <w:lvl w:ilvl="3" w:tplc="7736D7B2">
      <w:start w:val="1"/>
      <w:numFmt w:val="decimal"/>
      <w:lvlText w:val="%4."/>
      <w:lvlJc w:val="left"/>
      <w:pPr>
        <w:ind w:left="2880" w:hanging="360"/>
      </w:pPr>
    </w:lvl>
    <w:lvl w:ilvl="4" w:tplc="4A38C3E2">
      <w:start w:val="1"/>
      <w:numFmt w:val="lowerLetter"/>
      <w:lvlText w:val="%5."/>
      <w:lvlJc w:val="left"/>
      <w:pPr>
        <w:ind w:left="3600" w:hanging="360"/>
      </w:pPr>
    </w:lvl>
    <w:lvl w:ilvl="5" w:tplc="6B0060CE">
      <w:start w:val="1"/>
      <w:numFmt w:val="lowerRoman"/>
      <w:lvlText w:val="%6."/>
      <w:lvlJc w:val="right"/>
      <w:pPr>
        <w:ind w:left="4320" w:hanging="180"/>
      </w:pPr>
    </w:lvl>
    <w:lvl w:ilvl="6" w:tplc="17BA9216">
      <w:start w:val="1"/>
      <w:numFmt w:val="decimal"/>
      <w:lvlText w:val="%7."/>
      <w:lvlJc w:val="left"/>
      <w:pPr>
        <w:ind w:left="5040" w:hanging="360"/>
      </w:pPr>
    </w:lvl>
    <w:lvl w:ilvl="7" w:tplc="E2B2895C">
      <w:start w:val="1"/>
      <w:numFmt w:val="lowerLetter"/>
      <w:lvlText w:val="%8."/>
      <w:lvlJc w:val="left"/>
      <w:pPr>
        <w:ind w:left="5760" w:hanging="360"/>
      </w:pPr>
    </w:lvl>
    <w:lvl w:ilvl="8" w:tplc="F7B0C04E">
      <w:start w:val="1"/>
      <w:numFmt w:val="lowerRoman"/>
      <w:lvlText w:val="%9."/>
      <w:lvlJc w:val="right"/>
      <w:pPr>
        <w:ind w:left="6480" w:hanging="180"/>
      </w:pPr>
    </w:lvl>
  </w:abstractNum>
  <w:abstractNum w:abstractNumId="2" w15:restartNumberingAfterBreak="0">
    <w:nsid w:val="071609F2"/>
    <w:multiLevelType w:val="hybridMultilevel"/>
    <w:tmpl w:val="7618D524"/>
    <w:lvl w:ilvl="0" w:tplc="48CE6562">
      <w:start w:val="1"/>
      <w:numFmt w:val="decimal"/>
      <w:lvlText w:val="%1."/>
      <w:lvlJc w:val="left"/>
      <w:pPr>
        <w:ind w:left="720" w:hanging="360"/>
      </w:pPr>
    </w:lvl>
    <w:lvl w:ilvl="1" w:tplc="F7D078C2">
      <w:start w:val="1"/>
      <w:numFmt w:val="lowerLetter"/>
      <w:lvlText w:val="%2."/>
      <w:lvlJc w:val="left"/>
      <w:pPr>
        <w:ind w:left="1440" w:hanging="360"/>
      </w:pPr>
    </w:lvl>
    <w:lvl w:ilvl="2" w:tplc="43E03910">
      <w:start w:val="1"/>
      <w:numFmt w:val="lowerRoman"/>
      <w:lvlText w:val="%3."/>
      <w:lvlJc w:val="right"/>
      <w:pPr>
        <w:ind w:left="2160" w:hanging="180"/>
      </w:pPr>
    </w:lvl>
    <w:lvl w:ilvl="3" w:tplc="A664E08A">
      <w:start w:val="1"/>
      <w:numFmt w:val="decimal"/>
      <w:lvlText w:val="%4."/>
      <w:lvlJc w:val="left"/>
      <w:pPr>
        <w:ind w:left="2880" w:hanging="360"/>
      </w:pPr>
    </w:lvl>
    <w:lvl w:ilvl="4" w:tplc="BDE6CE10">
      <w:start w:val="1"/>
      <w:numFmt w:val="lowerLetter"/>
      <w:lvlText w:val="%5."/>
      <w:lvlJc w:val="left"/>
      <w:pPr>
        <w:ind w:left="3600" w:hanging="360"/>
      </w:pPr>
    </w:lvl>
    <w:lvl w:ilvl="5" w:tplc="BEC64990">
      <w:start w:val="1"/>
      <w:numFmt w:val="lowerRoman"/>
      <w:lvlText w:val="%6."/>
      <w:lvlJc w:val="right"/>
      <w:pPr>
        <w:ind w:left="4320" w:hanging="180"/>
      </w:pPr>
    </w:lvl>
    <w:lvl w:ilvl="6" w:tplc="AB9C2608">
      <w:start w:val="1"/>
      <w:numFmt w:val="decimal"/>
      <w:lvlText w:val="%7."/>
      <w:lvlJc w:val="left"/>
      <w:pPr>
        <w:ind w:left="5040" w:hanging="360"/>
      </w:pPr>
    </w:lvl>
    <w:lvl w:ilvl="7" w:tplc="5CBC1650">
      <w:start w:val="1"/>
      <w:numFmt w:val="lowerLetter"/>
      <w:lvlText w:val="%8."/>
      <w:lvlJc w:val="left"/>
      <w:pPr>
        <w:ind w:left="5760" w:hanging="360"/>
      </w:pPr>
    </w:lvl>
    <w:lvl w:ilvl="8" w:tplc="6DAAA610">
      <w:start w:val="1"/>
      <w:numFmt w:val="lowerRoman"/>
      <w:lvlText w:val="%9."/>
      <w:lvlJc w:val="right"/>
      <w:pPr>
        <w:ind w:left="6480" w:hanging="180"/>
      </w:pPr>
    </w:lvl>
  </w:abstractNum>
  <w:abstractNum w:abstractNumId="3" w15:restartNumberingAfterBreak="0">
    <w:nsid w:val="0DBEE2A0"/>
    <w:multiLevelType w:val="hybridMultilevel"/>
    <w:tmpl w:val="69E2799E"/>
    <w:lvl w:ilvl="0" w:tplc="FFA62E74">
      <w:start w:val="1"/>
      <w:numFmt w:val="bullet"/>
      <w:lvlText w:val=""/>
      <w:lvlJc w:val="left"/>
      <w:pPr>
        <w:ind w:left="720" w:hanging="360"/>
      </w:pPr>
      <w:rPr>
        <w:rFonts w:hint="default" w:ascii="Symbol" w:hAnsi="Symbol"/>
      </w:rPr>
    </w:lvl>
    <w:lvl w:ilvl="1" w:tplc="891A1E10">
      <w:start w:val="1"/>
      <w:numFmt w:val="bullet"/>
      <w:lvlText w:val="o"/>
      <w:lvlJc w:val="left"/>
      <w:pPr>
        <w:ind w:left="1440" w:hanging="360"/>
      </w:pPr>
      <w:rPr>
        <w:rFonts w:hint="default" w:ascii="Courier New" w:hAnsi="Courier New"/>
      </w:rPr>
    </w:lvl>
    <w:lvl w:ilvl="2" w:tplc="D4C89D20">
      <w:start w:val="1"/>
      <w:numFmt w:val="bullet"/>
      <w:lvlText w:val=""/>
      <w:lvlJc w:val="left"/>
      <w:pPr>
        <w:ind w:left="2160" w:hanging="360"/>
      </w:pPr>
      <w:rPr>
        <w:rFonts w:hint="default" w:ascii="Wingdings" w:hAnsi="Wingdings"/>
      </w:rPr>
    </w:lvl>
    <w:lvl w:ilvl="3" w:tplc="4AFE57A0">
      <w:start w:val="1"/>
      <w:numFmt w:val="bullet"/>
      <w:lvlText w:val=""/>
      <w:lvlJc w:val="left"/>
      <w:pPr>
        <w:ind w:left="2880" w:hanging="360"/>
      </w:pPr>
      <w:rPr>
        <w:rFonts w:hint="default" w:ascii="Symbol" w:hAnsi="Symbol"/>
      </w:rPr>
    </w:lvl>
    <w:lvl w:ilvl="4" w:tplc="F288F72E">
      <w:start w:val="1"/>
      <w:numFmt w:val="bullet"/>
      <w:lvlText w:val="o"/>
      <w:lvlJc w:val="left"/>
      <w:pPr>
        <w:ind w:left="3600" w:hanging="360"/>
      </w:pPr>
      <w:rPr>
        <w:rFonts w:hint="default" w:ascii="Courier New" w:hAnsi="Courier New"/>
      </w:rPr>
    </w:lvl>
    <w:lvl w:ilvl="5" w:tplc="346C8FC4">
      <w:start w:val="1"/>
      <w:numFmt w:val="bullet"/>
      <w:lvlText w:val=""/>
      <w:lvlJc w:val="left"/>
      <w:pPr>
        <w:ind w:left="4320" w:hanging="360"/>
      </w:pPr>
      <w:rPr>
        <w:rFonts w:hint="default" w:ascii="Wingdings" w:hAnsi="Wingdings"/>
      </w:rPr>
    </w:lvl>
    <w:lvl w:ilvl="6" w:tplc="BFF49DD2">
      <w:start w:val="1"/>
      <w:numFmt w:val="bullet"/>
      <w:lvlText w:val=""/>
      <w:lvlJc w:val="left"/>
      <w:pPr>
        <w:ind w:left="5040" w:hanging="360"/>
      </w:pPr>
      <w:rPr>
        <w:rFonts w:hint="default" w:ascii="Symbol" w:hAnsi="Symbol"/>
      </w:rPr>
    </w:lvl>
    <w:lvl w:ilvl="7" w:tplc="1FE017D4">
      <w:start w:val="1"/>
      <w:numFmt w:val="bullet"/>
      <w:lvlText w:val="o"/>
      <w:lvlJc w:val="left"/>
      <w:pPr>
        <w:ind w:left="5760" w:hanging="360"/>
      </w:pPr>
      <w:rPr>
        <w:rFonts w:hint="default" w:ascii="Courier New" w:hAnsi="Courier New"/>
      </w:rPr>
    </w:lvl>
    <w:lvl w:ilvl="8" w:tplc="67769C6C">
      <w:start w:val="1"/>
      <w:numFmt w:val="bullet"/>
      <w:lvlText w:val=""/>
      <w:lvlJc w:val="left"/>
      <w:pPr>
        <w:ind w:left="6480" w:hanging="360"/>
      </w:pPr>
      <w:rPr>
        <w:rFonts w:hint="default" w:ascii="Wingdings" w:hAnsi="Wingdings"/>
      </w:rPr>
    </w:lvl>
  </w:abstractNum>
  <w:abstractNum w:abstractNumId="4" w15:restartNumberingAfterBreak="0">
    <w:nsid w:val="112E4EF5"/>
    <w:multiLevelType w:val="hybridMultilevel"/>
    <w:tmpl w:val="FFFFFFFF"/>
    <w:lvl w:ilvl="0" w:tplc="201646E2">
      <w:start w:val="1"/>
      <w:numFmt w:val="bullet"/>
      <w:lvlText w:val=""/>
      <w:lvlJc w:val="left"/>
      <w:pPr>
        <w:ind w:left="720" w:hanging="360"/>
      </w:pPr>
      <w:rPr>
        <w:rFonts w:hint="default" w:ascii="Symbol" w:hAnsi="Symbol"/>
      </w:rPr>
    </w:lvl>
    <w:lvl w:ilvl="1" w:tplc="C4A22670">
      <w:start w:val="1"/>
      <w:numFmt w:val="bullet"/>
      <w:lvlText w:val="o"/>
      <w:lvlJc w:val="left"/>
      <w:pPr>
        <w:ind w:left="1440" w:hanging="360"/>
      </w:pPr>
      <w:rPr>
        <w:rFonts w:hint="default" w:ascii="Courier New" w:hAnsi="Courier New"/>
      </w:rPr>
    </w:lvl>
    <w:lvl w:ilvl="2" w:tplc="1FC679AE">
      <w:start w:val="1"/>
      <w:numFmt w:val="bullet"/>
      <w:lvlText w:val=""/>
      <w:lvlJc w:val="left"/>
      <w:pPr>
        <w:ind w:left="2160" w:hanging="360"/>
      </w:pPr>
      <w:rPr>
        <w:rFonts w:hint="default" w:ascii="Wingdings" w:hAnsi="Wingdings"/>
      </w:rPr>
    </w:lvl>
    <w:lvl w:ilvl="3" w:tplc="99526402">
      <w:start w:val="1"/>
      <w:numFmt w:val="bullet"/>
      <w:lvlText w:val=""/>
      <w:lvlJc w:val="left"/>
      <w:pPr>
        <w:ind w:left="2880" w:hanging="360"/>
      </w:pPr>
      <w:rPr>
        <w:rFonts w:hint="default" w:ascii="Symbol" w:hAnsi="Symbol"/>
      </w:rPr>
    </w:lvl>
    <w:lvl w:ilvl="4" w:tplc="FA6453B2">
      <w:start w:val="1"/>
      <w:numFmt w:val="bullet"/>
      <w:lvlText w:val="o"/>
      <w:lvlJc w:val="left"/>
      <w:pPr>
        <w:ind w:left="3600" w:hanging="360"/>
      </w:pPr>
      <w:rPr>
        <w:rFonts w:hint="default" w:ascii="Courier New" w:hAnsi="Courier New"/>
      </w:rPr>
    </w:lvl>
    <w:lvl w:ilvl="5" w:tplc="37B8FDF4">
      <w:start w:val="1"/>
      <w:numFmt w:val="bullet"/>
      <w:lvlText w:val=""/>
      <w:lvlJc w:val="left"/>
      <w:pPr>
        <w:ind w:left="4320" w:hanging="360"/>
      </w:pPr>
      <w:rPr>
        <w:rFonts w:hint="default" w:ascii="Wingdings" w:hAnsi="Wingdings"/>
      </w:rPr>
    </w:lvl>
    <w:lvl w:ilvl="6" w:tplc="FCB8A0F6">
      <w:start w:val="1"/>
      <w:numFmt w:val="bullet"/>
      <w:lvlText w:val=""/>
      <w:lvlJc w:val="left"/>
      <w:pPr>
        <w:ind w:left="5040" w:hanging="360"/>
      </w:pPr>
      <w:rPr>
        <w:rFonts w:hint="default" w:ascii="Symbol" w:hAnsi="Symbol"/>
      </w:rPr>
    </w:lvl>
    <w:lvl w:ilvl="7" w:tplc="A07EA91C">
      <w:start w:val="1"/>
      <w:numFmt w:val="bullet"/>
      <w:lvlText w:val="o"/>
      <w:lvlJc w:val="left"/>
      <w:pPr>
        <w:ind w:left="5760" w:hanging="360"/>
      </w:pPr>
      <w:rPr>
        <w:rFonts w:hint="default" w:ascii="Courier New" w:hAnsi="Courier New"/>
      </w:rPr>
    </w:lvl>
    <w:lvl w:ilvl="8" w:tplc="4440B9C0">
      <w:start w:val="1"/>
      <w:numFmt w:val="bullet"/>
      <w:lvlText w:val=""/>
      <w:lvlJc w:val="left"/>
      <w:pPr>
        <w:ind w:left="6480" w:hanging="360"/>
      </w:pPr>
      <w:rPr>
        <w:rFonts w:hint="default" w:ascii="Wingdings" w:hAnsi="Wingdings"/>
      </w:rPr>
    </w:lvl>
  </w:abstractNum>
  <w:abstractNum w:abstractNumId="5" w15:restartNumberingAfterBreak="0">
    <w:nsid w:val="127BD0F9"/>
    <w:multiLevelType w:val="hybridMultilevel"/>
    <w:tmpl w:val="FFFFFFFF"/>
    <w:lvl w:ilvl="0" w:tplc="EC529F5E">
      <w:start w:val="1"/>
      <w:numFmt w:val="decimal"/>
      <w:lvlText w:val="%1."/>
      <w:lvlJc w:val="left"/>
      <w:pPr>
        <w:ind w:left="720" w:hanging="360"/>
      </w:pPr>
    </w:lvl>
    <w:lvl w:ilvl="1" w:tplc="53647E66">
      <w:start w:val="1"/>
      <w:numFmt w:val="lowerLetter"/>
      <w:lvlText w:val="%2."/>
      <w:lvlJc w:val="left"/>
      <w:pPr>
        <w:ind w:left="1440" w:hanging="360"/>
      </w:pPr>
    </w:lvl>
    <w:lvl w:ilvl="2" w:tplc="77068D74">
      <w:start w:val="1"/>
      <w:numFmt w:val="lowerRoman"/>
      <w:lvlText w:val="%3."/>
      <w:lvlJc w:val="right"/>
      <w:pPr>
        <w:ind w:left="2160" w:hanging="180"/>
      </w:pPr>
    </w:lvl>
    <w:lvl w:ilvl="3" w:tplc="26DC4986">
      <w:start w:val="1"/>
      <w:numFmt w:val="decimal"/>
      <w:lvlText w:val="%4."/>
      <w:lvlJc w:val="left"/>
      <w:pPr>
        <w:ind w:left="2880" w:hanging="360"/>
      </w:pPr>
    </w:lvl>
    <w:lvl w:ilvl="4" w:tplc="2AD22F04">
      <w:start w:val="1"/>
      <w:numFmt w:val="lowerLetter"/>
      <w:lvlText w:val="%5."/>
      <w:lvlJc w:val="left"/>
      <w:pPr>
        <w:ind w:left="3600" w:hanging="360"/>
      </w:pPr>
    </w:lvl>
    <w:lvl w:ilvl="5" w:tplc="03982110">
      <w:start w:val="1"/>
      <w:numFmt w:val="lowerRoman"/>
      <w:lvlText w:val="%6."/>
      <w:lvlJc w:val="right"/>
      <w:pPr>
        <w:ind w:left="4320" w:hanging="180"/>
      </w:pPr>
    </w:lvl>
    <w:lvl w:ilvl="6" w:tplc="ECAE6598">
      <w:start w:val="1"/>
      <w:numFmt w:val="decimal"/>
      <w:lvlText w:val="%7."/>
      <w:lvlJc w:val="left"/>
      <w:pPr>
        <w:ind w:left="5040" w:hanging="360"/>
      </w:pPr>
    </w:lvl>
    <w:lvl w:ilvl="7" w:tplc="07B28F3C">
      <w:start w:val="1"/>
      <w:numFmt w:val="lowerLetter"/>
      <w:lvlText w:val="%8."/>
      <w:lvlJc w:val="left"/>
      <w:pPr>
        <w:ind w:left="5760" w:hanging="360"/>
      </w:pPr>
    </w:lvl>
    <w:lvl w:ilvl="8" w:tplc="7194B570">
      <w:start w:val="1"/>
      <w:numFmt w:val="lowerRoman"/>
      <w:lvlText w:val="%9."/>
      <w:lvlJc w:val="right"/>
      <w:pPr>
        <w:ind w:left="6480" w:hanging="180"/>
      </w:pPr>
    </w:lvl>
  </w:abstractNum>
  <w:abstractNum w:abstractNumId="6" w15:restartNumberingAfterBreak="0">
    <w:nsid w:val="15DE0CAC"/>
    <w:multiLevelType w:val="hybridMultilevel"/>
    <w:tmpl w:val="FFFFFFFF"/>
    <w:lvl w:ilvl="0" w:tplc="37ECD280">
      <w:start w:val="1"/>
      <w:numFmt w:val="bullet"/>
      <w:lvlText w:val="·"/>
      <w:lvlJc w:val="left"/>
      <w:pPr>
        <w:ind w:left="720" w:hanging="360"/>
      </w:pPr>
      <w:rPr>
        <w:rFonts w:hint="default" w:ascii="Symbol" w:hAnsi="Symbol"/>
      </w:rPr>
    </w:lvl>
    <w:lvl w:ilvl="1" w:tplc="F036EA60">
      <w:start w:val="1"/>
      <w:numFmt w:val="bullet"/>
      <w:lvlText w:val="o"/>
      <w:lvlJc w:val="left"/>
      <w:pPr>
        <w:ind w:left="1440" w:hanging="360"/>
      </w:pPr>
      <w:rPr>
        <w:rFonts w:hint="default" w:ascii="Courier New" w:hAnsi="Courier New"/>
      </w:rPr>
    </w:lvl>
    <w:lvl w:ilvl="2" w:tplc="0ECE63A8">
      <w:start w:val="1"/>
      <w:numFmt w:val="bullet"/>
      <w:lvlText w:val=""/>
      <w:lvlJc w:val="left"/>
      <w:pPr>
        <w:ind w:left="2160" w:hanging="360"/>
      </w:pPr>
      <w:rPr>
        <w:rFonts w:hint="default" w:ascii="Wingdings" w:hAnsi="Wingdings"/>
      </w:rPr>
    </w:lvl>
    <w:lvl w:ilvl="3" w:tplc="922E7B32">
      <w:start w:val="1"/>
      <w:numFmt w:val="bullet"/>
      <w:lvlText w:val=""/>
      <w:lvlJc w:val="left"/>
      <w:pPr>
        <w:ind w:left="2880" w:hanging="360"/>
      </w:pPr>
      <w:rPr>
        <w:rFonts w:hint="default" w:ascii="Symbol" w:hAnsi="Symbol"/>
      </w:rPr>
    </w:lvl>
    <w:lvl w:ilvl="4" w:tplc="89F271D6">
      <w:start w:val="1"/>
      <w:numFmt w:val="bullet"/>
      <w:lvlText w:val="o"/>
      <w:lvlJc w:val="left"/>
      <w:pPr>
        <w:ind w:left="3600" w:hanging="360"/>
      </w:pPr>
      <w:rPr>
        <w:rFonts w:hint="default" w:ascii="Courier New" w:hAnsi="Courier New"/>
      </w:rPr>
    </w:lvl>
    <w:lvl w:ilvl="5" w:tplc="9D16F594">
      <w:start w:val="1"/>
      <w:numFmt w:val="bullet"/>
      <w:lvlText w:val=""/>
      <w:lvlJc w:val="left"/>
      <w:pPr>
        <w:ind w:left="4320" w:hanging="360"/>
      </w:pPr>
      <w:rPr>
        <w:rFonts w:hint="default" w:ascii="Wingdings" w:hAnsi="Wingdings"/>
      </w:rPr>
    </w:lvl>
    <w:lvl w:ilvl="6" w:tplc="DCD201D2">
      <w:start w:val="1"/>
      <w:numFmt w:val="bullet"/>
      <w:lvlText w:val=""/>
      <w:lvlJc w:val="left"/>
      <w:pPr>
        <w:ind w:left="5040" w:hanging="360"/>
      </w:pPr>
      <w:rPr>
        <w:rFonts w:hint="default" w:ascii="Symbol" w:hAnsi="Symbol"/>
      </w:rPr>
    </w:lvl>
    <w:lvl w:ilvl="7" w:tplc="4352F5CC">
      <w:start w:val="1"/>
      <w:numFmt w:val="bullet"/>
      <w:lvlText w:val="o"/>
      <w:lvlJc w:val="left"/>
      <w:pPr>
        <w:ind w:left="5760" w:hanging="360"/>
      </w:pPr>
      <w:rPr>
        <w:rFonts w:hint="default" w:ascii="Courier New" w:hAnsi="Courier New"/>
      </w:rPr>
    </w:lvl>
    <w:lvl w:ilvl="8" w:tplc="3D985670">
      <w:start w:val="1"/>
      <w:numFmt w:val="bullet"/>
      <w:lvlText w:val=""/>
      <w:lvlJc w:val="left"/>
      <w:pPr>
        <w:ind w:left="6480" w:hanging="360"/>
      </w:pPr>
      <w:rPr>
        <w:rFonts w:hint="default" w:ascii="Wingdings" w:hAnsi="Wingdings"/>
      </w:rPr>
    </w:lvl>
  </w:abstractNum>
  <w:abstractNum w:abstractNumId="7" w15:restartNumberingAfterBreak="0">
    <w:nsid w:val="21AD7637"/>
    <w:multiLevelType w:val="hybridMultilevel"/>
    <w:tmpl w:val="FFFFFFFF"/>
    <w:lvl w:ilvl="0" w:tplc="F35C8FA2">
      <w:start w:val="1"/>
      <w:numFmt w:val="decimal"/>
      <w:lvlText w:val="%1."/>
      <w:lvlJc w:val="left"/>
      <w:pPr>
        <w:ind w:left="720" w:hanging="360"/>
      </w:pPr>
    </w:lvl>
    <w:lvl w:ilvl="1" w:tplc="A5E024B2">
      <w:start w:val="1"/>
      <w:numFmt w:val="lowerLetter"/>
      <w:lvlText w:val="%2."/>
      <w:lvlJc w:val="left"/>
      <w:pPr>
        <w:ind w:left="1440" w:hanging="360"/>
      </w:pPr>
    </w:lvl>
    <w:lvl w:ilvl="2" w:tplc="124AE112">
      <w:start w:val="1"/>
      <w:numFmt w:val="lowerRoman"/>
      <w:lvlText w:val="%3."/>
      <w:lvlJc w:val="right"/>
      <w:pPr>
        <w:ind w:left="2160" w:hanging="180"/>
      </w:pPr>
    </w:lvl>
    <w:lvl w:ilvl="3" w:tplc="15384C28">
      <w:start w:val="1"/>
      <w:numFmt w:val="decimal"/>
      <w:lvlText w:val="%4."/>
      <w:lvlJc w:val="left"/>
      <w:pPr>
        <w:ind w:left="2880" w:hanging="360"/>
      </w:pPr>
    </w:lvl>
    <w:lvl w:ilvl="4" w:tplc="22E0635A">
      <w:start w:val="1"/>
      <w:numFmt w:val="lowerLetter"/>
      <w:lvlText w:val="%5."/>
      <w:lvlJc w:val="left"/>
      <w:pPr>
        <w:ind w:left="3600" w:hanging="360"/>
      </w:pPr>
    </w:lvl>
    <w:lvl w:ilvl="5" w:tplc="061A7EC6">
      <w:start w:val="1"/>
      <w:numFmt w:val="lowerRoman"/>
      <w:lvlText w:val="%6."/>
      <w:lvlJc w:val="right"/>
      <w:pPr>
        <w:ind w:left="4320" w:hanging="180"/>
      </w:pPr>
    </w:lvl>
    <w:lvl w:ilvl="6" w:tplc="00B228BE">
      <w:start w:val="1"/>
      <w:numFmt w:val="decimal"/>
      <w:lvlText w:val="%7."/>
      <w:lvlJc w:val="left"/>
      <w:pPr>
        <w:ind w:left="5040" w:hanging="360"/>
      </w:pPr>
    </w:lvl>
    <w:lvl w:ilvl="7" w:tplc="7EAC19E8">
      <w:start w:val="1"/>
      <w:numFmt w:val="lowerLetter"/>
      <w:lvlText w:val="%8."/>
      <w:lvlJc w:val="left"/>
      <w:pPr>
        <w:ind w:left="5760" w:hanging="360"/>
      </w:pPr>
    </w:lvl>
    <w:lvl w:ilvl="8" w:tplc="5F20E694">
      <w:start w:val="1"/>
      <w:numFmt w:val="lowerRoman"/>
      <w:lvlText w:val="%9."/>
      <w:lvlJc w:val="right"/>
      <w:pPr>
        <w:ind w:left="6480" w:hanging="180"/>
      </w:pPr>
    </w:lvl>
  </w:abstractNum>
  <w:abstractNum w:abstractNumId="8" w15:restartNumberingAfterBreak="0">
    <w:nsid w:val="27342DE0"/>
    <w:multiLevelType w:val="hybridMultilevel"/>
    <w:tmpl w:val="FFFFFFFF"/>
    <w:lvl w:ilvl="0" w:tplc="AA702412">
      <w:start w:val="1"/>
      <w:numFmt w:val="decimal"/>
      <w:lvlText w:val="%1."/>
      <w:lvlJc w:val="left"/>
      <w:pPr>
        <w:ind w:left="720" w:hanging="360"/>
      </w:pPr>
    </w:lvl>
    <w:lvl w:ilvl="1" w:tplc="45A688FC">
      <w:start w:val="1"/>
      <w:numFmt w:val="lowerLetter"/>
      <w:lvlText w:val="%2."/>
      <w:lvlJc w:val="left"/>
      <w:pPr>
        <w:ind w:left="1440" w:hanging="360"/>
      </w:pPr>
    </w:lvl>
    <w:lvl w:ilvl="2" w:tplc="A41EB72A">
      <w:start w:val="1"/>
      <w:numFmt w:val="lowerRoman"/>
      <w:lvlText w:val="%3."/>
      <w:lvlJc w:val="right"/>
      <w:pPr>
        <w:ind w:left="2160" w:hanging="180"/>
      </w:pPr>
    </w:lvl>
    <w:lvl w:ilvl="3" w:tplc="486CAB64">
      <w:start w:val="1"/>
      <w:numFmt w:val="decimal"/>
      <w:lvlText w:val="%4."/>
      <w:lvlJc w:val="left"/>
      <w:pPr>
        <w:ind w:left="2880" w:hanging="360"/>
      </w:pPr>
    </w:lvl>
    <w:lvl w:ilvl="4" w:tplc="9FC613FE">
      <w:start w:val="1"/>
      <w:numFmt w:val="lowerLetter"/>
      <w:lvlText w:val="%5."/>
      <w:lvlJc w:val="left"/>
      <w:pPr>
        <w:ind w:left="3600" w:hanging="360"/>
      </w:pPr>
    </w:lvl>
    <w:lvl w:ilvl="5" w:tplc="77126830">
      <w:start w:val="1"/>
      <w:numFmt w:val="lowerRoman"/>
      <w:lvlText w:val="%6."/>
      <w:lvlJc w:val="right"/>
      <w:pPr>
        <w:ind w:left="4320" w:hanging="180"/>
      </w:pPr>
    </w:lvl>
    <w:lvl w:ilvl="6" w:tplc="60062D52">
      <w:start w:val="1"/>
      <w:numFmt w:val="decimal"/>
      <w:lvlText w:val="%7."/>
      <w:lvlJc w:val="left"/>
      <w:pPr>
        <w:ind w:left="5040" w:hanging="360"/>
      </w:pPr>
    </w:lvl>
    <w:lvl w:ilvl="7" w:tplc="07849B92">
      <w:start w:val="1"/>
      <w:numFmt w:val="lowerLetter"/>
      <w:lvlText w:val="%8."/>
      <w:lvlJc w:val="left"/>
      <w:pPr>
        <w:ind w:left="5760" w:hanging="360"/>
      </w:pPr>
    </w:lvl>
    <w:lvl w:ilvl="8" w:tplc="A5E83D6E">
      <w:start w:val="1"/>
      <w:numFmt w:val="lowerRoman"/>
      <w:lvlText w:val="%9."/>
      <w:lvlJc w:val="right"/>
      <w:pPr>
        <w:ind w:left="6480" w:hanging="180"/>
      </w:pPr>
    </w:lvl>
  </w:abstractNum>
  <w:abstractNum w:abstractNumId="9" w15:restartNumberingAfterBreak="0">
    <w:nsid w:val="296E11B8"/>
    <w:multiLevelType w:val="hybridMultilevel"/>
    <w:tmpl w:val="EF2ACC0A"/>
    <w:lvl w:ilvl="0" w:tplc="5406D2E8">
      <w:start w:val="1"/>
      <w:numFmt w:val="decimal"/>
      <w:lvlText w:val="%1."/>
      <w:lvlJc w:val="left"/>
      <w:pPr>
        <w:ind w:left="720" w:hanging="360"/>
      </w:pPr>
    </w:lvl>
    <w:lvl w:ilvl="1" w:tplc="94F03C2A">
      <w:start w:val="1"/>
      <w:numFmt w:val="lowerLetter"/>
      <w:lvlText w:val="%2."/>
      <w:lvlJc w:val="left"/>
      <w:pPr>
        <w:ind w:left="1440" w:hanging="360"/>
      </w:pPr>
    </w:lvl>
    <w:lvl w:ilvl="2" w:tplc="9586D91E">
      <w:start w:val="1"/>
      <w:numFmt w:val="lowerRoman"/>
      <w:lvlText w:val="%3."/>
      <w:lvlJc w:val="right"/>
      <w:pPr>
        <w:ind w:left="2160" w:hanging="180"/>
      </w:pPr>
    </w:lvl>
    <w:lvl w:ilvl="3" w:tplc="0764EC6C">
      <w:start w:val="1"/>
      <w:numFmt w:val="decimal"/>
      <w:lvlText w:val="%4."/>
      <w:lvlJc w:val="left"/>
      <w:pPr>
        <w:ind w:left="2880" w:hanging="360"/>
      </w:pPr>
    </w:lvl>
    <w:lvl w:ilvl="4" w:tplc="9AA2AA34">
      <w:start w:val="1"/>
      <w:numFmt w:val="lowerLetter"/>
      <w:lvlText w:val="%5."/>
      <w:lvlJc w:val="left"/>
      <w:pPr>
        <w:ind w:left="3600" w:hanging="360"/>
      </w:pPr>
    </w:lvl>
    <w:lvl w:ilvl="5" w:tplc="045475E6">
      <w:start w:val="1"/>
      <w:numFmt w:val="lowerRoman"/>
      <w:lvlText w:val="%6."/>
      <w:lvlJc w:val="right"/>
      <w:pPr>
        <w:ind w:left="4320" w:hanging="180"/>
      </w:pPr>
    </w:lvl>
    <w:lvl w:ilvl="6" w:tplc="7E78337C">
      <w:start w:val="1"/>
      <w:numFmt w:val="decimal"/>
      <w:lvlText w:val="%7."/>
      <w:lvlJc w:val="left"/>
      <w:pPr>
        <w:ind w:left="5040" w:hanging="360"/>
      </w:pPr>
    </w:lvl>
    <w:lvl w:ilvl="7" w:tplc="75C81AB4">
      <w:start w:val="1"/>
      <w:numFmt w:val="lowerLetter"/>
      <w:lvlText w:val="%8."/>
      <w:lvlJc w:val="left"/>
      <w:pPr>
        <w:ind w:left="5760" w:hanging="360"/>
      </w:pPr>
    </w:lvl>
    <w:lvl w:ilvl="8" w:tplc="D69A861A">
      <w:start w:val="1"/>
      <w:numFmt w:val="lowerRoman"/>
      <w:lvlText w:val="%9."/>
      <w:lvlJc w:val="right"/>
      <w:pPr>
        <w:ind w:left="6480" w:hanging="180"/>
      </w:pPr>
    </w:lvl>
  </w:abstractNum>
  <w:abstractNum w:abstractNumId="10" w15:restartNumberingAfterBreak="0">
    <w:nsid w:val="302A2AC4"/>
    <w:multiLevelType w:val="hybridMultilevel"/>
    <w:tmpl w:val="FFFFFFFF"/>
    <w:lvl w:ilvl="0" w:tplc="97F86E56">
      <w:start w:val="1"/>
      <w:numFmt w:val="bullet"/>
      <w:lvlText w:val=""/>
      <w:lvlJc w:val="left"/>
      <w:pPr>
        <w:ind w:left="720" w:hanging="360"/>
      </w:pPr>
      <w:rPr>
        <w:rFonts w:hint="default" w:ascii="Symbol" w:hAnsi="Symbol"/>
      </w:rPr>
    </w:lvl>
    <w:lvl w:ilvl="1" w:tplc="68B6865A">
      <w:start w:val="1"/>
      <w:numFmt w:val="bullet"/>
      <w:lvlText w:val="o"/>
      <w:lvlJc w:val="left"/>
      <w:pPr>
        <w:ind w:left="1440" w:hanging="360"/>
      </w:pPr>
      <w:rPr>
        <w:rFonts w:hint="default" w:ascii="Courier New" w:hAnsi="Courier New"/>
      </w:rPr>
    </w:lvl>
    <w:lvl w:ilvl="2" w:tplc="BDFABCD2">
      <w:start w:val="1"/>
      <w:numFmt w:val="bullet"/>
      <w:lvlText w:val=""/>
      <w:lvlJc w:val="left"/>
      <w:pPr>
        <w:ind w:left="2160" w:hanging="360"/>
      </w:pPr>
      <w:rPr>
        <w:rFonts w:hint="default" w:ascii="Wingdings" w:hAnsi="Wingdings"/>
      </w:rPr>
    </w:lvl>
    <w:lvl w:ilvl="3" w:tplc="3BBE78E8">
      <w:start w:val="1"/>
      <w:numFmt w:val="bullet"/>
      <w:lvlText w:val=""/>
      <w:lvlJc w:val="left"/>
      <w:pPr>
        <w:ind w:left="2880" w:hanging="360"/>
      </w:pPr>
      <w:rPr>
        <w:rFonts w:hint="default" w:ascii="Symbol" w:hAnsi="Symbol"/>
      </w:rPr>
    </w:lvl>
    <w:lvl w:ilvl="4" w:tplc="D51C0FF2">
      <w:start w:val="1"/>
      <w:numFmt w:val="bullet"/>
      <w:lvlText w:val="o"/>
      <w:lvlJc w:val="left"/>
      <w:pPr>
        <w:ind w:left="3600" w:hanging="360"/>
      </w:pPr>
      <w:rPr>
        <w:rFonts w:hint="default" w:ascii="Courier New" w:hAnsi="Courier New"/>
      </w:rPr>
    </w:lvl>
    <w:lvl w:ilvl="5" w:tplc="03CE4870">
      <w:start w:val="1"/>
      <w:numFmt w:val="bullet"/>
      <w:lvlText w:val=""/>
      <w:lvlJc w:val="left"/>
      <w:pPr>
        <w:ind w:left="4320" w:hanging="360"/>
      </w:pPr>
      <w:rPr>
        <w:rFonts w:hint="default" w:ascii="Wingdings" w:hAnsi="Wingdings"/>
      </w:rPr>
    </w:lvl>
    <w:lvl w:ilvl="6" w:tplc="72FEF104">
      <w:start w:val="1"/>
      <w:numFmt w:val="bullet"/>
      <w:lvlText w:val=""/>
      <w:lvlJc w:val="left"/>
      <w:pPr>
        <w:ind w:left="5040" w:hanging="360"/>
      </w:pPr>
      <w:rPr>
        <w:rFonts w:hint="default" w:ascii="Symbol" w:hAnsi="Symbol"/>
      </w:rPr>
    </w:lvl>
    <w:lvl w:ilvl="7" w:tplc="C7349EB8">
      <w:start w:val="1"/>
      <w:numFmt w:val="bullet"/>
      <w:lvlText w:val="o"/>
      <w:lvlJc w:val="left"/>
      <w:pPr>
        <w:ind w:left="5760" w:hanging="360"/>
      </w:pPr>
      <w:rPr>
        <w:rFonts w:hint="default" w:ascii="Courier New" w:hAnsi="Courier New"/>
      </w:rPr>
    </w:lvl>
    <w:lvl w:ilvl="8" w:tplc="A6FC88B4">
      <w:start w:val="1"/>
      <w:numFmt w:val="bullet"/>
      <w:lvlText w:val=""/>
      <w:lvlJc w:val="left"/>
      <w:pPr>
        <w:ind w:left="6480" w:hanging="360"/>
      </w:pPr>
      <w:rPr>
        <w:rFonts w:hint="default" w:ascii="Wingdings" w:hAnsi="Wingdings"/>
      </w:rPr>
    </w:lvl>
  </w:abstractNum>
  <w:abstractNum w:abstractNumId="11" w15:restartNumberingAfterBreak="0">
    <w:nsid w:val="351DCE2D"/>
    <w:multiLevelType w:val="hybridMultilevel"/>
    <w:tmpl w:val="7FE4CF02"/>
    <w:lvl w:ilvl="0" w:tplc="30EA060C">
      <w:start w:val="1"/>
      <w:numFmt w:val="bullet"/>
      <w:lvlText w:val=""/>
      <w:lvlJc w:val="left"/>
      <w:pPr>
        <w:ind w:left="720" w:hanging="360"/>
      </w:pPr>
      <w:rPr>
        <w:rFonts w:hint="default" w:ascii="Symbol" w:hAnsi="Symbol"/>
      </w:rPr>
    </w:lvl>
    <w:lvl w:ilvl="1" w:tplc="4F980CD2">
      <w:start w:val="1"/>
      <w:numFmt w:val="bullet"/>
      <w:lvlText w:val="o"/>
      <w:lvlJc w:val="left"/>
      <w:pPr>
        <w:ind w:left="1440" w:hanging="360"/>
      </w:pPr>
      <w:rPr>
        <w:rFonts w:hint="default" w:ascii="Courier New" w:hAnsi="Courier New"/>
      </w:rPr>
    </w:lvl>
    <w:lvl w:ilvl="2" w:tplc="48F688FE">
      <w:start w:val="1"/>
      <w:numFmt w:val="bullet"/>
      <w:lvlText w:val=""/>
      <w:lvlJc w:val="left"/>
      <w:pPr>
        <w:ind w:left="2160" w:hanging="360"/>
      </w:pPr>
      <w:rPr>
        <w:rFonts w:hint="default" w:ascii="Wingdings" w:hAnsi="Wingdings"/>
      </w:rPr>
    </w:lvl>
    <w:lvl w:ilvl="3" w:tplc="047A3F16">
      <w:start w:val="1"/>
      <w:numFmt w:val="bullet"/>
      <w:lvlText w:val=""/>
      <w:lvlJc w:val="left"/>
      <w:pPr>
        <w:ind w:left="2880" w:hanging="360"/>
      </w:pPr>
      <w:rPr>
        <w:rFonts w:hint="default" w:ascii="Symbol" w:hAnsi="Symbol"/>
      </w:rPr>
    </w:lvl>
    <w:lvl w:ilvl="4" w:tplc="C0AC2E90">
      <w:start w:val="1"/>
      <w:numFmt w:val="bullet"/>
      <w:lvlText w:val="o"/>
      <w:lvlJc w:val="left"/>
      <w:pPr>
        <w:ind w:left="3600" w:hanging="360"/>
      </w:pPr>
      <w:rPr>
        <w:rFonts w:hint="default" w:ascii="Courier New" w:hAnsi="Courier New"/>
      </w:rPr>
    </w:lvl>
    <w:lvl w:ilvl="5" w:tplc="9540429E">
      <w:start w:val="1"/>
      <w:numFmt w:val="bullet"/>
      <w:lvlText w:val=""/>
      <w:lvlJc w:val="left"/>
      <w:pPr>
        <w:ind w:left="4320" w:hanging="360"/>
      </w:pPr>
      <w:rPr>
        <w:rFonts w:hint="default" w:ascii="Wingdings" w:hAnsi="Wingdings"/>
      </w:rPr>
    </w:lvl>
    <w:lvl w:ilvl="6" w:tplc="0C821E32">
      <w:start w:val="1"/>
      <w:numFmt w:val="bullet"/>
      <w:lvlText w:val=""/>
      <w:lvlJc w:val="left"/>
      <w:pPr>
        <w:ind w:left="5040" w:hanging="360"/>
      </w:pPr>
      <w:rPr>
        <w:rFonts w:hint="default" w:ascii="Symbol" w:hAnsi="Symbol"/>
      </w:rPr>
    </w:lvl>
    <w:lvl w:ilvl="7" w:tplc="D736F42C">
      <w:start w:val="1"/>
      <w:numFmt w:val="bullet"/>
      <w:lvlText w:val="o"/>
      <w:lvlJc w:val="left"/>
      <w:pPr>
        <w:ind w:left="5760" w:hanging="360"/>
      </w:pPr>
      <w:rPr>
        <w:rFonts w:hint="default" w:ascii="Courier New" w:hAnsi="Courier New"/>
      </w:rPr>
    </w:lvl>
    <w:lvl w:ilvl="8" w:tplc="EDB02732">
      <w:start w:val="1"/>
      <w:numFmt w:val="bullet"/>
      <w:lvlText w:val=""/>
      <w:lvlJc w:val="left"/>
      <w:pPr>
        <w:ind w:left="6480" w:hanging="360"/>
      </w:pPr>
      <w:rPr>
        <w:rFonts w:hint="default" w:ascii="Wingdings" w:hAnsi="Wingdings"/>
      </w:rPr>
    </w:lvl>
  </w:abstractNum>
  <w:abstractNum w:abstractNumId="12" w15:restartNumberingAfterBreak="0">
    <w:nsid w:val="385732A8"/>
    <w:multiLevelType w:val="hybridMultilevel"/>
    <w:tmpl w:val="FFFFFFFF"/>
    <w:lvl w:ilvl="0" w:tplc="A4863398">
      <w:start w:val="1"/>
      <w:numFmt w:val="decimal"/>
      <w:lvlText w:val="%1."/>
      <w:lvlJc w:val="left"/>
      <w:pPr>
        <w:ind w:left="720" w:hanging="360"/>
      </w:pPr>
      <w:rPr>
        <w:rFonts w:hint="default" w:ascii="Arial" w:hAnsi="Arial"/>
      </w:rPr>
    </w:lvl>
    <w:lvl w:ilvl="1" w:tplc="9774B874">
      <w:start w:val="1"/>
      <w:numFmt w:val="lowerLetter"/>
      <w:lvlText w:val="%2."/>
      <w:lvlJc w:val="left"/>
      <w:pPr>
        <w:ind w:left="1440" w:hanging="360"/>
      </w:pPr>
    </w:lvl>
    <w:lvl w:ilvl="2" w:tplc="D74AE0FA">
      <w:start w:val="1"/>
      <w:numFmt w:val="lowerRoman"/>
      <w:lvlText w:val="%3."/>
      <w:lvlJc w:val="right"/>
      <w:pPr>
        <w:ind w:left="2160" w:hanging="180"/>
      </w:pPr>
    </w:lvl>
    <w:lvl w:ilvl="3" w:tplc="5A9EE24C">
      <w:start w:val="1"/>
      <w:numFmt w:val="decimal"/>
      <w:lvlText w:val="%4."/>
      <w:lvlJc w:val="left"/>
      <w:pPr>
        <w:ind w:left="2880" w:hanging="360"/>
      </w:pPr>
    </w:lvl>
    <w:lvl w:ilvl="4" w:tplc="1C3464DC">
      <w:start w:val="1"/>
      <w:numFmt w:val="lowerLetter"/>
      <w:lvlText w:val="%5."/>
      <w:lvlJc w:val="left"/>
      <w:pPr>
        <w:ind w:left="3600" w:hanging="360"/>
      </w:pPr>
    </w:lvl>
    <w:lvl w:ilvl="5" w:tplc="BEF424F0">
      <w:start w:val="1"/>
      <w:numFmt w:val="lowerRoman"/>
      <w:lvlText w:val="%6."/>
      <w:lvlJc w:val="right"/>
      <w:pPr>
        <w:ind w:left="4320" w:hanging="180"/>
      </w:pPr>
    </w:lvl>
    <w:lvl w:ilvl="6" w:tplc="783E5B04">
      <w:start w:val="1"/>
      <w:numFmt w:val="decimal"/>
      <w:lvlText w:val="%7."/>
      <w:lvlJc w:val="left"/>
      <w:pPr>
        <w:ind w:left="5040" w:hanging="360"/>
      </w:pPr>
    </w:lvl>
    <w:lvl w:ilvl="7" w:tplc="459A9762">
      <w:start w:val="1"/>
      <w:numFmt w:val="lowerLetter"/>
      <w:lvlText w:val="%8."/>
      <w:lvlJc w:val="left"/>
      <w:pPr>
        <w:ind w:left="5760" w:hanging="360"/>
      </w:pPr>
    </w:lvl>
    <w:lvl w:ilvl="8" w:tplc="0D98F17C">
      <w:start w:val="1"/>
      <w:numFmt w:val="lowerRoman"/>
      <w:lvlText w:val="%9."/>
      <w:lvlJc w:val="right"/>
      <w:pPr>
        <w:ind w:left="6480" w:hanging="180"/>
      </w:pPr>
    </w:lvl>
  </w:abstractNum>
  <w:abstractNum w:abstractNumId="13" w15:restartNumberingAfterBreak="0">
    <w:nsid w:val="3C76FDD2"/>
    <w:multiLevelType w:val="hybridMultilevel"/>
    <w:tmpl w:val="FFFFFFFF"/>
    <w:lvl w:ilvl="0" w:tplc="9DBA69B0">
      <w:start w:val="1"/>
      <w:numFmt w:val="bullet"/>
      <w:lvlText w:val=""/>
      <w:lvlJc w:val="left"/>
      <w:pPr>
        <w:ind w:left="720" w:hanging="360"/>
      </w:pPr>
      <w:rPr>
        <w:rFonts w:hint="default" w:ascii="Symbol" w:hAnsi="Symbol"/>
      </w:rPr>
    </w:lvl>
    <w:lvl w:ilvl="1" w:tplc="26C47AE4">
      <w:start w:val="1"/>
      <w:numFmt w:val="bullet"/>
      <w:lvlText w:val="o"/>
      <w:lvlJc w:val="left"/>
      <w:pPr>
        <w:ind w:left="1440" w:hanging="360"/>
      </w:pPr>
      <w:rPr>
        <w:rFonts w:hint="default" w:ascii="Courier New" w:hAnsi="Courier New"/>
      </w:rPr>
    </w:lvl>
    <w:lvl w:ilvl="2" w:tplc="DFA2028C">
      <w:start w:val="1"/>
      <w:numFmt w:val="bullet"/>
      <w:lvlText w:val=""/>
      <w:lvlJc w:val="left"/>
      <w:pPr>
        <w:ind w:left="2160" w:hanging="360"/>
      </w:pPr>
      <w:rPr>
        <w:rFonts w:hint="default" w:ascii="Wingdings" w:hAnsi="Wingdings"/>
      </w:rPr>
    </w:lvl>
    <w:lvl w:ilvl="3" w:tplc="139CAAC0">
      <w:start w:val="1"/>
      <w:numFmt w:val="bullet"/>
      <w:lvlText w:val=""/>
      <w:lvlJc w:val="left"/>
      <w:pPr>
        <w:ind w:left="2880" w:hanging="360"/>
      </w:pPr>
      <w:rPr>
        <w:rFonts w:hint="default" w:ascii="Symbol" w:hAnsi="Symbol"/>
      </w:rPr>
    </w:lvl>
    <w:lvl w:ilvl="4" w:tplc="F72E6A7E">
      <w:start w:val="1"/>
      <w:numFmt w:val="bullet"/>
      <w:lvlText w:val="o"/>
      <w:lvlJc w:val="left"/>
      <w:pPr>
        <w:ind w:left="3600" w:hanging="360"/>
      </w:pPr>
      <w:rPr>
        <w:rFonts w:hint="default" w:ascii="Courier New" w:hAnsi="Courier New"/>
      </w:rPr>
    </w:lvl>
    <w:lvl w:ilvl="5" w:tplc="BE7C0A7C">
      <w:start w:val="1"/>
      <w:numFmt w:val="bullet"/>
      <w:lvlText w:val=""/>
      <w:lvlJc w:val="left"/>
      <w:pPr>
        <w:ind w:left="4320" w:hanging="360"/>
      </w:pPr>
      <w:rPr>
        <w:rFonts w:hint="default" w:ascii="Wingdings" w:hAnsi="Wingdings"/>
      </w:rPr>
    </w:lvl>
    <w:lvl w:ilvl="6" w:tplc="AB3480D2">
      <w:start w:val="1"/>
      <w:numFmt w:val="bullet"/>
      <w:lvlText w:val=""/>
      <w:lvlJc w:val="left"/>
      <w:pPr>
        <w:ind w:left="5040" w:hanging="360"/>
      </w:pPr>
      <w:rPr>
        <w:rFonts w:hint="default" w:ascii="Symbol" w:hAnsi="Symbol"/>
      </w:rPr>
    </w:lvl>
    <w:lvl w:ilvl="7" w:tplc="8312AD6E">
      <w:start w:val="1"/>
      <w:numFmt w:val="bullet"/>
      <w:lvlText w:val="o"/>
      <w:lvlJc w:val="left"/>
      <w:pPr>
        <w:ind w:left="5760" w:hanging="360"/>
      </w:pPr>
      <w:rPr>
        <w:rFonts w:hint="default" w:ascii="Courier New" w:hAnsi="Courier New"/>
      </w:rPr>
    </w:lvl>
    <w:lvl w:ilvl="8" w:tplc="FFA04AAE">
      <w:start w:val="1"/>
      <w:numFmt w:val="bullet"/>
      <w:lvlText w:val=""/>
      <w:lvlJc w:val="left"/>
      <w:pPr>
        <w:ind w:left="6480" w:hanging="360"/>
      </w:pPr>
      <w:rPr>
        <w:rFonts w:hint="default" w:ascii="Wingdings" w:hAnsi="Wingdings"/>
      </w:rPr>
    </w:lvl>
  </w:abstractNum>
  <w:abstractNum w:abstractNumId="14" w15:restartNumberingAfterBreak="0">
    <w:nsid w:val="42A41490"/>
    <w:multiLevelType w:val="hybridMultilevel"/>
    <w:tmpl w:val="FFFFFFFF"/>
    <w:lvl w:ilvl="0" w:tplc="2FCAC9DE">
      <w:start w:val="1"/>
      <w:numFmt w:val="bullet"/>
      <w:lvlText w:val=""/>
      <w:lvlJc w:val="left"/>
      <w:pPr>
        <w:ind w:left="720" w:hanging="360"/>
      </w:pPr>
      <w:rPr>
        <w:rFonts w:hint="default" w:ascii="Symbol" w:hAnsi="Symbol"/>
      </w:rPr>
    </w:lvl>
    <w:lvl w:ilvl="1" w:tplc="C324E992">
      <w:start w:val="1"/>
      <w:numFmt w:val="bullet"/>
      <w:lvlText w:val="o"/>
      <w:lvlJc w:val="left"/>
      <w:pPr>
        <w:ind w:left="1440" w:hanging="360"/>
      </w:pPr>
      <w:rPr>
        <w:rFonts w:hint="default" w:ascii="Courier New" w:hAnsi="Courier New"/>
      </w:rPr>
    </w:lvl>
    <w:lvl w:ilvl="2" w:tplc="4B521D5E">
      <w:start w:val="1"/>
      <w:numFmt w:val="bullet"/>
      <w:lvlText w:val=""/>
      <w:lvlJc w:val="left"/>
      <w:pPr>
        <w:ind w:left="2160" w:hanging="360"/>
      </w:pPr>
      <w:rPr>
        <w:rFonts w:hint="default" w:ascii="Wingdings" w:hAnsi="Wingdings"/>
      </w:rPr>
    </w:lvl>
    <w:lvl w:ilvl="3" w:tplc="EC065606">
      <w:start w:val="1"/>
      <w:numFmt w:val="bullet"/>
      <w:lvlText w:val=""/>
      <w:lvlJc w:val="left"/>
      <w:pPr>
        <w:ind w:left="2880" w:hanging="360"/>
      </w:pPr>
      <w:rPr>
        <w:rFonts w:hint="default" w:ascii="Symbol" w:hAnsi="Symbol"/>
      </w:rPr>
    </w:lvl>
    <w:lvl w:ilvl="4" w:tplc="B12EDBEE">
      <w:start w:val="1"/>
      <w:numFmt w:val="bullet"/>
      <w:lvlText w:val="o"/>
      <w:lvlJc w:val="left"/>
      <w:pPr>
        <w:ind w:left="3600" w:hanging="360"/>
      </w:pPr>
      <w:rPr>
        <w:rFonts w:hint="default" w:ascii="Courier New" w:hAnsi="Courier New"/>
      </w:rPr>
    </w:lvl>
    <w:lvl w:ilvl="5" w:tplc="BCA4784C">
      <w:start w:val="1"/>
      <w:numFmt w:val="bullet"/>
      <w:lvlText w:val=""/>
      <w:lvlJc w:val="left"/>
      <w:pPr>
        <w:ind w:left="4320" w:hanging="360"/>
      </w:pPr>
      <w:rPr>
        <w:rFonts w:hint="default" w:ascii="Wingdings" w:hAnsi="Wingdings"/>
      </w:rPr>
    </w:lvl>
    <w:lvl w:ilvl="6" w:tplc="6952D4AE">
      <w:start w:val="1"/>
      <w:numFmt w:val="bullet"/>
      <w:lvlText w:val=""/>
      <w:lvlJc w:val="left"/>
      <w:pPr>
        <w:ind w:left="5040" w:hanging="360"/>
      </w:pPr>
      <w:rPr>
        <w:rFonts w:hint="default" w:ascii="Symbol" w:hAnsi="Symbol"/>
      </w:rPr>
    </w:lvl>
    <w:lvl w:ilvl="7" w:tplc="9C2E20FA">
      <w:start w:val="1"/>
      <w:numFmt w:val="bullet"/>
      <w:lvlText w:val="o"/>
      <w:lvlJc w:val="left"/>
      <w:pPr>
        <w:ind w:left="5760" w:hanging="360"/>
      </w:pPr>
      <w:rPr>
        <w:rFonts w:hint="default" w:ascii="Courier New" w:hAnsi="Courier New"/>
      </w:rPr>
    </w:lvl>
    <w:lvl w:ilvl="8" w:tplc="761A444E">
      <w:start w:val="1"/>
      <w:numFmt w:val="bullet"/>
      <w:lvlText w:val=""/>
      <w:lvlJc w:val="left"/>
      <w:pPr>
        <w:ind w:left="6480" w:hanging="360"/>
      </w:pPr>
      <w:rPr>
        <w:rFonts w:hint="default" w:ascii="Wingdings" w:hAnsi="Wingdings"/>
      </w:rPr>
    </w:lvl>
  </w:abstractNum>
  <w:abstractNum w:abstractNumId="15" w15:restartNumberingAfterBreak="0">
    <w:nsid w:val="46A4C33D"/>
    <w:multiLevelType w:val="hybridMultilevel"/>
    <w:tmpl w:val="FFFFFFFF"/>
    <w:lvl w:ilvl="0" w:tplc="D702ED3E">
      <w:start w:val="1"/>
      <w:numFmt w:val="decimal"/>
      <w:lvlText w:val="%1."/>
      <w:lvlJc w:val="left"/>
      <w:pPr>
        <w:ind w:left="720" w:hanging="360"/>
      </w:pPr>
    </w:lvl>
    <w:lvl w:ilvl="1" w:tplc="0FF44028">
      <w:start w:val="1"/>
      <w:numFmt w:val="lowerLetter"/>
      <w:lvlText w:val="%2."/>
      <w:lvlJc w:val="left"/>
      <w:pPr>
        <w:ind w:left="1440" w:hanging="360"/>
      </w:pPr>
    </w:lvl>
    <w:lvl w:ilvl="2" w:tplc="9E5822F0">
      <w:start w:val="1"/>
      <w:numFmt w:val="lowerRoman"/>
      <w:lvlText w:val="%3."/>
      <w:lvlJc w:val="right"/>
      <w:pPr>
        <w:ind w:left="2160" w:hanging="180"/>
      </w:pPr>
    </w:lvl>
    <w:lvl w:ilvl="3" w:tplc="BC94154C">
      <w:start w:val="1"/>
      <w:numFmt w:val="decimal"/>
      <w:lvlText w:val="%4."/>
      <w:lvlJc w:val="left"/>
      <w:pPr>
        <w:ind w:left="2880" w:hanging="360"/>
      </w:pPr>
    </w:lvl>
    <w:lvl w:ilvl="4" w:tplc="49720500">
      <w:start w:val="1"/>
      <w:numFmt w:val="lowerLetter"/>
      <w:lvlText w:val="%5."/>
      <w:lvlJc w:val="left"/>
      <w:pPr>
        <w:ind w:left="3600" w:hanging="360"/>
      </w:pPr>
    </w:lvl>
    <w:lvl w:ilvl="5" w:tplc="46C68544">
      <w:start w:val="1"/>
      <w:numFmt w:val="lowerRoman"/>
      <w:lvlText w:val="%6."/>
      <w:lvlJc w:val="right"/>
      <w:pPr>
        <w:ind w:left="4320" w:hanging="180"/>
      </w:pPr>
    </w:lvl>
    <w:lvl w:ilvl="6" w:tplc="FF063F48">
      <w:start w:val="1"/>
      <w:numFmt w:val="decimal"/>
      <w:lvlText w:val="%7."/>
      <w:lvlJc w:val="left"/>
      <w:pPr>
        <w:ind w:left="5040" w:hanging="360"/>
      </w:pPr>
    </w:lvl>
    <w:lvl w:ilvl="7" w:tplc="FB0A6AA4">
      <w:start w:val="1"/>
      <w:numFmt w:val="lowerLetter"/>
      <w:lvlText w:val="%8."/>
      <w:lvlJc w:val="left"/>
      <w:pPr>
        <w:ind w:left="5760" w:hanging="360"/>
      </w:pPr>
    </w:lvl>
    <w:lvl w:ilvl="8" w:tplc="A57E61BC">
      <w:start w:val="1"/>
      <w:numFmt w:val="lowerRoman"/>
      <w:lvlText w:val="%9."/>
      <w:lvlJc w:val="right"/>
      <w:pPr>
        <w:ind w:left="6480" w:hanging="180"/>
      </w:pPr>
    </w:lvl>
  </w:abstractNum>
  <w:abstractNum w:abstractNumId="16" w15:restartNumberingAfterBreak="0">
    <w:nsid w:val="480DC980"/>
    <w:multiLevelType w:val="hybridMultilevel"/>
    <w:tmpl w:val="FFFFFFFF"/>
    <w:lvl w:ilvl="0" w:tplc="6DFA87E2">
      <w:start w:val="1"/>
      <w:numFmt w:val="decimal"/>
      <w:lvlText w:val="%1."/>
      <w:lvlJc w:val="left"/>
      <w:pPr>
        <w:ind w:left="720" w:hanging="360"/>
      </w:pPr>
    </w:lvl>
    <w:lvl w:ilvl="1" w:tplc="70ACCF3C">
      <w:start w:val="1"/>
      <w:numFmt w:val="lowerLetter"/>
      <w:lvlText w:val="%2."/>
      <w:lvlJc w:val="left"/>
      <w:pPr>
        <w:ind w:left="1440" w:hanging="360"/>
      </w:pPr>
    </w:lvl>
    <w:lvl w:ilvl="2" w:tplc="B5DAF2A6">
      <w:start w:val="1"/>
      <w:numFmt w:val="lowerRoman"/>
      <w:lvlText w:val="%3."/>
      <w:lvlJc w:val="right"/>
      <w:pPr>
        <w:ind w:left="2160" w:hanging="180"/>
      </w:pPr>
    </w:lvl>
    <w:lvl w:ilvl="3" w:tplc="75221298">
      <w:start w:val="1"/>
      <w:numFmt w:val="decimal"/>
      <w:lvlText w:val="%4."/>
      <w:lvlJc w:val="left"/>
      <w:pPr>
        <w:ind w:left="2880" w:hanging="360"/>
      </w:pPr>
    </w:lvl>
    <w:lvl w:ilvl="4" w:tplc="A49457D4">
      <w:start w:val="1"/>
      <w:numFmt w:val="lowerLetter"/>
      <w:lvlText w:val="%5."/>
      <w:lvlJc w:val="left"/>
      <w:pPr>
        <w:ind w:left="3600" w:hanging="360"/>
      </w:pPr>
    </w:lvl>
    <w:lvl w:ilvl="5" w:tplc="CDDC03BA">
      <w:start w:val="1"/>
      <w:numFmt w:val="lowerRoman"/>
      <w:lvlText w:val="%6."/>
      <w:lvlJc w:val="right"/>
      <w:pPr>
        <w:ind w:left="4320" w:hanging="180"/>
      </w:pPr>
    </w:lvl>
    <w:lvl w:ilvl="6" w:tplc="4D566FC0">
      <w:start w:val="1"/>
      <w:numFmt w:val="decimal"/>
      <w:lvlText w:val="%7."/>
      <w:lvlJc w:val="left"/>
      <w:pPr>
        <w:ind w:left="5040" w:hanging="360"/>
      </w:pPr>
    </w:lvl>
    <w:lvl w:ilvl="7" w:tplc="88664000">
      <w:start w:val="1"/>
      <w:numFmt w:val="lowerLetter"/>
      <w:lvlText w:val="%8."/>
      <w:lvlJc w:val="left"/>
      <w:pPr>
        <w:ind w:left="5760" w:hanging="360"/>
      </w:pPr>
    </w:lvl>
    <w:lvl w:ilvl="8" w:tplc="BDA63AE2">
      <w:start w:val="1"/>
      <w:numFmt w:val="lowerRoman"/>
      <w:lvlText w:val="%9."/>
      <w:lvlJc w:val="right"/>
      <w:pPr>
        <w:ind w:left="6480" w:hanging="180"/>
      </w:pPr>
    </w:lvl>
  </w:abstractNum>
  <w:abstractNum w:abstractNumId="17" w15:restartNumberingAfterBreak="0">
    <w:nsid w:val="511A17CA"/>
    <w:multiLevelType w:val="hybridMultilevel"/>
    <w:tmpl w:val="FFFFFFFF"/>
    <w:lvl w:ilvl="0" w:tplc="1CF09224">
      <w:start w:val="1"/>
      <w:numFmt w:val="decimal"/>
      <w:lvlText w:val="%1."/>
      <w:lvlJc w:val="left"/>
      <w:pPr>
        <w:ind w:left="720" w:hanging="360"/>
      </w:pPr>
    </w:lvl>
    <w:lvl w:ilvl="1" w:tplc="FED60CA8">
      <w:start w:val="1"/>
      <w:numFmt w:val="lowerLetter"/>
      <w:lvlText w:val="%2."/>
      <w:lvlJc w:val="left"/>
      <w:pPr>
        <w:ind w:left="1440" w:hanging="360"/>
      </w:pPr>
    </w:lvl>
    <w:lvl w:ilvl="2" w:tplc="E48EB4A6">
      <w:start w:val="1"/>
      <w:numFmt w:val="lowerRoman"/>
      <w:lvlText w:val="%3."/>
      <w:lvlJc w:val="right"/>
      <w:pPr>
        <w:ind w:left="2160" w:hanging="180"/>
      </w:pPr>
    </w:lvl>
    <w:lvl w:ilvl="3" w:tplc="BD120904">
      <w:start w:val="1"/>
      <w:numFmt w:val="decimal"/>
      <w:lvlText w:val="%4."/>
      <w:lvlJc w:val="left"/>
      <w:pPr>
        <w:ind w:left="2880" w:hanging="360"/>
      </w:pPr>
    </w:lvl>
    <w:lvl w:ilvl="4" w:tplc="3BA21DD8">
      <w:start w:val="1"/>
      <w:numFmt w:val="lowerLetter"/>
      <w:lvlText w:val="%5."/>
      <w:lvlJc w:val="left"/>
      <w:pPr>
        <w:ind w:left="3600" w:hanging="360"/>
      </w:pPr>
    </w:lvl>
    <w:lvl w:ilvl="5" w:tplc="3580DEA0">
      <w:start w:val="1"/>
      <w:numFmt w:val="lowerRoman"/>
      <w:lvlText w:val="%6."/>
      <w:lvlJc w:val="right"/>
      <w:pPr>
        <w:ind w:left="4320" w:hanging="180"/>
      </w:pPr>
    </w:lvl>
    <w:lvl w:ilvl="6" w:tplc="517672A2">
      <w:start w:val="1"/>
      <w:numFmt w:val="decimal"/>
      <w:lvlText w:val="%7."/>
      <w:lvlJc w:val="left"/>
      <w:pPr>
        <w:ind w:left="5040" w:hanging="360"/>
      </w:pPr>
    </w:lvl>
    <w:lvl w:ilvl="7" w:tplc="22A6C75C">
      <w:start w:val="1"/>
      <w:numFmt w:val="lowerLetter"/>
      <w:lvlText w:val="%8."/>
      <w:lvlJc w:val="left"/>
      <w:pPr>
        <w:ind w:left="5760" w:hanging="360"/>
      </w:pPr>
    </w:lvl>
    <w:lvl w:ilvl="8" w:tplc="A6B28DB4">
      <w:start w:val="1"/>
      <w:numFmt w:val="lowerRoman"/>
      <w:lvlText w:val="%9."/>
      <w:lvlJc w:val="right"/>
      <w:pPr>
        <w:ind w:left="6480" w:hanging="180"/>
      </w:pPr>
    </w:lvl>
  </w:abstractNum>
  <w:abstractNum w:abstractNumId="18" w15:restartNumberingAfterBreak="0">
    <w:nsid w:val="5394F6E7"/>
    <w:multiLevelType w:val="hybridMultilevel"/>
    <w:tmpl w:val="FFFFFFFF"/>
    <w:lvl w:ilvl="0" w:tplc="AA40E45A">
      <w:start w:val="1"/>
      <w:numFmt w:val="decimal"/>
      <w:lvlText w:val="%1."/>
      <w:lvlJc w:val="left"/>
      <w:pPr>
        <w:ind w:left="720" w:hanging="360"/>
      </w:pPr>
    </w:lvl>
    <w:lvl w:ilvl="1" w:tplc="E00235EC">
      <w:start w:val="1"/>
      <w:numFmt w:val="lowerLetter"/>
      <w:lvlText w:val="%2."/>
      <w:lvlJc w:val="left"/>
      <w:pPr>
        <w:ind w:left="1440" w:hanging="360"/>
      </w:pPr>
    </w:lvl>
    <w:lvl w:ilvl="2" w:tplc="F9827ADC">
      <w:start w:val="1"/>
      <w:numFmt w:val="lowerRoman"/>
      <w:lvlText w:val="%3."/>
      <w:lvlJc w:val="right"/>
      <w:pPr>
        <w:ind w:left="2160" w:hanging="180"/>
      </w:pPr>
    </w:lvl>
    <w:lvl w:ilvl="3" w:tplc="EA98518A">
      <w:start w:val="1"/>
      <w:numFmt w:val="decimal"/>
      <w:lvlText w:val="%4."/>
      <w:lvlJc w:val="left"/>
      <w:pPr>
        <w:ind w:left="2880" w:hanging="360"/>
      </w:pPr>
    </w:lvl>
    <w:lvl w:ilvl="4" w:tplc="749C0CB2">
      <w:start w:val="1"/>
      <w:numFmt w:val="lowerLetter"/>
      <w:lvlText w:val="%5."/>
      <w:lvlJc w:val="left"/>
      <w:pPr>
        <w:ind w:left="3600" w:hanging="360"/>
      </w:pPr>
    </w:lvl>
    <w:lvl w:ilvl="5" w:tplc="88A6E148">
      <w:start w:val="1"/>
      <w:numFmt w:val="lowerRoman"/>
      <w:lvlText w:val="%6."/>
      <w:lvlJc w:val="right"/>
      <w:pPr>
        <w:ind w:left="4320" w:hanging="180"/>
      </w:pPr>
    </w:lvl>
    <w:lvl w:ilvl="6" w:tplc="025E3EBE">
      <w:start w:val="1"/>
      <w:numFmt w:val="decimal"/>
      <w:lvlText w:val="%7."/>
      <w:lvlJc w:val="left"/>
      <w:pPr>
        <w:ind w:left="5040" w:hanging="360"/>
      </w:pPr>
    </w:lvl>
    <w:lvl w:ilvl="7" w:tplc="903CEE9C">
      <w:start w:val="1"/>
      <w:numFmt w:val="lowerLetter"/>
      <w:lvlText w:val="%8."/>
      <w:lvlJc w:val="left"/>
      <w:pPr>
        <w:ind w:left="5760" w:hanging="360"/>
      </w:pPr>
    </w:lvl>
    <w:lvl w:ilvl="8" w:tplc="98C4FFA4">
      <w:start w:val="1"/>
      <w:numFmt w:val="lowerRoman"/>
      <w:lvlText w:val="%9."/>
      <w:lvlJc w:val="right"/>
      <w:pPr>
        <w:ind w:left="6480" w:hanging="180"/>
      </w:pPr>
    </w:lvl>
  </w:abstractNum>
  <w:abstractNum w:abstractNumId="19" w15:restartNumberingAfterBreak="0">
    <w:nsid w:val="555701B3"/>
    <w:multiLevelType w:val="hybridMultilevel"/>
    <w:tmpl w:val="FFFFFFFF"/>
    <w:lvl w:ilvl="0" w:tplc="1598CCB8">
      <w:start w:val="1"/>
      <w:numFmt w:val="decimal"/>
      <w:lvlText w:val="%1."/>
      <w:lvlJc w:val="left"/>
      <w:pPr>
        <w:ind w:left="720" w:hanging="360"/>
      </w:pPr>
    </w:lvl>
    <w:lvl w:ilvl="1" w:tplc="5F00DA28">
      <w:start w:val="1"/>
      <w:numFmt w:val="lowerLetter"/>
      <w:lvlText w:val="%2."/>
      <w:lvlJc w:val="left"/>
      <w:pPr>
        <w:ind w:left="1440" w:hanging="360"/>
      </w:pPr>
    </w:lvl>
    <w:lvl w:ilvl="2" w:tplc="DB305AA0">
      <w:start w:val="1"/>
      <w:numFmt w:val="lowerRoman"/>
      <w:lvlText w:val="%3."/>
      <w:lvlJc w:val="right"/>
      <w:pPr>
        <w:ind w:left="2160" w:hanging="180"/>
      </w:pPr>
    </w:lvl>
    <w:lvl w:ilvl="3" w:tplc="246A7182">
      <w:start w:val="1"/>
      <w:numFmt w:val="decimal"/>
      <w:lvlText w:val="%4."/>
      <w:lvlJc w:val="left"/>
      <w:pPr>
        <w:ind w:left="2880" w:hanging="360"/>
      </w:pPr>
    </w:lvl>
    <w:lvl w:ilvl="4" w:tplc="2C1441F4">
      <w:start w:val="1"/>
      <w:numFmt w:val="lowerLetter"/>
      <w:lvlText w:val="%5."/>
      <w:lvlJc w:val="left"/>
      <w:pPr>
        <w:ind w:left="3600" w:hanging="360"/>
      </w:pPr>
    </w:lvl>
    <w:lvl w:ilvl="5" w:tplc="C05E883A">
      <w:start w:val="1"/>
      <w:numFmt w:val="lowerRoman"/>
      <w:lvlText w:val="%6."/>
      <w:lvlJc w:val="right"/>
      <w:pPr>
        <w:ind w:left="4320" w:hanging="180"/>
      </w:pPr>
    </w:lvl>
    <w:lvl w:ilvl="6" w:tplc="96026672">
      <w:start w:val="1"/>
      <w:numFmt w:val="decimal"/>
      <w:lvlText w:val="%7."/>
      <w:lvlJc w:val="left"/>
      <w:pPr>
        <w:ind w:left="5040" w:hanging="360"/>
      </w:pPr>
    </w:lvl>
    <w:lvl w:ilvl="7" w:tplc="A47EE7B6">
      <w:start w:val="1"/>
      <w:numFmt w:val="lowerLetter"/>
      <w:lvlText w:val="%8."/>
      <w:lvlJc w:val="left"/>
      <w:pPr>
        <w:ind w:left="5760" w:hanging="360"/>
      </w:pPr>
    </w:lvl>
    <w:lvl w:ilvl="8" w:tplc="F82EABEC">
      <w:start w:val="1"/>
      <w:numFmt w:val="lowerRoman"/>
      <w:lvlText w:val="%9."/>
      <w:lvlJc w:val="right"/>
      <w:pPr>
        <w:ind w:left="6480" w:hanging="180"/>
      </w:pPr>
    </w:lvl>
  </w:abstractNum>
  <w:abstractNum w:abstractNumId="20" w15:restartNumberingAfterBreak="0">
    <w:nsid w:val="5A8658AE"/>
    <w:multiLevelType w:val="hybridMultilevel"/>
    <w:tmpl w:val="FFFFFFFF"/>
    <w:lvl w:ilvl="0" w:tplc="51B4E352">
      <w:start w:val="1"/>
      <w:numFmt w:val="bullet"/>
      <w:lvlText w:val=""/>
      <w:lvlJc w:val="left"/>
      <w:pPr>
        <w:ind w:left="720" w:hanging="360"/>
      </w:pPr>
      <w:rPr>
        <w:rFonts w:hint="default" w:ascii="Symbol" w:hAnsi="Symbol"/>
      </w:rPr>
    </w:lvl>
    <w:lvl w:ilvl="1" w:tplc="599AED32">
      <w:start w:val="1"/>
      <w:numFmt w:val="bullet"/>
      <w:lvlText w:val="o"/>
      <w:lvlJc w:val="left"/>
      <w:pPr>
        <w:ind w:left="1440" w:hanging="360"/>
      </w:pPr>
      <w:rPr>
        <w:rFonts w:hint="default" w:ascii="Courier New" w:hAnsi="Courier New"/>
      </w:rPr>
    </w:lvl>
    <w:lvl w:ilvl="2" w:tplc="1C402F6E">
      <w:start w:val="1"/>
      <w:numFmt w:val="bullet"/>
      <w:lvlText w:val=""/>
      <w:lvlJc w:val="left"/>
      <w:pPr>
        <w:ind w:left="2160" w:hanging="360"/>
      </w:pPr>
      <w:rPr>
        <w:rFonts w:hint="default" w:ascii="Wingdings" w:hAnsi="Wingdings"/>
      </w:rPr>
    </w:lvl>
    <w:lvl w:ilvl="3" w:tplc="D51C359C">
      <w:start w:val="1"/>
      <w:numFmt w:val="bullet"/>
      <w:lvlText w:val=""/>
      <w:lvlJc w:val="left"/>
      <w:pPr>
        <w:ind w:left="2880" w:hanging="360"/>
      </w:pPr>
      <w:rPr>
        <w:rFonts w:hint="default" w:ascii="Symbol" w:hAnsi="Symbol"/>
      </w:rPr>
    </w:lvl>
    <w:lvl w:ilvl="4" w:tplc="2CA63EA2">
      <w:start w:val="1"/>
      <w:numFmt w:val="bullet"/>
      <w:lvlText w:val="o"/>
      <w:lvlJc w:val="left"/>
      <w:pPr>
        <w:ind w:left="3600" w:hanging="360"/>
      </w:pPr>
      <w:rPr>
        <w:rFonts w:hint="default" w:ascii="Courier New" w:hAnsi="Courier New"/>
      </w:rPr>
    </w:lvl>
    <w:lvl w:ilvl="5" w:tplc="186C3214">
      <w:start w:val="1"/>
      <w:numFmt w:val="bullet"/>
      <w:lvlText w:val=""/>
      <w:lvlJc w:val="left"/>
      <w:pPr>
        <w:ind w:left="4320" w:hanging="360"/>
      </w:pPr>
      <w:rPr>
        <w:rFonts w:hint="default" w:ascii="Wingdings" w:hAnsi="Wingdings"/>
      </w:rPr>
    </w:lvl>
    <w:lvl w:ilvl="6" w:tplc="97D44EF4">
      <w:start w:val="1"/>
      <w:numFmt w:val="bullet"/>
      <w:lvlText w:val=""/>
      <w:lvlJc w:val="left"/>
      <w:pPr>
        <w:ind w:left="5040" w:hanging="360"/>
      </w:pPr>
      <w:rPr>
        <w:rFonts w:hint="default" w:ascii="Symbol" w:hAnsi="Symbol"/>
      </w:rPr>
    </w:lvl>
    <w:lvl w:ilvl="7" w:tplc="4336BA08">
      <w:start w:val="1"/>
      <w:numFmt w:val="bullet"/>
      <w:lvlText w:val="o"/>
      <w:lvlJc w:val="left"/>
      <w:pPr>
        <w:ind w:left="5760" w:hanging="360"/>
      </w:pPr>
      <w:rPr>
        <w:rFonts w:hint="default" w:ascii="Courier New" w:hAnsi="Courier New"/>
      </w:rPr>
    </w:lvl>
    <w:lvl w:ilvl="8" w:tplc="6AD02388">
      <w:start w:val="1"/>
      <w:numFmt w:val="bullet"/>
      <w:lvlText w:val=""/>
      <w:lvlJc w:val="left"/>
      <w:pPr>
        <w:ind w:left="6480" w:hanging="360"/>
      </w:pPr>
      <w:rPr>
        <w:rFonts w:hint="default" w:ascii="Wingdings" w:hAnsi="Wingdings"/>
      </w:rPr>
    </w:lvl>
  </w:abstractNum>
  <w:abstractNum w:abstractNumId="21" w15:restartNumberingAfterBreak="0">
    <w:nsid w:val="68491F2D"/>
    <w:multiLevelType w:val="hybridMultilevel"/>
    <w:tmpl w:val="FFFFFFFF"/>
    <w:lvl w:ilvl="0" w:tplc="15A82546">
      <w:start w:val="1"/>
      <w:numFmt w:val="bullet"/>
      <w:lvlText w:val=""/>
      <w:lvlJc w:val="left"/>
      <w:pPr>
        <w:ind w:left="720" w:hanging="360"/>
      </w:pPr>
      <w:rPr>
        <w:rFonts w:hint="default" w:ascii="Symbol" w:hAnsi="Symbol"/>
      </w:rPr>
    </w:lvl>
    <w:lvl w:ilvl="1" w:tplc="4F1A19F6">
      <w:start w:val="1"/>
      <w:numFmt w:val="bullet"/>
      <w:lvlText w:val="o"/>
      <w:lvlJc w:val="left"/>
      <w:pPr>
        <w:ind w:left="1440" w:hanging="360"/>
      </w:pPr>
      <w:rPr>
        <w:rFonts w:hint="default" w:ascii="Courier New" w:hAnsi="Courier New"/>
      </w:rPr>
    </w:lvl>
    <w:lvl w:ilvl="2" w:tplc="55F2BF46">
      <w:start w:val="1"/>
      <w:numFmt w:val="bullet"/>
      <w:lvlText w:val=""/>
      <w:lvlJc w:val="left"/>
      <w:pPr>
        <w:ind w:left="2160" w:hanging="360"/>
      </w:pPr>
      <w:rPr>
        <w:rFonts w:hint="default" w:ascii="Wingdings" w:hAnsi="Wingdings"/>
      </w:rPr>
    </w:lvl>
    <w:lvl w:ilvl="3" w:tplc="99FE4B32">
      <w:start w:val="1"/>
      <w:numFmt w:val="bullet"/>
      <w:lvlText w:val=""/>
      <w:lvlJc w:val="left"/>
      <w:pPr>
        <w:ind w:left="2880" w:hanging="360"/>
      </w:pPr>
      <w:rPr>
        <w:rFonts w:hint="default" w:ascii="Symbol" w:hAnsi="Symbol"/>
      </w:rPr>
    </w:lvl>
    <w:lvl w:ilvl="4" w:tplc="383E3018">
      <w:start w:val="1"/>
      <w:numFmt w:val="bullet"/>
      <w:lvlText w:val="o"/>
      <w:lvlJc w:val="left"/>
      <w:pPr>
        <w:ind w:left="3600" w:hanging="360"/>
      </w:pPr>
      <w:rPr>
        <w:rFonts w:hint="default" w:ascii="Courier New" w:hAnsi="Courier New"/>
      </w:rPr>
    </w:lvl>
    <w:lvl w:ilvl="5" w:tplc="7518A7EA">
      <w:start w:val="1"/>
      <w:numFmt w:val="bullet"/>
      <w:lvlText w:val=""/>
      <w:lvlJc w:val="left"/>
      <w:pPr>
        <w:ind w:left="4320" w:hanging="360"/>
      </w:pPr>
      <w:rPr>
        <w:rFonts w:hint="default" w:ascii="Wingdings" w:hAnsi="Wingdings"/>
      </w:rPr>
    </w:lvl>
    <w:lvl w:ilvl="6" w:tplc="2CECC6CE">
      <w:start w:val="1"/>
      <w:numFmt w:val="bullet"/>
      <w:lvlText w:val=""/>
      <w:lvlJc w:val="left"/>
      <w:pPr>
        <w:ind w:left="5040" w:hanging="360"/>
      </w:pPr>
      <w:rPr>
        <w:rFonts w:hint="default" w:ascii="Symbol" w:hAnsi="Symbol"/>
      </w:rPr>
    </w:lvl>
    <w:lvl w:ilvl="7" w:tplc="72D48AEA">
      <w:start w:val="1"/>
      <w:numFmt w:val="bullet"/>
      <w:lvlText w:val="o"/>
      <w:lvlJc w:val="left"/>
      <w:pPr>
        <w:ind w:left="5760" w:hanging="360"/>
      </w:pPr>
      <w:rPr>
        <w:rFonts w:hint="default" w:ascii="Courier New" w:hAnsi="Courier New"/>
      </w:rPr>
    </w:lvl>
    <w:lvl w:ilvl="8" w:tplc="C3D441DE">
      <w:start w:val="1"/>
      <w:numFmt w:val="bullet"/>
      <w:lvlText w:val=""/>
      <w:lvlJc w:val="left"/>
      <w:pPr>
        <w:ind w:left="6480" w:hanging="360"/>
      </w:pPr>
      <w:rPr>
        <w:rFonts w:hint="default" w:ascii="Wingdings" w:hAnsi="Wingdings"/>
      </w:rPr>
    </w:lvl>
  </w:abstractNum>
  <w:abstractNum w:abstractNumId="22" w15:restartNumberingAfterBreak="0">
    <w:nsid w:val="763981DF"/>
    <w:multiLevelType w:val="hybridMultilevel"/>
    <w:tmpl w:val="FFFFFFFF"/>
    <w:lvl w:ilvl="0" w:tplc="6302A304">
      <w:start w:val="1"/>
      <w:numFmt w:val="decimal"/>
      <w:lvlText w:val="%1."/>
      <w:lvlJc w:val="left"/>
      <w:pPr>
        <w:ind w:left="720" w:hanging="360"/>
      </w:pPr>
    </w:lvl>
    <w:lvl w:ilvl="1" w:tplc="5EAAF71A">
      <w:start w:val="1"/>
      <w:numFmt w:val="lowerLetter"/>
      <w:lvlText w:val="%2."/>
      <w:lvlJc w:val="left"/>
      <w:pPr>
        <w:ind w:left="1440" w:hanging="360"/>
      </w:pPr>
    </w:lvl>
    <w:lvl w:ilvl="2" w:tplc="6D46A1D8">
      <w:start w:val="1"/>
      <w:numFmt w:val="lowerRoman"/>
      <w:lvlText w:val="%3."/>
      <w:lvlJc w:val="right"/>
      <w:pPr>
        <w:ind w:left="2160" w:hanging="180"/>
      </w:pPr>
    </w:lvl>
    <w:lvl w:ilvl="3" w:tplc="46A0EECE">
      <w:start w:val="1"/>
      <w:numFmt w:val="decimal"/>
      <w:lvlText w:val="%4."/>
      <w:lvlJc w:val="left"/>
      <w:pPr>
        <w:ind w:left="2880" w:hanging="360"/>
      </w:pPr>
    </w:lvl>
    <w:lvl w:ilvl="4" w:tplc="0CA80E14">
      <w:start w:val="1"/>
      <w:numFmt w:val="lowerLetter"/>
      <w:lvlText w:val="%5."/>
      <w:lvlJc w:val="left"/>
      <w:pPr>
        <w:ind w:left="3600" w:hanging="360"/>
      </w:pPr>
    </w:lvl>
    <w:lvl w:ilvl="5" w:tplc="61488526">
      <w:start w:val="1"/>
      <w:numFmt w:val="lowerRoman"/>
      <w:lvlText w:val="%6."/>
      <w:lvlJc w:val="right"/>
      <w:pPr>
        <w:ind w:left="4320" w:hanging="180"/>
      </w:pPr>
    </w:lvl>
    <w:lvl w:ilvl="6" w:tplc="95402242">
      <w:start w:val="1"/>
      <w:numFmt w:val="decimal"/>
      <w:lvlText w:val="%7."/>
      <w:lvlJc w:val="left"/>
      <w:pPr>
        <w:ind w:left="5040" w:hanging="360"/>
      </w:pPr>
    </w:lvl>
    <w:lvl w:ilvl="7" w:tplc="9EB279F4">
      <w:start w:val="1"/>
      <w:numFmt w:val="lowerLetter"/>
      <w:lvlText w:val="%8."/>
      <w:lvlJc w:val="left"/>
      <w:pPr>
        <w:ind w:left="5760" w:hanging="360"/>
      </w:pPr>
    </w:lvl>
    <w:lvl w:ilvl="8" w:tplc="2188CAB4">
      <w:start w:val="1"/>
      <w:numFmt w:val="lowerRoman"/>
      <w:lvlText w:val="%9."/>
      <w:lvlJc w:val="right"/>
      <w:pPr>
        <w:ind w:left="6480" w:hanging="180"/>
      </w:pPr>
    </w:lvl>
  </w:abstractNum>
  <w:num w:numId="26">
    <w:abstractNumId w:val="25"/>
  </w:num>
  <w:num w:numId="25">
    <w:abstractNumId w:val="24"/>
  </w:num>
  <w:num w:numId="24">
    <w:abstractNumId w:val="23"/>
  </w:num>
  <w:num w:numId="1" w16cid:durableId="737630752">
    <w:abstractNumId w:val="2"/>
  </w:num>
  <w:num w:numId="2" w16cid:durableId="816459816">
    <w:abstractNumId w:val="11"/>
  </w:num>
  <w:num w:numId="3" w16cid:durableId="741416685">
    <w:abstractNumId w:val="3"/>
  </w:num>
  <w:num w:numId="4" w16cid:durableId="308020445">
    <w:abstractNumId w:val="9"/>
  </w:num>
  <w:num w:numId="5" w16cid:durableId="37898847">
    <w:abstractNumId w:val="16"/>
  </w:num>
  <w:num w:numId="6" w16cid:durableId="420176873">
    <w:abstractNumId w:val="7"/>
  </w:num>
  <w:num w:numId="7" w16cid:durableId="434666547">
    <w:abstractNumId w:val="0"/>
  </w:num>
  <w:num w:numId="8" w16cid:durableId="916744782">
    <w:abstractNumId w:val="18"/>
  </w:num>
  <w:num w:numId="9" w16cid:durableId="752245813">
    <w:abstractNumId w:val="17"/>
  </w:num>
  <w:num w:numId="10" w16cid:durableId="1852184412">
    <w:abstractNumId w:val="22"/>
  </w:num>
  <w:num w:numId="11" w16cid:durableId="930700971">
    <w:abstractNumId w:val="1"/>
  </w:num>
  <w:num w:numId="12" w16cid:durableId="1867403607">
    <w:abstractNumId w:val="12"/>
  </w:num>
  <w:num w:numId="13" w16cid:durableId="599991207">
    <w:abstractNumId w:val="14"/>
  </w:num>
  <w:num w:numId="14" w16cid:durableId="449009140">
    <w:abstractNumId w:val="5"/>
  </w:num>
  <w:num w:numId="15" w16cid:durableId="1998532120">
    <w:abstractNumId w:val="19"/>
  </w:num>
  <w:num w:numId="16" w16cid:durableId="949625861">
    <w:abstractNumId w:val="6"/>
  </w:num>
  <w:num w:numId="17" w16cid:durableId="1519999622">
    <w:abstractNumId w:val="8"/>
  </w:num>
  <w:num w:numId="18" w16cid:durableId="68697686">
    <w:abstractNumId w:val="13"/>
  </w:num>
  <w:num w:numId="19" w16cid:durableId="1058478302">
    <w:abstractNumId w:val="15"/>
  </w:num>
  <w:num w:numId="20" w16cid:durableId="706175340">
    <w:abstractNumId w:val="4"/>
  </w:num>
  <w:num w:numId="21" w16cid:durableId="2126774738">
    <w:abstractNumId w:val="10"/>
  </w:num>
  <w:num w:numId="22" w16cid:durableId="1856071762">
    <w:abstractNumId w:val="21"/>
  </w:num>
  <w:num w:numId="23" w16cid:durableId="386924793">
    <w:abstractNumId w:val="2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A0424E"/>
    <w:rsid w:val="000E16BB"/>
    <w:rsid w:val="001BA99A"/>
    <w:rsid w:val="002918EC"/>
    <w:rsid w:val="00297F86"/>
    <w:rsid w:val="002E0E7E"/>
    <w:rsid w:val="002F6B9D"/>
    <w:rsid w:val="003B3A8A"/>
    <w:rsid w:val="003C251D"/>
    <w:rsid w:val="003D3741"/>
    <w:rsid w:val="003F01D0"/>
    <w:rsid w:val="004630DF"/>
    <w:rsid w:val="0048107B"/>
    <w:rsid w:val="004D6B55"/>
    <w:rsid w:val="005D3086"/>
    <w:rsid w:val="005E3E03"/>
    <w:rsid w:val="006242AA"/>
    <w:rsid w:val="00626E19"/>
    <w:rsid w:val="006813E2"/>
    <w:rsid w:val="00726B32"/>
    <w:rsid w:val="007819F9"/>
    <w:rsid w:val="00803512"/>
    <w:rsid w:val="008C5054"/>
    <w:rsid w:val="0092557A"/>
    <w:rsid w:val="009437F5"/>
    <w:rsid w:val="00976845"/>
    <w:rsid w:val="0098C871"/>
    <w:rsid w:val="009D3B8D"/>
    <w:rsid w:val="00A1407B"/>
    <w:rsid w:val="00A35658"/>
    <w:rsid w:val="00A40A9C"/>
    <w:rsid w:val="00AF207A"/>
    <w:rsid w:val="00B12801"/>
    <w:rsid w:val="00B22C75"/>
    <w:rsid w:val="00B82C8D"/>
    <w:rsid w:val="00B87702"/>
    <w:rsid w:val="00D03AA9"/>
    <w:rsid w:val="00DC58E9"/>
    <w:rsid w:val="00E200A6"/>
    <w:rsid w:val="00E9173E"/>
    <w:rsid w:val="00F01B05"/>
    <w:rsid w:val="00F24309"/>
    <w:rsid w:val="01367DD1"/>
    <w:rsid w:val="0157677D"/>
    <w:rsid w:val="016F07E7"/>
    <w:rsid w:val="018A090C"/>
    <w:rsid w:val="0190B674"/>
    <w:rsid w:val="01E3E532"/>
    <w:rsid w:val="02B3048B"/>
    <w:rsid w:val="02BE5AEC"/>
    <w:rsid w:val="02DB29A4"/>
    <w:rsid w:val="03037351"/>
    <w:rsid w:val="0326DD3C"/>
    <w:rsid w:val="0360C1D6"/>
    <w:rsid w:val="036B6A06"/>
    <w:rsid w:val="036E4AA5"/>
    <w:rsid w:val="03AF0661"/>
    <w:rsid w:val="03DBCBAA"/>
    <w:rsid w:val="0403C9E3"/>
    <w:rsid w:val="040D8962"/>
    <w:rsid w:val="04253B7F"/>
    <w:rsid w:val="04269D48"/>
    <w:rsid w:val="04435CB1"/>
    <w:rsid w:val="046D2A9B"/>
    <w:rsid w:val="048B9116"/>
    <w:rsid w:val="04C5D0FB"/>
    <w:rsid w:val="04CECBB9"/>
    <w:rsid w:val="04F3F5F7"/>
    <w:rsid w:val="050FC757"/>
    <w:rsid w:val="05214336"/>
    <w:rsid w:val="0531A757"/>
    <w:rsid w:val="056B24E4"/>
    <w:rsid w:val="056B24E4"/>
    <w:rsid w:val="056B654C"/>
    <w:rsid w:val="05B00A43"/>
    <w:rsid w:val="05C1CA04"/>
    <w:rsid w:val="05D914FF"/>
    <w:rsid w:val="05E86F07"/>
    <w:rsid w:val="05EFE226"/>
    <w:rsid w:val="05F4CB56"/>
    <w:rsid w:val="0620E9FD"/>
    <w:rsid w:val="063B22B9"/>
    <w:rsid w:val="0666F8B5"/>
    <w:rsid w:val="0685E592"/>
    <w:rsid w:val="06A21734"/>
    <w:rsid w:val="06BA0205"/>
    <w:rsid w:val="06D4CD46"/>
    <w:rsid w:val="06E0FE69"/>
    <w:rsid w:val="06E245FF"/>
    <w:rsid w:val="071C9259"/>
    <w:rsid w:val="0737EB81"/>
    <w:rsid w:val="07B80698"/>
    <w:rsid w:val="0819DE17"/>
    <w:rsid w:val="08236FF2"/>
    <w:rsid w:val="0825913D"/>
    <w:rsid w:val="082B286D"/>
    <w:rsid w:val="083A3252"/>
    <w:rsid w:val="083F0CE6"/>
    <w:rsid w:val="0848EBCF"/>
    <w:rsid w:val="084D68DE"/>
    <w:rsid w:val="08850EB8"/>
    <w:rsid w:val="0921E492"/>
    <w:rsid w:val="094CDB80"/>
    <w:rsid w:val="09633274"/>
    <w:rsid w:val="096C4A11"/>
    <w:rsid w:val="096F9AF1"/>
    <w:rsid w:val="09719E0D"/>
    <w:rsid w:val="0975E509"/>
    <w:rsid w:val="09769B0E"/>
    <w:rsid w:val="0985F0EF"/>
    <w:rsid w:val="09996514"/>
    <w:rsid w:val="09E28CB4"/>
    <w:rsid w:val="09F41F25"/>
    <w:rsid w:val="0A20BE54"/>
    <w:rsid w:val="0A6F65A1"/>
    <w:rsid w:val="0A7AB561"/>
    <w:rsid w:val="0ABCB650"/>
    <w:rsid w:val="0ACF3846"/>
    <w:rsid w:val="0AE25408"/>
    <w:rsid w:val="0AEFBF8F"/>
    <w:rsid w:val="0B4D5B34"/>
    <w:rsid w:val="0B4F1029"/>
    <w:rsid w:val="0B76D1A0"/>
    <w:rsid w:val="0B7F70E6"/>
    <w:rsid w:val="0BB9285C"/>
    <w:rsid w:val="0BDFA4E5"/>
    <w:rsid w:val="0BE991DC"/>
    <w:rsid w:val="0C04BA31"/>
    <w:rsid w:val="0C120D2D"/>
    <w:rsid w:val="0C4C30CE"/>
    <w:rsid w:val="0C5BE0D3"/>
    <w:rsid w:val="0C6D1278"/>
    <w:rsid w:val="0C7D9A4C"/>
    <w:rsid w:val="0CDEFDDB"/>
    <w:rsid w:val="0CDF9AC3"/>
    <w:rsid w:val="0CFF64F0"/>
    <w:rsid w:val="0D215774"/>
    <w:rsid w:val="0D255468"/>
    <w:rsid w:val="0D2D4A6A"/>
    <w:rsid w:val="0D7A7519"/>
    <w:rsid w:val="0D8B12D8"/>
    <w:rsid w:val="0D971E61"/>
    <w:rsid w:val="0D98525D"/>
    <w:rsid w:val="0DA030BE"/>
    <w:rsid w:val="0DF18E1A"/>
    <w:rsid w:val="0E17CF48"/>
    <w:rsid w:val="0E1A4715"/>
    <w:rsid w:val="0E1E2BBF"/>
    <w:rsid w:val="0E39D34B"/>
    <w:rsid w:val="0E3DA309"/>
    <w:rsid w:val="0E901BF3"/>
    <w:rsid w:val="0E971F02"/>
    <w:rsid w:val="0EAE23EC"/>
    <w:rsid w:val="0EB03306"/>
    <w:rsid w:val="0EDFDF17"/>
    <w:rsid w:val="0EEEF625"/>
    <w:rsid w:val="0F10E9AC"/>
    <w:rsid w:val="0F77898C"/>
    <w:rsid w:val="0F823E1F"/>
    <w:rsid w:val="0FB4125A"/>
    <w:rsid w:val="0FC93236"/>
    <w:rsid w:val="0FCC294B"/>
    <w:rsid w:val="0FD0239E"/>
    <w:rsid w:val="0FD71C32"/>
    <w:rsid w:val="100555F3"/>
    <w:rsid w:val="101869EA"/>
    <w:rsid w:val="101A336E"/>
    <w:rsid w:val="10219402"/>
    <w:rsid w:val="103C5D2E"/>
    <w:rsid w:val="1067A48A"/>
    <w:rsid w:val="10696E74"/>
    <w:rsid w:val="109AD821"/>
    <w:rsid w:val="10D9EA81"/>
    <w:rsid w:val="10E2AEBA"/>
    <w:rsid w:val="10FED7A1"/>
    <w:rsid w:val="114FC531"/>
    <w:rsid w:val="1167DBCF"/>
    <w:rsid w:val="1194C3CD"/>
    <w:rsid w:val="11D5F6A4"/>
    <w:rsid w:val="12371452"/>
    <w:rsid w:val="1241B02D"/>
    <w:rsid w:val="127F1915"/>
    <w:rsid w:val="12C46A0E"/>
    <w:rsid w:val="12C47A3D"/>
    <w:rsid w:val="12C57528"/>
    <w:rsid w:val="12DA7DC1"/>
    <w:rsid w:val="12FB2D07"/>
    <w:rsid w:val="131D14C3"/>
    <w:rsid w:val="1326F83E"/>
    <w:rsid w:val="13296194"/>
    <w:rsid w:val="1337A894"/>
    <w:rsid w:val="1366D843"/>
    <w:rsid w:val="137CD66C"/>
    <w:rsid w:val="1382D418"/>
    <w:rsid w:val="1387F3B6"/>
    <w:rsid w:val="13E78B4C"/>
    <w:rsid w:val="1400954A"/>
    <w:rsid w:val="14287994"/>
    <w:rsid w:val="144158A8"/>
    <w:rsid w:val="144C2CEB"/>
    <w:rsid w:val="144D8F19"/>
    <w:rsid w:val="1465C4CC"/>
    <w:rsid w:val="14691310"/>
    <w:rsid w:val="1479FAEF"/>
    <w:rsid w:val="148477CC"/>
    <w:rsid w:val="14DA5F99"/>
    <w:rsid w:val="14DB02F5"/>
    <w:rsid w:val="14FCB0DB"/>
    <w:rsid w:val="1511CFC5"/>
    <w:rsid w:val="1528D145"/>
    <w:rsid w:val="155A6340"/>
    <w:rsid w:val="1580DF94"/>
    <w:rsid w:val="15A436E0"/>
    <w:rsid w:val="15B47911"/>
    <w:rsid w:val="15F8295A"/>
    <w:rsid w:val="15FA2E30"/>
    <w:rsid w:val="1607489F"/>
    <w:rsid w:val="161448F2"/>
    <w:rsid w:val="16283835"/>
    <w:rsid w:val="16316268"/>
    <w:rsid w:val="169553A3"/>
    <w:rsid w:val="16B7C644"/>
    <w:rsid w:val="16CC68C6"/>
    <w:rsid w:val="16F71723"/>
    <w:rsid w:val="170480F7"/>
    <w:rsid w:val="1723DF55"/>
    <w:rsid w:val="1755A34B"/>
    <w:rsid w:val="1763F87C"/>
    <w:rsid w:val="1764B23A"/>
    <w:rsid w:val="17D1E9E7"/>
    <w:rsid w:val="17E2733A"/>
    <w:rsid w:val="17F88DE8"/>
    <w:rsid w:val="182265C4"/>
    <w:rsid w:val="184C7CD7"/>
    <w:rsid w:val="18543D64"/>
    <w:rsid w:val="1855A012"/>
    <w:rsid w:val="185BA37B"/>
    <w:rsid w:val="18AF8217"/>
    <w:rsid w:val="18DB01CE"/>
    <w:rsid w:val="18DDD485"/>
    <w:rsid w:val="19167D35"/>
    <w:rsid w:val="1980E189"/>
    <w:rsid w:val="198B4D83"/>
    <w:rsid w:val="19E4CDC5"/>
    <w:rsid w:val="1A205CD4"/>
    <w:rsid w:val="1A23C813"/>
    <w:rsid w:val="1A5ABAD9"/>
    <w:rsid w:val="1A60740F"/>
    <w:rsid w:val="1A62132B"/>
    <w:rsid w:val="1A83D16F"/>
    <w:rsid w:val="1AE5DE6A"/>
    <w:rsid w:val="1AE5DFB2"/>
    <w:rsid w:val="1AE841BF"/>
    <w:rsid w:val="1B093ED0"/>
    <w:rsid w:val="1B5C9B31"/>
    <w:rsid w:val="1B7560AF"/>
    <w:rsid w:val="1B79621F"/>
    <w:rsid w:val="1B825D87"/>
    <w:rsid w:val="1B834CE0"/>
    <w:rsid w:val="1B8CE1FA"/>
    <w:rsid w:val="1BFA49F5"/>
    <w:rsid w:val="1C3D92DE"/>
    <w:rsid w:val="1C6A24E2"/>
    <w:rsid w:val="1CD14CD7"/>
    <w:rsid w:val="1CDCF0BF"/>
    <w:rsid w:val="1CDDAF3B"/>
    <w:rsid w:val="1CFE6CF5"/>
    <w:rsid w:val="1D1D7371"/>
    <w:rsid w:val="1D5736CE"/>
    <w:rsid w:val="1DC057F8"/>
    <w:rsid w:val="1DC6448C"/>
    <w:rsid w:val="1DE6189D"/>
    <w:rsid w:val="1E0A56DD"/>
    <w:rsid w:val="1E1EB72C"/>
    <w:rsid w:val="1E2AA7F3"/>
    <w:rsid w:val="1E2CA13B"/>
    <w:rsid w:val="1E62333F"/>
    <w:rsid w:val="1E63165B"/>
    <w:rsid w:val="1E8D62AD"/>
    <w:rsid w:val="1EF225A0"/>
    <w:rsid w:val="1EFA0317"/>
    <w:rsid w:val="1EFD7AC1"/>
    <w:rsid w:val="1F4F5F08"/>
    <w:rsid w:val="1F944A0F"/>
    <w:rsid w:val="1F957B9D"/>
    <w:rsid w:val="1FAF3EFA"/>
    <w:rsid w:val="1FD359E9"/>
    <w:rsid w:val="1FE1C3F0"/>
    <w:rsid w:val="2009A7AE"/>
    <w:rsid w:val="2034A986"/>
    <w:rsid w:val="203E5E5C"/>
    <w:rsid w:val="20656FC3"/>
    <w:rsid w:val="2068E686"/>
    <w:rsid w:val="2069F8B0"/>
    <w:rsid w:val="209B7153"/>
    <w:rsid w:val="20C09608"/>
    <w:rsid w:val="20CBD6C0"/>
    <w:rsid w:val="20D766F7"/>
    <w:rsid w:val="21995164"/>
    <w:rsid w:val="21A02111"/>
    <w:rsid w:val="220FFF7E"/>
    <w:rsid w:val="2228FF00"/>
    <w:rsid w:val="2276695E"/>
    <w:rsid w:val="22AB31DF"/>
    <w:rsid w:val="22BA66C2"/>
    <w:rsid w:val="22D135EE"/>
    <w:rsid w:val="231AEF6C"/>
    <w:rsid w:val="231BC7FA"/>
    <w:rsid w:val="23363EFC"/>
    <w:rsid w:val="2344F4BE"/>
    <w:rsid w:val="2349AAF4"/>
    <w:rsid w:val="235498DC"/>
    <w:rsid w:val="236B9E45"/>
    <w:rsid w:val="237C4858"/>
    <w:rsid w:val="23AD7A76"/>
    <w:rsid w:val="23EC3400"/>
    <w:rsid w:val="24047D31"/>
    <w:rsid w:val="2405093D"/>
    <w:rsid w:val="2405E4F8"/>
    <w:rsid w:val="243D034B"/>
    <w:rsid w:val="2494DFA4"/>
    <w:rsid w:val="24A533D8"/>
    <w:rsid w:val="24CA0D3A"/>
    <w:rsid w:val="24E7CF0F"/>
    <w:rsid w:val="2573C76D"/>
    <w:rsid w:val="2580D4C5"/>
    <w:rsid w:val="25E85AC2"/>
    <w:rsid w:val="2611717B"/>
    <w:rsid w:val="2627B3C5"/>
    <w:rsid w:val="263D8D2D"/>
    <w:rsid w:val="2647D1B3"/>
    <w:rsid w:val="26A13CFD"/>
    <w:rsid w:val="26B04D9D"/>
    <w:rsid w:val="26D8019C"/>
    <w:rsid w:val="27536EB0"/>
    <w:rsid w:val="2766C5E4"/>
    <w:rsid w:val="27693590"/>
    <w:rsid w:val="279C9C60"/>
    <w:rsid w:val="27EFE96B"/>
    <w:rsid w:val="27F0C645"/>
    <w:rsid w:val="283DECD6"/>
    <w:rsid w:val="284F0D30"/>
    <w:rsid w:val="28A13050"/>
    <w:rsid w:val="28EAEC48"/>
    <w:rsid w:val="29109279"/>
    <w:rsid w:val="2956AE8F"/>
    <w:rsid w:val="295A4393"/>
    <w:rsid w:val="2967ED32"/>
    <w:rsid w:val="297769DA"/>
    <w:rsid w:val="299FC638"/>
    <w:rsid w:val="29A7DD25"/>
    <w:rsid w:val="29C78423"/>
    <w:rsid w:val="29E2C4E0"/>
    <w:rsid w:val="29E572F5"/>
    <w:rsid w:val="2A47EE35"/>
    <w:rsid w:val="2A7F01D1"/>
    <w:rsid w:val="2A9B2F67"/>
    <w:rsid w:val="2B092A9F"/>
    <w:rsid w:val="2B12BB82"/>
    <w:rsid w:val="2B3775FA"/>
    <w:rsid w:val="2B3CE865"/>
    <w:rsid w:val="2B412D6D"/>
    <w:rsid w:val="2B425DD7"/>
    <w:rsid w:val="2B779A4A"/>
    <w:rsid w:val="2B8247C1"/>
    <w:rsid w:val="2B9F31AE"/>
    <w:rsid w:val="2BA54F30"/>
    <w:rsid w:val="2BBC05BF"/>
    <w:rsid w:val="2BE729F8"/>
    <w:rsid w:val="2C53B980"/>
    <w:rsid w:val="2C5DFDAD"/>
    <w:rsid w:val="2C91D06E"/>
    <w:rsid w:val="2C9F9B37"/>
    <w:rsid w:val="2CA943AC"/>
    <w:rsid w:val="2CBF2A1B"/>
    <w:rsid w:val="2CC640ED"/>
    <w:rsid w:val="2CC942B5"/>
    <w:rsid w:val="2CE8B650"/>
    <w:rsid w:val="2CF2C6F8"/>
    <w:rsid w:val="2D2C64FD"/>
    <w:rsid w:val="2D61C693"/>
    <w:rsid w:val="2D71A3EB"/>
    <w:rsid w:val="2D765AE6"/>
    <w:rsid w:val="2D78CE9F"/>
    <w:rsid w:val="2D8C9E3B"/>
    <w:rsid w:val="2D9E617F"/>
    <w:rsid w:val="2DC2AB64"/>
    <w:rsid w:val="2DDDD1D0"/>
    <w:rsid w:val="2DED333F"/>
    <w:rsid w:val="2DF37A59"/>
    <w:rsid w:val="2E31B1B4"/>
    <w:rsid w:val="2E36F42E"/>
    <w:rsid w:val="2E36F42E"/>
    <w:rsid w:val="2E4B1192"/>
    <w:rsid w:val="2E83C2FF"/>
    <w:rsid w:val="2EDC1DDA"/>
    <w:rsid w:val="2F7B62B3"/>
    <w:rsid w:val="2F9DB161"/>
    <w:rsid w:val="2F9EBAE0"/>
    <w:rsid w:val="2FA9421D"/>
    <w:rsid w:val="2FCEF3A9"/>
    <w:rsid w:val="2FD0843E"/>
    <w:rsid w:val="2FFDEF25"/>
    <w:rsid w:val="300F3B5D"/>
    <w:rsid w:val="301105A5"/>
    <w:rsid w:val="301BF5D0"/>
    <w:rsid w:val="302CD9A6"/>
    <w:rsid w:val="302D7085"/>
    <w:rsid w:val="307EE334"/>
    <w:rsid w:val="30A73CB6"/>
    <w:rsid w:val="30A9E348"/>
    <w:rsid w:val="30C054B6"/>
    <w:rsid w:val="30E6D6EF"/>
    <w:rsid w:val="30E6DABF"/>
    <w:rsid w:val="30FF2180"/>
    <w:rsid w:val="31448FA8"/>
    <w:rsid w:val="3146073D"/>
    <w:rsid w:val="315B9DF7"/>
    <w:rsid w:val="315ED482"/>
    <w:rsid w:val="317A81FC"/>
    <w:rsid w:val="31B4B8D8"/>
    <w:rsid w:val="31C4968D"/>
    <w:rsid w:val="31EE028E"/>
    <w:rsid w:val="32119EB5"/>
    <w:rsid w:val="3225A11F"/>
    <w:rsid w:val="323D6A32"/>
    <w:rsid w:val="329AE037"/>
    <w:rsid w:val="329E5379"/>
    <w:rsid w:val="32B315E2"/>
    <w:rsid w:val="32C94B6B"/>
    <w:rsid w:val="334F0F41"/>
    <w:rsid w:val="33690FF3"/>
    <w:rsid w:val="337122C7"/>
    <w:rsid w:val="33835A25"/>
    <w:rsid w:val="33CD6109"/>
    <w:rsid w:val="33F948D0"/>
    <w:rsid w:val="3425DD37"/>
    <w:rsid w:val="3466A48B"/>
    <w:rsid w:val="34D816A4"/>
    <w:rsid w:val="34E65B70"/>
    <w:rsid w:val="3521F302"/>
    <w:rsid w:val="3524A924"/>
    <w:rsid w:val="353353AA"/>
    <w:rsid w:val="35468701"/>
    <w:rsid w:val="3558D9B3"/>
    <w:rsid w:val="360D9E33"/>
    <w:rsid w:val="3672EB0C"/>
    <w:rsid w:val="3672EB0C"/>
    <w:rsid w:val="3675E266"/>
    <w:rsid w:val="3685A674"/>
    <w:rsid w:val="36A8E675"/>
    <w:rsid w:val="36B0F64D"/>
    <w:rsid w:val="36C5CE37"/>
    <w:rsid w:val="37075908"/>
    <w:rsid w:val="37078275"/>
    <w:rsid w:val="3710C57D"/>
    <w:rsid w:val="37257BE4"/>
    <w:rsid w:val="3749B132"/>
    <w:rsid w:val="37675622"/>
    <w:rsid w:val="37AD7C09"/>
    <w:rsid w:val="37E247D4"/>
    <w:rsid w:val="37E7080C"/>
    <w:rsid w:val="38174935"/>
    <w:rsid w:val="382DC2C0"/>
    <w:rsid w:val="38373700"/>
    <w:rsid w:val="38888276"/>
    <w:rsid w:val="38A37E75"/>
    <w:rsid w:val="38D0264C"/>
    <w:rsid w:val="38F5BAE6"/>
    <w:rsid w:val="3906CDE7"/>
    <w:rsid w:val="3911B7E0"/>
    <w:rsid w:val="39404EB8"/>
    <w:rsid w:val="3965590B"/>
    <w:rsid w:val="399407DA"/>
    <w:rsid w:val="399A099F"/>
    <w:rsid w:val="39AE5E35"/>
    <w:rsid w:val="39B99A99"/>
    <w:rsid w:val="39D8E01E"/>
    <w:rsid w:val="3A3BF4D0"/>
    <w:rsid w:val="3A441F38"/>
    <w:rsid w:val="3A5D3DE0"/>
    <w:rsid w:val="3A9018D5"/>
    <w:rsid w:val="3AC1400B"/>
    <w:rsid w:val="3AD194AC"/>
    <w:rsid w:val="3AD23B5E"/>
    <w:rsid w:val="3B0E16EF"/>
    <w:rsid w:val="3B1AE4E1"/>
    <w:rsid w:val="3B536EC0"/>
    <w:rsid w:val="3B53F179"/>
    <w:rsid w:val="3B8216FF"/>
    <w:rsid w:val="3B9C2622"/>
    <w:rsid w:val="3C2D079C"/>
    <w:rsid w:val="3C3B7714"/>
    <w:rsid w:val="3C626476"/>
    <w:rsid w:val="3C973BFA"/>
    <w:rsid w:val="3CB2D662"/>
    <w:rsid w:val="3CCD7E28"/>
    <w:rsid w:val="3CD67A56"/>
    <w:rsid w:val="3D3FFCC2"/>
    <w:rsid w:val="3D84C4D1"/>
    <w:rsid w:val="3DA343D3"/>
    <w:rsid w:val="3DA96249"/>
    <w:rsid w:val="3DBF794E"/>
    <w:rsid w:val="3DBF794E"/>
    <w:rsid w:val="3DC23AED"/>
    <w:rsid w:val="3DC4B5FF"/>
    <w:rsid w:val="3DE3539E"/>
    <w:rsid w:val="3DF7CEA7"/>
    <w:rsid w:val="3E1552DB"/>
    <w:rsid w:val="3E156B1C"/>
    <w:rsid w:val="3E164709"/>
    <w:rsid w:val="3E675D41"/>
    <w:rsid w:val="3E853336"/>
    <w:rsid w:val="3E9B3634"/>
    <w:rsid w:val="3EB977F6"/>
    <w:rsid w:val="3EEA8B0B"/>
    <w:rsid w:val="3F30037B"/>
    <w:rsid w:val="3F58F332"/>
    <w:rsid w:val="3F5CF7C0"/>
    <w:rsid w:val="3F846550"/>
    <w:rsid w:val="3FB08DFA"/>
    <w:rsid w:val="3FB48320"/>
    <w:rsid w:val="3FD66253"/>
    <w:rsid w:val="40274022"/>
    <w:rsid w:val="4034CB00"/>
    <w:rsid w:val="405E9568"/>
    <w:rsid w:val="40701BA1"/>
    <w:rsid w:val="407A9C76"/>
    <w:rsid w:val="40864215"/>
    <w:rsid w:val="408E6F04"/>
    <w:rsid w:val="40A71202"/>
    <w:rsid w:val="40AD2822"/>
    <w:rsid w:val="40B1018E"/>
    <w:rsid w:val="40C3BE2F"/>
    <w:rsid w:val="40C912CD"/>
    <w:rsid w:val="40CBE5F7"/>
    <w:rsid w:val="40CCEB48"/>
    <w:rsid w:val="40ED7BFD"/>
    <w:rsid w:val="40F087DD"/>
    <w:rsid w:val="412452F8"/>
    <w:rsid w:val="413BEBC1"/>
    <w:rsid w:val="4162A6F0"/>
    <w:rsid w:val="417361B0"/>
    <w:rsid w:val="418C9CC0"/>
    <w:rsid w:val="419BA846"/>
    <w:rsid w:val="41AB95A8"/>
    <w:rsid w:val="421EAEC6"/>
    <w:rsid w:val="424A6AA8"/>
    <w:rsid w:val="4257A921"/>
    <w:rsid w:val="425A5662"/>
    <w:rsid w:val="43081872"/>
    <w:rsid w:val="4309F613"/>
    <w:rsid w:val="431AC249"/>
    <w:rsid w:val="4359CCE5"/>
    <w:rsid w:val="437C2442"/>
    <w:rsid w:val="438681AB"/>
    <w:rsid w:val="43C06C26"/>
    <w:rsid w:val="440FD0D6"/>
    <w:rsid w:val="444635B1"/>
    <w:rsid w:val="4454B8E7"/>
    <w:rsid w:val="44556086"/>
    <w:rsid w:val="4457578C"/>
    <w:rsid w:val="4467B37D"/>
    <w:rsid w:val="4483304E"/>
    <w:rsid w:val="449251CA"/>
    <w:rsid w:val="44B355E3"/>
    <w:rsid w:val="44D0B8DC"/>
    <w:rsid w:val="45168492"/>
    <w:rsid w:val="4520725F"/>
    <w:rsid w:val="454C6908"/>
    <w:rsid w:val="454E2147"/>
    <w:rsid w:val="454E2147"/>
    <w:rsid w:val="4596B396"/>
    <w:rsid w:val="459ADDC8"/>
    <w:rsid w:val="45DAF40D"/>
    <w:rsid w:val="45E234C9"/>
    <w:rsid w:val="461AD90C"/>
    <w:rsid w:val="46631383"/>
    <w:rsid w:val="4673CC2E"/>
    <w:rsid w:val="4694FB19"/>
    <w:rsid w:val="46CD9299"/>
    <w:rsid w:val="46D38010"/>
    <w:rsid w:val="46E10883"/>
    <w:rsid w:val="46F42CDA"/>
    <w:rsid w:val="470623F4"/>
    <w:rsid w:val="470B4D39"/>
    <w:rsid w:val="47491430"/>
    <w:rsid w:val="47530523"/>
    <w:rsid w:val="47648461"/>
    <w:rsid w:val="47702A77"/>
    <w:rsid w:val="47A6C8F8"/>
    <w:rsid w:val="47A9D3AE"/>
    <w:rsid w:val="47EB8C76"/>
    <w:rsid w:val="4815165D"/>
    <w:rsid w:val="483C4E0B"/>
    <w:rsid w:val="48DA7EA8"/>
    <w:rsid w:val="492BD75C"/>
    <w:rsid w:val="492C0A0A"/>
    <w:rsid w:val="493FFFD5"/>
    <w:rsid w:val="496265EE"/>
    <w:rsid w:val="497208C9"/>
    <w:rsid w:val="497F0078"/>
    <w:rsid w:val="49A9C39D"/>
    <w:rsid w:val="49AF3B22"/>
    <w:rsid w:val="49C234F5"/>
    <w:rsid w:val="4A08BB4B"/>
    <w:rsid w:val="4A0C08D3"/>
    <w:rsid w:val="4A2F4EB7"/>
    <w:rsid w:val="4A4AACC5"/>
    <w:rsid w:val="4A4AB498"/>
    <w:rsid w:val="4A4C92C2"/>
    <w:rsid w:val="4A7E7722"/>
    <w:rsid w:val="4AE674EC"/>
    <w:rsid w:val="4AF1D2BB"/>
    <w:rsid w:val="4B90791B"/>
    <w:rsid w:val="4BBE12BA"/>
    <w:rsid w:val="4BBFBBF1"/>
    <w:rsid w:val="4BC89340"/>
    <w:rsid w:val="4C32B4BA"/>
    <w:rsid w:val="4C417404"/>
    <w:rsid w:val="4C505271"/>
    <w:rsid w:val="4C52A586"/>
    <w:rsid w:val="4C872FF9"/>
    <w:rsid w:val="4C913B41"/>
    <w:rsid w:val="4CB45A7B"/>
    <w:rsid w:val="4CE87FAD"/>
    <w:rsid w:val="4CFAEAE8"/>
    <w:rsid w:val="4D122151"/>
    <w:rsid w:val="4D21E3CE"/>
    <w:rsid w:val="4D7E95C0"/>
    <w:rsid w:val="4D8CDB1D"/>
    <w:rsid w:val="4DA34EA5"/>
    <w:rsid w:val="4DDF5F91"/>
    <w:rsid w:val="4E25F9FA"/>
    <w:rsid w:val="4E3C1813"/>
    <w:rsid w:val="4E644F37"/>
    <w:rsid w:val="4E66FA35"/>
    <w:rsid w:val="4E815DAE"/>
    <w:rsid w:val="4E85B620"/>
    <w:rsid w:val="4EEAF28A"/>
    <w:rsid w:val="4F059BD3"/>
    <w:rsid w:val="4F56714A"/>
    <w:rsid w:val="4F5FFA84"/>
    <w:rsid w:val="4F9F57AA"/>
    <w:rsid w:val="4FA7E318"/>
    <w:rsid w:val="4FC0B1F5"/>
    <w:rsid w:val="4FE7482F"/>
    <w:rsid w:val="4FF98C09"/>
    <w:rsid w:val="50123D6B"/>
    <w:rsid w:val="502C717D"/>
    <w:rsid w:val="5044B168"/>
    <w:rsid w:val="5056B834"/>
    <w:rsid w:val="50B30490"/>
    <w:rsid w:val="50BBD758"/>
    <w:rsid w:val="50E3D1EF"/>
    <w:rsid w:val="50EC4AB9"/>
    <w:rsid w:val="511B145B"/>
    <w:rsid w:val="5141A231"/>
    <w:rsid w:val="51B83CE9"/>
    <w:rsid w:val="51ED3ABD"/>
    <w:rsid w:val="5217BD91"/>
    <w:rsid w:val="521EC42C"/>
    <w:rsid w:val="5272E2A5"/>
    <w:rsid w:val="5280626B"/>
    <w:rsid w:val="5288EF41"/>
    <w:rsid w:val="52A2C877"/>
    <w:rsid w:val="52B0E5E3"/>
    <w:rsid w:val="52B6064C"/>
    <w:rsid w:val="52BD53F6"/>
    <w:rsid w:val="52CA9A9C"/>
    <w:rsid w:val="534FCED8"/>
    <w:rsid w:val="536B798B"/>
    <w:rsid w:val="537F93F8"/>
    <w:rsid w:val="539F7EE0"/>
    <w:rsid w:val="53C8A3D1"/>
    <w:rsid w:val="53DBCE61"/>
    <w:rsid w:val="53ECDB75"/>
    <w:rsid w:val="540E36BA"/>
    <w:rsid w:val="545A091A"/>
    <w:rsid w:val="5490018D"/>
    <w:rsid w:val="54905061"/>
    <w:rsid w:val="5499CCE8"/>
    <w:rsid w:val="54AB588F"/>
    <w:rsid w:val="54AC4B65"/>
    <w:rsid w:val="54C262DC"/>
    <w:rsid w:val="54EA14DF"/>
    <w:rsid w:val="5542003F"/>
    <w:rsid w:val="555EA039"/>
    <w:rsid w:val="556E60D9"/>
    <w:rsid w:val="55BFDDAD"/>
    <w:rsid w:val="560F9975"/>
    <w:rsid w:val="5617CF81"/>
    <w:rsid w:val="56215B65"/>
    <w:rsid w:val="5624A864"/>
    <w:rsid w:val="56DDFF1A"/>
    <w:rsid w:val="56E53E2B"/>
    <w:rsid w:val="5768940B"/>
    <w:rsid w:val="579F57A8"/>
    <w:rsid w:val="57BA901C"/>
    <w:rsid w:val="57C54869"/>
    <w:rsid w:val="57E2ED78"/>
    <w:rsid w:val="5800A22A"/>
    <w:rsid w:val="58064667"/>
    <w:rsid w:val="585F94BA"/>
    <w:rsid w:val="587F9052"/>
    <w:rsid w:val="58B38A49"/>
    <w:rsid w:val="58EC0E35"/>
    <w:rsid w:val="59F6EAFE"/>
    <w:rsid w:val="59FCC2FD"/>
    <w:rsid w:val="5A45E9AA"/>
    <w:rsid w:val="5A584AD8"/>
    <w:rsid w:val="5A73F684"/>
    <w:rsid w:val="5B001C31"/>
    <w:rsid w:val="5B1B85A7"/>
    <w:rsid w:val="5B3BA3B1"/>
    <w:rsid w:val="5B6B7614"/>
    <w:rsid w:val="5BAF2AC4"/>
    <w:rsid w:val="5BC449F3"/>
    <w:rsid w:val="5C43CAFE"/>
    <w:rsid w:val="5CB3CC7F"/>
    <w:rsid w:val="5CFF2386"/>
    <w:rsid w:val="5D718249"/>
    <w:rsid w:val="5DC53713"/>
    <w:rsid w:val="5DF6A619"/>
    <w:rsid w:val="5E03577E"/>
    <w:rsid w:val="5E038798"/>
    <w:rsid w:val="5E2B0CEB"/>
    <w:rsid w:val="5E3FB922"/>
    <w:rsid w:val="5E543660"/>
    <w:rsid w:val="5E901801"/>
    <w:rsid w:val="5EBEEF41"/>
    <w:rsid w:val="5ECF17D9"/>
    <w:rsid w:val="5EEE11EB"/>
    <w:rsid w:val="5EF1F4E1"/>
    <w:rsid w:val="5F008F13"/>
    <w:rsid w:val="5F126865"/>
    <w:rsid w:val="5F1D500E"/>
    <w:rsid w:val="5F3BD5E0"/>
    <w:rsid w:val="5F4ED4A8"/>
    <w:rsid w:val="5F52C0D9"/>
    <w:rsid w:val="5F7517D6"/>
    <w:rsid w:val="5F9FDAB7"/>
    <w:rsid w:val="601868EB"/>
    <w:rsid w:val="601D1F8A"/>
    <w:rsid w:val="601F6694"/>
    <w:rsid w:val="602A58A4"/>
    <w:rsid w:val="60318B82"/>
    <w:rsid w:val="60420C50"/>
    <w:rsid w:val="60698868"/>
    <w:rsid w:val="607DBADF"/>
    <w:rsid w:val="6085C39B"/>
    <w:rsid w:val="6088E9C1"/>
    <w:rsid w:val="60E42559"/>
    <w:rsid w:val="60F3BF1C"/>
    <w:rsid w:val="612DFD14"/>
    <w:rsid w:val="612E7C94"/>
    <w:rsid w:val="61479BEA"/>
    <w:rsid w:val="61593A7E"/>
    <w:rsid w:val="616A21B3"/>
    <w:rsid w:val="61A82B76"/>
    <w:rsid w:val="61FE549D"/>
    <w:rsid w:val="62137BFB"/>
    <w:rsid w:val="622A0753"/>
    <w:rsid w:val="6249C22B"/>
    <w:rsid w:val="6260611B"/>
    <w:rsid w:val="628E8F35"/>
    <w:rsid w:val="62D91B38"/>
    <w:rsid w:val="62DD8AB2"/>
    <w:rsid w:val="62F9FFD7"/>
    <w:rsid w:val="6324AA67"/>
    <w:rsid w:val="632D0BA4"/>
    <w:rsid w:val="63453F4A"/>
    <w:rsid w:val="63711080"/>
    <w:rsid w:val="6374D3B4"/>
    <w:rsid w:val="6394202E"/>
    <w:rsid w:val="6394202E"/>
    <w:rsid w:val="63B1474B"/>
    <w:rsid w:val="63C693BE"/>
    <w:rsid w:val="64299787"/>
    <w:rsid w:val="643A95D8"/>
    <w:rsid w:val="645F801D"/>
    <w:rsid w:val="64AB64F1"/>
    <w:rsid w:val="64ADD402"/>
    <w:rsid w:val="64AF5579"/>
    <w:rsid w:val="64C30AB4"/>
    <w:rsid w:val="64D7E9BD"/>
    <w:rsid w:val="64F20432"/>
    <w:rsid w:val="64FD2A1C"/>
    <w:rsid w:val="651816E4"/>
    <w:rsid w:val="651816E4"/>
    <w:rsid w:val="657DC730"/>
    <w:rsid w:val="65A09485"/>
    <w:rsid w:val="65E9A7FA"/>
    <w:rsid w:val="65FA5C48"/>
    <w:rsid w:val="65FCA697"/>
    <w:rsid w:val="6615C3A9"/>
    <w:rsid w:val="661E7450"/>
    <w:rsid w:val="662C5218"/>
    <w:rsid w:val="663F1227"/>
    <w:rsid w:val="663FEA36"/>
    <w:rsid w:val="6681189B"/>
    <w:rsid w:val="66C3C870"/>
    <w:rsid w:val="670C078C"/>
    <w:rsid w:val="67134939"/>
    <w:rsid w:val="672B13D4"/>
    <w:rsid w:val="67441860"/>
    <w:rsid w:val="6786E6C3"/>
    <w:rsid w:val="678FE180"/>
    <w:rsid w:val="67AC1E7A"/>
    <w:rsid w:val="67AEB6DD"/>
    <w:rsid w:val="67B7D4CD"/>
    <w:rsid w:val="67BDAA5D"/>
    <w:rsid w:val="6857876B"/>
    <w:rsid w:val="6864BB34"/>
    <w:rsid w:val="68712B16"/>
    <w:rsid w:val="687456B8"/>
    <w:rsid w:val="688597D4"/>
    <w:rsid w:val="68B196E7"/>
    <w:rsid w:val="68C23B76"/>
    <w:rsid w:val="690E153F"/>
    <w:rsid w:val="6981F26B"/>
    <w:rsid w:val="6986361A"/>
    <w:rsid w:val="698807C0"/>
    <w:rsid w:val="69A11DE2"/>
    <w:rsid w:val="69CE912F"/>
    <w:rsid w:val="6A365500"/>
    <w:rsid w:val="6A5F43F6"/>
    <w:rsid w:val="6A61BFAD"/>
    <w:rsid w:val="6A6F8E97"/>
    <w:rsid w:val="6A83C20F"/>
    <w:rsid w:val="6A8C0DA2"/>
    <w:rsid w:val="6A9BFD7B"/>
    <w:rsid w:val="6A9DDC8F"/>
    <w:rsid w:val="6AD5C3E1"/>
    <w:rsid w:val="6AED0691"/>
    <w:rsid w:val="6AFAA5B7"/>
    <w:rsid w:val="6B6D540F"/>
    <w:rsid w:val="6BA0424E"/>
    <w:rsid w:val="6C05DD75"/>
    <w:rsid w:val="6C386519"/>
    <w:rsid w:val="6C946ECE"/>
    <w:rsid w:val="6CC54225"/>
    <w:rsid w:val="6D0966F3"/>
    <w:rsid w:val="6D23837D"/>
    <w:rsid w:val="6D6781F3"/>
    <w:rsid w:val="6DA9C3FD"/>
    <w:rsid w:val="6DB0FCE1"/>
    <w:rsid w:val="6DBBFC61"/>
    <w:rsid w:val="6E009CB1"/>
    <w:rsid w:val="6E18D7B0"/>
    <w:rsid w:val="6E3D4473"/>
    <w:rsid w:val="6E676E1A"/>
    <w:rsid w:val="6E67D250"/>
    <w:rsid w:val="6E72EEBB"/>
    <w:rsid w:val="6E86FA78"/>
    <w:rsid w:val="6E922898"/>
    <w:rsid w:val="6EE3A754"/>
    <w:rsid w:val="6F69BFF9"/>
    <w:rsid w:val="6F821ED5"/>
    <w:rsid w:val="6FA497E3"/>
    <w:rsid w:val="6FD58C77"/>
    <w:rsid w:val="700A6D83"/>
    <w:rsid w:val="703653D4"/>
    <w:rsid w:val="70464A43"/>
    <w:rsid w:val="7067D2EB"/>
    <w:rsid w:val="70C3A19F"/>
    <w:rsid w:val="70D5591D"/>
    <w:rsid w:val="70E48CC5"/>
    <w:rsid w:val="70FD8C3E"/>
    <w:rsid w:val="7108849F"/>
    <w:rsid w:val="7123F72D"/>
    <w:rsid w:val="714BD611"/>
    <w:rsid w:val="7159EAA8"/>
    <w:rsid w:val="71628EBF"/>
    <w:rsid w:val="71763C68"/>
    <w:rsid w:val="71BB5E51"/>
    <w:rsid w:val="71EFE228"/>
    <w:rsid w:val="71FBA899"/>
    <w:rsid w:val="722FEA12"/>
    <w:rsid w:val="72347B50"/>
    <w:rsid w:val="72444A77"/>
    <w:rsid w:val="724AC9EE"/>
    <w:rsid w:val="72617343"/>
    <w:rsid w:val="7280AEC6"/>
    <w:rsid w:val="72AD492E"/>
    <w:rsid w:val="72D72E1F"/>
    <w:rsid w:val="733054EE"/>
    <w:rsid w:val="736DD197"/>
    <w:rsid w:val="7370EBC3"/>
    <w:rsid w:val="7371808C"/>
    <w:rsid w:val="737CC2F8"/>
    <w:rsid w:val="737D2E2A"/>
    <w:rsid w:val="73A1B881"/>
    <w:rsid w:val="73B22CE8"/>
    <w:rsid w:val="73B54C82"/>
    <w:rsid w:val="73BC87A8"/>
    <w:rsid w:val="73C0E34F"/>
    <w:rsid w:val="73FC22A7"/>
    <w:rsid w:val="741D9C3E"/>
    <w:rsid w:val="74440F4D"/>
    <w:rsid w:val="74931170"/>
    <w:rsid w:val="74A05FBB"/>
    <w:rsid w:val="74CA4495"/>
    <w:rsid w:val="74E99082"/>
    <w:rsid w:val="752BA9FD"/>
    <w:rsid w:val="7537E605"/>
    <w:rsid w:val="753B42D2"/>
    <w:rsid w:val="75447A92"/>
    <w:rsid w:val="75946714"/>
    <w:rsid w:val="759579E4"/>
    <w:rsid w:val="75E8CFF6"/>
    <w:rsid w:val="76039816"/>
    <w:rsid w:val="7620B9DA"/>
    <w:rsid w:val="76BFB246"/>
    <w:rsid w:val="76CD6122"/>
    <w:rsid w:val="77411682"/>
    <w:rsid w:val="777B45CF"/>
    <w:rsid w:val="77B80739"/>
    <w:rsid w:val="77CBA64E"/>
    <w:rsid w:val="78EE49D5"/>
    <w:rsid w:val="793ABBAD"/>
    <w:rsid w:val="795AC3D3"/>
    <w:rsid w:val="795B0433"/>
    <w:rsid w:val="79837B03"/>
    <w:rsid w:val="79A4DCF6"/>
    <w:rsid w:val="79A5AD6A"/>
    <w:rsid w:val="79A5E0C3"/>
    <w:rsid w:val="79DEAB9C"/>
    <w:rsid w:val="79ED41A5"/>
    <w:rsid w:val="79F1FB24"/>
    <w:rsid w:val="7A0E5C2A"/>
    <w:rsid w:val="7A35F2EC"/>
    <w:rsid w:val="7AE2954B"/>
    <w:rsid w:val="7AEEE684"/>
    <w:rsid w:val="7B0EA57B"/>
    <w:rsid w:val="7B403193"/>
    <w:rsid w:val="7B7FCF6B"/>
    <w:rsid w:val="7BAE9EFC"/>
    <w:rsid w:val="7BC5772F"/>
    <w:rsid w:val="7BC5C628"/>
    <w:rsid w:val="7BF39085"/>
    <w:rsid w:val="7BF49E6B"/>
    <w:rsid w:val="7C0D9BE1"/>
    <w:rsid w:val="7C4FA256"/>
    <w:rsid w:val="7C6CFDBB"/>
    <w:rsid w:val="7C8ED711"/>
    <w:rsid w:val="7CA9E4B9"/>
    <w:rsid w:val="7CBB1789"/>
    <w:rsid w:val="7CED2B6C"/>
    <w:rsid w:val="7D06284E"/>
    <w:rsid w:val="7D0E1CF9"/>
    <w:rsid w:val="7D401E69"/>
    <w:rsid w:val="7D4718CC"/>
    <w:rsid w:val="7D4D516D"/>
    <w:rsid w:val="7D7EC593"/>
    <w:rsid w:val="7DE84819"/>
    <w:rsid w:val="7DE893AD"/>
    <w:rsid w:val="7E1F2575"/>
    <w:rsid w:val="7E20CA06"/>
    <w:rsid w:val="7E2F7D36"/>
    <w:rsid w:val="7E3A8469"/>
    <w:rsid w:val="7ED3228C"/>
    <w:rsid w:val="7EDED644"/>
    <w:rsid w:val="7EFC051C"/>
    <w:rsid w:val="7F241C7E"/>
    <w:rsid w:val="7F26F204"/>
    <w:rsid w:val="7F50C3D3"/>
    <w:rsid w:val="7F7C1F11"/>
    <w:rsid w:val="7F977F01"/>
    <w:rsid w:val="7FBAEB66"/>
    <w:rsid w:val="7FC0F7FC"/>
    <w:rsid w:val="7FC73BC3"/>
    <w:rsid w:val="7FE75B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B622"/>
  <w15:chartTrackingRefBased/>
  <w15:docId w15:val="{B4B60E45-47B1-4F40-922E-9367FDC36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B5C9B31"/>
    <w:rPr>
      <w:lang w:val="en-GB"/>
    </w:rPr>
  </w:style>
  <w:style w:type="paragraph" w:styleId="Heading1">
    <w:name w:val="heading 1"/>
    <w:basedOn w:val="Normal"/>
    <w:next w:val="Normal"/>
    <w:uiPriority w:val="9"/>
    <w:qFormat/>
    <w:rsid w:val="1B5C9B3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1B5C9B3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1B5C9B31"/>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B5C9B31"/>
    <w:pPr>
      <w:ind w:left="720"/>
      <w:contextualSpacing/>
    </w:pPr>
  </w:style>
  <w:style w:type="paragraph" w:styleId="TOC1">
    <w:name w:val="toc 1"/>
    <w:basedOn w:val="Normal"/>
    <w:next w:val="Normal"/>
    <w:uiPriority w:val="39"/>
    <w:unhideWhenUsed/>
    <w:rsid w:val="1B5C9B31"/>
    <w:pPr>
      <w:spacing w:after="100"/>
    </w:pPr>
  </w:style>
  <w:style w:type="paragraph" w:styleId="TOC2">
    <w:name w:val="toc 2"/>
    <w:basedOn w:val="Normal"/>
    <w:next w:val="Normal"/>
    <w:uiPriority w:val="39"/>
    <w:unhideWhenUsed/>
    <w:rsid w:val="1B5C9B31"/>
    <w:pPr>
      <w:spacing w:after="100"/>
      <w:ind w:left="220"/>
    </w:pPr>
  </w:style>
  <w:style w:type="paragraph" w:styleId="TOC3">
    <w:name w:val="toc 3"/>
    <w:basedOn w:val="Normal"/>
    <w:next w:val="Normal"/>
    <w:uiPriority w:val="39"/>
    <w:unhideWhenUsed/>
    <w:rsid w:val="1B5C9B31"/>
    <w:pPr>
      <w:spacing w:after="100"/>
      <w:ind w:left="440"/>
    </w:pPr>
  </w:style>
  <w:style w:type="paragraph" w:styleId="Header">
    <w:name w:val="header"/>
    <w:basedOn w:val="Normal"/>
    <w:uiPriority w:val="99"/>
    <w:unhideWhenUsed/>
    <w:rsid w:val="1B5C9B31"/>
    <w:pPr>
      <w:tabs>
        <w:tab w:val="center" w:pos="4680"/>
        <w:tab w:val="right" w:pos="9360"/>
      </w:tabs>
      <w:spacing w:after="0" w:line="240" w:lineRule="auto"/>
    </w:pPr>
  </w:style>
  <w:style w:type="paragraph" w:styleId="Footer">
    <w:name w:val="footer"/>
    <w:basedOn w:val="Normal"/>
    <w:uiPriority w:val="99"/>
    <w:unhideWhenUsed/>
    <w:rsid w:val="1B5C9B3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40AD2822"/>
    <w:rPr>
      <w:color w:val="467886"/>
      <w:u w:val="single"/>
    </w:rPr>
  </w:style>
  <w:style w:type="paragraph" w:styleId="Subtitle">
    <w:name w:val="Subtitle"/>
    <w:basedOn w:val="Normal"/>
    <w:next w:val="Normal"/>
    <w:uiPriority w:val="11"/>
    <w:qFormat/>
    <w:rsid w:val="1B5C9B31"/>
    <w:rPr>
      <w:rFonts w:eastAsiaTheme="majorEastAsia" w:cstheme="majorBidi"/>
      <w:color w:val="595959" w:themeColor="text1" w:themeTint="A6"/>
      <w:sz w:val="28"/>
      <w:szCs w:val="28"/>
    </w:rPr>
  </w:style>
  <w:style w:type="character" w:styleId="normaltextrun" w:customStyle="1">
    <w:name w:val="normaltextrun"/>
    <w:basedOn w:val="DefaultParagraphFont"/>
    <w:uiPriority w:val="1"/>
    <w:rsid w:val="40AD2822"/>
    <w:rPr>
      <w:rFonts w:asciiTheme="minorHAnsi" w:hAnsiTheme="minorHAnsi" w:eastAsiaTheme="minorEastAsia" w:cstheme="minorBidi"/>
      <w:sz w:val="24"/>
      <w:szCs w:val="24"/>
    </w:rPr>
  </w:style>
  <w:style w:type="character" w:styleId="eop" w:customStyle="1">
    <w:name w:val="eop"/>
    <w:basedOn w:val="DefaultParagraphFont"/>
    <w:uiPriority w:val="1"/>
    <w:rsid w:val="40AD2822"/>
    <w:rPr>
      <w:rFonts w:asciiTheme="minorHAnsi" w:hAnsiTheme="minorHAnsi" w:eastAsiaTheme="minorEastAsia" w:cstheme="minorBidi"/>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image" Target="media/image10.png" Id="rId21" /><Relationship Type="http://schemas.openxmlformats.org/officeDocument/2006/relationships/image" Target="media/image1.png" Id="rId7" /><Relationship Type="http://schemas.openxmlformats.org/officeDocument/2006/relationships/image" Target="media/image6.png" Id="rId17" /><Relationship Type="http://schemas.openxmlformats.org/officeDocument/2006/relationships/styles" Target="styles.xml" Id="rId2" /><Relationship Type="http://schemas.openxmlformats.org/officeDocument/2006/relationships/image" Target="media/image5.png" Id="rId16" /><Relationship Type="http://schemas.openxmlformats.org/officeDocument/2006/relationships/image" Target="media/image9.png"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microsoft.com/office/2016/09/relationships/commentsIds" Target="commentsIds.xml" Id="rId11" /><Relationship Type="http://schemas.openxmlformats.org/officeDocument/2006/relationships/footnotes" Target="footnotes.xml" Id="rId5" /><Relationship Type="http://schemas.openxmlformats.org/officeDocument/2006/relationships/image" Target="media/image4.png" Id="rId15" /><Relationship Type="http://schemas.microsoft.com/office/2011/relationships/people" Target="people.xml" Id="rId28" /><Relationship Type="http://schemas.microsoft.com/office/2011/relationships/commentsExtended" Target="commentsExtended.xml" Id="rId10" /><Relationship Type="http://schemas.openxmlformats.org/officeDocument/2006/relationships/image" Target="media/image8.png" Id="rId19" /><Relationship Type="http://schemas.openxmlformats.org/officeDocument/2006/relationships/webSettings" Target="webSettings.xml" Id="rId4" /><Relationship Type="http://schemas.openxmlformats.org/officeDocument/2006/relationships/image" Target="media/image3.png" Id="rId14" /><Relationship Type="http://schemas.openxmlformats.org/officeDocument/2006/relationships/fontTable" Target="fontTable.xml" Id="rId27" /><Relationship Type="http://schemas.microsoft.com/office/2020/10/relationships/intelligence" Target="intelligence2.xml" Id="rId30" /><Relationship Type="http://schemas.openxmlformats.org/officeDocument/2006/relationships/hyperlink" Target="https://uowtsd-my.sharepoint.com/:x:/r/personal/2208796_student_uwtsd_ac_uk/_layouts/15/Doc.aspx?sourcedoc=%7B9ADBC91D-41D7-4BBD-A94A-77B4C455542B%7D&amp;file=LCMB7037_The_Kings_Trust_BDP_Gantt_Chart.xlsx&amp;fromShare=true&amp;action=default&amp;mobileredirect=true" TargetMode="External" Id="R042fc329c3634752" /><Relationship Type="http://schemas.openxmlformats.org/officeDocument/2006/relationships/hyperlink" Target="https://www.nber.org/books-and-chapters/human-capital-theoretical-and-empirical-analysis-special-reference-education-first-edition?utm" TargetMode="External" Id="R3e1f01fe3bd74b8e" /><Relationship Type="http://schemas.openxmlformats.org/officeDocument/2006/relationships/hyperlink" Target="https://www.bera.ac.uk/publication/ethical-guidelines-for-educational-research-fifth-edition-2024" TargetMode="External" Id="Ra6ac1351652b4df6" /><Relationship Type="http://schemas.openxmlformats.org/officeDocument/2006/relationships/hyperlink" Target="https://register-of-charities.charitycommission.gov.uk/en/charity-search/-/charity-details/5201055/governing-document" TargetMode="External" Id="Rdbf903204f2946d7" /><Relationship Type="http://schemas.openxmlformats.org/officeDocument/2006/relationships/hyperlink" Target="https://www.gov.uk/government/news/government-unveils-ambitious-plan-to-tackle-youth-isolation-crisis-and-deliver-real-life-opportunities" TargetMode="External" Id="Ra6571b2021d242d7" /><Relationship Type="http://schemas.openxmlformats.org/officeDocument/2006/relationships/hyperlink" Target="https://www.gov.uk/government/publications/essential-digital-skills-framework/essential-digital-skills-framework" TargetMode="External" Id="Ra92e677d2cfb426c" /><Relationship Type="http://schemas.openxmlformats.org/officeDocument/2006/relationships/hyperlink" Target="https://www.gov.uk/government/publications/get-britain-working-white-paper/get-britain-working-white-paper" TargetMode="External" Id="R6d2c3a4eca5a4740" /><Relationship Type="http://schemas.openxmlformats.org/officeDocument/2006/relationships/hyperlink" Target="https://www.gov.uk/government/news/major-new-package-of-support-for-young-people-announced-with-kings-trust" TargetMode="External" Id="R0a558aa4c4094fdf" /><Relationship Type="http://schemas.openxmlformats.org/officeDocument/2006/relationships/hyperlink" Target="https://www.gov.uk/government/publications/the-magenta-book/magenta-book-central-government-guidance-on-evaluation-html" TargetMode="External" Id="R404586972b894a48" /><Relationship Type="http://schemas.openxmlformats.org/officeDocument/2006/relationships/hyperlink" Target="https://kingstrustinternational.org/wp-content/uploads/2025/11/Y1080-KTI-Impact-Report_FINAL.pdf" TargetMode="External" Id="Reb9759b36cce4362" /><Relationship Type="http://schemas.openxmlformats.org/officeDocument/2006/relationships/hyperlink" Target="https://www.kingstrust.org.uk/" TargetMode="External" Id="R6e6c1290f1dd4285" /><Relationship Type="http://schemas.openxmlformats.org/officeDocument/2006/relationships/hyperlink" Target="https://education.kingstrust.org.uk/en/units/detail/4FOvopcdPrhaQWG26yPPf8" TargetMode="External" Id="R1755e0f52d3f495c" /><Relationship Type="http://schemas.openxmlformats.org/officeDocument/2006/relationships/hyperlink" Target="https://www.kingstrust.org.uk/about-us/our-strategy" TargetMode="External" Id="R1289c216249e4c58" /><Relationship Type="http://schemas.openxmlformats.org/officeDocument/2006/relationships/hyperlink" Target="https://www.legislation.gov.uk/ukpga/2011/25/contents" TargetMode="External" Id="R7c895431794645ac" /><Relationship Type="http://schemas.openxmlformats.org/officeDocument/2006/relationships/hyperlink" Target="https://strathprints.strath.ac.uk/40094/" TargetMode="External" Id="Rc4890c3a71d140ee" /><Relationship Type="http://schemas.openxmlformats.org/officeDocument/2006/relationships/hyperlink" Target="https://www.nomisweb.co.uk/reports/lmp/lad/1778385147/report.aspx?utm" TargetMode="External" Id="Ra1d9f8f3a5b84db7" /><Relationship Type="http://schemas.openxmlformats.org/officeDocument/2006/relationships/hyperlink" Target="https://commonslibrary.parliament.uk/research-briefings/sn05871/" TargetMode="External" Id="R0bfbf2b09a014b11" /><Relationship Type="http://schemas.openxmlformats.org/officeDocument/2006/relationships/hyperlink" Target="https://amberton.edu/wp-content/uploads/2024/07/RGS6035_E2_Fall2024.pdf" TargetMode="External" Id="R8e18b99981054d60" /><Relationship Type="http://schemas.openxmlformats.org/officeDocument/2006/relationships/hyperlink" Target="https://assets.ctfassets.net/qq0roodynp09/7l8lx8RwNdcL5lERtP2Xox/a9c686cc2ca8639bfa8544fd3e549b6a/King-s_Trust_Annual_Report_2024-25.pdf" TargetMode="External" Id="Re13a50e256c64a3f" /><Relationship Type="http://schemas.openxmlformats.org/officeDocument/2006/relationships/hyperlink" Target="https://assets.ctfassets.net/qq0roodynp09/7gEucIbAX83Q49Bhisay6v/9e9b6748d581a21007d0ed8d9f2eb661/DSN5704_KT_strategy_2025-30_Final_accessible.pdf" TargetMode="External" Id="R1abbe4dea38a4946" /><Relationship Type="http://schemas.openxmlformats.org/officeDocument/2006/relationships/hyperlink" Target="https://www.royal.uk/clarencehouse/prince-of-wales-charities" TargetMode="External" Id="Re6ffeaa64c0c45e8" /><Relationship Type="http://schemas.openxmlformats.org/officeDocument/2006/relationships/hyperlink" Target="https://www.royal.uk/news-and-activity/2023-11-10/charities-founded-by-his-majesty-the-king-as-the-prince-of-wales" TargetMode="External" Id="R01dae6f0953142c6" /><Relationship Type="http://schemas.openxmlformats.org/officeDocument/2006/relationships/hyperlink" Target="https://questions-statements.parliament.uk/written-questions/detail/2025-03-19/39542?utm" TargetMode="External" Id="Rddb23df129564128" /><Relationship Type="http://schemas.openxmlformats.org/officeDocument/2006/relationships/hyperlink" Target="https://www.wmca.org.uk/documents/productivity-skills/employment-and-skills-strategy-2024-2027/employment-and-skills-strategy-2024-2027/" TargetMode="External" Id="Rd3aa0b2c07a94b0c" /><Relationship Type="http://schemas.openxmlformats.org/officeDocument/2006/relationships/hyperlink" Target="https://www.wmca.org.uk/news/wmca-board-approves-1-2bn-budget-to-drive-growth-jobs-housing-and-better-transport/" TargetMode="External" Id="Rbeccc61d5274442a" /><Relationship Type="http://schemas.openxmlformats.org/officeDocument/2006/relationships/hyperlink" Target="https://timesofindia.indiatimes.com/world/uk/how-king-charles-iii-used-his-navy-severance-pay-to-start-a-youth-charity-that-grew-far-beyond-him/articleshow/131387929.cms" TargetMode="External" Id="Rd2995d7a2dc04fc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Blake (2208796)</dc:creator>
  <keywords/>
  <dc:description/>
  <lastModifiedBy>Alicia Blake (2208796)</lastModifiedBy>
  <revision>14</revision>
  <dcterms:created xsi:type="dcterms:W3CDTF">2026-09-15T22:36:00.0000000Z</dcterms:created>
  <dcterms:modified xsi:type="dcterms:W3CDTF">2026-10-08T13:30:34.8328901Z</dcterms:modified>
</coreProperties>
</file>