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xml" PartName="/customXML/item1.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package.core-properties+xml" PartName="/docProps/core.xml"/>
  <Override ContentType="application/vnd.openxmlformats-officedocument.theme+xml" PartName="/word/theme/theme1.xml"/>
  <Override ContentType="application/vnd.openxmlformats-officedocument.wordprocessingml.header+xml" PartName="/word/header1.xml"/>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footer+xml" PartName="/word/footer1.xml"/>
  <Override ContentType="application/vnd.openxmlformats-officedocument.wordprocessingml.numbering+xml" PartName="/word/numbering.xml"/>
  <Override ContentType="application/vnd.openxmlformats-officedocument.wordprocessingml.document.main+xml" PartName="/word/document.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Fonts w:ascii="Georgia" w:cs="Georgia" w:eastAsia="Georgia" w:hAnsi="Georgia"/>
          <w:color w:val="000000"/>
          <w:sz w:val="21"/>
          <w:szCs w:val="21"/>
          <w:rtl w:val="0"/>
        </w:rPr>
        <w:t xml:space="preserve"> </w:t>
      </w:r>
      <w:r w:rsidDel="00000000" w:rsidR="00000000" w:rsidRPr="00000000">
        <w:rPr>
          <w:rtl w:val="0"/>
        </w:rPr>
      </w:r>
    </w:p>
    <w:p w:rsidR="00000000" w:rsidDel="00000000" w:rsidP="00000000" w:rsidRDefault="00000000" w:rsidRPr="00000000" w14:paraId="00000003">
      <w:pPr>
        <w:jc w:val="center"/>
        <w:rPr/>
      </w:pPr>
      <w:r w:rsidDel="00000000" w:rsidR="00000000" w:rsidRPr="00000000">
        <w:rPr>
          <w:rFonts w:ascii="Arial" w:cs="Arial" w:eastAsia="Arial" w:hAnsi="Arial"/>
          <w:b w:val="1"/>
          <w:color w:val="000000"/>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4">
      <w:pPr>
        <w:jc w:val="center"/>
        <w:rPr/>
      </w:pPr>
      <w:r w:rsidDel="00000000" w:rsidR="00000000" w:rsidRPr="00000000">
        <w:rPr>
          <w:rFonts w:ascii="Arial" w:cs="Arial" w:eastAsia="Arial" w:hAnsi="Arial"/>
          <w:b w:val="1"/>
          <w:color w:val="000000"/>
          <w:sz w:val="28"/>
          <w:szCs w:val="28"/>
          <w:rtl w:val="0"/>
        </w:rPr>
        <w:t xml:space="preserve">Assignment coversheet &amp; feedback form</w:t>
      </w:r>
      <w:r w:rsidDel="00000000" w:rsidR="00000000" w:rsidRPr="00000000">
        <w:rPr>
          <w:rtl w:val="0"/>
        </w:rPr>
      </w:r>
    </w:p>
    <w:p w:rsidR="00000000" w:rsidDel="00000000" w:rsidP="00000000" w:rsidRDefault="00000000" w:rsidRPr="00000000" w14:paraId="00000005">
      <w:pPr>
        <w:rPr/>
      </w:pPr>
      <w:r w:rsidDel="00000000" w:rsidR="00000000" w:rsidRPr="00000000">
        <w:rPr>
          <w:rFonts w:ascii="Arial" w:cs="Arial" w:eastAsia="Arial" w:hAnsi="Arial"/>
          <w:sz w:val="28"/>
          <w:szCs w:val="28"/>
          <w:rtl w:val="0"/>
        </w:rPr>
        <w:t xml:space="preserve"> </w:t>
      </w:r>
      <w:r w:rsidDel="00000000" w:rsidR="00000000" w:rsidRPr="00000000">
        <w:rPr>
          <w:rtl w:val="0"/>
        </w:rPr>
      </w:r>
    </w:p>
    <w:p w:rsidR="00000000" w:rsidDel="00000000" w:rsidP="00000000" w:rsidRDefault="00000000" w:rsidRPr="00000000" w14:paraId="00000006">
      <w:pPr>
        <w:pStyle w:val="Heading3"/>
        <w:rPr/>
      </w:pPr>
      <w:r w:rsidDel="00000000" w:rsidR="00000000" w:rsidRPr="00000000">
        <w:rPr>
          <w:rFonts w:ascii="Tahoma" w:cs="Tahoma" w:eastAsia="Tahoma" w:hAnsi="Tahoma"/>
          <w:b w:val="1"/>
          <w:sz w:val="20"/>
          <w:szCs w:val="20"/>
          <w:rtl w:val="0"/>
        </w:rPr>
        <w:t xml:space="preserve">THIS SHEET MUST BE THE FIRST PAGE OF THE ASSIGNMENT YOU ARE SUBMITTING  (DO NOT SEND AS A SEPARATE FILE)</w:t>
      </w:r>
      <w:r w:rsidDel="00000000" w:rsidR="00000000" w:rsidRPr="00000000">
        <w:rPr>
          <w:rtl w:val="0"/>
        </w:rPr>
      </w:r>
    </w:p>
    <w:p w:rsidR="00000000" w:rsidDel="00000000" w:rsidP="00000000" w:rsidRDefault="00000000" w:rsidRPr="00000000" w14:paraId="00000007">
      <w:pPr>
        <w:pStyle w:val="Heading3"/>
        <w:rPr/>
      </w:pPr>
      <w:r w:rsidDel="00000000" w:rsidR="00000000" w:rsidRPr="00000000">
        <w:rPr>
          <w:rFonts w:ascii="Trebuchet MS" w:cs="Trebuchet MS" w:eastAsia="Trebuchet MS" w:hAnsi="Trebuchet MS"/>
          <w:b w:val="1"/>
          <w:sz w:val="20"/>
          <w:szCs w:val="20"/>
          <w:rtl w:val="0"/>
        </w:rPr>
        <w:t xml:space="preserve"> </w:t>
      </w:r>
      <w:r w:rsidDel="00000000" w:rsidR="00000000" w:rsidRPr="00000000">
        <w:rPr>
          <w:rtl w:val="0"/>
        </w:rPr>
      </w:r>
    </w:p>
    <w:tbl>
      <w:tblPr>
        <w:tblStyle w:val="Table1"/>
        <w:tblW w:w="8850.0" w:type="dxa"/>
        <w:jc w:val="left"/>
        <w:tblInd w:w="0.0" w:type="dxa"/>
        <w:tblLayout w:type="fixed"/>
        <w:tblLook w:val="0400"/>
      </w:tblPr>
      <w:tblGrid>
        <w:gridCol w:w="4785"/>
        <w:gridCol w:w="420"/>
        <w:gridCol w:w="1560"/>
        <w:gridCol w:w="285"/>
        <w:gridCol w:w="1800"/>
        <w:tblGridChange w:id="0">
          <w:tblGrid>
            <w:gridCol w:w="4785"/>
            <w:gridCol w:w="420"/>
            <w:gridCol w:w="1560"/>
            <w:gridCol w:w="285"/>
            <w:gridCol w:w="1800"/>
          </w:tblGrid>
        </w:tblGridChange>
      </w:tblGrid>
      <w:tr>
        <w:trPr>
          <w:cantSplit w:val="0"/>
          <w:trHeight w:val="615" w:hRule="atLeast"/>
          <w:tblHeader w:val="0"/>
        </w:trPr>
        <w:tc>
          <w:tcPr>
            <w:gridSpan w:val="5"/>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08">
            <w:pPr>
              <w:rPr/>
            </w:pPr>
            <w:r w:rsidDel="00000000" w:rsidR="00000000" w:rsidRPr="00000000">
              <w:rPr>
                <w:rFonts w:ascii="Arial" w:cs="Arial" w:eastAsia="Arial" w:hAnsi="Arial"/>
                <w:b w:val="1"/>
                <w:color w:val="000000"/>
                <w:rtl w:val="0"/>
              </w:rPr>
              <w:t xml:space="preserve">For completion by the student</w:t>
            </w:r>
            <w:r w:rsidDel="00000000" w:rsidR="00000000" w:rsidRPr="00000000">
              <w:rPr>
                <w:rFonts w:ascii="Arial" w:cs="Arial" w:eastAsia="Arial" w:hAnsi="Arial"/>
                <w:color w:val="000000"/>
                <w:rtl w:val="0"/>
              </w:rPr>
              <w:t xml:space="preserve">:</w:t>
            </w:r>
            <w:r w:rsidDel="00000000" w:rsidR="00000000" w:rsidRPr="00000000">
              <w:rPr>
                <w:rtl w:val="0"/>
              </w:rPr>
            </w:r>
          </w:p>
        </w:tc>
      </w:tr>
      <w:tr>
        <w:trPr>
          <w:cantSplit w:val="0"/>
          <w:trHeight w:val="720" w:hRule="atLeast"/>
          <w:tblHeader w:val="0"/>
        </w:trPr>
        <w:tc>
          <w:tcPr>
            <w:gridSpan w:val="5"/>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0D">
            <w:pPr>
              <w:rPr/>
            </w:pPr>
            <w:r w:rsidDel="00000000" w:rsidR="00000000" w:rsidRPr="00000000">
              <w:rPr>
                <w:rFonts w:ascii="Arial" w:cs="Arial" w:eastAsia="Arial" w:hAnsi="Arial"/>
                <w:color w:val="000000"/>
                <w:rtl w:val="0"/>
              </w:rPr>
              <w:t xml:space="preserve">Student Name:</w:t>
            </w:r>
            <w:r w:rsidDel="00000000" w:rsidR="00000000" w:rsidRPr="00000000">
              <w:rPr>
                <w:rtl w:val="0"/>
              </w:rPr>
            </w:r>
          </w:p>
          <w:p w:rsidR="00000000" w:rsidDel="00000000" w:rsidP="00000000" w:rsidRDefault="00000000" w:rsidRPr="00000000" w14:paraId="0000000E">
            <w:pPr>
              <w:rPr/>
            </w:pPr>
            <w:r w:rsidDel="00000000" w:rsidR="00000000" w:rsidRPr="00000000">
              <w:rPr>
                <w:rFonts w:ascii="Arial" w:cs="Arial" w:eastAsia="Arial" w:hAnsi="Arial"/>
                <w:color w:val="000000"/>
                <w:rtl w:val="0"/>
              </w:rPr>
              <w:t xml:space="preserve"> Cara Louise Braia</w:t>
            </w:r>
            <w:r w:rsidDel="00000000" w:rsidR="00000000" w:rsidRPr="00000000">
              <w:rPr>
                <w:rtl w:val="0"/>
              </w:rPr>
            </w:r>
          </w:p>
        </w:tc>
      </w:tr>
      <w:tr>
        <w:trPr>
          <w:cantSplit w:val="0"/>
          <w:trHeight w:val="855" w:hRule="atLeast"/>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13">
            <w:pPr>
              <w:rPr/>
            </w:pPr>
            <w:r w:rsidDel="00000000" w:rsidR="00000000" w:rsidRPr="00000000">
              <w:rPr>
                <w:rFonts w:ascii="Arial" w:cs="Arial" w:eastAsia="Arial" w:hAnsi="Arial"/>
                <w:color w:val="000000"/>
                <w:rtl w:val="0"/>
              </w:rPr>
              <w:t xml:space="preserve">Module code:</w:t>
            </w:r>
            <w:r w:rsidDel="00000000" w:rsidR="00000000" w:rsidRPr="00000000">
              <w:rPr>
                <w:rtl w:val="0"/>
              </w:rPr>
            </w:r>
          </w:p>
          <w:p w:rsidR="00000000" w:rsidDel="00000000" w:rsidP="00000000" w:rsidRDefault="00000000" w:rsidRPr="00000000" w14:paraId="00000014">
            <w:pPr>
              <w:rPr/>
            </w:pPr>
            <w:r w:rsidDel="00000000" w:rsidR="00000000" w:rsidRPr="00000000">
              <w:rPr>
                <w:rFonts w:ascii="Arial" w:cs="Arial" w:eastAsia="Arial" w:hAnsi="Arial"/>
                <w:color w:val="000000"/>
                <w:rtl w:val="0"/>
              </w:rPr>
              <w:t xml:space="preserve"> HPCA7027</w:t>
            </w:r>
            <w:r w:rsidDel="00000000" w:rsidR="00000000" w:rsidRPr="00000000">
              <w:rPr>
                <w:rtl w:val="0"/>
              </w:rPr>
            </w:r>
          </w:p>
          <w:p w:rsidR="00000000" w:rsidDel="00000000" w:rsidP="00000000" w:rsidRDefault="00000000" w:rsidRPr="00000000" w14:paraId="00000015">
            <w:pPr>
              <w:rPr/>
            </w:pPr>
            <w:r w:rsidDel="00000000" w:rsidR="00000000" w:rsidRPr="00000000">
              <w:rPr>
                <w:rFonts w:ascii="Arial" w:cs="Arial" w:eastAsia="Arial" w:hAnsi="Arial"/>
                <w:color w:val="000000"/>
                <w:rtl w:val="0"/>
              </w:rPr>
              <w:t xml:space="preserve">Module title:</w:t>
            </w:r>
            <w:r w:rsidDel="00000000" w:rsidR="00000000" w:rsidRPr="00000000">
              <w:rPr>
                <w:rtl w:val="0"/>
              </w:rPr>
            </w:r>
          </w:p>
          <w:p w:rsidR="00000000" w:rsidDel="00000000" w:rsidP="00000000" w:rsidRDefault="00000000" w:rsidRPr="00000000" w14:paraId="00000016">
            <w:pPr>
              <w:rPr/>
            </w:pPr>
            <w:r w:rsidDel="00000000" w:rsidR="00000000" w:rsidRPr="00000000">
              <w:rPr>
                <w:rFonts w:ascii="Arial" w:cs="Arial" w:eastAsia="Arial" w:hAnsi="Arial"/>
                <w:color w:val="000000"/>
                <w:rtl w:val="0"/>
              </w:rPr>
              <w:t xml:space="preserve"> Cosmology, Magic and Divination</w:t>
            </w:r>
            <w:r w:rsidDel="00000000" w:rsidR="00000000" w:rsidRPr="00000000">
              <w:rPr>
                <w:rtl w:val="0"/>
              </w:rPr>
            </w:r>
          </w:p>
          <w:p w:rsidR="00000000" w:rsidDel="00000000" w:rsidP="00000000" w:rsidRDefault="00000000" w:rsidRPr="00000000" w14:paraId="00000017">
            <w:pPr>
              <w:rPr/>
            </w:pPr>
            <w:r w:rsidDel="00000000" w:rsidR="00000000" w:rsidRPr="00000000">
              <w:rPr>
                <w:rFonts w:ascii="Arial" w:cs="Arial" w:eastAsia="Arial" w:hAnsi="Arial"/>
                <w:color w:val="000000"/>
                <w:rtl w:val="0"/>
              </w:rPr>
              <w:t xml:space="preserve"> </w:t>
            </w:r>
            <w:r w:rsidDel="00000000" w:rsidR="00000000" w:rsidRPr="00000000">
              <w:rPr>
                <w:rtl w:val="0"/>
              </w:rPr>
            </w:r>
          </w:p>
        </w:tc>
        <w:tc>
          <w:tcPr>
            <w:gridSpan w:val="3"/>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18">
            <w:pPr>
              <w:rPr/>
            </w:pPr>
            <w:r w:rsidDel="00000000" w:rsidR="00000000" w:rsidRPr="00000000">
              <w:rPr>
                <w:rFonts w:ascii="Arial" w:cs="Arial" w:eastAsia="Arial" w:hAnsi="Arial"/>
                <w:color w:val="000000"/>
                <w:rtl w:val="0"/>
              </w:rPr>
              <w:t xml:space="preserve">Student ID number:</w:t>
            </w:r>
            <w:r w:rsidDel="00000000" w:rsidR="00000000" w:rsidRPr="00000000">
              <w:rPr>
                <w:rtl w:val="0"/>
              </w:rPr>
            </w:r>
          </w:p>
          <w:p w:rsidR="00000000" w:rsidDel="00000000" w:rsidP="00000000" w:rsidRDefault="00000000" w:rsidRPr="00000000" w14:paraId="00000019">
            <w:pPr>
              <w:rPr>
                <w:rFonts w:ascii="Quattrocento Sans" w:cs="Quattrocento Sans" w:eastAsia="Quattrocento Sans" w:hAnsi="Quattrocento Sans"/>
                <w:color w:val="323130"/>
                <w:sz w:val="42"/>
                <w:szCs w:val="42"/>
              </w:rPr>
            </w:pPr>
            <w:r w:rsidDel="00000000" w:rsidR="00000000" w:rsidRPr="00000000">
              <w:rPr>
                <w:rFonts w:ascii="Quattrocento Sans" w:cs="Quattrocento Sans" w:eastAsia="Quattrocento Sans" w:hAnsi="Quattrocento Sans"/>
                <w:color w:val="323130"/>
                <w:sz w:val="42"/>
                <w:szCs w:val="42"/>
                <w:rtl w:val="0"/>
              </w:rPr>
              <w:t xml:space="preserve">2116365</w:t>
            </w:r>
          </w:p>
        </w:tc>
        <w:tc>
          <w:tcPr>
            <w:tcBorders>
              <w:top w:color="000000" w:space="0" w:sz="8" w:val="single"/>
              <w:left w:color="000000" w:space="0" w:sz="0" w:val="nil"/>
              <w:bottom w:color="000000" w:space="0" w:sz="8" w:val="single"/>
              <w:right w:color="000000" w:space="0" w:sz="8" w:val="single"/>
            </w:tcBorders>
          </w:tcPr>
          <w:p w:rsidR="00000000" w:rsidDel="00000000" w:rsidP="00000000" w:rsidRDefault="00000000" w:rsidRPr="00000000" w14:paraId="0000001C">
            <w:pPr>
              <w:rPr/>
            </w:pPr>
            <w:r w:rsidDel="00000000" w:rsidR="00000000" w:rsidRPr="00000000">
              <w:rPr>
                <w:rFonts w:ascii="Arial" w:cs="Arial" w:eastAsia="Arial" w:hAnsi="Arial"/>
                <w:color w:val="000000"/>
                <w:rtl w:val="0"/>
              </w:rPr>
              <w:t xml:space="preserve">Educational support needs:</w:t>
            </w:r>
            <w:r w:rsidDel="00000000" w:rsidR="00000000" w:rsidRPr="00000000">
              <w:rPr>
                <w:rtl w:val="0"/>
              </w:rPr>
            </w:r>
          </w:p>
          <w:p w:rsidR="00000000" w:rsidDel="00000000" w:rsidP="00000000" w:rsidRDefault="00000000" w:rsidRPr="00000000" w14:paraId="0000001D">
            <w:pPr>
              <w:rPr/>
            </w:pPr>
            <w:r w:rsidDel="00000000" w:rsidR="00000000" w:rsidRPr="00000000">
              <w:rPr>
                <w:rFonts w:ascii="Arial" w:cs="Arial" w:eastAsia="Arial" w:hAnsi="Arial"/>
                <w:color w:val="000000"/>
                <w:rtl w:val="0"/>
              </w:rPr>
              <w:t xml:space="preserve">Maybe</w:t>
            </w:r>
            <w:r w:rsidDel="00000000" w:rsidR="00000000" w:rsidRPr="00000000">
              <w:rPr>
                <w:rtl w:val="0"/>
              </w:rPr>
            </w:r>
          </w:p>
        </w:tc>
      </w:tr>
      <w:tr>
        <w:trPr>
          <w:cantSplit w:val="0"/>
          <w:trHeight w:val="1140" w:hRule="atLeast"/>
          <w:tblHeader w:val="0"/>
        </w:trPr>
        <w:tc>
          <w:tcPr>
            <w:gridSpan w:val="5"/>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1E">
            <w:pPr>
              <w:rPr/>
            </w:pPr>
            <w:r w:rsidDel="00000000" w:rsidR="00000000" w:rsidRPr="00000000">
              <w:rPr>
                <w:rFonts w:ascii="Arial" w:cs="Arial" w:eastAsia="Arial" w:hAnsi="Arial"/>
                <w:color w:val="000000"/>
                <w:rtl w:val="0"/>
              </w:rPr>
              <w:t xml:space="preserve">Module tutor:</w:t>
            </w:r>
            <w:r w:rsidDel="00000000" w:rsidR="00000000" w:rsidRPr="00000000">
              <w:rPr>
                <w:rtl w:val="0"/>
              </w:rPr>
            </w:r>
          </w:p>
          <w:p w:rsidR="00000000" w:rsidDel="00000000" w:rsidP="00000000" w:rsidRDefault="00000000" w:rsidRPr="00000000" w14:paraId="0000001F">
            <w:pPr>
              <w:rPr>
                <w:rFonts w:ascii="Arial" w:cs="Arial" w:eastAsia="Arial" w:hAnsi="Arial"/>
              </w:rPr>
            </w:pPr>
            <w:r w:rsidDel="00000000" w:rsidR="00000000" w:rsidRPr="00000000">
              <w:rPr>
                <w:rFonts w:ascii="Arial" w:cs="Arial" w:eastAsia="Arial" w:hAnsi="Arial"/>
                <w:color w:val="000000"/>
                <w:rtl w:val="0"/>
              </w:rPr>
              <w:t xml:space="preserve"> </w:t>
            </w:r>
            <w:r w:rsidDel="00000000" w:rsidR="00000000" w:rsidRPr="00000000">
              <w:rPr>
                <w:rFonts w:ascii="Arial" w:cs="Arial" w:eastAsia="Arial" w:hAnsi="Arial"/>
                <w:rtl w:val="0"/>
              </w:rPr>
              <w:t xml:space="preserve">Dorian Greenbaum, Crystal Addey, Dawn Collins</w:t>
            </w:r>
          </w:p>
          <w:p w:rsidR="00000000" w:rsidDel="00000000" w:rsidP="00000000" w:rsidRDefault="00000000" w:rsidRPr="00000000" w14:paraId="00000020">
            <w:pPr>
              <w:rPr/>
            </w:pPr>
            <w:r w:rsidDel="00000000" w:rsidR="00000000" w:rsidRPr="00000000">
              <w:rPr>
                <w:rFonts w:ascii="Arial" w:cs="Arial" w:eastAsia="Arial" w:hAnsi="Arial"/>
                <w:color w:val="000000"/>
                <w:rtl w:val="0"/>
              </w:rPr>
              <w:t xml:space="preserve"> </w:t>
            </w:r>
            <w:r w:rsidDel="00000000" w:rsidR="00000000" w:rsidRPr="00000000">
              <w:rPr>
                <w:rtl w:val="0"/>
              </w:rPr>
            </w:r>
          </w:p>
          <w:p w:rsidR="00000000" w:rsidDel="00000000" w:rsidP="00000000" w:rsidRDefault="00000000" w:rsidRPr="00000000" w14:paraId="00000021">
            <w:pPr>
              <w:rPr/>
            </w:pPr>
            <w:r w:rsidDel="00000000" w:rsidR="00000000" w:rsidRPr="00000000">
              <w:rPr>
                <w:rFonts w:ascii="Arial" w:cs="Arial" w:eastAsia="Arial" w:hAnsi="Arial"/>
                <w:color w:val="000000"/>
                <w:rtl w:val="0"/>
              </w:rPr>
              <w:t xml:space="preserve">Assignment due date: 31</w:t>
            </w:r>
            <w:r w:rsidDel="00000000" w:rsidR="00000000" w:rsidRPr="00000000">
              <w:rPr>
                <w:rFonts w:ascii="Arial" w:cs="Arial" w:eastAsia="Arial" w:hAnsi="Arial"/>
                <w:color w:val="000000"/>
                <w:vertAlign w:val="superscript"/>
                <w:rtl w:val="0"/>
              </w:rPr>
              <w:t xml:space="preserve">st</w:t>
            </w:r>
            <w:r w:rsidDel="00000000" w:rsidR="00000000" w:rsidRPr="00000000">
              <w:rPr>
                <w:rFonts w:ascii="Arial" w:cs="Arial" w:eastAsia="Arial" w:hAnsi="Arial"/>
                <w:color w:val="000000"/>
                <w:rtl w:val="0"/>
              </w:rPr>
              <w:t xml:space="preserve"> July 2022</w:t>
            </w:r>
            <w:r w:rsidDel="00000000" w:rsidR="00000000" w:rsidRPr="00000000">
              <w:rPr>
                <w:rtl w:val="0"/>
              </w:rPr>
            </w:r>
          </w:p>
        </w:tc>
      </w:tr>
      <w:tr>
        <w:trPr>
          <w:cantSplit w:val="0"/>
          <w:trHeight w:val="975" w:hRule="atLeast"/>
          <w:tblHeader w:val="0"/>
        </w:trPr>
        <w:tc>
          <w:tcPr>
            <w:gridSpan w:val="5"/>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26">
            <w:pPr>
              <w:rPr/>
            </w:pPr>
            <w:r w:rsidDel="00000000" w:rsidR="00000000" w:rsidRPr="00000000">
              <w:rPr>
                <w:rFonts w:ascii="Arial" w:cs="Arial" w:eastAsia="Arial" w:hAnsi="Arial"/>
                <w:rtl w:val="0"/>
              </w:rPr>
              <w:t xml:space="preserve">If your module has multiple submissions please indicate which piece of work this is.</w:t>
            </w:r>
            <w:r w:rsidDel="00000000" w:rsidR="00000000" w:rsidRPr="00000000">
              <w:rPr>
                <w:rtl w:val="0"/>
              </w:rPr>
            </w:r>
          </w:p>
          <w:p w:rsidR="00000000" w:rsidDel="00000000" w:rsidP="00000000" w:rsidRDefault="00000000" w:rsidRPr="00000000" w14:paraId="00000027">
            <w:pPr>
              <w:rPr/>
            </w:pPr>
            <w:r w:rsidDel="00000000" w:rsidR="00000000" w:rsidRPr="00000000">
              <w:rPr>
                <w:rFonts w:ascii="Arial" w:cs="Arial" w:eastAsia="Arial" w:hAnsi="Arial"/>
                <w:rtl w:val="0"/>
              </w:rPr>
              <w:t xml:space="preserve"> </w:t>
            </w:r>
            <w:r w:rsidDel="00000000" w:rsidR="00000000" w:rsidRPr="00000000">
              <w:rPr>
                <w:rtl w:val="0"/>
              </w:rPr>
            </w:r>
          </w:p>
          <w:p w:rsidR="00000000" w:rsidDel="00000000" w:rsidP="00000000" w:rsidRDefault="00000000" w:rsidRPr="00000000" w14:paraId="00000028">
            <w:pPr>
              <w:rPr/>
            </w:pPr>
            <w:r w:rsidDel="00000000" w:rsidR="00000000" w:rsidRPr="00000000">
              <w:rPr>
                <w:rFonts w:ascii="Arial" w:cs="Arial" w:eastAsia="Arial" w:hAnsi="Arial"/>
                <w:rtl w:val="0"/>
              </w:rPr>
              <w:t xml:space="preserve">1</w:t>
            </w:r>
            <w:r w:rsidDel="00000000" w:rsidR="00000000" w:rsidRPr="00000000">
              <w:rPr>
                <w:rFonts w:ascii="Arial" w:cs="Arial" w:eastAsia="Arial" w:hAnsi="Arial"/>
                <w:vertAlign w:val="superscript"/>
                <w:rtl w:val="0"/>
              </w:rPr>
              <w:t xml:space="preserve">st </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Arial" w:cs="Arial" w:eastAsia="Arial" w:hAnsi="Arial"/>
                <w:rtl w:val="0"/>
              </w:rPr>
              <w:t xml:space="preserve"> </w:t>
            </w:r>
            <w:r w:rsidDel="00000000" w:rsidR="00000000" w:rsidRPr="00000000">
              <w:rPr>
                <w:rtl w:val="0"/>
              </w:rPr>
            </w:r>
          </w:p>
        </w:tc>
      </w:tr>
      <w:tr>
        <w:trPr>
          <w:cantSplit w:val="0"/>
          <w:trHeight w:val="975" w:hRule="atLeast"/>
          <w:tblHeader w:val="0"/>
        </w:trPr>
        <w:tc>
          <w:tcPr>
            <w:gridSpan w:val="5"/>
            <w:tcBorders>
              <w:top w:color="000000" w:space="0" w:sz="8" w:val="single"/>
              <w:left w:color="000000" w:space="0" w:sz="8" w:val="single"/>
              <w:bottom w:color="000000" w:space="0" w:sz="8" w:val="single"/>
              <w:right w:color="000000" w:space="0" w:sz="8" w:val="single"/>
            </w:tcBorders>
            <w:shd w:fill="d9d9d9" w:val="clear"/>
          </w:tcPr>
          <w:p w:rsidR="00000000" w:rsidDel="00000000" w:rsidP="00000000" w:rsidRDefault="00000000" w:rsidRPr="00000000" w14:paraId="0000002D">
            <w:pPr>
              <w:rPr/>
            </w:pPr>
            <w:r w:rsidDel="00000000" w:rsidR="00000000" w:rsidRPr="00000000">
              <w:rPr>
                <w:rFonts w:ascii="Arial" w:cs="Arial" w:eastAsia="Arial" w:hAnsi="Arial"/>
                <w:color w:val="000000"/>
                <w:rtl w:val="0"/>
              </w:rPr>
              <w:t xml:space="preserve">I confirm that this is my original work and that I have adhered to the University policy on plagiarism.</w:t>
            </w:r>
            <w:r w:rsidDel="00000000" w:rsidR="00000000" w:rsidRPr="00000000">
              <w:rPr>
                <w:rtl w:val="0"/>
              </w:rPr>
            </w:r>
          </w:p>
          <w:p w:rsidR="00000000" w:rsidDel="00000000" w:rsidP="00000000" w:rsidRDefault="00000000" w:rsidRPr="00000000" w14:paraId="0000002E">
            <w:pPr>
              <w:rPr/>
            </w:pPr>
            <w:r w:rsidDel="00000000" w:rsidR="00000000" w:rsidRPr="00000000">
              <w:rPr>
                <w:rFonts w:ascii="Arial" w:cs="Arial" w:eastAsia="Arial" w:hAnsi="Arial"/>
                <w:color w:val="000000"/>
                <w:rtl w:val="0"/>
              </w:rPr>
              <w:t xml:space="preserve">Signed ………Cara Braia………………………………</w:t>
            </w:r>
            <w:r w:rsidDel="00000000" w:rsidR="00000000" w:rsidRPr="00000000">
              <w:rPr>
                <w:rtl w:val="0"/>
              </w:rPr>
            </w:r>
          </w:p>
          <w:p w:rsidR="00000000" w:rsidDel="00000000" w:rsidP="00000000" w:rsidRDefault="00000000" w:rsidRPr="00000000" w14:paraId="0000002F">
            <w:pPr>
              <w:rPr/>
            </w:pPr>
            <w:r w:rsidDel="00000000" w:rsidR="00000000" w:rsidRPr="00000000">
              <w:rPr>
                <w:rFonts w:ascii="Calibri" w:cs="Calibri" w:eastAsia="Calibri" w:hAnsi="Calibri"/>
                <w:b w:val="1"/>
                <w:color w:val="000000"/>
                <w:sz w:val="24"/>
                <w:szCs w:val="24"/>
                <w:rtl w:val="0"/>
              </w:rPr>
              <w:t xml:space="preserve">Email submission: if you are submitting this form via email, please tick this box </w:t>
            </w:r>
            <w:r w:rsidDel="00000000" w:rsidR="00000000" w:rsidRPr="00000000">
              <w:rPr>
                <w:rFonts w:ascii="Calibri" w:cs="Calibri" w:eastAsia="Calibri" w:hAnsi="Calibri"/>
                <w:b w:val="1"/>
                <w:color w:val="000000"/>
                <w:sz w:val="44"/>
                <w:szCs w:val="44"/>
                <w:rtl w:val="0"/>
              </w:rPr>
              <w:t xml:space="preserve">□</w:t>
            </w:r>
            <w:r w:rsidDel="00000000" w:rsidR="00000000" w:rsidRPr="00000000">
              <w:rPr>
                <w:rtl w:val="0"/>
              </w:rPr>
            </w:r>
          </w:p>
          <w:p w:rsidR="00000000" w:rsidDel="00000000" w:rsidP="00000000" w:rsidRDefault="00000000" w:rsidRPr="00000000" w14:paraId="00000030">
            <w:pPr>
              <w:rPr/>
            </w:pPr>
            <w:r w:rsidDel="00000000" w:rsidR="00000000" w:rsidRPr="00000000">
              <w:rPr>
                <w:rFonts w:ascii="Calibri" w:cs="Calibri" w:eastAsia="Calibri" w:hAnsi="Calibri"/>
                <w:b w:val="1"/>
                <w:color w:val="000000"/>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5" w:hRule="atLeast"/>
          <w:tblHeader w:val="0"/>
        </w:trPr>
        <w:tc>
          <w:tcPr>
            <w:gridSpan w:val="5"/>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35">
            <w:pPr>
              <w:rPr/>
            </w:pPr>
            <w:r w:rsidDel="00000000" w:rsidR="00000000" w:rsidRPr="00000000">
              <w:rPr>
                <w:rFonts w:ascii="Arial" w:cs="Arial" w:eastAsia="Arial" w:hAnsi="Arial"/>
                <w:b w:val="1"/>
                <w:sz w:val="24"/>
                <w:szCs w:val="24"/>
                <w:rtl w:val="0"/>
              </w:rPr>
              <w:t xml:space="preserve"> </w:t>
            </w:r>
            <w:r w:rsidDel="00000000" w:rsidR="00000000" w:rsidRPr="00000000">
              <w:rPr>
                <w:rtl w:val="0"/>
              </w:rPr>
            </w:r>
          </w:p>
          <w:p w:rsidR="00000000" w:rsidDel="00000000" w:rsidP="00000000" w:rsidRDefault="00000000" w:rsidRPr="00000000" w14:paraId="00000036">
            <w:pPr>
              <w:rPr/>
            </w:pPr>
            <w:r w:rsidDel="00000000" w:rsidR="00000000" w:rsidRPr="00000000">
              <w:rPr>
                <w:rFonts w:ascii="Arial" w:cs="Arial" w:eastAsia="Arial" w:hAnsi="Arial"/>
                <w:b w:val="1"/>
                <w:sz w:val="24"/>
                <w:szCs w:val="24"/>
                <w:rtl w:val="0"/>
              </w:rPr>
              <w:t xml:space="preserve">Assignment Mark</w:t>
            </w:r>
            <w:r w:rsidDel="00000000" w:rsidR="00000000" w:rsidRPr="00000000">
              <w:rPr>
                <w:rtl w:val="0"/>
              </w:rPr>
            </w:r>
          </w:p>
          <w:tbl>
            <w:tblPr>
              <w:tblStyle w:val="Table2"/>
              <w:tblW w:w="8640.0" w:type="dxa"/>
              <w:jc w:val="left"/>
              <w:tblLayout w:type="fixed"/>
              <w:tblLook w:val="0400"/>
            </w:tblPr>
            <w:tblGrid>
              <w:gridCol w:w="6975"/>
              <w:gridCol w:w="1665"/>
              <w:tblGridChange w:id="0">
                <w:tblGrid>
                  <w:gridCol w:w="6975"/>
                  <w:gridCol w:w="1665"/>
                </w:tblGrid>
              </w:tblGridChange>
            </w:tblGrid>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37">
                  <w:pPr>
                    <w:rPr/>
                  </w:pPr>
                  <w:r w:rsidDel="00000000" w:rsidR="00000000" w:rsidRPr="00000000">
                    <w:rPr>
                      <w:rFonts w:ascii="Arial" w:cs="Arial" w:eastAsia="Arial" w:hAnsi="Arial"/>
                      <w:sz w:val="20"/>
                      <w:szCs w:val="20"/>
                      <w:rtl w:val="0"/>
                    </w:rPr>
                    <w:t xml:space="preserve"> </w:t>
                  </w:r>
                  <w:r w:rsidDel="00000000" w:rsidR="00000000" w:rsidRPr="00000000">
                    <w:rPr>
                      <w:rtl w:val="0"/>
                    </w:rPr>
                  </w:r>
                </w:p>
                <w:p w:rsidR="00000000" w:rsidDel="00000000" w:rsidP="00000000" w:rsidRDefault="00000000" w:rsidRPr="00000000" w14:paraId="00000038">
                  <w:pPr>
                    <w:rPr/>
                  </w:pPr>
                  <w:r w:rsidDel="00000000" w:rsidR="00000000" w:rsidRPr="00000000">
                    <w:rPr>
                      <w:rFonts w:ascii="Arial" w:cs="Arial" w:eastAsia="Arial" w:hAnsi="Arial"/>
                      <w:sz w:val="20"/>
                      <w:szCs w:val="20"/>
                      <w:rtl w:val="0"/>
                    </w:rPr>
                    <w:t xml:space="preserve">1</w:t>
                  </w:r>
                  <w:r w:rsidDel="00000000" w:rsidR="00000000" w:rsidRPr="00000000">
                    <w:rPr>
                      <w:rFonts w:ascii="Arial" w:cs="Arial" w:eastAsia="Arial" w:hAnsi="Arial"/>
                      <w:sz w:val="20"/>
                      <w:szCs w:val="20"/>
                      <w:vertAlign w:val="superscript"/>
                      <w:rtl w:val="0"/>
                    </w:rPr>
                    <w:t xml:space="preserve">st</w:t>
                  </w:r>
                  <w:r w:rsidDel="00000000" w:rsidR="00000000" w:rsidRPr="00000000">
                    <w:rPr>
                      <w:rFonts w:ascii="Arial" w:cs="Arial" w:eastAsia="Arial" w:hAnsi="Arial"/>
                      <w:sz w:val="20"/>
                      <w:szCs w:val="20"/>
                      <w:rtl w:val="0"/>
                    </w:rPr>
                    <w:t xml:space="preserve"> Marker’s Provisional mark</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39">
                  <w:pPr>
                    <w:rPr/>
                  </w:pPr>
                  <w:r w:rsidDel="00000000" w:rsidR="00000000" w:rsidRPr="00000000">
                    <w:rPr>
                      <w:rFonts w:ascii="Arial" w:cs="Arial" w:eastAsia="Arial" w:hAnsi="Arial"/>
                      <w:sz w:val="20"/>
                      <w:szCs w:val="20"/>
                      <w:rtl w:val="0"/>
                    </w:rPr>
                    <w:t xml:space="preserve"> </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3A">
                  <w:pPr>
                    <w:rPr/>
                  </w:pPr>
                  <w:r w:rsidDel="00000000" w:rsidR="00000000" w:rsidRPr="00000000">
                    <w:rPr>
                      <w:rFonts w:ascii="Arial" w:cs="Arial" w:eastAsia="Arial" w:hAnsi="Arial"/>
                      <w:sz w:val="20"/>
                      <w:szCs w:val="20"/>
                      <w:rtl w:val="0"/>
                    </w:rPr>
                    <w:t xml:space="preserve"> </w:t>
                  </w:r>
                  <w:r w:rsidDel="00000000" w:rsidR="00000000" w:rsidRPr="00000000">
                    <w:rPr>
                      <w:rtl w:val="0"/>
                    </w:rPr>
                  </w:r>
                </w:p>
                <w:p w:rsidR="00000000" w:rsidDel="00000000" w:rsidP="00000000" w:rsidRDefault="00000000" w:rsidRPr="00000000" w14:paraId="0000003B">
                  <w:pPr>
                    <w:rPr/>
                  </w:pPr>
                  <w:r w:rsidDel="00000000" w:rsidR="00000000" w:rsidRPr="00000000">
                    <w:rPr>
                      <w:rFonts w:ascii="Arial" w:cs="Arial" w:eastAsia="Arial" w:hAnsi="Arial"/>
                      <w:sz w:val="20"/>
                      <w:szCs w:val="20"/>
                      <w:rtl w:val="0"/>
                    </w:rPr>
                    <w:t xml:space="preserve">2</w:t>
                  </w:r>
                  <w:r w:rsidDel="00000000" w:rsidR="00000000" w:rsidRPr="00000000">
                    <w:rPr>
                      <w:rFonts w:ascii="Arial" w:cs="Arial" w:eastAsia="Arial" w:hAnsi="Arial"/>
                      <w:sz w:val="20"/>
                      <w:szCs w:val="20"/>
                      <w:vertAlign w:val="superscript"/>
                      <w:rtl w:val="0"/>
                    </w:rPr>
                    <w:t xml:space="preserve">nd</w:t>
                  </w:r>
                  <w:r w:rsidDel="00000000" w:rsidR="00000000" w:rsidRPr="00000000">
                    <w:rPr>
                      <w:rFonts w:ascii="Arial" w:cs="Arial" w:eastAsia="Arial" w:hAnsi="Arial"/>
                      <w:sz w:val="20"/>
                      <w:szCs w:val="20"/>
                      <w:rtl w:val="0"/>
                    </w:rPr>
                    <w:t xml:space="preserve"> Marker’s/Moderator’s provisional mark</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3C">
                  <w:pPr>
                    <w:rPr/>
                  </w:pPr>
                  <w:r w:rsidDel="00000000" w:rsidR="00000000" w:rsidRPr="00000000">
                    <w:rPr>
                      <w:rFonts w:ascii="Arial" w:cs="Arial" w:eastAsia="Arial" w:hAnsi="Arial"/>
                      <w:sz w:val="20"/>
                      <w:szCs w:val="20"/>
                      <w:rtl w:val="0"/>
                    </w:rPr>
                    <w:t xml:space="preserve"> </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3D">
                  <w:pPr>
                    <w:rPr/>
                  </w:pPr>
                  <w:r w:rsidDel="00000000" w:rsidR="00000000" w:rsidRPr="00000000">
                    <w:rPr>
                      <w:rFonts w:ascii="Arial" w:cs="Arial" w:eastAsia="Arial" w:hAnsi="Arial"/>
                      <w:color w:val="000000"/>
                      <w:sz w:val="20"/>
                      <w:szCs w:val="20"/>
                      <w:rtl w:val="0"/>
                    </w:rPr>
                    <w:t xml:space="preserve">Agreed Internal Mark: </w:t>
                  </w:r>
                  <w:r w:rsidDel="00000000" w:rsidR="00000000" w:rsidRPr="00000000">
                    <w:rPr>
                      <w:rtl w:val="0"/>
                    </w:rPr>
                  </w:r>
                </w:p>
                <w:p w:rsidR="00000000" w:rsidDel="00000000" w:rsidP="00000000" w:rsidRDefault="00000000" w:rsidRPr="00000000" w14:paraId="0000003E">
                  <w:pPr>
                    <w:rPr/>
                  </w:pPr>
                  <w:r w:rsidDel="00000000" w:rsidR="00000000" w:rsidRPr="00000000">
                    <w:rPr>
                      <w:rFonts w:ascii="Arial" w:cs="Arial" w:eastAsia="Arial" w:hAnsi="Arial"/>
                      <w:sz w:val="20"/>
                      <w:szCs w:val="20"/>
                      <w:highlight w:val="yellow"/>
                      <w:rtl w:val="0"/>
                    </w:rPr>
                    <w:t xml:space="preserv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3F">
                  <w:pPr>
                    <w:rPr/>
                  </w:pPr>
                  <w:r w:rsidDel="00000000" w:rsidR="00000000" w:rsidRPr="00000000">
                    <w:rPr>
                      <w:rFonts w:ascii="Arial" w:cs="Arial" w:eastAsia="Arial" w:hAnsi="Arial"/>
                      <w:sz w:val="20"/>
                      <w:szCs w:val="20"/>
                      <w:highlight w:val="yellow"/>
                      <w:rtl w:val="0"/>
                    </w:rPr>
                    <w:t xml:space="preserve"> </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40">
                  <w:pPr>
                    <w:rPr/>
                  </w:pPr>
                  <w:r w:rsidDel="00000000" w:rsidR="00000000" w:rsidRPr="00000000">
                    <w:rPr>
                      <w:rFonts w:ascii="Arial" w:cs="Arial" w:eastAsia="Arial" w:hAnsi="Arial"/>
                      <w:sz w:val="20"/>
                      <w:szCs w:val="20"/>
                      <w:rtl w:val="0"/>
                    </w:rPr>
                    <w:t xml:space="preserve"> </w:t>
                  </w:r>
                  <w:r w:rsidDel="00000000" w:rsidR="00000000" w:rsidRPr="00000000">
                    <w:rPr>
                      <w:rtl w:val="0"/>
                    </w:rPr>
                  </w:r>
                </w:p>
                <w:p w:rsidR="00000000" w:rsidDel="00000000" w:rsidP="00000000" w:rsidRDefault="00000000" w:rsidRPr="00000000" w14:paraId="00000041">
                  <w:pPr>
                    <w:rPr/>
                  </w:pPr>
                  <w:r w:rsidDel="00000000" w:rsidR="00000000" w:rsidRPr="00000000">
                    <w:rPr>
                      <w:rFonts w:ascii="Arial" w:cs="Arial" w:eastAsia="Arial" w:hAnsi="Arial"/>
                      <w:sz w:val="20"/>
                      <w:szCs w:val="20"/>
                      <w:rtl w:val="0"/>
                    </w:rPr>
                    <w:t xml:space="preserve">External Examiner’s mark (if relevant)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42">
                  <w:pPr>
                    <w:rPr/>
                  </w:pPr>
                  <w:r w:rsidDel="00000000" w:rsidR="00000000" w:rsidRPr="00000000">
                    <w:rPr>
                      <w:rFonts w:ascii="Arial" w:cs="Arial" w:eastAsia="Arial" w:hAnsi="Arial"/>
                      <w:sz w:val="20"/>
                      <w:szCs w:val="20"/>
                      <w:rtl w:val="0"/>
                    </w:rPr>
                    <w:t xml:space="preserve"> </w:t>
                  </w:r>
                  <w:r w:rsidDel="00000000" w:rsidR="00000000" w:rsidRPr="00000000">
                    <w:rPr>
                      <w:rtl w:val="0"/>
                    </w:rPr>
                  </w:r>
                </w:p>
              </w:tc>
            </w:tr>
            <w:tr>
              <w:trPr>
                <w:cantSplit w:val="0"/>
                <w:tblHeader w:val="0"/>
              </w:trPr>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43">
                  <w:pPr>
                    <w:rPr/>
                  </w:pPr>
                  <w:r w:rsidDel="00000000" w:rsidR="00000000" w:rsidRPr="00000000">
                    <w:rPr>
                      <w:rFonts w:ascii="Arial" w:cs="Arial" w:eastAsia="Arial" w:hAnsi="Arial"/>
                      <w:sz w:val="20"/>
                      <w:szCs w:val="20"/>
                      <w:rtl w:val="0"/>
                    </w:rPr>
                    <w:t xml:space="preserve"> </w:t>
                  </w:r>
                  <w:r w:rsidDel="00000000" w:rsidR="00000000" w:rsidRPr="00000000">
                    <w:rPr>
                      <w:rtl w:val="0"/>
                    </w:rPr>
                  </w:r>
                </w:p>
                <w:p w:rsidR="00000000" w:rsidDel="00000000" w:rsidP="00000000" w:rsidRDefault="00000000" w:rsidRPr="00000000" w14:paraId="00000044">
                  <w:pPr>
                    <w:rPr/>
                  </w:pPr>
                  <w:r w:rsidDel="00000000" w:rsidR="00000000" w:rsidRPr="00000000">
                    <w:rPr>
                      <w:rFonts w:ascii="Arial" w:cs="Arial" w:eastAsia="Arial" w:hAnsi="Arial"/>
                      <w:b w:val="1"/>
                      <w:sz w:val="20"/>
                      <w:szCs w:val="20"/>
                      <w:rtl w:val="0"/>
                    </w:rPr>
                    <w:t xml:space="preserve">Final Mark</w:t>
                  </w:r>
                  <w:r w:rsidDel="00000000" w:rsidR="00000000" w:rsidRPr="00000000">
                    <w:rPr>
                      <w:rtl w:val="0"/>
                    </w:rPr>
                  </w:r>
                </w:p>
                <w:p w:rsidR="00000000" w:rsidDel="00000000" w:rsidP="00000000" w:rsidRDefault="00000000" w:rsidRPr="00000000" w14:paraId="00000045">
                  <w:pPr>
                    <w:rPr/>
                  </w:pPr>
                  <w:r w:rsidDel="00000000" w:rsidR="00000000" w:rsidRPr="00000000">
                    <w:rPr>
                      <w:rFonts w:ascii="Arial" w:cs="Arial" w:eastAsia="Arial" w:hAnsi="Arial"/>
                      <w:sz w:val="20"/>
                      <w:szCs w:val="20"/>
                      <w:rtl w:val="0"/>
                    </w:rPr>
                    <w:t xml:space="preserve"> </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46">
                  <w:pPr>
                    <w:rPr/>
                  </w:pPr>
                  <w:r w:rsidDel="00000000" w:rsidR="00000000" w:rsidRPr="00000000">
                    <w:rPr>
                      <w:rFonts w:ascii="Arial" w:cs="Arial" w:eastAsia="Arial" w:hAnsi="Arial"/>
                      <w:sz w:val="20"/>
                      <w:szCs w:val="20"/>
                      <w:rtl w:val="0"/>
                    </w:rPr>
                    <w:t xml:space="preserve"> </w:t>
                  </w:r>
                  <w:r w:rsidDel="00000000" w:rsidR="00000000" w:rsidRPr="00000000">
                    <w:rPr>
                      <w:rtl w:val="0"/>
                    </w:rPr>
                  </w:r>
                </w:p>
              </w:tc>
            </w:tr>
          </w:tbl>
          <w:p w:rsidR="00000000" w:rsidDel="00000000" w:rsidP="00000000" w:rsidRDefault="00000000" w:rsidRPr="00000000" w14:paraId="00000047">
            <w:pPr>
              <w:rPr/>
            </w:pPr>
            <w:r w:rsidDel="00000000" w:rsidR="00000000" w:rsidRPr="00000000">
              <w:rPr>
                <w:rFonts w:ascii="Arial" w:cs="Arial" w:eastAsia="Arial" w:hAnsi="Arial"/>
                <w:b w:val="1"/>
                <w:color w:val="000000"/>
                <w:rtl w:val="0"/>
              </w:rPr>
              <w:t xml:space="preserve"> </w:t>
            </w:r>
            <w:r w:rsidDel="00000000" w:rsidR="00000000" w:rsidRPr="00000000">
              <w:rPr>
                <w:rtl w:val="0"/>
              </w:rPr>
            </w:r>
          </w:p>
          <w:p w:rsidR="00000000" w:rsidDel="00000000" w:rsidP="00000000" w:rsidRDefault="00000000" w:rsidRPr="00000000" w14:paraId="00000048">
            <w:pPr>
              <w:rPr/>
            </w:pPr>
            <w:r w:rsidDel="00000000" w:rsidR="00000000" w:rsidRPr="00000000">
              <w:rPr>
                <w:rFonts w:ascii="Arial" w:cs="Arial" w:eastAsia="Arial" w:hAnsi="Arial"/>
                <w:b w:val="1"/>
                <w:color w:val="000000"/>
                <w:rtl w:val="0"/>
              </w:rPr>
              <w:t xml:space="preserve">NB.</w:t>
            </w:r>
            <w:r w:rsidDel="00000000" w:rsidR="00000000" w:rsidRPr="00000000">
              <w:rPr>
                <w:rFonts w:ascii="Arial" w:cs="Arial" w:eastAsia="Arial" w:hAnsi="Arial"/>
                <w:color w:val="000000"/>
                <w:rtl w:val="0"/>
              </w:rPr>
              <w:t xml:space="preserve">  All marks are provisional until confirmed by the Final Examination Board.</w:t>
            </w:r>
            <w:r w:rsidDel="00000000" w:rsidR="00000000" w:rsidRPr="00000000">
              <w:rPr>
                <w:rtl w:val="0"/>
              </w:rPr>
            </w:r>
          </w:p>
          <w:p w:rsidR="00000000" w:rsidDel="00000000" w:rsidP="00000000" w:rsidRDefault="00000000" w:rsidRPr="00000000" w14:paraId="00000049">
            <w:pPr>
              <w:rPr/>
            </w:pPr>
            <w:r w:rsidDel="00000000" w:rsidR="00000000" w:rsidRPr="00000000">
              <w:rPr>
                <w:rFonts w:ascii="Arial" w:cs="Arial" w:eastAsia="Arial" w:hAnsi="Arial"/>
                <w:b w:val="1"/>
                <w:color w:val="000000"/>
                <w:rtl w:val="0"/>
              </w:rPr>
              <w:t xml:space="preserve"> </w:t>
            </w:r>
            <w:r w:rsidDel="00000000" w:rsidR="00000000" w:rsidRPr="00000000">
              <w:rPr>
                <w:rtl w:val="0"/>
              </w:rPr>
            </w:r>
          </w:p>
          <w:p w:rsidR="00000000" w:rsidDel="00000000" w:rsidP="00000000" w:rsidRDefault="00000000" w:rsidRPr="00000000" w14:paraId="0000004A">
            <w:pPr>
              <w:rPr/>
            </w:pPr>
            <w:r w:rsidDel="00000000" w:rsidR="00000000" w:rsidRPr="00000000">
              <w:rPr>
                <w:rFonts w:ascii="Arial" w:cs="Arial" w:eastAsia="Arial" w:hAnsi="Arial"/>
                <w:b w:val="1"/>
                <w:color w:val="000000"/>
                <w:rtl w:val="0"/>
              </w:rPr>
              <w:t xml:space="preserve"> </w:t>
            </w:r>
            <w:r w:rsidDel="00000000" w:rsidR="00000000" w:rsidRPr="00000000">
              <w:rPr>
                <w:rtl w:val="0"/>
              </w:rPr>
            </w:r>
          </w:p>
          <w:p w:rsidR="00000000" w:rsidDel="00000000" w:rsidP="00000000" w:rsidRDefault="00000000" w:rsidRPr="00000000" w14:paraId="0000004B">
            <w:pPr>
              <w:rPr/>
            </w:pPr>
            <w:r w:rsidDel="00000000" w:rsidR="00000000" w:rsidRPr="00000000">
              <w:rPr>
                <w:rFonts w:ascii="Arial" w:cs="Arial" w:eastAsia="Arial" w:hAnsi="Arial"/>
                <w:b w:val="1"/>
                <w:color w:val="000000"/>
                <w:rtl w:val="0"/>
              </w:rPr>
              <w:t xml:space="preserve"> </w:t>
            </w:r>
            <w:r w:rsidDel="00000000" w:rsidR="00000000" w:rsidRPr="00000000">
              <w:rPr>
                <w:rtl w:val="0"/>
              </w:rPr>
            </w:r>
          </w:p>
          <w:p w:rsidR="00000000" w:rsidDel="00000000" w:rsidP="00000000" w:rsidRDefault="00000000" w:rsidRPr="00000000" w14:paraId="0000004C">
            <w:pPr>
              <w:rPr/>
            </w:pPr>
            <w:r w:rsidDel="00000000" w:rsidR="00000000" w:rsidRPr="00000000">
              <w:rPr>
                <w:rFonts w:ascii="Arial" w:cs="Arial" w:eastAsia="Arial" w:hAnsi="Arial"/>
                <w:b w:val="1"/>
                <w:color w:val="000000"/>
                <w:rtl w:val="0"/>
              </w:rPr>
              <w:t xml:space="preserve"> </w:t>
            </w:r>
            <w:r w:rsidDel="00000000" w:rsidR="00000000" w:rsidRPr="00000000">
              <w:rPr>
                <w:rtl w:val="0"/>
              </w:rPr>
            </w:r>
          </w:p>
          <w:p w:rsidR="00000000" w:rsidDel="00000000" w:rsidP="00000000" w:rsidRDefault="00000000" w:rsidRPr="00000000" w14:paraId="0000004D">
            <w:pPr>
              <w:rPr/>
            </w:pPr>
            <w:r w:rsidDel="00000000" w:rsidR="00000000" w:rsidRPr="00000000">
              <w:rPr>
                <w:rFonts w:ascii="Arial" w:cs="Arial" w:eastAsia="Arial" w:hAnsi="Arial"/>
                <w:b w:val="1"/>
                <w:color w:val="000000"/>
                <w:rtl w:val="0"/>
              </w:rPr>
              <w:t xml:space="preserve">For completion by Marker 1 :</w:t>
            </w:r>
            <w:r w:rsidDel="00000000" w:rsidR="00000000" w:rsidRPr="00000000">
              <w:rPr>
                <w:rtl w:val="0"/>
              </w:rPr>
            </w:r>
          </w:p>
          <w:p w:rsidR="00000000" w:rsidDel="00000000" w:rsidP="00000000" w:rsidRDefault="00000000" w:rsidRPr="00000000" w14:paraId="0000004E">
            <w:pPr>
              <w:rPr/>
            </w:pPr>
            <w:r w:rsidDel="00000000" w:rsidR="00000000" w:rsidRPr="00000000">
              <w:rPr>
                <w:rFonts w:ascii="Arial" w:cs="Arial" w:eastAsia="Arial" w:hAnsi="Arial"/>
                <w:color w:val="000000"/>
                <w:rtl w:val="0"/>
              </w:rPr>
              <w:t xml:space="preserve">Comments:</w:t>
            </w:r>
            <w:r w:rsidDel="00000000" w:rsidR="00000000" w:rsidRPr="00000000">
              <w:rPr>
                <w:rtl w:val="0"/>
              </w:rPr>
            </w:r>
          </w:p>
          <w:p w:rsidR="00000000" w:rsidDel="00000000" w:rsidP="00000000" w:rsidRDefault="00000000" w:rsidRPr="00000000" w14:paraId="0000004F">
            <w:pPr>
              <w:rPr/>
            </w:pP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495" w:hRule="atLeast"/>
          <w:tblHeader w:val="0"/>
        </w:trPr>
        <w:tc>
          <w:tcPr>
            <w:gridSpan w:val="3"/>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54">
            <w:pPr>
              <w:rPr/>
            </w:pPr>
            <w:r w:rsidDel="00000000" w:rsidR="00000000" w:rsidRPr="00000000">
              <w:rPr>
                <w:rFonts w:ascii="Arial" w:cs="Arial" w:eastAsia="Arial" w:hAnsi="Arial"/>
                <w:color w:val="000000"/>
                <w:rtl w:val="0"/>
              </w:rPr>
              <w:t xml:space="preserve">Marker’s signature:</w:t>
            </w:r>
            <w:r w:rsidDel="00000000" w:rsidR="00000000" w:rsidRPr="00000000">
              <w:rPr>
                <w:rtl w:val="0"/>
              </w:rPr>
            </w:r>
          </w:p>
        </w:tc>
        <w:tc>
          <w:tcPr>
            <w:gridSpan w:val="2"/>
            <w:tcBorders>
              <w:top w:color="000000" w:space="0" w:sz="8" w:val="single"/>
              <w:left w:color="000000" w:space="0" w:sz="0" w:val="nil"/>
              <w:bottom w:color="000000" w:space="0" w:sz="8" w:val="single"/>
              <w:right w:color="000000" w:space="0" w:sz="8" w:val="single"/>
            </w:tcBorders>
          </w:tcPr>
          <w:p w:rsidR="00000000" w:rsidDel="00000000" w:rsidP="00000000" w:rsidRDefault="00000000" w:rsidRPr="00000000" w14:paraId="00000057">
            <w:pPr>
              <w:rPr/>
            </w:pPr>
            <w:r w:rsidDel="00000000" w:rsidR="00000000" w:rsidRPr="00000000">
              <w:rPr>
                <w:rFonts w:ascii="Arial" w:cs="Arial" w:eastAsia="Arial" w:hAnsi="Arial"/>
                <w:color w:val="000000"/>
                <w:rtl w:val="0"/>
              </w:rPr>
              <w:t xml:space="preserve">Date:</w:t>
            </w:r>
            <w:r w:rsidDel="00000000" w:rsidR="00000000" w:rsidRPr="00000000">
              <w:rPr>
                <w:rtl w:val="0"/>
              </w:rPr>
            </w:r>
          </w:p>
        </w:tc>
      </w:tr>
      <w:tr>
        <w:trPr>
          <w:cantSplit w:val="0"/>
          <w:tblHeader w:val="0"/>
        </w:trPr>
        <w:tc>
          <w:tcPr>
            <w:gridSpan w:val="5"/>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59">
            <w:pPr>
              <w:rPr/>
            </w:pPr>
            <w:r w:rsidDel="00000000" w:rsidR="00000000" w:rsidRPr="00000000">
              <w:rPr>
                <w:rFonts w:ascii="Arial" w:cs="Arial" w:eastAsia="Arial" w:hAnsi="Arial"/>
                <w:i w:val="1"/>
                <w:color w:val="000000"/>
                <w:rtl w:val="0"/>
              </w:rPr>
              <w:t xml:space="preserve"> </w:t>
            </w:r>
            <w:r w:rsidDel="00000000" w:rsidR="00000000" w:rsidRPr="00000000">
              <w:rPr>
                <w:rtl w:val="0"/>
              </w:rPr>
            </w:r>
          </w:p>
          <w:p w:rsidR="00000000" w:rsidDel="00000000" w:rsidP="00000000" w:rsidRDefault="00000000" w:rsidRPr="00000000" w14:paraId="0000005A">
            <w:pPr>
              <w:rPr/>
            </w:pPr>
            <w:r w:rsidDel="00000000" w:rsidR="00000000" w:rsidRPr="00000000">
              <w:rPr>
                <w:rFonts w:ascii="Arial" w:cs="Arial" w:eastAsia="Arial" w:hAnsi="Arial"/>
                <w:b w:val="1"/>
                <w:color w:val="000000"/>
                <w:rtl w:val="0"/>
              </w:rPr>
              <w:t xml:space="preserve">For completion by Marker 2/Moderator:</w:t>
            </w:r>
            <w:r w:rsidDel="00000000" w:rsidR="00000000" w:rsidRPr="00000000">
              <w:rPr>
                <w:rtl w:val="0"/>
              </w:rPr>
            </w:r>
          </w:p>
          <w:p w:rsidR="00000000" w:rsidDel="00000000" w:rsidP="00000000" w:rsidRDefault="00000000" w:rsidRPr="00000000" w14:paraId="0000005B">
            <w:pPr>
              <w:rPr/>
            </w:pPr>
            <w:r w:rsidDel="00000000" w:rsidR="00000000" w:rsidRPr="00000000">
              <w:rPr>
                <w:rFonts w:ascii="Arial" w:cs="Arial" w:eastAsia="Arial" w:hAnsi="Arial"/>
                <w:b w:val="1"/>
                <w:color w:val="000000"/>
                <w:rtl w:val="0"/>
              </w:rPr>
              <w:t xml:space="preserve"> </w:t>
            </w:r>
            <w:r w:rsidDel="00000000" w:rsidR="00000000" w:rsidRPr="00000000">
              <w:rPr>
                <w:rtl w:val="0"/>
              </w:rPr>
            </w:r>
          </w:p>
          <w:p w:rsidR="00000000" w:rsidDel="00000000" w:rsidP="00000000" w:rsidRDefault="00000000" w:rsidRPr="00000000" w14:paraId="0000005C">
            <w:pPr>
              <w:rPr/>
            </w:pPr>
            <w:r w:rsidDel="00000000" w:rsidR="00000000" w:rsidRPr="00000000">
              <w:rPr>
                <w:rFonts w:ascii="Arial" w:cs="Arial" w:eastAsia="Arial" w:hAnsi="Arial"/>
                <w:color w:val="000000"/>
                <w:rtl w:val="0"/>
              </w:rPr>
              <w:t xml:space="preserve">Comments:</w:t>
            </w:r>
            <w:r w:rsidDel="00000000" w:rsidR="00000000" w:rsidRPr="00000000">
              <w:rPr>
                <w:rtl w:val="0"/>
              </w:rPr>
            </w:r>
          </w:p>
          <w:p w:rsidR="00000000" w:rsidDel="00000000" w:rsidP="00000000" w:rsidRDefault="00000000" w:rsidRPr="00000000" w14:paraId="0000005D">
            <w:pPr>
              <w:rPr/>
            </w:pPr>
            <w:r w:rsidDel="00000000" w:rsidR="00000000" w:rsidRPr="00000000">
              <w:rPr>
                <w:rFonts w:ascii="Arial" w:cs="Arial" w:eastAsia="Arial" w:hAnsi="Arial"/>
                <w:color w:val="000000"/>
                <w:rtl w:val="0"/>
              </w:rPr>
              <w:t xml:space="preserve"> </w:t>
            </w:r>
            <w:r w:rsidDel="00000000" w:rsidR="00000000" w:rsidRPr="00000000">
              <w:rPr>
                <w:rtl w:val="0"/>
              </w:rPr>
            </w:r>
          </w:p>
          <w:p w:rsidR="00000000" w:rsidDel="00000000" w:rsidP="00000000" w:rsidRDefault="00000000" w:rsidRPr="00000000" w14:paraId="0000005E">
            <w:pPr>
              <w:rPr/>
            </w:pPr>
            <w:r w:rsidDel="00000000" w:rsidR="00000000" w:rsidRPr="00000000">
              <w:rPr>
                <w:rFonts w:ascii="Arial" w:cs="Arial" w:eastAsia="Arial" w:hAnsi="Arial"/>
                <w:color w:val="000000"/>
                <w:rtl w:val="0"/>
              </w:rPr>
              <w:t xml:space="preserve"> </w:t>
            </w:r>
            <w:r w:rsidDel="00000000" w:rsidR="00000000" w:rsidRPr="00000000">
              <w:rPr>
                <w:rtl w:val="0"/>
              </w:rPr>
            </w:r>
          </w:p>
          <w:p w:rsidR="00000000" w:rsidDel="00000000" w:rsidP="00000000" w:rsidRDefault="00000000" w:rsidRPr="00000000" w14:paraId="0000005F">
            <w:pPr>
              <w:rPr/>
            </w:pP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7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4">
            <w:pPr>
              <w:rPr/>
            </w:pPr>
            <w:r w:rsidDel="00000000" w:rsidR="00000000" w:rsidRPr="00000000">
              <w:rPr>
                <w:rFonts w:ascii="Arial" w:cs="Arial" w:eastAsia="Arial" w:hAnsi="Arial"/>
                <w:color w:val="000000"/>
                <w:rtl w:val="0"/>
              </w:rPr>
              <w:t xml:space="preserve">Marker’s Signature:</w:t>
            </w:r>
            <w:r w:rsidDel="00000000" w:rsidR="00000000" w:rsidRPr="00000000">
              <w:rPr>
                <w:rtl w:val="0"/>
              </w:rPr>
            </w:r>
          </w:p>
        </w:tc>
        <w:tc>
          <w:tcPr>
            <w:gridSpan w:val="3"/>
            <w:tcBorders>
              <w:top w:color="000000" w:space="0" w:sz="8" w:val="single"/>
              <w:left w:color="000000" w:space="0" w:sz="0" w:val="nil"/>
              <w:bottom w:color="000000" w:space="0" w:sz="8" w:val="single"/>
              <w:right w:color="000000" w:space="0" w:sz="8" w:val="single"/>
            </w:tcBorders>
          </w:tcPr>
          <w:p w:rsidR="00000000" w:rsidDel="00000000" w:rsidP="00000000" w:rsidRDefault="00000000" w:rsidRPr="00000000" w14:paraId="00000066">
            <w:pPr>
              <w:rPr/>
            </w:pPr>
            <w:r w:rsidDel="00000000" w:rsidR="00000000" w:rsidRPr="00000000">
              <w:rPr>
                <w:rFonts w:ascii="Arial" w:cs="Arial" w:eastAsia="Arial" w:hAnsi="Arial"/>
                <w:color w:val="000000"/>
                <w:rtl w:val="0"/>
              </w:rPr>
              <w:t xml:space="preserve">Date:</w:t>
            </w:r>
            <w:r w:rsidDel="00000000" w:rsidR="00000000" w:rsidRPr="00000000">
              <w:rPr>
                <w:rtl w:val="0"/>
              </w:rPr>
            </w:r>
          </w:p>
        </w:tc>
      </w:tr>
      <w:tr>
        <w:trPr>
          <w:cantSplit w:val="0"/>
          <w:trHeight w:val="720" w:hRule="atLeast"/>
          <w:tblHeader w:val="0"/>
        </w:trPr>
        <w:tc>
          <w:tcPr>
            <w:gridSpan w:val="5"/>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69">
            <w:pPr>
              <w:rPr/>
            </w:pPr>
            <w:r w:rsidDel="00000000" w:rsidR="00000000" w:rsidRPr="00000000">
              <w:rPr>
                <w:rFonts w:ascii="Arial" w:cs="Arial" w:eastAsia="Arial" w:hAnsi="Arial"/>
                <w:b w:val="1"/>
                <w:rtl w:val="0"/>
              </w:rPr>
              <w:t xml:space="preserve">AGREED INTERNAL MARK (where necessary):</w:t>
            </w:r>
            <w:r w:rsidDel="00000000" w:rsidR="00000000" w:rsidRPr="00000000">
              <w:rPr>
                <w:rtl w:val="0"/>
              </w:rPr>
            </w:r>
          </w:p>
          <w:p w:rsidR="00000000" w:rsidDel="00000000" w:rsidP="00000000" w:rsidRDefault="00000000" w:rsidRPr="00000000" w14:paraId="0000006A">
            <w:pPr>
              <w:rPr/>
            </w:pPr>
            <w:r w:rsidDel="00000000" w:rsidR="00000000" w:rsidRPr="00000000">
              <w:rPr>
                <w:rFonts w:ascii="Arial" w:cs="Arial" w:eastAsia="Arial" w:hAnsi="Arial"/>
                <w:b w:val="1"/>
                <w:rtl w:val="0"/>
              </w:rPr>
              <w:t xml:space="preserve"> </w:t>
            </w:r>
            <w:r w:rsidDel="00000000" w:rsidR="00000000" w:rsidRPr="00000000">
              <w:rPr>
                <w:rtl w:val="0"/>
              </w:rPr>
            </w:r>
          </w:p>
          <w:p w:rsidR="00000000" w:rsidDel="00000000" w:rsidP="00000000" w:rsidRDefault="00000000" w:rsidRPr="00000000" w14:paraId="0000006B">
            <w:pPr>
              <w:rPr/>
            </w:pPr>
            <w:r w:rsidDel="00000000" w:rsidR="00000000" w:rsidRPr="00000000">
              <w:rPr>
                <w:rFonts w:ascii="Arial" w:cs="Arial" w:eastAsia="Arial" w:hAnsi="Arial"/>
                <w:b w:val="1"/>
                <w:rtl w:val="0"/>
              </w:rPr>
              <w:t xml:space="preserve">Comment on process of arriving at agreed mark:</w:t>
            </w:r>
            <w:r w:rsidDel="00000000" w:rsidR="00000000" w:rsidRPr="00000000">
              <w:rPr>
                <w:rtl w:val="0"/>
              </w:rPr>
            </w:r>
          </w:p>
          <w:p w:rsidR="00000000" w:rsidDel="00000000" w:rsidP="00000000" w:rsidRDefault="00000000" w:rsidRPr="00000000" w14:paraId="0000006C">
            <w:pPr>
              <w:rPr/>
            </w:pPr>
            <w:r w:rsidDel="00000000" w:rsidR="00000000" w:rsidRPr="00000000">
              <w:rPr>
                <w:rFonts w:ascii="Arial" w:cs="Arial" w:eastAsia="Arial" w:hAnsi="Arial"/>
                <w:b w:val="1"/>
                <w:rtl w:val="0"/>
              </w:rPr>
              <w:t xml:space="preserve"> </w:t>
            </w:r>
            <w:r w:rsidDel="00000000" w:rsidR="00000000" w:rsidRPr="00000000">
              <w:rPr>
                <w:rtl w:val="0"/>
              </w:rPr>
            </w:r>
          </w:p>
          <w:p w:rsidR="00000000" w:rsidDel="00000000" w:rsidP="00000000" w:rsidRDefault="00000000" w:rsidRPr="00000000" w14:paraId="0000006D">
            <w:pPr>
              <w:rPr/>
            </w:pPr>
            <w:r w:rsidDel="00000000" w:rsidR="00000000" w:rsidRPr="00000000">
              <w:rPr>
                <w:rFonts w:ascii="Arial" w:cs="Arial" w:eastAsia="Arial" w:hAnsi="Arial"/>
                <w:b w:val="1"/>
                <w:rtl w:val="0"/>
              </w:rPr>
              <w:t xml:space="preserve"> </w:t>
            </w:r>
            <w:r w:rsidDel="00000000" w:rsidR="00000000" w:rsidRPr="00000000">
              <w:rPr>
                <w:rtl w:val="0"/>
              </w:rPr>
            </w:r>
          </w:p>
          <w:p w:rsidR="00000000" w:rsidDel="00000000" w:rsidP="00000000" w:rsidRDefault="00000000" w:rsidRPr="00000000" w14:paraId="0000006E">
            <w:pPr>
              <w:rPr/>
            </w:pPr>
            <w:r w:rsidDel="00000000" w:rsidR="00000000" w:rsidRPr="00000000">
              <w:rPr>
                <w:rFonts w:ascii="Arial" w:cs="Arial" w:eastAsia="Arial" w:hAnsi="Arial"/>
                <w:b w:val="1"/>
                <w:rtl w:val="0"/>
              </w:rPr>
              <w:t xml:space="preserve"> </w:t>
            </w:r>
            <w:r w:rsidDel="00000000" w:rsidR="00000000" w:rsidRPr="00000000">
              <w:rPr>
                <w:rtl w:val="0"/>
              </w:rPr>
            </w:r>
          </w:p>
          <w:p w:rsidR="00000000" w:rsidDel="00000000" w:rsidP="00000000" w:rsidRDefault="00000000" w:rsidRPr="00000000" w14:paraId="0000006F">
            <w:pPr>
              <w:rPr/>
            </w:pPr>
            <w:r w:rsidDel="00000000" w:rsidR="00000000" w:rsidRPr="00000000">
              <w:rPr>
                <w:rFonts w:ascii="Arial" w:cs="Arial" w:eastAsia="Arial" w:hAnsi="Arial"/>
                <w:b w:val="1"/>
                <w:rtl w:val="0"/>
              </w:rPr>
              <w:t xml:space="preserve"> </w:t>
            </w:r>
            <w:r w:rsidDel="00000000" w:rsidR="00000000" w:rsidRPr="00000000">
              <w:rPr>
                <w:rtl w:val="0"/>
              </w:rPr>
            </w:r>
          </w:p>
          <w:p w:rsidR="00000000" w:rsidDel="00000000" w:rsidP="00000000" w:rsidRDefault="00000000" w:rsidRPr="00000000" w14:paraId="00000070">
            <w:pPr>
              <w:rPr/>
            </w:pPr>
            <w:r w:rsidDel="00000000" w:rsidR="00000000" w:rsidRPr="00000000">
              <w:rPr>
                <w:rFonts w:ascii="Arial" w:cs="Arial" w:eastAsia="Arial" w:hAnsi="Arial"/>
                <w:b w:val="1"/>
                <w:rtl w:val="0"/>
              </w:rPr>
              <w:t xml:space="preserve"> </w:t>
            </w:r>
            <w:r w:rsidDel="00000000" w:rsidR="00000000" w:rsidRPr="00000000">
              <w:rPr>
                <w:rtl w:val="0"/>
              </w:rPr>
            </w:r>
          </w:p>
          <w:p w:rsidR="00000000" w:rsidDel="00000000" w:rsidP="00000000" w:rsidRDefault="00000000" w:rsidRPr="00000000" w14:paraId="00000071">
            <w:pPr>
              <w:rPr/>
            </w:pPr>
            <w:r w:rsidDel="00000000" w:rsidR="00000000" w:rsidRPr="00000000">
              <w:rPr>
                <w:rFonts w:ascii="Arial" w:cs="Arial" w:eastAsia="Arial" w:hAnsi="Arial"/>
                <w:b w:val="1"/>
                <w:rtl w:val="0"/>
              </w:rPr>
              <w:t xml:space="preserve"> </w:t>
            </w:r>
            <w:r w:rsidDel="00000000" w:rsidR="00000000" w:rsidRPr="00000000">
              <w:rPr>
                <w:rtl w:val="0"/>
              </w:rPr>
            </w:r>
          </w:p>
          <w:p w:rsidR="00000000" w:rsidDel="00000000" w:rsidP="00000000" w:rsidRDefault="00000000" w:rsidRPr="00000000" w14:paraId="00000072">
            <w:pPr>
              <w:rPr/>
            </w:pPr>
            <w:r w:rsidDel="00000000" w:rsidR="00000000" w:rsidRPr="00000000">
              <w:rPr>
                <w:rFonts w:ascii="Arial" w:cs="Arial" w:eastAsia="Arial" w:hAnsi="Arial"/>
                <w:b w:val="1"/>
                <w:rtl w:val="0"/>
              </w:rPr>
              <w:t xml:space="preserve"> </w:t>
            </w:r>
            <w:r w:rsidDel="00000000" w:rsidR="00000000" w:rsidRPr="00000000">
              <w:rPr>
                <w:rtl w:val="0"/>
              </w:rPr>
            </w:r>
          </w:p>
          <w:p w:rsidR="00000000" w:rsidDel="00000000" w:rsidP="00000000" w:rsidRDefault="00000000" w:rsidRPr="00000000" w14:paraId="00000073">
            <w:pPr>
              <w:rPr/>
            </w:pPr>
            <w:r w:rsidDel="00000000" w:rsidR="00000000" w:rsidRPr="00000000">
              <w:rPr>
                <w:rFonts w:ascii="Arial" w:cs="Arial" w:eastAsia="Arial" w:hAnsi="Arial"/>
                <w:b w:val="1"/>
                <w:rtl w:val="0"/>
              </w:rPr>
              <w:t xml:space="preserve"> </w:t>
            </w:r>
            <w:r w:rsidDel="00000000" w:rsidR="00000000" w:rsidRPr="00000000">
              <w:rPr>
                <w:rtl w:val="0"/>
              </w:rPr>
            </w:r>
          </w:p>
        </w:tc>
      </w:tr>
      <w:tr>
        <w:trPr>
          <w:cantSplit w:val="0"/>
          <w:trHeight w:val="720" w:hRule="atLeast"/>
          <w:tblHeader w:val="0"/>
        </w:trPr>
        <w:tc>
          <w:tcPr>
            <w:gridSpan w:val="5"/>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78">
            <w:pPr>
              <w:rPr/>
            </w:pPr>
            <w:r w:rsidDel="00000000" w:rsidR="00000000" w:rsidRPr="00000000">
              <w:rPr>
                <w:rFonts w:ascii="Arial" w:cs="Arial" w:eastAsia="Arial" w:hAnsi="Arial"/>
                <w:b w:val="1"/>
                <w:rtl w:val="0"/>
              </w:rPr>
              <w:t xml:space="preserve">External Examiner’s comments (if relevant)</w:t>
            </w:r>
            <w:r w:rsidDel="00000000" w:rsidR="00000000" w:rsidRPr="00000000">
              <w:rPr>
                <w:rtl w:val="0"/>
              </w:rPr>
            </w:r>
          </w:p>
          <w:p w:rsidR="00000000" w:rsidDel="00000000" w:rsidP="00000000" w:rsidRDefault="00000000" w:rsidRPr="00000000" w14:paraId="00000079">
            <w:pPr>
              <w:rPr/>
            </w:pPr>
            <w:r w:rsidDel="00000000" w:rsidR="00000000" w:rsidRPr="00000000">
              <w:rPr>
                <w:rFonts w:ascii="Arial" w:cs="Arial" w:eastAsia="Arial" w:hAnsi="Arial"/>
                <w:color w:val="000000"/>
                <w:rtl w:val="0"/>
              </w:rPr>
              <w:t xml:space="preserve"> </w:t>
            </w:r>
            <w:r w:rsidDel="00000000" w:rsidR="00000000" w:rsidRPr="00000000">
              <w:rPr>
                <w:rtl w:val="0"/>
              </w:rPr>
            </w:r>
          </w:p>
          <w:p w:rsidR="00000000" w:rsidDel="00000000" w:rsidP="00000000" w:rsidRDefault="00000000" w:rsidRPr="00000000" w14:paraId="0000007A">
            <w:pPr>
              <w:rPr/>
            </w:pPr>
            <w:r w:rsidDel="00000000" w:rsidR="00000000" w:rsidRPr="00000000">
              <w:rPr>
                <w:rFonts w:ascii="Arial" w:cs="Arial" w:eastAsia="Arial" w:hAnsi="Arial"/>
                <w:color w:val="000000"/>
                <w:rtl w:val="0"/>
              </w:rPr>
              <w:t xml:space="preserve"> </w:t>
            </w:r>
            <w:r w:rsidDel="00000000" w:rsidR="00000000" w:rsidRPr="00000000">
              <w:rPr>
                <w:rtl w:val="0"/>
              </w:rPr>
            </w:r>
          </w:p>
          <w:p w:rsidR="00000000" w:rsidDel="00000000" w:rsidP="00000000" w:rsidRDefault="00000000" w:rsidRPr="00000000" w14:paraId="0000007B">
            <w:pPr>
              <w:rPr/>
            </w:pPr>
            <w:r w:rsidDel="00000000" w:rsidR="00000000" w:rsidRPr="00000000">
              <w:rPr>
                <w:rFonts w:ascii="Arial" w:cs="Arial" w:eastAsia="Arial" w:hAnsi="Arial"/>
                <w:color w:val="000000"/>
                <w:rtl w:val="0"/>
              </w:rPr>
              <w:t xml:space="preserve"> </w:t>
            </w:r>
            <w:r w:rsidDel="00000000" w:rsidR="00000000" w:rsidRPr="00000000">
              <w:rPr>
                <w:rtl w:val="0"/>
              </w:rPr>
            </w:r>
          </w:p>
          <w:p w:rsidR="00000000" w:rsidDel="00000000" w:rsidP="00000000" w:rsidRDefault="00000000" w:rsidRPr="00000000" w14:paraId="0000007C">
            <w:pPr>
              <w:rPr/>
            </w:pPr>
            <w:r w:rsidDel="00000000" w:rsidR="00000000" w:rsidRPr="00000000">
              <w:rPr>
                <w:rFonts w:ascii="Arial" w:cs="Arial" w:eastAsia="Arial" w:hAnsi="Arial"/>
                <w:color w:val="000000"/>
                <w:rtl w:val="0"/>
              </w:rPr>
              <w:t xml:space="preserve"> </w:t>
            </w:r>
            <w:r w:rsidDel="00000000" w:rsidR="00000000" w:rsidRPr="00000000">
              <w:rPr>
                <w:rtl w:val="0"/>
              </w:rPr>
            </w:r>
          </w:p>
          <w:p w:rsidR="00000000" w:rsidDel="00000000" w:rsidP="00000000" w:rsidRDefault="00000000" w:rsidRPr="00000000" w14:paraId="0000007D">
            <w:pPr>
              <w:rPr/>
            </w:pPr>
            <w:r w:rsidDel="00000000" w:rsidR="00000000" w:rsidRPr="00000000">
              <w:rPr>
                <w:rFonts w:ascii="Arial" w:cs="Arial" w:eastAsia="Arial" w:hAnsi="Arial"/>
                <w:color w:val="000000"/>
                <w:rtl w:val="0"/>
              </w:rPr>
              <w:t xml:space="preserve"> </w:t>
            </w:r>
            <w:r w:rsidDel="00000000" w:rsidR="00000000" w:rsidRPr="00000000">
              <w:rPr>
                <w:rtl w:val="0"/>
              </w:rPr>
            </w:r>
          </w:p>
          <w:p w:rsidR="00000000" w:rsidDel="00000000" w:rsidP="00000000" w:rsidRDefault="00000000" w:rsidRPr="00000000" w14:paraId="0000007E">
            <w:pPr>
              <w:rPr/>
            </w:pPr>
            <w:r w:rsidDel="00000000" w:rsidR="00000000" w:rsidRPr="00000000">
              <w:rPr>
                <w:rFonts w:ascii="Arial" w:cs="Arial" w:eastAsia="Arial" w:hAnsi="Arial"/>
                <w:color w:val="000000"/>
                <w:rtl w:val="0"/>
              </w:rPr>
              <w:t xml:space="preserve"> </w:t>
            </w:r>
            <w:r w:rsidDel="00000000" w:rsidR="00000000" w:rsidRPr="00000000">
              <w:rPr>
                <w:rtl w:val="0"/>
              </w:rPr>
            </w:r>
          </w:p>
          <w:p w:rsidR="00000000" w:rsidDel="00000000" w:rsidP="00000000" w:rsidRDefault="00000000" w:rsidRPr="00000000" w14:paraId="0000007F">
            <w:pPr>
              <w:rPr/>
            </w:pPr>
            <w:r w:rsidDel="00000000" w:rsidR="00000000" w:rsidRPr="00000000">
              <w:rPr>
                <w:rFonts w:ascii="Arial" w:cs="Arial" w:eastAsia="Arial" w:hAnsi="Arial"/>
                <w:color w:val="000000"/>
                <w:rtl w:val="0"/>
              </w:rPr>
              <w:t xml:space="preserve"> </w:t>
            </w:r>
            <w:r w:rsidDel="00000000" w:rsidR="00000000" w:rsidRPr="00000000">
              <w:rPr>
                <w:rtl w:val="0"/>
              </w:rPr>
            </w:r>
          </w:p>
        </w:tc>
      </w:tr>
      <w:tr>
        <w:trPr>
          <w:cantSplit w:val="0"/>
          <w:trHeight w:val="720" w:hRule="atLeast"/>
          <w:tblHeader w:val="0"/>
        </w:trPr>
        <w:tc>
          <w:tcPr>
            <w:gridSpan w:val="2"/>
            <w:tcBorders>
              <w:top w:color="000000" w:space="0" w:sz="8" w:val="single"/>
              <w:left w:color="000000" w:space="0" w:sz="8" w:val="single"/>
              <w:bottom w:color="000000" w:space="0" w:sz="8" w:val="single"/>
              <w:right w:color="000000" w:space="0" w:sz="8" w:val="single"/>
            </w:tcBorders>
          </w:tcPr>
          <w:p w:rsidR="00000000" w:rsidDel="00000000" w:rsidP="00000000" w:rsidRDefault="00000000" w:rsidRPr="00000000" w14:paraId="00000084">
            <w:pPr>
              <w:rPr/>
            </w:pPr>
            <w:r w:rsidDel="00000000" w:rsidR="00000000" w:rsidRPr="00000000">
              <w:rPr>
                <w:rFonts w:ascii="Arial" w:cs="Arial" w:eastAsia="Arial" w:hAnsi="Arial"/>
                <w:rtl w:val="0"/>
              </w:rPr>
              <w:t xml:space="preserve">External Examiner’s Signature:</w:t>
            </w:r>
            <w:r w:rsidDel="00000000" w:rsidR="00000000" w:rsidRPr="00000000">
              <w:rPr>
                <w:rtl w:val="0"/>
              </w:rPr>
            </w:r>
          </w:p>
        </w:tc>
        <w:tc>
          <w:tcPr>
            <w:gridSpan w:val="3"/>
            <w:tcBorders>
              <w:top w:color="000000" w:space="0" w:sz="8" w:val="single"/>
              <w:left w:color="000000" w:space="0" w:sz="0" w:val="nil"/>
              <w:bottom w:color="000000" w:space="0" w:sz="8" w:val="single"/>
              <w:right w:color="000000" w:space="0" w:sz="8" w:val="single"/>
            </w:tcBorders>
          </w:tcPr>
          <w:p w:rsidR="00000000" w:rsidDel="00000000" w:rsidP="00000000" w:rsidRDefault="00000000" w:rsidRPr="00000000" w14:paraId="00000086">
            <w:pPr>
              <w:rPr/>
            </w:pPr>
            <w:r w:rsidDel="00000000" w:rsidR="00000000" w:rsidRPr="00000000">
              <w:rPr>
                <w:rFonts w:ascii="Arial" w:cs="Arial" w:eastAsia="Arial" w:hAnsi="Arial"/>
                <w:rtl w:val="0"/>
              </w:rPr>
              <w:t xml:space="preserve">Date:</w:t>
            </w:r>
            <w:r w:rsidDel="00000000" w:rsidR="00000000" w:rsidRPr="00000000">
              <w:rPr>
                <w:rtl w:val="0"/>
              </w:rPr>
            </w:r>
          </w:p>
        </w:tc>
      </w:tr>
    </w:tbl>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jc w:val="both"/>
        <w:rPr>
          <w:rFonts w:ascii="Times New Roman" w:cs="Times New Roman" w:eastAsia="Times New Roman" w:hAnsi="Times New Roman"/>
          <w:color w:val="ff0000"/>
          <w:sz w:val="24"/>
          <w:szCs w:val="24"/>
        </w:rPr>
      </w:pPr>
      <w:r w:rsidDel="00000000" w:rsidR="00000000" w:rsidRPr="00000000">
        <w:rPr>
          <w:rtl w:val="0"/>
        </w:rPr>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1">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2">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93">
      <w:pPr>
        <w:jc w:val="left"/>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94">
      <w:pPr>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Critically examine the roles of divination within theurgy</w:t>
      </w:r>
    </w:p>
    <w:p w:rsidR="00000000" w:rsidDel="00000000" w:rsidP="00000000" w:rsidRDefault="00000000" w:rsidRPr="00000000" w14:paraId="00000095">
      <w:pPr>
        <w:jc w:val="cente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96">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4</w:t>
      </w:r>
      <w:r w:rsidDel="00000000" w:rsidR="00000000" w:rsidRPr="00000000">
        <w:rPr>
          <w:rFonts w:ascii="Times New Roman" w:cs="Times New Roman" w:eastAsia="Times New Roman" w:hAnsi="Times New Roman"/>
          <w:sz w:val="24"/>
          <w:szCs w:val="24"/>
          <w:rtl w:val="0"/>
        </w:rPr>
        <w:t xml:space="preserve">445 </w:t>
      </w:r>
      <w:r w:rsidDel="00000000" w:rsidR="00000000" w:rsidRPr="00000000">
        <w:rPr>
          <w:rFonts w:ascii="Times New Roman" w:cs="Times New Roman" w:eastAsia="Times New Roman" w:hAnsi="Times New Roman"/>
          <w:color w:val="000000"/>
          <w:sz w:val="24"/>
          <w:szCs w:val="24"/>
          <w:rtl w:val="0"/>
        </w:rPr>
        <w:t xml:space="preserve">words</w:t>
      </w:r>
    </w:p>
    <w:p w:rsidR="00000000" w:rsidDel="00000000" w:rsidP="00000000" w:rsidRDefault="00000000" w:rsidRPr="00000000" w14:paraId="00000097">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98">
      <w:pPr>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The aim of this essay is to critically examine the roles of divination within late antique theurgy. This will include the study of the works of Iamblichus. Theurgy is a religious </w:t>
      </w:r>
      <w:r w:rsidDel="00000000" w:rsidR="00000000" w:rsidRPr="00000000">
        <w:rPr>
          <w:rFonts w:ascii="Times New Roman" w:cs="Times New Roman" w:eastAsia="Times New Roman" w:hAnsi="Times New Roman"/>
          <w:sz w:val="24"/>
          <w:szCs w:val="24"/>
          <w:rtl w:val="0"/>
        </w:rPr>
        <w:t xml:space="preserve">practice</w:t>
      </w:r>
      <w:r w:rsidDel="00000000" w:rsidR="00000000" w:rsidRPr="00000000">
        <w:rPr>
          <w:rFonts w:ascii="Times New Roman" w:cs="Times New Roman" w:eastAsia="Times New Roman" w:hAnsi="Times New Roman"/>
          <w:color w:val="000000"/>
          <w:sz w:val="24"/>
          <w:szCs w:val="24"/>
          <w:rtl w:val="0"/>
        </w:rPr>
        <w:t xml:space="preserve"> and ritual where Gods are called to work through the person in order to gain insight, knowledge, or power. Theurgy helps to unite us with and to, intelligent and divine spirit, Gods, and nature</w:t>
      </w:r>
      <w:r w:rsidDel="00000000" w:rsidR="00000000" w:rsidRPr="00000000">
        <w:rPr>
          <w:rFonts w:ascii="Times New Roman" w:cs="Times New Roman" w:eastAsia="Times New Roman" w:hAnsi="Times New Roman"/>
          <w:color w:val="000000"/>
          <w:sz w:val="24"/>
          <w:szCs w:val="24"/>
          <w:vertAlign w:val="superscript"/>
        </w:rPr>
        <w:footnoteReference w:customMarkFollows="0" w:id="0"/>
      </w:r>
      <w:r w:rsidDel="00000000" w:rsidR="00000000" w:rsidRPr="00000000">
        <w:rPr>
          <w:rFonts w:ascii="Times New Roman" w:cs="Times New Roman" w:eastAsia="Times New Roman" w:hAnsi="Times New Roman"/>
          <w:color w:val="000000"/>
          <w:sz w:val="24"/>
          <w:szCs w:val="24"/>
          <w:rtl w:val="0"/>
        </w:rPr>
        <w:t xml:space="preserve">. During a ritual diviners contact and ask for a higher divine power to work through them to provide guidance, assistance, knowledge and power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Proclus describes Theurgy as being a ‘power greater than all human wisdom and knowledge, embracing the blessings of divination, the purifying powers of initiation, and in a word all operations of divine possession.’</w:t>
      </w:r>
      <w:r w:rsidDel="00000000" w:rsidR="00000000" w:rsidRPr="00000000">
        <w:rPr>
          <w:rFonts w:ascii="Times New Roman" w:cs="Times New Roman" w:eastAsia="Times New Roman" w:hAnsi="Times New Roman"/>
          <w:color w:val="000000"/>
          <w:sz w:val="24"/>
          <w:szCs w:val="24"/>
          <w:vertAlign w:val="superscript"/>
        </w:rPr>
        <w:footnoteReference w:customMarkFollows="0" w:id="1"/>
      </w:r>
      <w:r w:rsidDel="00000000" w:rsidR="00000000" w:rsidRPr="00000000">
        <w:rPr>
          <w:rFonts w:ascii="Times New Roman" w:cs="Times New Roman" w:eastAsia="Times New Roman" w:hAnsi="Times New Roman"/>
          <w:color w:val="000000"/>
          <w:sz w:val="24"/>
          <w:szCs w:val="24"/>
          <w:rtl w:val="0"/>
        </w:rPr>
        <w:t xml:space="preserve"> Theurgists believe it is through ‘training of our senses and the knowledge of the human self in relation to the Divine self’</w:t>
      </w:r>
      <w:r w:rsidDel="00000000" w:rsidR="00000000" w:rsidRPr="00000000">
        <w:rPr>
          <w:rFonts w:ascii="Times New Roman" w:cs="Times New Roman" w:eastAsia="Times New Roman" w:hAnsi="Times New Roman"/>
          <w:color w:val="000000"/>
          <w:sz w:val="24"/>
          <w:szCs w:val="24"/>
          <w:vertAlign w:val="superscript"/>
        </w:rPr>
        <w:footnoteReference w:customMarkFollows="0" w:id="2"/>
      </w:r>
      <w:r w:rsidDel="00000000" w:rsidR="00000000" w:rsidRPr="00000000">
        <w:rPr>
          <w:rFonts w:ascii="Times New Roman" w:cs="Times New Roman" w:eastAsia="Times New Roman" w:hAnsi="Times New Roman"/>
          <w:color w:val="000000"/>
          <w:sz w:val="24"/>
          <w:szCs w:val="24"/>
          <w:rtl w:val="0"/>
        </w:rPr>
        <w:t xml:space="preserve"> that enhances the connection to divine entities and thus we are then able to receive the answers to our questions or the knowledge for which we are seeking to find. The goals of theurgy is for the human soul to join the God’s by becoming like the God as a form of possession, through participation, communion and union. </w:t>
      </w:r>
      <w:r w:rsidDel="00000000" w:rsidR="00000000" w:rsidRPr="00000000">
        <w:rPr>
          <w:rFonts w:ascii="Times New Roman" w:cs="Times New Roman" w:eastAsia="Times New Roman" w:hAnsi="Times New Roman"/>
          <w:color w:val="000000"/>
          <w:sz w:val="24"/>
          <w:szCs w:val="24"/>
          <w:vertAlign w:val="superscript"/>
        </w:rPr>
        <w:footnoteReference w:customMarkFollows="0" w:id="3"/>
      </w: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99">
      <w:pPr>
        <w:jc w:val="both"/>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color w:val="000000"/>
          <w:sz w:val="24"/>
          <w:szCs w:val="24"/>
          <w:rtl w:val="0"/>
        </w:rPr>
        <w:t xml:space="preserve">In the late second to third century CE, theurgy flourished with each culture and religion claiming their way as being the correct way to be one with Gods</w:t>
      </w:r>
      <w:r w:rsidDel="00000000" w:rsidR="00000000" w:rsidRPr="00000000">
        <w:rPr>
          <w:rFonts w:ascii="Times New Roman" w:cs="Times New Roman" w:eastAsia="Times New Roman" w:hAnsi="Times New Roman"/>
          <w:color w:val="000000"/>
          <w:sz w:val="24"/>
          <w:szCs w:val="24"/>
          <w:vertAlign w:val="superscript"/>
        </w:rPr>
        <w:footnoteReference w:customMarkFollows="0" w:id="4"/>
      </w:r>
      <w:r w:rsidDel="00000000" w:rsidR="00000000" w:rsidRPr="00000000">
        <w:rPr>
          <w:rFonts w:ascii="Times New Roman" w:cs="Times New Roman" w:eastAsia="Times New Roman" w:hAnsi="Times New Roman"/>
          <w:color w:val="000000"/>
          <w:sz w:val="24"/>
          <w:szCs w:val="24"/>
          <w:rtl w:val="0"/>
        </w:rPr>
        <w:t xml:space="preserve">. A series of miraculous occurrences are said to have occurred within different forms of the ritualistic theurgic divination practises and ‘Celsus had argued that the miracles performed by </w:t>
      </w:r>
      <w:r w:rsidDel="00000000" w:rsidR="00000000" w:rsidRPr="00000000">
        <w:rPr>
          <w:rFonts w:ascii="Times New Roman" w:cs="Times New Roman" w:eastAsia="Times New Roman" w:hAnsi="Times New Roman"/>
          <w:sz w:val="24"/>
          <w:szCs w:val="24"/>
          <w:rtl w:val="0"/>
        </w:rPr>
        <w:t xml:space="preserve">polytheists</w:t>
      </w:r>
      <w:r w:rsidDel="00000000" w:rsidR="00000000" w:rsidRPr="00000000">
        <w:rPr>
          <w:rFonts w:ascii="Times New Roman" w:cs="Times New Roman" w:eastAsia="Times New Roman" w:hAnsi="Times New Roman"/>
          <w:color w:val="000000"/>
          <w:sz w:val="24"/>
          <w:szCs w:val="24"/>
          <w:rtl w:val="0"/>
        </w:rPr>
        <w:t xml:space="preserve"> were on a par with those performed by Jesus Christ’.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Iamblichus believ</w:t>
      </w:r>
      <w:r w:rsidDel="00000000" w:rsidR="00000000" w:rsidRPr="00000000">
        <w:rPr>
          <w:rFonts w:ascii="Times New Roman" w:cs="Times New Roman" w:eastAsia="Times New Roman" w:hAnsi="Times New Roman"/>
          <w:sz w:val="24"/>
          <w:szCs w:val="24"/>
          <w:rtl w:val="0"/>
        </w:rPr>
        <w:t xml:space="preserve">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that not everyone </w:t>
      </w:r>
      <w:r w:rsidDel="00000000" w:rsidR="00000000" w:rsidRPr="00000000">
        <w:rPr>
          <w:rFonts w:ascii="Times New Roman" w:cs="Times New Roman" w:eastAsia="Times New Roman" w:hAnsi="Times New Roman"/>
          <w:sz w:val="24"/>
          <w:szCs w:val="24"/>
          <w:rtl w:val="0"/>
        </w:rPr>
        <w:t xml:space="preserve">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able to access th</w:t>
      </w:r>
      <w:r w:rsidDel="00000000" w:rsidR="00000000" w:rsidRPr="00000000">
        <w:rPr>
          <w:rFonts w:ascii="Times New Roman" w:cs="Times New Roman" w:eastAsia="Times New Roman" w:hAnsi="Times New Roman"/>
          <w:sz w:val="24"/>
          <w:szCs w:val="24"/>
          <w:rtl w:val="0"/>
        </w:rPr>
        <w:t xml:space="preserve">is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same level of contact to the divine as ‘to some it gives a greater portion of its foreknowledge, and to others a lesser portion.’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5"/>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9A">
      <w:pPr>
        <w:spacing w:after="0" w:line="240" w:lineRule="auto"/>
        <w:ind w:left="720" w:firstLine="0"/>
        <w:rPr>
          <w:rFonts w:ascii="Times New Roman" w:cs="Times New Roman" w:eastAsia="Times New Roman" w:hAnsi="Times New Roman"/>
          <w:sz w:val="18"/>
          <w:szCs w:val="18"/>
        </w:rPr>
      </w:pPr>
      <w:r w:rsidDel="00000000" w:rsidR="00000000" w:rsidRPr="00000000">
        <w:rPr>
          <w:rtl w:val="0"/>
        </w:rPr>
      </w:r>
    </w:p>
    <w:p w:rsidR="00000000" w:rsidDel="00000000" w:rsidP="00000000" w:rsidRDefault="00000000" w:rsidRPr="00000000" w14:paraId="0000009B">
      <w:pPr>
        <w:jc w:val="both"/>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It is claimed that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Porphyry was the first Platonist to discuss theurgy; he held that theurgic rites were useful only as a means to purify the lower soul</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where as Iamblichus believed that through theurgic rites one was able to ascend to their highest power and that the higher soul was more involved and important.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6"/>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Iamblichus divided Theurgy into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Higher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Lower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7"/>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These different forms divide the soul into a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Higher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being, meaning divinely connected, and pure verses the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lower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soul described as being less pure in state.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8"/>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sz w:val="24"/>
          <w:szCs w:val="24"/>
          <w:rtl w:val="0"/>
        </w:rPr>
        <w:t xml:space="preserve">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Higher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soul is said to be purer where deities and contact with divine presence occurs easily. When the soul is at its peak it is known as the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One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is at </w:t>
      </w:r>
      <w:r w:rsidDel="00000000" w:rsidR="00000000" w:rsidRPr="00000000">
        <w:rPr>
          <w:rFonts w:ascii="Times New Roman" w:cs="Times New Roman" w:eastAsia="Times New Roman" w:hAnsi="Times New Roman"/>
          <w:sz w:val="24"/>
          <w:szCs w:val="24"/>
          <w:rtl w:val="0"/>
        </w:rPr>
        <w:t xml:space="preserve">its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highest form ‘transcendent and perfect, while the other is at the bottom, deficient, and relatively imperfect’. The highest soul can manifest and achieve anything instantly whereas the lower soul may take longer to achieve or not at all;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9"/>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‘this ascent to the divine is conceptualised as an ascent of consciousness, Iamblichus maintains that the highest purpose of theurgy is to ascent to the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One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which was thought to be beyond Being itself; yet this occurs only at a very late stage and to a few individuals’.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10"/>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Plato also argues that the soul is as two separate entities. The divine soul being similar to the white horse of Phaderus, the mind and soul being immortal and divine, and the physical body being where the lower body comes into balance.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11"/>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lower state and physical body is less divine meaning that it cannot be trusted describing it as having </w:t>
      </w:r>
      <w:r w:rsidDel="00000000" w:rsidR="00000000" w:rsidRPr="00000000">
        <w:rPr>
          <w:rFonts w:ascii="Times New Roman" w:cs="Times New Roman" w:eastAsia="Times New Roman" w:hAnsi="Times New Roman"/>
          <w:sz w:val="24"/>
          <w:szCs w:val="24"/>
          <w:highlight w:val="white"/>
          <w:rtl w:val="0"/>
        </w:rPr>
        <w:t xml:space="preserve">been</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trapped within ‘the chains of the body’.</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superscript"/>
        </w:rPr>
        <w:footnoteReference w:customMarkFollows="0" w:id="12"/>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p>
    <w:p w:rsidR="00000000" w:rsidDel="00000000" w:rsidP="00000000" w:rsidRDefault="00000000" w:rsidRPr="00000000" w14:paraId="0000009C">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       Athanassiadi </w:t>
      </w:r>
      <w:r w:rsidDel="00000000" w:rsidR="00000000" w:rsidRPr="00000000">
        <w:rPr>
          <w:rFonts w:ascii="Times New Roman" w:cs="Times New Roman" w:eastAsia="Times New Roman" w:hAnsi="Times New Roman"/>
          <w:color w:val="000000"/>
          <w:sz w:val="24"/>
          <w:szCs w:val="24"/>
          <w:vertAlign w:val="superscript"/>
        </w:rPr>
        <w:footnoteReference w:customMarkFollows="0" w:id="13"/>
      </w:r>
      <w:r w:rsidDel="00000000" w:rsidR="00000000" w:rsidRPr="00000000">
        <w:rPr>
          <w:rFonts w:ascii="Times New Roman" w:cs="Times New Roman" w:eastAsia="Times New Roman" w:hAnsi="Times New Roman"/>
          <w:color w:val="000000"/>
          <w:sz w:val="24"/>
          <w:szCs w:val="24"/>
          <w:rtl w:val="0"/>
        </w:rPr>
        <w:t xml:space="preserve"> describes Theurgy as being like a cult ‘For the master of Apamea prayer and sacrifice, which are the very foundations of cult, are divine gifts to humanity; they are rafts, so to speak, on which man can traverse more easily the ocean of diversity towards his goal of union with God’. This </w:t>
      </w:r>
      <w:r w:rsidDel="00000000" w:rsidR="00000000" w:rsidRPr="00000000">
        <w:rPr>
          <w:rFonts w:ascii="Times New Roman" w:cs="Times New Roman" w:eastAsia="Times New Roman" w:hAnsi="Times New Roman"/>
          <w:sz w:val="24"/>
          <w:szCs w:val="24"/>
          <w:rtl w:val="0"/>
        </w:rPr>
        <w:t xml:space="preserve">cult-like</w:t>
      </w:r>
      <w:r w:rsidDel="00000000" w:rsidR="00000000" w:rsidRPr="00000000">
        <w:rPr>
          <w:rFonts w:ascii="Times New Roman" w:cs="Times New Roman" w:eastAsia="Times New Roman" w:hAnsi="Times New Roman"/>
          <w:color w:val="000000"/>
          <w:sz w:val="24"/>
          <w:szCs w:val="24"/>
          <w:rtl w:val="0"/>
        </w:rPr>
        <w:t xml:space="preserve"> religious </w:t>
      </w:r>
      <w:r w:rsidDel="00000000" w:rsidR="00000000" w:rsidRPr="00000000">
        <w:rPr>
          <w:rFonts w:ascii="Times New Roman" w:cs="Times New Roman" w:eastAsia="Times New Roman" w:hAnsi="Times New Roman"/>
          <w:sz w:val="24"/>
          <w:szCs w:val="24"/>
          <w:rtl w:val="0"/>
        </w:rPr>
        <w:t xml:space="preserve">practices</w:t>
      </w:r>
      <w:r w:rsidDel="00000000" w:rsidR="00000000" w:rsidRPr="00000000">
        <w:rPr>
          <w:rFonts w:ascii="Times New Roman" w:cs="Times New Roman" w:eastAsia="Times New Roman" w:hAnsi="Times New Roman"/>
          <w:color w:val="000000"/>
          <w:sz w:val="24"/>
          <w:szCs w:val="24"/>
          <w:rtl w:val="0"/>
        </w:rPr>
        <w:t xml:space="preserve"> also often exchanged animal life for what they believed would grant the prophetess a more ‘divine life’.</w:t>
      </w:r>
      <w:r w:rsidDel="00000000" w:rsidR="00000000" w:rsidRPr="00000000">
        <w:rPr>
          <w:rFonts w:ascii="Times New Roman" w:cs="Times New Roman" w:eastAsia="Times New Roman" w:hAnsi="Times New Roman"/>
          <w:color w:val="000000"/>
          <w:sz w:val="24"/>
          <w:szCs w:val="24"/>
          <w:vertAlign w:val="superscript"/>
        </w:rPr>
        <w:footnoteReference w:customMarkFollows="0" w:id="14"/>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Iamblichus was supportive of sacrificial rituals believing that they were sacred and an important part of rituals, not limited to blood sacrifice.</w:t>
      </w:r>
      <w:r w:rsidDel="00000000" w:rsidR="00000000" w:rsidRPr="00000000">
        <w:rPr>
          <w:rFonts w:ascii="Times New Roman" w:cs="Times New Roman" w:eastAsia="Times New Roman" w:hAnsi="Times New Roman"/>
          <w:sz w:val="24"/>
          <w:szCs w:val="24"/>
          <w:vertAlign w:val="superscript"/>
        </w:rPr>
        <w:footnoteReference w:customMarkFollows="0" w:id="15"/>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Theurgy is not connected to mysticism or magic</w:t>
      </w:r>
      <w:r w:rsidDel="00000000" w:rsidR="00000000" w:rsidRPr="00000000">
        <w:rPr>
          <w:rFonts w:ascii="Times New Roman" w:cs="Times New Roman" w:eastAsia="Times New Roman" w:hAnsi="Times New Roman"/>
          <w:color w:val="000000"/>
          <w:sz w:val="24"/>
          <w:szCs w:val="24"/>
          <w:vertAlign w:val="superscript"/>
        </w:rPr>
        <w:footnoteReference w:customMarkFollows="0" w:id="16"/>
      </w:r>
      <w:r w:rsidDel="00000000" w:rsidR="00000000" w:rsidRPr="00000000">
        <w:rPr>
          <w:rFonts w:ascii="Times New Roman" w:cs="Times New Roman" w:eastAsia="Times New Roman" w:hAnsi="Times New Roman"/>
          <w:color w:val="000000"/>
          <w:sz w:val="24"/>
          <w:szCs w:val="24"/>
          <w:rtl w:val="0"/>
        </w:rPr>
        <w:t xml:space="preserve">, in fact it is argued that Iablichus and Po</w:t>
      </w:r>
      <w:r w:rsidDel="00000000" w:rsidR="00000000" w:rsidRPr="00000000">
        <w:rPr>
          <w:rFonts w:ascii="Times New Roman" w:cs="Times New Roman" w:eastAsia="Times New Roman" w:hAnsi="Times New Roman"/>
          <w:sz w:val="24"/>
          <w:szCs w:val="24"/>
          <w:rtl w:val="0"/>
        </w:rPr>
        <w:t xml:space="preserve">rphryr ‘thought that “magic” or “sorcery” attracted evil </w:t>
      </w:r>
      <w:r w:rsidDel="00000000" w:rsidR="00000000" w:rsidRPr="00000000">
        <w:rPr>
          <w:rFonts w:ascii="Times New Roman" w:cs="Times New Roman" w:eastAsia="Times New Roman" w:hAnsi="Times New Roman"/>
          <w:i w:val="1"/>
          <w:sz w:val="24"/>
          <w:szCs w:val="24"/>
          <w:rtl w:val="0"/>
        </w:rPr>
        <w:t xml:space="preserve">daimones” </w:t>
      </w:r>
      <w:r w:rsidDel="00000000" w:rsidR="00000000" w:rsidRPr="00000000">
        <w:rPr>
          <w:rFonts w:ascii="Times New Roman" w:cs="Times New Roman" w:eastAsia="Times New Roman" w:hAnsi="Times New Roman"/>
          <w:sz w:val="24"/>
          <w:szCs w:val="24"/>
          <w:rtl w:val="0"/>
        </w:rPr>
        <w:t xml:space="preserve">as opposed to theurgic practice where one would be protected due to their connection to the divine</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vertAlign w:val="superscript"/>
        </w:rPr>
        <w:footnoteReference w:customMarkFollows="0" w:id="17"/>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 Iamblichus believed that Theology is God talking whereas Theurgy itself is God’s work, </w:t>
      </w:r>
      <w:r w:rsidDel="00000000" w:rsidR="00000000" w:rsidRPr="00000000">
        <w:rPr>
          <w:rFonts w:ascii="Times New Roman" w:cs="Times New Roman" w:eastAsia="Times New Roman" w:hAnsi="Times New Roman"/>
          <w:i w:val="1"/>
          <w:sz w:val="24"/>
          <w:szCs w:val="24"/>
          <w:rtl w:val="0"/>
        </w:rPr>
        <w:t xml:space="preserve">Deo Concedente</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color w:val="000000"/>
          <w:sz w:val="24"/>
          <w:szCs w:val="24"/>
          <w:vertAlign w:val="superscript"/>
        </w:rPr>
        <w:footnoteReference w:customMarkFollows="0" w:id="18"/>
      </w:r>
      <w:r w:rsidDel="00000000" w:rsidR="00000000" w:rsidRPr="00000000">
        <w:rPr>
          <w:rFonts w:ascii="Times New Roman" w:cs="Times New Roman" w:eastAsia="Times New Roman" w:hAnsi="Times New Roman"/>
          <w:color w:val="000000"/>
          <w:sz w:val="24"/>
          <w:szCs w:val="24"/>
          <w:rtl w:val="0"/>
        </w:rPr>
        <w:t xml:space="preserve"> and as a confident Platonist, </w:t>
      </w:r>
      <w:r w:rsidDel="00000000" w:rsidR="00000000" w:rsidRPr="00000000">
        <w:rPr>
          <w:rFonts w:ascii="Times New Roman" w:cs="Times New Roman" w:eastAsia="Times New Roman" w:hAnsi="Times New Roman"/>
          <w:sz w:val="24"/>
          <w:szCs w:val="24"/>
          <w:rtl w:val="0"/>
        </w:rPr>
        <w:t xml:space="preserve">Iamblichus </w:t>
      </w:r>
      <w:r w:rsidDel="00000000" w:rsidR="00000000" w:rsidRPr="00000000">
        <w:rPr>
          <w:rFonts w:ascii="Times New Roman" w:cs="Times New Roman" w:eastAsia="Times New Roman" w:hAnsi="Times New Roman"/>
          <w:color w:val="000000"/>
          <w:sz w:val="24"/>
          <w:szCs w:val="24"/>
          <w:rtl w:val="0"/>
        </w:rPr>
        <w:t xml:space="preserve">insist</w:t>
      </w:r>
      <w:r w:rsidDel="00000000" w:rsidR="00000000" w:rsidRPr="00000000">
        <w:rPr>
          <w:rFonts w:ascii="Times New Roman" w:cs="Times New Roman" w:eastAsia="Times New Roman" w:hAnsi="Times New Roman"/>
          <w:sz w:val="24"/>
          <w:szCs w:val="24"/>
          <w:rtl w:val="0"/>
        </w:rPr>
        <w:t xml:space="preserve">ed</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on the</w:t>
      </w:r>
      <w:r w:rsidDel="00000000" w:rsidR="00000000" w:rsidRPr="00000000">
        <w:rPr>
          <w:rFonts w:ascii="Times New Roman" w:cs="Times New Roman" w:eastAsia="Times New Roman" w:hAnsi="Times New Roman"/>
          <w:color w:val="000000"/>
          <w:sz w:val="24"/>
          <w:szCs w:val="24"/>
          <w:rtl w:val="0"/>
        </w:rPr>
        <w:t xml:space="preserve"> accuracy and ability to connect humans to the cosmos through his work </w:t>
      </w:r>
      <w:r w:rsidDel="00000000" w:rsidR="00000000" w:rsidRPr="00000000">
        <w:rPr>
          <w:rFonts w:ascii="Times New Roman" w:cs="Times New Roman" w:eastAsia="Times New Roman" w:hAnsi="Times New Roman"/>
          <w:i w:val="1"/>
          <w:color w:val="000000"/>
          <w:sz w:val="24"/>
          <w:szCs w:val="24"/>
          <w:rtl w:val="0"/>
        </w:rPr>
        <w:t xml:space="preserve">De Mysteriis.</w:t>
      </w:r>
      <w:r w:rsidDel="00000000" w:rsidR="00000000" w:rsidRPr="00000000">
        <w:rPr>
          <w:rFonts w:ascii="Times New Roman" w:cs="Times New Roman" w:eastAsia="Times New Roman" w:hAnsi="Times New Roman"/>
          <w:i w:val="1"/>
          <w:color w:val="000000"/>
          <w:sz w:val="24"/>
          <w:szCs w:val="24"/>
          <w:vertAlign w:val="superscript"/>
        </w:rPr>
        <w:footnoteReference w:customMarkFollows="0" w:id="19"/>
      </w:r>
      <w:r w:rsidDel="00000000" w:rsidR="00000000" w:rsidRPr="00000000">
        <w:rPr>
          <w:rFonts w:ascii="Times New Roman" w:cs="Times New Roman" w:eastAsia="Times New Roman" w:hAnsi="Times New Roman"/>
          <w:color w:val="000000"/>
          <w:sz w:val="24"/>
          <w:szCs w:val="24"/>
          <w:rtl w:val="0"/>
        </w:rPr>
        <w:t xml:space="preserve"> Iamblichus</w:t>
      </w:r>
      <w:r w:rsidDel="00000000" w:rsidR="00000000" w:rsidRPr="00000000">
        <w:rPr>
          <w:rFonts w:ascii="Times New Roman" w:cs="Times New Roman" w:eastAsia="Times New Roman" w:hAnsi="Times New Roman"/>
          <w:sz w:val="24"/>
          <w:szCs w:val="24"/>
          <w:rtl w:val="0"/>
        </w:rPr>
        <w:t xml:space="preserve">’s works and writings on Theurgy are</w:t>
      </w:r>
      <w:r w:rsidDel="00000000" w:rsidR="00000000" w:rsidRPr="00000000">
        <w:rPr>
          <w:rFonts w:ascii="Times New Roman" w:cs="Times New Roman" w:eastAsia="Times New Roman" w:hAnsi="Times New Roman"/>
          <w:color w:val="000000"/>
          <w:sz w:val="24"/>
          <w:szCs w:val="24"/>
          <w:rtl w:val="0"/>
        </w:rPr>
        <w:t xml:space="preserve"> able </w:t>
      </w:r>
      <w:r w:rsidDel="00000000" w:rsidR="00000000" w:rsidRPr="00000000">
        <w:rPr>
          <w:rFonts w:ascii="Times New Roman" w:cs="Times New Roman" w:eastAsia="Times New Roman" w:hAnsi="Times New Roman"/>
          <w:sz w:val="24"/>
          <w:szCs w:val="24"/>
          <w:rtl w:val="0"/>
        </w:rPr>
        <w:t xml:space="preserve">to '</w:t>
      </w:r>
      <w:r w:rsidDel="00000000" w:rsidR="00000000" w:rsidRPr="00000000">
        <w:rPr>
          <w:rFonts w:ascii="Times New Roman" w:cs="Times New Roman" w:eastAsia="Times New Roman" w:hAnsi="Times New Roman"/>
          <w:color w:val="000000"/>
          <w:sz w:val="24"/>
          <w:szCs w:val="24"/>
          <w:rtl w:val="0"/>
        </w:rPr>
        <w:t xml:space="preserve"> produce a theoretical framework by reference to which every known divinatory practice can be classified or rejected.’</w:t>
      </w:r>
      <w:r w:rsidDel="00000000" w:rsidR="00000000" w:rsidRPr="00000000">
        <w:rPr>
          <w:rFonts w:ascii="Times New Roman" w:cs="Times New Roman" w:eastAsia="Times New Roman" w:hAnsi="Times New Roman"/>
          <w:color w:val="000000"/>
          <w:sz w:val="24"/>
          <w:szCs w:val="24"/>
          <w:vertAlign w:val="superscript"/>
        </w:rPr>
        <w:footnoteReference w:customMarkFollows="0" w:id="20"/>
      </w:r>
      <w:r w:rsidDel="00000000" w:rsidR="00000000" w:rsidRPr="00000000">
        <w:rPr>
          <w:rFonts w:ascii="Times New Roman" w:cs="Times New Roman" w:eastAsia="Times New Roman" w:hAnsi="Times New Roman"/>
          <w:color w:val="000000"/>
          <w:sz w:val="24"/>
          <w:szCs w:val="24"/>
          <w:rtl w:val="0"/>
        </w:rPr>
        <w:t xml:space="preserve"> Iamblichus also believes that the soul must descend into embodiment as only then can it affect its function therefore </w:t>
      </w:r>
      <w:r w:rsidDel="00000000" w:rsidR="00000000" w:rsidRPr="00000000">
        <w:rPr>
          <w:rFonts w:ascii="Times New Roman" w:cs="Times New Roman" w:eastAsia="Times New Roman" w:hAnsi="Times New Roman"/>
          <w:sz w:val="24"/>
          <w:szCs w:val="24"/>
          <w:rtl w:val="0"/>
        </w:rPr>
        <w:t xml:space="preserve">d</w:t>
      </w:r>
      <w:r w:rsidDel="00000000" w:rsidR="00000000" w:rsidRPr="00000000">
        <w:rPr>
          <w:rFonts w:ascii="Times New Roman" w:cs="Times New Roman" w:eastAsia="Times New Roman" w:hAnsi="Times New Roman"/>
          <w:color w:val="000000"/>
          <w:sz w:val="24"/>
          <w:szCs w:val="24"/>
          <w:rtl w:val="0"/>
        </w:rPr>
        <w:t xml:space="preserve">ivinity of the soul may only be accessed through accepting human moral behaviour and conditioning, hence the higher and lower levels of the soul</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color w:val="000000"/>
          <w:sz w:val="24"/>
          <w:szCs w:val="24"/>
          <w:vertAlign w:val="superscript"/>
        </w:rPr>
        <w:footnoteReference w:customMarkFollows="0" w:id="21"/>
      </w:r>
      <w:r w:rsidDel="00000000" w:rsidR="00000000" w:rsidRPr="00000000">
        <w:rPr>
          <w:rFonts w:ascii="Times New Roman" w:cs="Times New Roman" w:eastAsia="Times New Roman" w:hAnsi="Times New Roman"/>
          <w:color w:val="000000"/>
          <w:sz w:val="24"/>
          <w:szCs w:val="24"/>
          <w:rtl w:val="0"/>
        </w:rPr>
        <w:t xml:space="preserve"> In order for </w:t>
      </w:r>
      <w:r w:rsidDel="00000000" w:rsidR="00000000" w:rsidRPr="00000000">
        <w:rPr>
          <w:rFonts w:ascii="Times New Roman" w:cs="Times New Roman" w:eastAsia="Times New Roman" w:hAnsi="Times New Roman"/>
          <w:sz w:val="24"/>
          <w:szCs w:val="24"/>
          <w:rtl w:val="0"/>
        </w:rPr>
        <w:t xml:space="preserve">theurgists</w:t>
      </w:r>
      <w:r w:rsidDel="00000000" w:rsidR="00000000" w:rsidRPr="00000000">
        <w:rPr>
          <w:rFonts w:ascii="Times New Roman" w:cs="Times New Roman" w:eastAsia="Times New Roman" w:hAnsi="Times New Roman"/>
          <w:color w:val="000000"/>
          <w:sz w:val="24"/>
          <w:szCs w:val="24"/>
          <w:rtl w:val="0"/>
        </w:rPr>
        <w:t xml:space="preserve"> to have a union with the gods </w:t>
      </w:r>
      <w:r w:rsidDel="00000000" w:rsidR="00000000" w:rsidRPr="00000000">
        <w:rPr>
          <w:rFonts w:ascii="Times New Roman" w:cs="Times New Roman" w:eastAsia="Times New Roman" w:hAnsi="Times New Roman"/>
          <w:sz w:val="24"/>
          <w:szCs w:val="24"/>
          <w:rtl w:val="0"/>
        </w:rPr>
        <w:t xml:space="preserve">they must become pure and open, for this to happen they</w:t>
      </w:r>
      <w:r w:rsidDel="00000000" w:rsidR="00000000" w:rsidRPr="00000000">
        <w:rPr>
          <w:rFonts w:ascii="Times New Roman" w:cs="Times New Roman" w:eastAsia="Times New Roman" w:hAnsi="Times New Roman"/>
          <w:color w:val="000000"/>
          <w:sz w:val="24"/>
          <w:szCs w:val="24"/>
          <w:rtl w:val="0"/>
        </w:rPr>
        <w:t xml:space="preserve"> must</w:t>
      </w:r>
      <w:r w:rsidDel="00000000" w:rsidR="00000000" w:rsidRPr="00000000">
        <w:rPr>
          <w:rFonts w:ascii="Times New Roman" w:cs="Times New Roman" w:eastAsia="Times New Roman" w:hAnsi="Times New Roman"/>
          <w:sz w:val="24"/>
          <w:szCs w:val="24"/>
          <w:rtl w:val="0"/>
        </w:rPr>
        <w:t xml:space="preserve"> be purified, initiated and perform certain acts and </w:t>
      </w:r>
      <w:r w:rsidDel="00000000" w:rsidR="00000000" w:rsidRPr="00000000">
        <w:rPr>
          <w:rFonts w:ascii="Times New Roman" w:cs="Times New Roman" w:eastAsia="Times New Roman" w:hAnsi="Times New Roman"/>
          <w:color w:val="000000"/>
          <w:sz w:val="24"/>
          <w:szCs w:val="24"/>
          <w:rtl w:val="0"/>
        </w:rPr>
        <w:t xml:space="preserve">rituals, </w:t>
      </w:r>
      <w:r w:rsidDel="00000000" w:rsidR="00000000" w:rsidRPr="00000000">
        <w:rPr>
          <w:rtl w:val="0"/>
        </w:rPr>
      </w:r>
    </w:p>
    <w:p w:rsidR="00000000" w:rsidDel="00000000" w:rsidP="00000000" w:rsidRDefault="00000000" w:rsidRPr="00000000" w14:paraId="0000009D">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E">
      <w:pPr>
        <w:spacing w:after="0" w:line="240" w:lineRule="auto"/>
        <w:ind w:left="720" w:firstLine="0"/>
        <w:rPr>
          <w:rFonts w:ascii="Times New Roman" w:cs="Times New Roman" w:eastAsia="Times New Roman" w:hAnsi="Times New Roman"/>
          <w:color w:val="000000"/>
        </w:rPr>
      </w:pPr>
      <w:r w:rsidDel="00000000" w:rsidR="00000000" w:rsidRPr="00000000">
        <w:rPr>
          <w:rFonts w:ascii="Times New Roman" w:cs="Times New Roman" w:eastAsia="Times New Roman" w:hAnsi="Times New Roman"/>
          <w:rtl w:val="0"/>
        </w:rPr>
        <w:t xml:space="preserve">F</w:t>
      </w:r>
      <w:r w:rsidDel="00000000" w:rsidR="00000000" w:rsidRPr="00000000">
        <w:rPr>
          <w:rFonts w:ascii="Times New Roman" w:cs="Times New Roman" w:eastAsia="Times New Roman" w:hAnsi="Times New Roman"/>
          <w:color w:val="000000"/>
          <w:rtl w:val="0"/>
        </w:rPr>
        <w:t xml:space="preserve">or it is not thinking that brings theurgists into contact with the gods, since what would hinder those who engage in contemplative philosophy from giving theurgic union with the gods? As it is, the truth lies elsewhere. It is the ritual accomplishment of ineffable acts, performed divinely, surpassing any intellectual processes, and the power of unspeakable symbols known only to the gods that accomplish theurgical union.</w:t>
      </w:r>
      <w:r w:rsidDel="00000000" w:rsidR="00000000" w:rsidRPr="00000000">
        <w:rPr>
          <w:rFonts w:ascii="Times New Roman" w:cs="Times New Roman" w:eastAsia="Times New Roman" w:hAnsi="Times New Roman"/>
          <w:color w:val="000000"/>
          <w:vertAlign w:val="superscript"/>
        </w:rPr>
        <w:footnoteReference w:customMarkFollows="0" w:id="22"/>
      </w:r>
      <w:r w:rsidDel="00000000" w:rsidR="00000000" w:rsidRPr="00000000">
        <w:rPr>
          <w:rFonts w:ascii="Times New Roman" w:cs="Times New Roman" w:eastAsia="Times New Roman" w:hAnsi="Times New Roman"/>
          <w:color w:val="000000"/>
          <w:rtl w:val="0"/>
        </w:rPr>
        <w:t xml:space="preserve"> </w:t>
      </w:r>
    </w:p>
    <w:p w:rsidR="00000000" w:rsidDel="00000000" w:rsidP="00000000" w:rsidRDefault="00000000" w:rsidRPr="00000000" w14:paraId="0000009F">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0">
      <w:pP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      Theurgists practising inspired divination during a theurgic ritual, had to have been a keen spiritual practitioner, trained philosopher having attended various schools by Iamblichus, studying Pythagoreanism, Plato and Aristotle and the Chaldean Oracles.</w:t>
      </w:r>
      <w:r w:rsidDel="00000000" w:rsidR="00000000" w:rsidRPr="00000000">
        <w:rPr>
          <w:rFonts w:ascii="Times New Roman" w:cs="Times New Roman" w:eastAsia="Times New Roman" w:hAnsi="Times New Roman"/>
          <w:sz w:val="24"/>
          <w:szCs w:val="24"/>
          <w:vertAlign w:val="superscript"/>
        </w:rPr>
        <w:footnoteReference w:customMarkFollows="0" w:id="23"/>
      </w:r>
      <w:r w:rsidDel="00000000" w:rsidR="00000000" w:rsidRPr="00000000">
        <w:rPr>
          <w:rFonts w:ascii="Times New Roman" w:cs="Times New Roman" w:eastAsia="Times New Roman" w:hAnsi="Times New Roman"/>
          <w:sz w:val="24"/>
          <w:szCs w:val="24"/>
          <w:vertAlign w:val="superscript"/>
          <w:rtl w:val="0"/>
        </w:rPr>
        <w:t xml:space="preserve">  </w:t>
      </w:r>
      <w:r w:rsidDel="00000000" w:rsidR="00000000" w:rsidRPr="00000000">
        <w:rPr>
          <w:rFonts w:ascii="Times New Roman" w:cs="Times New Roman" w:eastAsia="Times New Roman" w:hAnsi="Times New Roman"/>
          <w:sz w:val="24"/>
          <w:szCs w:val="24"/>
          <w:rtl w:val="0"/>
        </w:rPr>
        <w:t xml:space="preserve">‘Purification through philosophy together with moral virtue were considered to be </w:t>
      </w:r>
      <w:r w:rsidDel="00000000" w:rsidR="00000000" w:rsidRPr="00000000">
        <w:rPr>
          <w:rFonts w:ascii="Times New Roman" w:cs="Times New Roman" w:eastAsia="Times New Roman" w:hAnsi="Times New Roman"/>
          <w:i w:val="1"/>
          <w:sz w:val="24"/>
          <w:szCs w:val="24"/>
          <w:rtl w:val="0"/>
        </w:rPr>
        <w:t xml:space="preserve">essential</w:t>
      </w:r>
      <w:r w:rsidDel="00000000" w:rsidR="00000000" w:rsidRPr="00000000">
        <w:rPr>
          <w:rFonts w:ascii="Times New Roman" w:cs="Times New Roman" w:eastAsia="Times New Roman" w:hAnsi="Times New Roman"/>
          <w:sz w:val="24"/>
          <w:szCs w:val="24"/>
          <w:rtl w:val="0"/>
        </w:rPr>
        <w:t xml:space="preserve"> prerequisites and practices for theurgic ritual: Iamblichus maintains that the theugist </w:t>
      </w:r>
      <w:r w:rsidDel="00000000" w:rsidR="00000000" w:rsidRPr="00000000">
        <w:rPr>
          <w:rFonts w:ascii="Times New Roman" w:cs="Times New Roman" w:eastAsia="Times New Roman" w:hAnsi="Times New Roman"/>
          <w:i w:val="1"/>
          <w:sz w:val="24"/>
          <w:szCs w:val="24"/>
          <w:rtl w:val="0"/>
        </w:rPr>
        <w:t xml:space="preserve">had</w:t>
      </w:r>
      <w:r w:rsidDel="00000000" w:rsidR="00000000" w:rsidRPr="00000000">
        <w:rPr>
          <w:rFonts w:ascii="Times New Roman" w:cs="Times New Roman" w:eastAsia="Times New Roman" w:hAnsi="Times New Roman"/>
          <w:sz w:val="24"/>
          <w:szCs w:val="24"/>
          <w:rtl w:val="0"/>
        </w:rPr>
        <w:t xml:space="preserve"> to be a philosopher’</w:t>
      </w:r>
      <w:r w:rsidDel="00000000" w:rsidR="00000000" w:rsidRPr="00000000">
        <w:rPr>
          <w:rFonts w:ascii="Times New Roman" w:cs="Times New Roman" w:eastAsia="Times New Roman" w:hAnsi="Times New Roman"/>
          <w:sz w:val="24"/>
          <w:szCs w:val="24"/>
          <w:vertAlign w:val="superscript"/>
        </w:rPr>
        <w:footnoteReference w:customMarkFollows="0" w:id="24"/>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order to reach a higher consciousness, divination is a tool used to connect theurgists with Gods for gaining insight, wisdom and knowledge; this </w:t>
      </w:r>
      <w:r w:rsidDel="00000000" w:rsidR="00000000" w:rsidRPr="00000000">
        <w:rPr>
          <w:rFonts w:ascii="Times New Roman" w:cs="Times New Roman" w:eastAsia="Times New Roman" w:hAnsi="Times New Roman"/>
          <w:sz w:val="24"/>
          <w:szCs w:val="24"/>
          <w:rtl w:val="0"/>
        </w:rPr>
        <w:t xml:space="preserve">is also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sz w:val="24"/>
          <w:szCs w:val="24"/>
          <w:rtl w:val="0"/>
        </w:rPr>
        <w:t xml:space="preserve">used f</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 receiving information concerning past, present or future events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25"/>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A1">
      <w:pP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Divination is used differently depending on the religion and culture with each referring to it in their own expression, other than Egypt which has no word for oracle as opposed to the Greek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mantikē</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theiasmos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or Latin word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divinatio</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‘Divination is a way of exploring the unknown in order to elicit answers (that is, oracles) to questions beyond the range of ordinary human understanding’</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26"/>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according to Addey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27"/>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a key element to Theurgic practise to use divinatory tools to contact and connect with Gods, deities and daemons through rituals, stating ‘Theurgy included Divination as one of it’s most central elements’. </w:t>
      </w:r>
    </w:p>
    <w:p w:rsidR="00000000" w:rsidDel="00000000" w:rsidP="00000000" w:rsidRDefault="00000000" w:rsidRPr="00000000" w14:paraId="000000A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sz w:val="24"/>
          <w:szCs w:val="24"/>
          <w:rtl w:val="0"/>
        </w:rPr>
        <w:t xml:space="preserve">Within Theurgy there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are diverse types of divination which often </w:t>
      </w:r>
      <w:r w:rsidDel="00000000" w:rsidR="00000000" w:rsidRPr="00000000">
        <w:rPr>
          <w:rFonts w:ascii="Times New Roman" w:cs="Times New Roman" w:eastAsia="Times New Roman" w:hAnsi="Times New Roman"/>
          <w:sz w:val="24"/>
          <w:szCs w:val="24"/>
          <w:rtl w:val="0"/>
        </w:rPr>
        <w:t xml:space="preserve">involve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deliberate ritual </w:t>
      </w:r>
      <w:r w:rsidDel="00000000" w:rsidR="00000000" w:rsidRPr="00000000">
        <w:rPr>
          <w:rFonts w:ascii="Times New Roman" w:cs="Times New Roman" w:eastAsia="Times New Roman" w:hAnsi="Times New Roman"/>
          <w:sz w:val="24"/>
          <w:szCs w:val="24"/>
          <w:rtl w:val="0"/>
        </w:rPr>
        <w:t xml:space="preserve">practices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such as natural inspired divination and inductive divination. </w:t>
      </w:r>
      <w:r w:rsidDel="00000000" w:rsidR="00000000" w:rsidRPr="00000000">
        <w:rPr>
          <w:rFonts w:ascii="Times New Roman" w:cs="Times New Roman" w:eastAsia="Times New Roman" w:hAnsi="Times New Roman"/>
          <w:sz w:val="24"/>
          <w:szCs w:val="24"/>
          <w:rtl w:val="0"/>
        </w:rPr>
        <w:t xml:space="preserve">Plotinus also accepts that divination could be divided into an inductive or inspired form, ‘the latter which involved divine possession.’</w:t>
      </w:r>
      <w:r w:rsidDel="00000000" w:rsidR="00000000" w:rsidRPr="00000000">
        <w:rPr>
          <w:rFonts w:ascii="Times New Roman" w:cs="Times New Roman" w:eastAsia="Times New Roman" w:hAnsi="Times New Roman"/>
          <w:sz w:val="24"/>
          <w:szCs w:val="24"/>
          <w:vertAlign w:val="superscript"/>
        </w:rPr>
        <w:footnoteReference w:customMarkFollows="0" w:id="28"/>
      </w:r>
      <w:r w:rsidDel="00000000" w:rsidR="00000000" w:rsidRPr="00000000">
        <w:rPr>
          <w:rFonts w:ascii="Times New Roman" w:cs="Times New Roman" w:eastAsia="Times New Roman" w:hAnsi="Times New Roman"/>
          <w:sz w:val="24"/>
          <w:szCs w:val="24"/>
          <w:vertAlign w:val="superscript"/>
          <w:rtl w:val="0"/>
        </w:rPr>
        <w:t xml:space="preserve"> </w:t>
      </w:r>
      <w:r w:rsidDel="00000000" w:rsidR="00000000" w:rsidRPr="00000000">
        <w:rPr>
          <w:rFonts w:ascii="Times New Roman" w:cs="Times New Roman" w:eastAsia="Times New Roman" w:hAnsi="Times New Roman"/>
          <w:sz w:val="24"/>
          <w:szCs w:val="24"/>
          <w:rtl w:val="0"/>
        </w:rPr>
        <w:t xml:space="preserve">Natural inspired divination is an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intuitive form of having direct contact with Gods via dreams, visions and/or prophecies, and inductive divination is believed to be more connected to the physical </w:t>
      </w:r>
      <w:r w:rsidDel="00000000" w:rsidR="00000000" w:rsidRPr="00000000">
        <w:rPr>
          <w:rFonts w:ascii="Times New Roman" w:cs="Times New Roman" w:eastAsia="Times New Roman" w:hAnsi="Times New Roman"/>
          <w:sz w:val="24"/>
          <w:szCs w:val="24"/>
          <w:rtl w:val="0"/>
        </w:rPr>
        <w:t xml:space="preserve">realm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such as Augury.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29"/>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Augury was arguably a form of inductive divination because ‘animals and birds are moved and transformed by the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daimon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which presides over them, as well as the circulation of the air’.</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30"/>
      </w:r>
      <w:r w:rsidDel="00000000" w:rsidR="00000000" w:rsidRPr="00000000">
        <w:rPr>
          <w:rFonts w:ascii="Times New Roman" w:cs="Times New Roman" w:eastAsia="Times New Roman" w:hAnsi="Times New Roman"/>
          <w:sz w:val="24"/>
          <w:szCs w:val="24"/>
          <w:rtl w:val="0"/>
        </w:rPr>
        <w:t xml:space="preserve"> An important form of natural inspired divination was </w:t>
      </w:r>
      <w:r w:rsidDel="00000000" w:rsidR="00000000" w:rsidRPr="00000000">
        <w:rPr>
          <w:rFonts w:ascii="Times New Roman" w:cs="Times New Roman" w:eastAsia="Times New Roman" w:hAnsi="Times New Roman"/>
          <w:i w:val="1"/>
          <w:sz w:val="24"/>
          <w:szCs w:val="24"/>
          <w:rtl w:val="0"/>
        </w:rPr>
        <w:t xml:space="preserve">oneiromancy</w:t>
      </w:r>
      <w:r w:rsidDel="00000000" w:rsidR="00000000" w:rsidRPr="00000000">
        <w:rPr>
          <w:rFonts w:ascii="Times New Roman" w:cs="Times New Roman" w:eastAsia="Times New Roman" w:hAnsi="Times New Roman"/>
          <w:sz w:val="24"/>
          <w:szCs w:val="24"/>
          <w:rtl w:val="0"/>
        </w:rPr>
        <w:t xml:space="preserve">, i.e through prophetic dreams, ‘Iamblichus’s distinction between inspired and inductive divination, or divine and human divination, is also clearly evident in his discussion of dream divination (</w:t>
      </w:r>
      <w:r w:rsidDel="00000000" w:rsidR="00000000" w:rsidRPr="00000000">
        <w:rPr>
          <w:rFonts w:ascii="Times New Roman" w:cs="Times New Roman" w:eastAsia="Times New Roman" w:hAnsi="Times New Roman"/>
          <w:i w:val="1"/>
          <w:sz w:val="24"/>
          <w:szCs w:val="24"/>
          <w:rtl w:val="0"/>
        </w:rPr>
        <w:t xml:space="preserve">oneiromancy</w:t>
      </w:r>
      <w:r w:rsidDel="00000000" w:rsidR="00000000" w:rsidRPr="00000000">
        <w:rPr>
          <w:rFonts w:ascii="Times New Roman" w:cs="Times New Roman" w:eastAsia="Times New Roman" w:hAnsi="Times New Roman"/>
          <w:sz w:val="24"/>
          <w:szCs w:val="24"/>
          <w:rtl w:val="0"/>
        </w:rPr>
        <w:t xml:space="preserve">), which was well-known and common in Antiquity’.</w:t>
      </w:r>
      <w:r w:rsidDel="00000000" w:rsidR="00000000" w:rsidRPr="00000000">
        <w:rPr>
          <w:rFonts w:ascii="Times New Roman" w:cs="Times New Roman" w:eastAsia="Times New Roman" w:hAnsi="Times New Roman"/>
          <w:sz w:val="24"/>
          <w:szCs w:val="24"/>
          <w:vertAlign w:val="superscript"/>
        </w:rPr>
        <w:footnoteReference w:customMarkFollows="0" w:id="31"/>
      </w:r>
      <w:r w:rsidDel="00000000" w:rsidR="00000000" w:rsidRPr="00000000">
        <w:rPr>
          <w:rFonts w:ascii="Times New Roman" w:cs="Times New Roman" w:eastAsia="Times New Roman" w:hAnsi="Times New Roman"/>
          <w:sz w:val="24"/>
          <w:szCs w:val="24"/>
          <w:rtl w:val="0"/>
        </w:rPr>
        <w:t xml:space="preserve"> It is believed that Iamblichus was dismissive of the use of inductive, human divination,</w:t>
      </w:r>
      <w:r w:rsidDel="00000000" w:rsidR="00000000" w:rsidRPr="00000000">
        <w:rPr>
          <w:rFonts w:ascii="Times New Roman" w:cs="Times New Roman" w:eastAsia="Times New Roman" w:hAnsi="Times New Roman"/>
          <w:sz w:val="24"/>
          <w:szCs w:val="24"/>
          <w:vertAlign w:val="superscript"/>
        </w:rPr>
        <w:footnoteReference w:customMarkFollows="0" w:id="32"/>
      </w:r>
      <w:r w:rsidDel="00000000" w:rsidR="00000000" w:rsidRPr="00000000">
        <w:rPr>
          <w:rFonts w:ascii="Times New Roman" w:cs="Times New Roman" w:eastAsia="Times New Roman" w:hAnsi="Times New Roman"/>
          <w:sz w:val="24"/>
          <w:szCs w:val="24"/>
          <w:rtl w:val="0"/>
        </w:rPr>
        <w:t xml:space="preserve"> possibly because it was less respected as being a strong source of divine connection because it is ‘ultimately caused by human skill’ and therefore linked to the </w:t>
      </w:r>
      <w:r w:rsidDel="00000000" w:rsidR="00000000" w:rsidRPr="00000000">
        <w:rPr>
          <w:rFonts w:ascii="Times New Roman" w:cs="Times New Roman" w:eastAsia="Times New Roman" w:hAnsi="Times New Roman"/>
          <w:i w:val="1"/>
          <w:sz w:val="24"/>
          <w:szCs w:val="24"/>
          <w:rtl w:val="0"/>
        </w:rPr>
        <w:t xml:space="preserve">lower</w:t>
      </w:r>
      <w:r w:rsidDel="00000000" w:rsidR="00000000" w:rsidRPr="00000000">
        <w:rPr>
          <w:rFonts w:ascii="Times New Roman" w:cs="Times New Roman" w:eastAsia="Times New Roman" w:hAnsi="Times New Roman"/>
          <w:sz w:val="24"/>
          <w:szCs w:val="24"/>
          <w:rtl w:val="0"/>
        </w:rPr>
        <w:t xml:space="preserve"> soul.</w:t>
      </w:r>
      <w:r w:rsidDel="00000000" w:rsidR="00000000" w:rsidRPr="00000000">
        <w:rPr>
          <w:rFonts w:ascii="Times New Roman" w:cs="Times New Roman" w:eastAsia="Times New Roman" w:hAnsi="Times New Roman"/>
          <w:sz w:val="24"/>
          <w:szCs w:val="24"/>
          <w:vertAlign w:val="superscript"/>
        </w:rPr>
        <w:footnoteReference w:customMarkFollows="0" w:id="33"/>
      </w:r>
      <w:r w:rsidDel="00000000" w:rsidR="00000000" w:rsidRPr="00000000">
        <w:rPr>
          <w:rFonts w:ascii="Times New Roman" w:cs="Times New Roman" w:eastAsia="Times New Roman" w:hAnsi="Times New Roman"/>
          <w:sz w:val="24"/>
          <w:szCs w:val="24"/>
          <w:vertAlign w:val="superscript"/>
          <w:rtl w:val="0"/>
        </w:rPr>
        <w:t xml:space="preserve"> </w:t>
      </w:r>
      <w:r w:rsidDel="00000000" w:rsidR="00000000" w:rsidRPr="00000000">
        <w:rPr>
          <w:rFonts w:ascii="Times New Roman" w:cs="Times New Roman" w:eastAsia="Times New Roman" w:hAnsi="Times New Roman"/>
          <w:sz w:val="24"/>
          <w:szCs w:val="24"/>
          <w:rtl w:val="0"/>
        </w:rPr>
        <w:t xml:space="preserve">. The Chaldean oracles also discuss the metaphysical principles of natural inspired and inductive forms of divination; and while they refer to inductive divination as being inappropriate, they do not dismiss it completely as Iamblichus does. </w:t>
      </w:r>
      <w:r w:rsidDel="00000000" w:rsidR="00000000" w:rsidRPr="00000000">
        <w:rPr>
          <w:rFonts w:ascii="Times New Roman" w:cs="Times New Roman" w:eastAsia="Times New Roman" w:hAnsi="Times New Roman"/>
          <w:sz w:val="24"/>
          <w:szCs w:val="24"/>
          <w:vertAlign w:val="superscript"/>
        </w:rPr>
        <w:footnoteReference w:customMarkFollows="0" w:id="34"/>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A3">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4">
      <w:pPr>
        <w:rPr>
          <w:rFonts w:ascii="Times New Roman" w:cs="Times New Roman" w:eastAsia="Times New Roman" w:hAnsi="Times New Roman"/>
          <w:color w:val="ff0000"/>
          <w:sz w:val="24"/>
          <w:szCs w:val="24"/>
        </w:rPr>
      </w:pPr>
      <w:r w:rsidDel="00000000" w:rsidR="00000000" w:rsidRPr="00000000">
        <w:rPr>
          <w:rFonts w:ascii="Times New Roman" w:cs="Times New Roman" w:eastAsia="Times New Roman" w:hAnsi="Times New Roman"/>
          <w:sz w:val="24"/>
          <w:szCs w:val="24"/>
          <w:rtl w:val="0"/>
        </w:rPr>
        <w:t xml:space="preserve">    Theurgists would perform naturally inspired forms of divination through ritual, allowing direct contact from the deity via means of prophetic dreams. During </w:t>
      </w:r>
      <w:r w:rsidDel="00000000" w:rsidR="00000000" w:rsidRPr="00000000">
        <w:rPr>
          <w:rFonts w:ascii="Times New Roman" w:cs="Times New Roman" w:eastAsia="Times New Roman" w:hAnsi="Times New Roman"/>
          <w:i w:val="1"/>
          <w:sz w:val="24"/>
          <w:szCs w:val="24"/>
          <w:rtl w:val="0"/>
        </w:rPr>
        <w:t xml:space="preserve">Oneiromancy </w:t>
      </w:r>
      <w:r w:rsidDel="00000000" w:rsidR="00000000" w:rsidRPr="00000000">
        <w:rPr>
          <w:rFonts w:ascii="Times New Roman" w:cs="Times New Roman" w:eastAsia="Times New Roman" w:hAnsi="Times New Roman"/>
          <w:sz w:val="24"/>
          <w:szCs w:val="24"/>
          <w:rtl w:val="0"/>
        </w:rPr>
        <w:t xml:space="preserve">the prophet would invoke the Gods epiphany to gain knowledge and divine insight. Referring back to the introduction, Iamblichus believes</w:t>
      </w:r>
      <w:r w:rsidDel="00000000" w:rsidR="00000000" w:rsidRPr="00000000">
        <w:rPr>
          <w:rFonts w:ascii="Times New Roman" w:cs="Times New Roman" w:eastAsia="Times New Roman" w:hAnsi="Times New Roman"/>
          <w:sz w:val="24"/>
          <w:szCs w:val="24"/>
          <w:vertAlign w:val="superscript"/>
        </w:rPr>
        <w:footnoteReference w:customMarkFollows="0" w:id="35"/>
      </w:r>
      <w:r w:rsidDel="00000000" w:rsidR="00000000" w:rsidRPr="00000000">
        <w:rPr>
          <w:rFonts w:ascii="Times New Roman" w:cs="Times New Roman" w:eastAsia="Times New Roman" w:hAnsi="Times New Roman"/>
          <w:sz w:val="24"/>
          <w:szCs w:val="24"/>
          <w:rtl w:val="0"/>
        </w:rPr>
        <w:t xml:space="preserve"> that the soul is divided into two; to be more specific on this point the lower state being connected to the body and the higher state a separate entity from the body. This means that ‘when we are asleep, we are perfectly liberated, as it were, from certain surrounding bonds, and use a life separated from generation’ therefore able to reach a higher state of mind, consciousness and connection through being asleep as the physical body cannot disturb nor interfere. It is important to note, however, that not every Theurgist would be able to access this level of divinity through dreams, and in order for prophetic dreams to occur Iamblichus suggests time of solitude and incubation</w:t>
      </w:r>
      <w:r w:rsidDel="00000000" w:rsidR="00000000" w:rsidRPr="00000000">
        <w:rPr>
          <w:rFonts w:ascii="Times New Roman" w:cs="Times New Roman" w:eastAsia="Times New Roman" w:hAnsi="Times New Roman"/>
          <w:sz w:val="24"/>
          <w:szCs w:val="24"/>
          <w:vertAlign w:val="superscript"/>
        </w:rPr>
        <w:footnoteReference w:customMarkFollows="0" w:id="36"/>
      </w:r>
      <w:r w:rsidDel="00000000" w:rsidR="00000000" w:rsidRPr="00000000">
        <w:rPr>
          <w:rFonts w:ascii="Times New Roman" w:cs="Times New Roman" w:eastAsia="Times New Roman" w:hAnsi="Times New Roman"/>
          <w:sz w:val="24"/>
          <w:szCs w:val="24"/>
          <w:rtl w:val="0"/>
        </w:rPr>
        <w:t xml:space="preserve">. Theurgists emphasised the importance of using dream divination to connect with a greater human wisdom, as long as they were purified through initiation; ‘Theurgic ritual involved invoking the epiphany of a deity, either within the soul of a human or as an external vision (considered to occur both in dream divination or while awake)’.</w:t>
      </w:r>
      <w:r w:rsidDel="00000000" w:rsidR="00000000" w:rsidRPr="00000000">
        <w:rPr>
          <w:rFonts w:ascii="Times New Roman" w:cs="Times New Roman" w:eastAsia="Times New Roman" w:hAnsi="Times New Roman"/>
          <w:sz w:val="24"/>
          <w:szCs w:val="24"/>
          <w:vertAlign w:val="superscript"/>
        </w:rPr>
        <w:footnoteReference w:customMarkFollows="0" w:id="37"/>
      </w:r>
      <w:r w:rsidDel="00000000" w:rsidR="00000000" w:rsidRPr="00000000">
        <w:rPr>
          <w:rFonts w:ascii="Times New Roman" w:cs="Times New Roman" w:eastAsia="Times New Roman" w:hAnsi="Times New Roman"/>
          <w:sz w:val="24"/>
          <w:szCs w:val="24"/>
          <w:rtl w:val="0"/>
        </w:rPr>
        <w:t xml:space="preserve"> Prophecy by dreams was a popular belief and tradition during Iamblichus’s life yet he was aware that ‘oneirologists’ were divided into believers and non believers. </w:t>
      </w:r>
      <w:r w:rsidDel="00000000" w:rsidR="00000000" w:rsidRPr="00000000">
        <w:rPr>
          <w:rFonts w:ascii="Times New Roman" w:cs="Times New Roman" w:eastAsia="Times New Roman" w:hAnsi="Times New Roman"/>
          <w:sz w:val="24"/>
          <w:szCs w:val="24"/>
          <w:vertAlign w:val="superscript"/>
        </w:rPr>
        <w:footnoteReference w:customMarkFollows="0" w:id="38"/>
      </w:r>
      <w:r w:rsidDel="00000000" w:rsidR="00000000" w:rsidRPr="00000000">
        <w:rPr>
          <w:rFonts w:ascii="Times New Roman" w:cs="Times New Roman" w:eastAsia="Times New Roman" w:hAnsi="Times New Roman"/>
          <w:sz w:val="24"/>
          <w:szCs w:val="24"/>
          <w:rtl w:val="0"/>
        </w:rPr>
        <w:t xml:space="preserve"> Porphyry was said to have doubts about the accuracy of dream divination believing that any ‘manic dreams’ that connected to the success of accurately foretelling the future is ‘purely coincidental’.</w:t>
      </w:r>
      <w:r w:rsidDel="00000000" w:rsidR="00000000" w:rsidRPr="00000000">
        <w:rPr>
          <w:rFonts w:ascii="Times New Roman" w:cs="Times New Roman" w:eastAsia="Times New Roman" w:hAnsi="Times New Roman"/>
          <w:sz w:val="24"/>
          <w:szCs w:val="24"/>
          <w:vertAlign w:val="superscript"/>
        </w:rPr>
        <w:footnoteReference w:customMarkFollows="0" w:id="39"/>
      </w:r>
      <w:r w:rsidDel="00000000" w:rsidR="00000000" w:rsidRPr="00000000">
        <w:rPr>
          <w:rtl w:val="0"/>
        </w:rPr>
      </w:r>
    </w:p>
    <w:p w:rsidR="00000000" w:rsidDel="00000000" w:rsidP="00000000" w:rsidRDefault="00000000" w:rsidRPr="00000000" w14:paraId="000000A5">
      <w:pPr>
        <w:spacing w:after="0" w:line="24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A6">
      <w:pPr>
        <w:spacing w:after="0" w:line="240" w:lineRule="auto"/>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    Theurgists would use different divinisation rituals to connect to the wisdom of Gods, </w:t>
      </w:r>
      <w:r w:rsidDel="00000000" w:rsidR="00000000" w:rsidRPr="00000000">
        <w:rPr>
          <w:rFonts w:ascii="Times New Roman" w:cs="Times New Roman" w:eastAsia="Times New Roman" w:hAnsi="Times New Roman"/>
          <w:sz w:val="24"/>
          <w:szCs w:val="24"/>
          <w:rtl w:val="0"/>
        </w:rPr>
        <w:t xml:space="preserve">another</w:t>
      </w:r>
      <w:r w:rsidDel="00000000" w:rsidR="00000000" w:rsidRPr="00000000">
        <w:rPr>
          <w:rFonts w:ascii="Times New Roman" w:cs="Times New Roman" w:eastAsia="Times New Roman" w:hAnsi="Times New Roman"/>
          <w:color w:val="000000"/>
          <w:sz w:val="24"/>
          <w:szCs w:val="24"/>
          <w:rtl w:val="0"/>
        </w:rPr>
        <w:t xml:space="preserve"> being </w:t>
      </w:r>
      <w:r w:rsidDel="00000000" w:rsidR="00000000" w:rsidRPr="00000000">
        <w:rPr>
          <w:rFonts w:ascii="Times New Roman" w:cs="Times New Roman" w:eastAsia="Times New Roman" w:hAnsi="Times New Roman"/>
          <w:i w:val="1"/>
          <w:color w:val="000000"/>
          <w:sz w:val="24"/>
          <w:szCs w:val="24"/>
          <w:rtl w:val="0"/>
        </w:rPr>
        <w:t xml:space="preserve">Telestike</w:t>
      </w:r>
      <w:r w:rsidDel="00000000" w:rsidR="00000000" w:rsidRPr="00000000">
        <w:rPr>
          <w:rFonts w:ascii="Times New Roman" w:cs="Times New Roman" w:eastAsia="Times New Roman" w:hAnsi="Times New Roman"/>
          <w:color w:val="000000"/>
          <w:sz w:val="24"/>
          <w:szCs w:val="24"/>
          <w:rtl w:val="0"/>
        </w:rPr>
        <w:t xml:space="preserve">, also known as </w:t>
      </w:r>
      <w:r w:rsidDel="00000000" w:rsidR="00000000" w:rsidRPr="00000000">
        <w:rPr>
          <w:rFonts w:ascii="Times New Roman" w:cs="Times New Roman" w:eastAsia="Times New Roman" w:hAnsi="Times New Roman"/>
          <w:i w:val="1"/>
          <w:color w:val="000000"/>
          <w:sz w:val="24"/>
          <w:szCs w:val="24"/>
          <w:rtl w:val="0"/>
        </w:rPr>
        <w:t xml:space="preserve">Teletai </w:t>
      </w:r>
      <w:r w:rsidDel="00000000" w:rsidR="00000000" w:rsidRPr="00000000">
        <w:rPr>
          <w:rFonts w:ascii="Times New Roman" w:cs="Times New Roman" w:eastAsia="Times New Roman" w:hAnsi="Times New Roman"/>
          <w:color w:val="000000"/>
          <w:sz w:val="24"/>
          <w:szCs w:val="24"/>
          <w:rtl w:val="0"/>
        </w:rPr>
        <w:t xml:space="preserve">where deities and Gods </w:t>
      </w:r>
      <w:r w:rsidDel="00000000" w:rsidR="00000000" w:rsidRPr="00000000">
        <w:rPr>
          <w:rFonts w:ascii="Times New Roman" w:cs="Times New Roman" w:eastAsia="Times New Roman" w:hAnsi="Times New Roman"/>
          <w:sz w:val="24"/>
          <w:szCs w:val="24"/>
          <w:rtl w:val="0"/>
        </w:rPr>
        <w:t xml:space="preserve">were</w:t>
      </w:r>
      <w:r w:rsidDel="00000000" w:rsidR="00000000" w:rsidRPr="00000000">
        <w:rPr>
          <w:rFonts w:ascii="Times New Roman" w:cs="Times New Roman" w:eastAsia="Times New Roman" w:hAnsi="Times New Roman"/>
          <w:color w:val="000000"/>
          <w:sz w:val="24"/>
          <w:szCs w:val="24"/>
          <w:rtl w:val="0"/>
        </w:rPr>
        <w:t xml:space="preserve"> called to work into and through statues, often animating cultic statues of the Gods;</w:t>
      </w:r>
      <w:r w:rsidDel="00000000" w:rsidR="00000000" w:rsidRPr="00000000">
        <w:rPr>
          <w:rFonts w:ascii="Times New Roman" w:cs="Times New Roman" w:eastAsia="Times New Roman" w:hAnsi="Times New Roman"/>
          <w:color w:val="000000"/>
          <w:sz w:val="24"/>
          <w:szCs w:val="24"/>
          <w:vertAlign w:val="superscript"/>
        </w:rPr>
        <w:footnoteReference w:customMarkFollows="0" w:id="40"/>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during a </w:t>
      </w:r>
      <w:r w:rsidDel="00000000" w:rsidR="00000000" w:rsidRPr="00000000">
        <w:rPr>
          <w:rFonts w:ascii="Times New Roman" w:cs="Times New Roman" w:eastAsia="Times New Roman" w:hAnsi="Times New Roman"/>
          <w:i w:val="1"/>
          <w:sz w:val="24"/>
          <w:szCs w:val="24"/>
          <w:rtl w:val="0"/>
        </w:rPr>
        <w:t xml:space="preserve">Teletai</w:t>
      </w:r>
      <w:r w:rsidDel="00000000" w:rsidR="00000000" w:rsidRPr="00000000">
        <w:rPr>
          <w:rFonts w:ascii="Times New Roman" w:cs="Times New Roman" w:eastAsia="Times New Roman" w:hAnsi="Times New Roman"/>
          <w:sz w:val="24"/>
          <w:szCs w:val="24"/>
          <w:rtl w:val="0"/>
        </w:rPr>
        <w:t xml:space="preserve"> ritual</w:t>
      </w:r>
      <w:r w:rsidDel="00000000" w:rsidR="00000000" w:rsidRPr="00000000">
        <w:rPr>
          <w:rFonts w:ascii="Times New Roman" w:cs="Times New Roman" w:eastAsia="Times New Roman" w:hAnsi="Times New Roman"/>
          <w:color w:val="000000"/>
          <w:sz w:val="24"/>
          <w:szCs w:val="24"/>
          <w:rtl w:val="0"/>
        </w:rPr>
        <w:t xml:space="preserve"> one was able to transcend or even heal through what Plato described as ritual madness.</w:t>
      </w:r>
      <w:r w:rsidDel="00000000" w:rsidR="00000000" w:rsidRPr="00000000">
        <w:rPr>
          <w:rFonts w:ascii="Times New Roman" w:cs="Times New Roman" w:eastAsia="Times New Roman" w:hAnsi="Times New Roman"/>
          <w:color w:val="000000"/>
          <w:sz w:val="24"/>
          <w:szCs w:val="24"/>
          <w:vertAlign w:val="superscript"/>
        </w:rPr>
        <w:footnoteReference w:customMarkFollows="0" w:id="41"/>
      </w:r>
      <w:r w:rsidDel="00000000" w:rsidR="00000000" w:rsidRPr="00000000">
        <w:rPr>
          <w:rFonts w:ascii="Times New Roman" w:cs="Times New Roman" w:eastAsia="Times New Roman" w:hAnsi="Times New Roman"/>
          <w:color w:val="000000"/>
          <w:sz w:val="24"/>
          <w:szCs w:val="24"/>
          <w:vertAlign w:val="superscript"/>
          <w:rtl w:val="0"/>
        </w:rPr>
        <w:t xml:space="preserve"> </w:t>
      </w:r>
      <w:r w:rsidDel="00000000" w:rsidR="00000000" w:rsidRPr="00000000">
        <w:rPr>
          <w:rFonts w:ascii="Times New Roman" w:cs="Times New Roman" w:eastAsia="Times New Roman" w:hAnsi="Times New Roman"/>
          <w:color w:val="000000"/>
          <w:sz w:val="24"/>
          <w:szCs w:val="24"/>
          <w:rtl w:val="0"/>
        </w:rPr>
        <w:t xml:space="preserve"> During a </w:t>
      </w:r>
      <w:r w:rsidDel="00000000" w:rsidR="00000000" w:rsidRPr="00000000">
        <w:rPr>
          <w:rFonts w:ascii="Times New Roman" w:cs="Times New Roman" w:eastAsia="Times New Roman" w:hAnsi="Times New Roman"/>
          <w:i w:val="1"/>
          <w:color w:val="000000"/>
          <w:sz w:val="24"/>
          <w:szCs w:val="24"/>
          <w:rtl w:val="0"/>
        </w:rPr>
        <w:t xml:space="preserve">Telestike</w:t>
      </w:r>
      <w:r w:rsidDel="00000000" w:rsidR="00000000" w:rsidRPr="00000000">
        <w:rPr>
          <w:rFonts w:ascii="Times New Roman" w:cs="Times New Roman" w:eastAsia="Times New Roman" w:hAnsi="Times New Roman"/>
          <w:color w:val="000000"/>
          <w:sz w:val="24"/>
          <w:szCs w:val="24"/>
          <w:rtl w:val="0"/>
        </w:rPr>
        <w:t xml:space="preserve"> ritual the theurgist philosopher is also able to channel as living statues of the Gods, similarly to other religious rituals including the philosophic system of Iqbal aiming to bring Divine reality in contact with humans without causing harm or disrespect to the divine powers.</w:t>
      </w:r>
      <w:r w:rsidDel="00000000" w:rsidR="00000000" w:rsidRPr="00000000">
        <w:rPr>
          <w:rFonts w:ascii="Times New Roman" w:cs="Times New Roman" w:eastAsia="Times New Roman" w:hAnsi="Times New Roman"/>
          <w:color w:val="000000"/>
          <w:sz w:val="24"/>
          <w:szCs w:val="24"/>
          <w:vertAlign w:val="superscript"/>
        </w:rPr>
        <w:footnoteReference w:customMarkFollows="0" w:id="42"/>
      </w: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A7">
      <w:pPr>
        <w:spacing w:after="0"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Another who described divine connection as madness is Plotinus who described three kinds of powers, these being ‘prophetic, initiatory and poetic’</w:t>
      </w:r>
      <w:r w:rsidDel="00000000" w:rsidR="00000000" w:rsidRPr="00000000">
        <w:rPr>
          <w:rFonts w:ascii="Times New Roman" w:cs="Times New Roman" w:eastAsia="Times New Roman" w:hAnsi="Times New Roman"/>
          <w:color w:val="000000"/>
          <w:sz w:val="24"/>
          <w:szCs w:val="24"/>
          <w:vertAlign w:val="superscript"/>
        </w:rPr>
        <w:footnoteReference w:customMarkFollows="0" w:id="43"/>
      </w:r>
      <w:r w:rsidDel="00000000" w:rsidR="00000000" w:rsidRPr="00000000">
        <w:rPr>
          <w:rFonts w:ascii="Times New Roman" w:cs="Times New Roman" w:eastAsia="Times New Roman" w:hAnsi="Times New Roman"/>
          <w:color w:val="000000"/>
          <w:sz w:val="24"/>
          <w:szCs w:val="24"/>
          <w:rtl w:val="0"/>
        </w:rPr>
        <w:t xml:space="preserve"> and Proclus also argues that </w:t>
      </w:r>
      <w:r w:rsidDel="00000000" w:rsidR="00000000" w:rsidRPr="00000000">
        <w:rPr>
          <w:rFonts w:ascii="Times New Roman" w:cs="Times New Roman" w:eastAsia="Times New Roman" w:hAnsi="Times New Roman"/>
          <w:i w:val="1"/>
          <w:color w:val="000000"/>
          <w:sz w:val="24"/>
          <w:szCs w:val="24"/>
          <w:rtl w:val="0"/>
        </w:rPr>
        <w:t xml:space="preserve">teletai</w:t>
      </w:r>
      <w:r w:rsidDel="00000000" w:rsidR="00000000" w:rsidRPr="00000000">
        <w:rPr>
          <w:rFonts w:ascii="Times New Roman" w:cs="Times New Roman" w:eastAsia="Times New Roman" w:hAnsi="Times New Roman"/>
          <w:color w:val="000000"/>
          <w:sz w:val="24"/>
          <w:szCs w:val="24"/>
          <w:rtl w:val="0"/>
        </w:rPr>
        <w:t xml:space="preserve"> should be considered more powerful than prophetic dreams, ‘How can it be, he said, that although we are always ranking </w:t>
      </w:r>
      <w:r w:rsidDel="00000000" w:rsidR="00000000" w:rsidRPr="00000000">
        <w:rPr>
          <w:rFonts w:ascii="Times New Roman" w:cs="Times New Roman" w:eastAsia="Times New Roman" w:hAnsi="Times New Roman"/>
          <w:i w:val="1"/>
          <w:color w:val="000000"/>
          <w:sz w:val="24"/>
          <w:szCs w:val="24"/>
          <w:rtl w:val="0"/>
        </w:rPr>
        <w:t xml:space="preserve">telestic </w:t>
      </w:r>
      <w:r w:rsidDel="00000000" w:rsidR="00000000" w:rsidRPr="00000000">
        <w:rPr>
          <w:rFonts w:ascii="Times New Roman" w:cs="Times New Roman" w:eastAsia="Times New Roman" w:hAnsi="Times New Roman"/>
          <w:color w:val="000000"/>
          <w:sz w:val="24"/>
          <w:szCs w:val="24"/>
          <w:rtl w:val="0"/>
        </w:rPr>
        <w:t xml:space="preserve">above all our other practices and saying that it is superior to human philosophy itself, we are now making it less powerful than prophetic and erotic madness?.’</w:t>
      </w:r>
      <w:r w:rsidDel="00000000" w:rsidR="00000000" w:rsidRPr="00000000">
        <w:rPr>
          <w:rFonts w:ascii="Times New Roman" w:cs="Times New Roman" w:eastAsia="Times New Roman" w:hAnsi="Times New Roman"/>
          <w:color w:val="000000"/>
          <w:sz w:val="24"/>
          <w:szCs w:val="24"/>
          <w:vertAlign w:val="superscript"/>
        </w:rPr>
        <w:footnoteReference w:customMarkFollows="0" w:id="44"/>
      </w:r>
      <w:r w:rsidDel="00000000" w:rsidR="00000000" w:rsidRPr="00000000">
        <w:rPr>
          <w:rFonts w:ascii="Times New Roman" w:cs="Times New Roman" w:eastAsia="Times New Roman" w:hAnsi="Times New Roman"/>
          <w:color w:val="000000"/>
          <w:sz w:val="24"/>
          <w:szCs w:val="24"/>
          <w:rtl w:val="0"/>
        </w:rPr>
        <w:t xml:space="preserve"> Teletai became an i</w:t>
      </w:r>
      <w:r w:rsidDel="00000000" w:rsidR="00000000" w:rsidRPr="00000000">
        <w:rPr>
          <w:rFonts w:ascii="Times New Roman" w:cs="Times New Roman" w:eastAsia="Times New Roman" w:hAnsi="Times New Roman"/>
          <w:sz w:val="24"/>
          <w:szCs w:val="24"/>
          <w:rtl w:val="0"/>
        </w:rPr>
        <w:t xml:space="preserve">mportant tool used in </w:t>
      </w:r>
      <w:r w:rsidDel="00000000" w:rsidR="00000000" w:rsidRPr="00000000">
        <w:rPr>
          <w:rFonts w:ascii="Times New Roman" w:cs="Times New Roman" w:eastAsia="Times New Roman" w:hAnsi="Times New Roman"/>
          <w:i w:val="1"/>
          <w:sz w:val="24"/>
          <w:szCs w:val="24"/>
          <w:rtl w:val="0"/>
        </w:rPr>
        <w:t xml:space="preserve">mystery cults </w:t>
      </w:r>
      <w:r w:rsidDel="00000000" w:rsidR="00000000" w:rsidRPr="00000000">
        <w:rPr>
          <w:rFonts w:ascii="Times New Roman" w:cs="Times New Roman" w:eastAsia="Times New Roman" w:hAnsi="Times New Roman"/>
          <w:sz w:val="24"/>
          <w:szCs w:val="24"/>
          <w:rtl w:val="0"/>
        </w:rPr>
        <w:t xml:space="preserve">used to connect to the gods for wisdom and initiation, ‘the priestess of Artemis Pythie; inscriptions testify the performance of mystery rituals and initiations (</w:t>
      </w:r>
      <w:r w:rsidDel="00000000" w:rsidR="00000000" w:rsidRPr="00000000">
        <w:rPr>
          <w:rFonts w:ascii="Times New Roman" w:cs="Times New Roman" w:eastAsia="Times New Roman" w:hAnsi="Times New Roman"/>
          <w:i w:val="1"/>
          <w:sz w:val="24"/>
          <w:szCs w:val="24"/>
          <w:rtl w:val="0"/>
        </w:rPr>
        <w:t xml:space="preserve">teletai</w:t>
      </w:r>
      <w:r w:rsidDel="00000000" w:rsidR="00000000" w:rsidRPr="00000000">
        <w:rPr>
          <w:rFonts w:ascii="Times New Roman" w:cs="Times New Roman" w:eastAsia="Times New Roman" w:hAnsi="Times New Roman"/>
          <w:sz w:val="24"/>
          <w:szCs w:val="24"/>
          <w:rtl w:val="0"/>
        </w:rPr>
        <w:t xml:space="preserve">), which seem to have formed a significant element of the cult of Apollo and Artemis at Didyma’</w:t>
      </w:r>
      <w:r w:rsidDel="00000000" w:rsidR="00000000" w:rsidRPr="00000000">
        <w:rPr>
          <w:rFonts w:ascii="Times New Roman" w:cs="Times New Roman" w:eastAsia="Times New Roman" w:hAnsi="Times New Roman"/>
          <w:sz w:val="24"/>
          <w:szCs w:val="24"/>
          <w:vertAlign w:val="superscript"/>
        </w:rPr>
        <w:footnoteReference w:customMarkFollows="0" w:id="45"/>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sz w:val="24"/>
          <w:szCs w:val="24"/>
          <w:rtl w:val="0"/>
        </w:rPr>
        <w:t xml:space="preserve">Theurgists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believed in theurgic ritual to contact the Gods through divine possession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involving a direct oracular divination from the deity through to the theurgic practitione</w:t>
      </w:r>
      <w:r w:rsidDel="00000000" w:rsidR="00000000" w:rsidRPr="00000000">
        <w:rPr>
          <w:rFonts w:ascii="Times New Roman" w:cs="Times New Roman" w:eastAsia="Times New Roman" w:hAnsi="Times New Roman"/>
          <w:sz w:val="24"/>
          <w:szCs w:val="24"/>
          <w:rtl w:val="0"/>
        </w:rPr>
        <w:t xml:space="preserve">r,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often through a state of trance. Iamblichus also divided this into a ‘frenzy to which men may be subjected: ecstasy caused by passion’ similarly to Proclus’s idea of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erotic madness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46"/>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‘ecstasy caused by God’ which we could argue as being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prophetic</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Porphyry had thoughts and questioned whether prophetic trance was true and genuine, or caused due to mental disturbances to which Iamblichus then argued that this was in fact, simply part of the divided ‘frenzy’.</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47"/>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For man to feel ecstasy via means of passion this would be considered as being conjoint the lower soul and ‘against nature’, whereas in opposition to this, ecstasy by God would be known as being ‘beyond nature’.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48"/>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In order for a prophet to enter a trance like state, Iamblichus describes a divine possession </w:t>
      </w:r>
      <w:r w:rsidDel="00000000" w:rsidR="00000000" w:rsidRPr="00000000">
        <w:rPr>
          <w:rFonts w:ascii="Times New Roman" w:cs="Times New Roman" w:eastAsia="Times New Roman" w:hAnsi="Times New Roman"/>
          <w:sz w:val="24"/>
          <w:szCs w:val="24"/>
          <w:rtl w:val="0"/>
        </w:rPr>
        <w:t xml:space="preserve">ritual that would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take place and that the prophet of the Oracle should prepare by fasting, spending time in isolation to channel, and drinking sacred water from the ritual site. </w:t>
      </w:r>
      <w:r w:rsidDel="00000000" w:rsidR="00000000" w:rsidRPr="00000000">
        <w:rPr>
          <w:rFonts w:ascii="Times New Roman" w:cs="Times New Roman" w:eastAsia="Times New Roman" w:hAnsi="Times New Roman"/>
          <w:sz w:val="24"/>
          <w:szCs w:val="24"/>
          <w:rtl w:val="0"/>
        </w:rPr>
        <w:t xml:space="preserve">By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doing this the prophet is able to purify their soul to open their physical body as a portal for divine entities to enter in and speak through.</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49"/>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sz w:val="24"/>
          <w:szCs w:val="24"/>
          <w:rtl w:val="0"/>
        </w:rPr>
        <w:t xml:space="preserve">Through evocation of ‘visible manifestations’, theurgic rites often used statues as a form of contact to the divine.</w:t>
      </w:r>
      <w:r w:rsidDel="00000000" w:rsidR="00000000" w:rsidRPr="00000000">
        <w:rPr>
          <w:rFonts w:ascii="Times New Roman" w:cs="Times New Roman" w:eastAsia="Times New Roman" w:hAnsi="Times New Roman"/>
          <w:sz w:val="24"/>
          <w:szCs w:val="24"/>
          <w:vertAlign w:val="superscript"/>
        </w:rPr>
        <w:footnoteReference w:customMarkFollows="0" w:id="50"/>
      </w:r>
      <w:r w:rsidDel="00000000" w:rsidR="00000000" w:rsidRPr="00000000">
        <w:rPr>
          <w:rtl w:val="0"/>
        </w:rPr>
      </w:r>
    </w:p>
    <w:p w:rsidR="00000000" w:rsidDel="00000000" w:rsidP="00000000" w:rsidRDefault="00000000" w:rsidRPr="00000000" w14:paraId="000000A9">
      <w:pPr>
        <w:spacing w:after="0" w:line="24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after="0" w:line="240" w:lineRule="auto"/>
        <w:ind w:left="720" w:firstLine="0"/>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According to Egyptian belief, the gods resided in their statues. This belief and the hopes it stimulated are at the root of several theories of divination, one of which claimed that not all statues can serve as divine abodes, but also those manufactured in a certain fashion</w:t>
      </w:r>
      <w:r w:rsidDel="00000000" w:rsidR="00000000" w:rsidRPr="00000000">
        <w:rPr>
          <w:rFonts w:ascii="Times New Roman" w:cs="Times New Roman" w:eastAsia="Times New Roman" w:hAnsi="Times New Roman"/>
          <w:sz w:val="24"/>
          <w:szCs w:val="24"/>
          <w:vertAlign w:val="superscript"/>
        </w:rPr>
        <w:footnoteReference w:customMarkFollows="0" w:id="51"/>
      </w:r>
      <w:r w:rsidDel="00000000" w:rsidR="00000000" w:rsidRPr="00000000">
        <w:rPr>
          <w:rtl w:val="0"/>
        </w:rPr>
      </w:r>
    </w:p>
    <w:p w:rsidR="00000000" w:rsidDel="00000000" w:rsidP="00000000" w:rsidRDefault="00000000" w:rsidRPr="00000000" w14:paraId="000000AB">
      <w:pPr>
        <w:keepNext w:val="0"/>
        <w:keepLines w:val="0"/>
        <w:pageBreakBefore w:val="0"/>
        <w:widowControl w:val="1"/>
        <w:pBdr>
          <w:top w:space="0" w:sz="0" w:val="nil"/>
          <w:left w:space="0" w:sz="0" w:val="nil"/>
          <w:bottom w:space="0" w:sz="0" w:val="nil"/>
          <w:right w:space="0" w:sz="0" w:val="nil"/>
          <w:between w:space="0" w:sz="0" w:val="nil"/>
        </w:pBdr>
        <w:shd w:fill="ffffff" w:val="clear"/>
        <w:spacing w:after="160" w:before="0" w:line="259"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C">
      <w:pPr>
        <w:keepNext w:val="0"/>
        <w:keepLines w:val="0"/>
        <w:pageBreakBefore w:val="0"/>
        <w:widowControl w:val="1"/>
        <w:pBdr>
          <w:top w:space="0" w:sz="0" w:val="nil"/>
          <w:left w:space="0" w:sz="0" w:val="nil"/>
          <w:bottom w:space="0" w:sz="0" w:val="nil"/>
          <w:right w:space="0" w:sz="0" w:val="nil"/>
          <w:between w:space="0" w:sz="0" w:val="nil"/>
        </w:pBdr>
        <w:shd w:fill="ffffff" w:val="clear"/>
        <w:spacing w:after="160" w:before="0" w:line="259"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Porphryr believed this as a matter of fact, that only certain craftsmen were able to produce statues able to be used for summoning gods for ritual and divination;</w:t>
      </w:r>
      <w:r w:rsidDel="00000000" w:rsidR="00000000" w:rsidRPr="00000000">
        <w:rPr>
          <w:rFonts w:ascii="Times New Roman" w:cs="Times New Roman" w:eastAsia="Times New Roman" w:hAnsi="Times New Roman"/>
          <w:sz w:val="24"/>
          <w:szCs w:val="24"/>
          <w:vertAlign w:val="superscript"/>
        </w:rPr>
        <w:footnoteReference w:customMarkFollows="0" w:id="52"/>
      </w:r>
      <w:r w:rsidDel="00000000" w:rsidR="00000000" w:rsidRPr="00000000">
        <w:rPr>
          <w:rFonts w:ascii="Times New Roman" w:cs="Times New Roman" w:eastAsia="Times New Roman" w:hAnsi="Times New Roman"/>
          <w:sz w:val="24"/>
          <w:szCs w:val="24"/>
          <w:rtl w:val="0"/>
        </w:rPr>
        <w:t xml:space="preserve"> Iablichus however, did not believe this to be true </w:t>
      </w:r>
      <w:r w:rsidDel="00000000" w:rsidR="00000000" w:rsidRPr="00000000">
        <w:rPr>
          <w:rFonts w:ascii="Times New Roman" w:cs="Times New Roman" w:eastAsia="Times New Roman" w:hAnsi="Times New Roman"/>
          <w:sz w:val="24"/>
          <w:szCs w:val="24"/>
          <w:vertAlign w:val="superscript"/>
        </w:rPr>
        <w:footnoteReference w:customMarkFollows="0" w:id="53"/>
      </w:r>
      <w:r w:rsidDel="00000000" w:rsidR="00000000" w:rsidRPr="00000000">
        <w:rPr>
          <w:rFonts w:ascii="Times New Roman" w:cs="Times New Roman" w:eastAsia="Times New Roman" w:hAnsi="Times New Roman"/>
          <w:sz w:val="24"/>
          <w:szCs w:val="24"/>
          <w:rtl w:val="0"/>
        </w:rPr>
        <w:t xml:space="preserve"> as his belief was that ‘nothing made of matter can be inherently divine, and that a statue is merely an artificial mixture of many heterogeneous forces and elements, participating in a more divine world in its aesthetic dimension only’.</w:t>
      </w:r>
      <w:r w:rsidDel="00000000" w:rsidR="00000000" w:rsidRPr="00000000">
        <w:rPr>
          <w:rFonts w:ascii="Times New Roman" w:cs="Times New Roman" w:eastAsia="Times New Roman" w:hAnsi="Times New Roman"/>
          <w:sz w:val="24"/>
          <w:szCs w:val="24"/>
          <w:vertAlign w:val="superscript"/>
        </w:rPr>
        <w:footnoteReference w:customMarkFollows="0" w:id="54"/>
      </w:r>
      <w:r w:rsidDel="00000000" w:rsidR="00000000" w:rsidRPr="00000000">
        <w:rPr>
          <w:rtl w:val="0"/>
        </w:rPr>
      </w:r>
    </w:p>
    <w:p w:rsidR="00000000" w:rsidDel="00000000" w:rsidP="00000000" w:rsidRDefault="00000000" w:rsidRPr="00000000" w14:paraId="000000AD">
      <w:pPr>
        <w:shd w:fill="ffffff" w:val="clea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E">
      <w:pPr>
        <w:shd w:fill="ffffff" w:val="clear"/>
        <w:rPr>
          <w:rFonts w:ascii="Times New Roman" w:cs="Times New Roman" w:eastAsia="Times New Roman" w:hAnsi="Times New Roman"/>
          <w:sz w:val="24"/>
          <w:szCs w:val="24"/>
          <w:vertAlign w:val="superscript"/>
        </w:rPr>
      </w:pPr>
      <w:r w:rsidDel="00000000" w:rsidR="00000000" w:rsidRPr="00000000">
        <w:rPr>
          <w:rFonts w:ascii="Times New Roman" w:cs="Times New Roman" w:eastAsia="Times New Roman" w:hAnsi="Times New Roman"/>
          <w:sz w:val="24"/>
          <w:szCs w:val="24"/>
          <w:rtl w:val="0"/>
        </w:rPr>
        <w:t xml:space="preserve">    Astrology was an important tool often used to guide Theurgic rituals;</w:t>
      </w:r>
      <w:r w:rsidDel="00000000" w:rsidR="00000000" w:rsidRPr="00000000">
        <w:rPr>
          <w:rFonts w:ascii="Times New Roman" w:cs="Times New Roman" w:eastAsia="Times New Roman" w:hAnsi="Times New Roman"/>
          <w:sz w:val="24"/>
          <w:szCs w:val="24"/>
          <w:vertAlign w:val="superscript"/>
        </w:rPr>
        <w:footnoteReference w:customMarkFollows="0" w:id="55"/>
      </w:r>
      <w:r w:rsidDel="00000000" w:rsidR="00000000" w:rsidRPr="00000000">
        <w:rPr>
          <w:rFonts w:ascii="Times New Roman" w:cs="Times New Roman" w:eastAsia="Times New Roman" w:hAnsi="Times New Roman"/>
          <w:sz w:val="24"/>
          <w:szCs w:val="24"/>
          <w:rtl w:val="0"/>
        </w:rPr>
        <w:t xml:space="preserve"> and ‘played a significant role within </w:t>
      </w:r>
      <w:r w:rsidDel="00000000" w:rsidR="00000000" w:rsidRPr="00000000">
        <w:rPr>
          <w:rFonts w:ascii="Times New Roman" w:cs="Times New Roman" w:eastAsia="Times New Roman" w:hAnsi="Times New Roman"/>
          <w:i w:val="1"/>
          <w:sz w:val="24"/>
          <w:szCs w:val="24"/>
          <w:rtl w:val="0"/>
        </w:rPr>
        <w:t xml:space="preserve">Philosophy from Oracles’ </w:t>
      </w:r>
      <w:r w:rsidDel="00000000" w:rsidR="00000000" w:rsidRPr="00000000">
        <w:rPr>
          <w:rFonts w:ascii="Times New Roman" w:cs="Times New Roman" w:eastAsia="Times New Roman" w:hAnsi="Times New Roman"/>
          <w:sz w:val="24"/>
          <w:szCs w:val="24"/>
          <w:rtl w:val="0"/>
        </w:rPr>
        <w:t xml:space="preserve">instructing rituals connecting their physical body to the gods, daimones and purpose</w:t>
      </w:r>
      <w:r w:rsidDel="00000000" w:rsidR="00000000" w:rsidRPr="00000000">
        <w:rPr>
          <w:rFonts w:ascii="Times New Roman" w:cs="Times New Roman" w:eastAsia="Times New Roman" w:hAnsi="Times New Roman"/>
          <w:i w:val="1"/>
          <w:sz w:val="24"/>
          <w:szCs w:val="24"/>
          <w:rtl w:val="0"/>
        </w:rPr>
        <w:t xml:space="preserve">.</w:t>
      </w:r>
      <w:r w:rsidDel="00000000" w:rsidR="00000000" w:rsidRPr="00000000">
        <w:rPr>
          <w:rFonts w:ascii="Times New Roman" w:cs="Times New Roman" w:eastAsia="Times New Roman" w:hAnsi="Times New Roman"/>
          <w:i w:val="1"/>
          <w:sz w:val="24"/>
          <w:szCs w:val="24"/>
          <w:vertAlign w:val="superscript"/>
        </w:rPr>
        <w:footnoteReference w:customMarkFollows="0" w:id="56"/>
      </w:r>
      <w:r w:rsidDel="00000000" w:rsidR="00000000" w:rsidRPr="00000000">
        <w:rPr>
          <w:rFonts w:ascii="Times New Roman" w:cs="Times New Roman" w:eastAsia="Times New Roman" w:hAnsi="Times New Roman"/>
          <w:sz w:val="24"/>
          <w:szCs w:val="24"/>
          <w:rtl w:val="0"/>
        </w:rPr>
        <w:t xml:space="preserve"> It also said that Theurgists could use astrology to decide on appropriate timing for decisions and ritual as it was believed that the gods would be able to decide and show the wrong timing for an oracular ritual due to inappropriate astrological transits.</w:t>
      </w:r>
      <w:r w:rsidDel="00000000" w:rsidR="00000000" w:rsidRPr="00000000">
        <w:rPr>
          <w:rFonts w:ascii="Times New Roman" w:cs="Times New Roman" w:eastAsia="Times New Roman" w:hAnsi="Times New Roman"/>
          <w:sz w:val="24"/>
          <w:szCs w:val="24"/>
          <w:vertAlign w:val="superscript"/>
        </w:rPr>
        <w:footnoteReference w:customMarkFollows="0" w:id="57"/>
      </w:r>
      <w:r w:rsidDel="00000000" w:rsidR="00000000" w:rsidRPr="00000000">
        <w:rPr>
          <w:rFonts w:ascii="Times New Roman" w:cs="Times New Roman" w:eastAsia="Times New Roman" w:hAnsi="Times New Roman"/>
          <w:sz w:val="24"/>
          <w:szCs w:val="24"/>
          <w:rtl w:val="0"/>
        </w:rPr>
        <w:t xml:space="preserve"> While Iamblichus placed Astrology at the lower ranking of the divination pyramid, Porphyry believed that astrological methods could be essentially used to find out about one's personal</w:t>
      </w:r>
      <w:r w:rsidDel="00000000" w:rsidR="00000000" w:rsidRPr="00000000">
        <w:rPr>
          <w:rFonts w:ascii="Times New Roman" w:cs="Times New Roman" w:eastAsia="Times New Roman" w:hAnsi="Times New Roman"/>
          <w:i w:val="1"/>
          <w:sz w:val="24"/>
          <w:szCs w:val="24"/>
          <w:rtl w:val="0"/>
        </w:rPr>
        <w:t xml:space="preserve"> daimone</w:t>
      </w:r>
      <w:r w:rsidDel="00000000" w:rsidR="00000000" w:rsidRPr="00000000">
        <w:rPr>
          <w:rFonts w:ascii="Times New Roman" w:cs="Times New Roman" w:eastAsia="Times New Roman" w:hAnsi="Times New Roman"/>
          <w:sz w:val="24"/>
          <w:szCs w:val="24"/>
          <w:rtl w:val="0"/>
        </w:rPr>
        <w:t xml:space="preserve">, ‘attempting to grasp divine essence by applying human science’.</w:t>
      </w:r>
      <w:r w:rsidDel="00000000" w:rsidR="00000000" w:rsidRPr="00000000">
        <w:rPr>
          <w:rFonts w:ascii="Times New Roman" w:cs="Times New Roman" w:eastAsia="Times New Roman" w:hAnsi="Times New Roman"/>
          <w:sz w:val="24"/>
          <w:szCs w:val="24"/>
          <w:vertAlign w:val="superscript"/>
        </w:rPr>
        <w:footnoteReference w:customMarkFollows="0" w:id="58"/>
      </w:r>
      <w:r w:rsidDel="00000000" w:rsidR="00000000" w:rsidRPr="00000000">
        <w:rPr>
          <w:rFonts w:ascii="Times New Roman" w:cs="Times New Roman" w:eastAsia="Times New Roman" w:hAnsi="Times New Roman"/>
          <w:sz w:val="24"/>
          <w:szCs w:val="24"/>
          <w:vertAlign w:val="superscript"/>
          <w:rtl w:val="0"/>
        </w:rPr>
        <w:t xml:space="preserve"> </w:t>
      </w:r>
      <w:r w:rsidDel="00000000" w:rsidR="00000000" w:rsidRPr="00000000">
        <w:rPr>
          <w:rFonts w:ascii="Times New Roman" w:cs="Times New Roman" w:eastAsia="Times New Roman" w:hAnsi="Times New Roman"/>
          <w:sz w:val="24"/>
          <w:szCs w:val="24"/>
          <w:rtl w:val="0"/>
        </w:rPr>
        <w:t xml:space="preserve">De Mysteriis </w:t>
      </w:r>
      <w:r w:rsidDel="00000000" w:rsidR="00000000" w:rsidRPr="00000000">
        <w:rPr>
          <w:rFonts w:ascii="Times New Roman" w:cs="Times New Roman" w:eastAsia="Times New Roman" w:hAnsi="Times New Roman"/>
          <w:sz w:val="24"/>
          <w:szCs w:val="24"/>
          <w:vertAlign w:val="superscript"/>
        </w:rPr>
        <w:footnoteReference w:customMarkFollows="0" w:id="59"/>
      </w:r>
      <w:r w:rsidDel="00000000" w:rsidR="00000000" w:rsidRPr="00000000">
        <w:rPr>
          <w:rFonts w:ascii="Times New Roman" w:cs="Times New Roman" w:eastAsia="Times New Roman" w:hAnsi="Times New Roman"/>
          <w:sz w:val="24"/>
          <w:szCs w:val="24"/>
          <w:rtl w:val="0"/>
        </w:rPr>
        <w:t xml:space="preserve">critically discusses the use of Astrology, more specifically the use of horoscopes ‘a discipline which he places at the lowest level of the astrological pyramid – are severe, for, like Plotinus, he wishes to castigate this extremely popular practise’. While Iamblichus did not exactly rate astrology as high as other divinationary forms, he does however describe how astronomy was ‘a science given by the gods.’</w:t>
      </w:r>
      <w:r w:rsidDel="00000000" w:rsidR="00000000" w:rsidRPr="00000000">
        <w:rPr>
          <w:rFonts w:ascii="Times New Roman" w:cs="Times New Roman" w:eastAsia="Times New Roman" w:hAnsi="Times New Roman"/>
          <w:sz w:val="24"/>
          <w:szCs w:val="24"/>
          <w:vertAlign w:val="superscript"/>
        </w:rPr>
        <w:footnoteReference w:customMarkFollows="0" w:id="60"/>
      </w:r>
      <w:r w:rsidDel="00000000" w:rsidR="00000000" w:rsidRPr="00000000">
        <w:rPr>
          <w:rFonts w:ascii="Times New Roman" w:cs="Times New Roman" w:eastAsia="Times New Roman" w:hAnsi="Times New Roman"/>
          <w:sz w:val="24"/>
          <w:szCs w:val="24"/>
          <w:rtl w:val="0"/>
        </w:rPr>
        <w:t xml:space="preserve"> Astrology was a form of oracular divination used to assist in deciding timing of rituals within theurgic practice, however it was also thought that this was an oracle where evil </w:t>
      </w:r>
      <w:r w:rsidDel="00000000" w:rsidR="00000000" w:rsidRPr="00000000">
        <w:rPr>
          <w:rFonts w:ascii="Times New Roman" w:cs="Times New Roman" w:eastAsia="Times New Roman" w:hAnsi="Times New Roman"/>
          <w:i w:val="1"/>
          <w:sz w:val="24"/>
          <w:szCs w:val="24"/>
          <w:rtl w:val="0"/>
        </w:rPr>
        <w:t xml:space="preserve">daimons</w:t>
      </w:r>
      <w:r w:rsidDel="00000000" w:rsidR="00000000" w:rsidRPr="00000000">
        <w:rPr>
          <w:rFonts w:ascii="Times New Roman" w:cs="Times New Roman" w:eastAsia="Times New Roman" w:hAnsi="Times New Roman"/>
          <w:sz w:val="24"/>
          <w:szCs w:val="24"/>
          <w:rtl w:val="0"/>
        </w:rPr>
        <w:t xml:space="preserve"> may be able to intervene.</w:t>
      </w:r>
      <w:r w:rsidDel="00000000" w:rsidR="00000000" w:rsidRPr="00000000">
        <w:rPr>
          <w:rFonts w:ascii="Times New Roman" w:cs="Times New Roman" w:eastAsia="Times New Roman" w:hAnsi="Times New Roman"/>
          <w:sz w:val="24"/>
          <w:szCs w:val="24"/>
          <w:vertAlign w:val="superscript"/>
        </w:rPr>
        <w:footnoteReference w:customMarkFollows="0" w:id="61"/>
      </w:r>
      <w:r w:rsidDel="00000000" w:rsidR="00000000" w:rsidRPr="00000000">
        <w:rPr>
          <w:rFonts w:ascii="Times New Roman" w:cs="Times New Roman" w:eastAsia="Times New Roman" w:hAnsi="Times New Roman"/>
          <w:sz w:val="24"/>
          <w:szCs w:val="24"/>
          <w:rtl w:val="0"/>
        </w:rPr>
        <w:t xml:space="preserve">Athanassiadi explains how the history and lessons of astronomy was almost completely lost if it was not for Egyptian priests and Chaldean experts who continued to connect to the gods using this practice. </w:t>
      </w:r>
      <w:r w:rsidDel="00000000" w:rsidR="00000000" w:rsidRPr="00000000">
        <w:rPr>
          <w:rFonts w:ascii="Times New Roman" w:cs="Times New Roman" w:eastAsia="Times New Roman" w:hAnsi="Times New Roman"/>
          <w:sz w:val="24"/>
          <w:szCs w:val="24"/>
          <w:vertAlign w:val="superscript"/>
        </w:rPr>
        <w:footnoteReference w:customMarkFollows="0" w:id="62"/>
      </w:r>
      <w:r w:rsidDel="00000000" w:rsidR="00000000" w:rsidRPr="00000000">
        <w:rPr>
          <w:rFonts w:ascii="Times New Roman" w:cs="Times New Roman" w:eastAsia="Times New Roman" w:hAnsi="Times New Roman"/>
          <w:sz w:val="24"/>
          <w:szCs w:val="24"/>
          <w:vertAlign w:val="superscript"/>
          <w:rtl w:val="0"/>
        </w:rPr>
        <w:t xml:space="preserve">  </w:t>
      </w:r>
    </w:p>
    <w:p w:rsidR="00000000" w:rsidDel="00000000" w:rsidP="00000000" w:rsidRDefault="00000000" w:rsidRPr="00000000" w14:paraId="000000AF">
      <w:pPr>
        <w:shd w:fill="ffffff" w:val="clea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rtl w:val="0"/>
        </w:rPr>
        <w:t xml:space="preserve">Astrology has been a powerful tool for divination by ancient cultures with the Astral Omina being collected near the end of the 2</w:t>
      </w:r>
      <w:r w:rsidDel="00000000" w:rsidR="00000000" w:rsidRPr="00000000">
        <w:rPr>
          <w:rFonts w:ascii="Times New Roman" w:cs="Times New Roman" w:eastAsia="Times New Roman" w:hAnsi="Times New Roman"/>
          <w:sz w:val="24"/>
          <w:szCs w:val="24"/>
          <w:vertAlign w:val="superscript"/>
          <w:rtl w:val="0"/>
        </w:rPr>
        <w:t xml:space="preserve">nd</w:t>
      </w:r>
      <w:r w:rsidDel="00000000" w:rsidR="00000000" w:rsidRPr="00000000">
        <w:rPr>
          <w:rFonts w:ascii="Times New Roman" w:cs="Times New Roman" w:eastAsia="Times New Roman" w:hAnsi="Times New Roman"/>
          <w:sz w:val="24"/>
          <w:szCs w:val="24"/>
          <w:rtl w:val="0"/>
        </w:rPr>
        <w:t xml:space="preserve"> millennium BCE documenting lunar, solar, stars, weather, earthquake happenings, planetary occurrences. During the middle Babylonian Period and thereafter celestial omen texts began with the MUL.APIN also known as "the plough star" ‘which includes a list of the three divisions of the heavens, the dates (in the ideal 360-day year) of the rising of principal stars and of those which rise and set together, and the constellations in the path of the moon; nearly complete.’ being available to view </w:t>
      </w:r>
      <w:r w:rsidDel="00000000" w:rsidR="00000000" w:rsidRPr="00000000">
        <w:rPr>
          <w:rFonts w:ascii="Times New Roman" w:cs="Times New Roman" w:eastAsia="Times New Roman" w:hAnsi="Times New Roman"/>
          <w:sz w:val="24"/>
          <w:szCs w:val="24"/>
          <w:vertAlign w:val="superscript"/>
        </w:rPr>
        <w:footnoteReference w:customMarkFollows="0" w:id="63"/>
      </w:r>
      <w:r w:rsidDel="00000000" w:rsidR="00000000" w:rsidRPr="00000000">
        <w:rPr>
          <w:rFonts w:ascii="Times New Roman" w:cs="Times New Roman" w:eastAsia="Times New Roman" w:hAnsi="Times New Roman"/>
          <w:sz w:val="24"/>
          <w:szCs w:val="24"/>
          <w:rtl w:val="0"/>
        </w:rPr>
        <w:t xml:space="preserve">. MUL.APIN mainly set out the astronomical framework such as the 36 stars and 18 lunar constellations which could have been used for astrological divination purposes. Another important tablet discovered was the Enuma Anu Enlil a ’Fragment of a Neo-Assyrian clay tablet: the text comments on excerpts from tablet 50 of the celestial omen series 'Enuma Anu Enlil' ('When the gods Anu and Enlil . . .'). The text is written in 77 lines of cuneiform inscription.’</w:t>
      </w:r>
      <w:r w:rsidDel="00000000" w:rsidR="00000000" w:rsidRPr="00000000">
        <w:rPr>
          <w:rFonts w:ascii="Times New Roman" w:cs="Times New Roman" w:eastAsia="Times New Roman" w:hAnsi="Times New Roman"/>
          <w:sz w:val="24"/>
          <w:szCs w:val="24"/>
          <w:vertAlign w:val="superscript"/>
        </w:rPr>
        <w:footnoteReference w:customMarkFollows="0" w:id="64"/>
      </w:r>
      <w:r w:rsidDel="00000000" w:rsidR="00000000" w:rsidRPr="00000000">
        <w:rPr>
          <w:rFonts w:ascii="Times New Roman" w:cs="Times New Roman" w:eastAsia="Times New Roman" w:hAnsi="Times New Roman"/>
          <w:sz w:val="24"/>
          <w:szCs w:val="24"/>
          <w:rtl w:val="0"/>
        </w:rPr>
        <w:t xml:space="preserve"> includes the Venus tablet of Ammisaduqa and 54 other tablets containing 7000 omens said to be used for astrology from the 7-8</w:t>
      </w:r>
      <w:r w:rsidDel="00000000" w:rsidR="00000000" w:rsidRPr="00000000">
        <w:rPr>
          <w:rFonts w:ascii="Times New Roman" w:cs="Times New Roman" w:eastAsia="Times New Roman" w:hAnsi="Times New Roman"/>
          <w:sz w:val="24"/>
          <w:szCs w:val="24"/>
          <w:vertAlign w:val="superscript"/>
          <w:rtl w:val="0"/>
        </w:rPr>
        <w:t xml:space="preserve">th</w:t>
      </w:r>
      <w:r w:rsidDel="00000000" w:rsidR="00000000" w:rsidRPr="00000000">
        <w:rPr>
          <w:rFonts w:ascii="Times New Roman" w:cs="Times New Roman" w:eastAsia="Times New Roman" w:hAnsi="Times New Roman"/>
          <w:sz w:val="24"/>
          <w:szCs w:val="24"/>
          <w:rtl w:val="0"/>
        </w:rPr>
        <w:t xml:space="preserve"> centuries BCE. Many theurgists believed that through astrology, one was able to access and converse with their own personal </w:t>
      </w:r>
      <w:r w:rsidDel="00000000" w:rsidR="00000000" w:rsidRPr="00000000">
        <w:rPr>
          <w:rFonts w:ascii="Times New Roman" w:cs="Times New Roman" w:eastAsia="Times New Roman" w:hAnsi="Times New Roman"/>
          <w:i w:val="1"/>
          <w:sz w:val="24"/>
          <w:szCs w:val="24"/>
          <w:rtl w:val="0"/>
        </w:rPr>
        <w:t xml:space="preserve">daimon</w:t>
      </w:r>
      <w:r w:rsidDel="00000000" w:rsidR="00000000" w:rsidRPr="00000000">
        <w:rPr>
          <w:rFonts w:ascii="Times New Roman" w:cs="Times New Roman" w:eastAsia="Times New Roman" w:hAnsi="Times New Roman"/>
          <w:sz w:val="24"/>
          <w:szCs w:val="24"/>
          <w:rtl w:val="0"/>
        </w:rPr>
        <w:t xml:space="preserve">, sub god or guardian angel. The inner </w:t>
      </w:r>
      <w:r w:rsidDel="00000000" w:rsidR="00000000" w:rsidRPr="00000000">
        <w:rPr>
          <w:rFonts w:ascii="Times New Roman" w:cs="Times New Roman" w:eastAsia="Times New Roman" w:hAnsi="Times New Roman"/>
          <w:i w:val="1"/>
          <w:sz w:val="24"/>
          <w:szCs w:val="24"/>
          <w:rtl w:val="0"/>
        </w:rPr>
        <w:t xml:space="preserve">daimons</w:t>
      </w:r>
      <w:r w:rsidDel="00000000" w:rsidR="00000000" w:rsidRPr="00000000">
        <w:rPr>
          <w:rFonts w:ascii="Times New Roman" w:cs="Times New Roman" w:eastAsia="Times New Roman" w:hAnsi="Times New Roman"/>
          <w:sz w:val="24"/>
          <w:szCs w:val="24"/>
          <w:rtl w:val="0"/>
        </w:rPr>
        <w:t xml:space="preserve"> would encourage the enquirer to elevate their consciousness, offering them knowledge and wisdom. </w:t>
      </w:r>
    </w:p>
    <w:p w:rsidR="00000000" w:rsidDel="00000000" w:rsidP="00000000" w:rsidRDefault="00000000" w:rsidRPr="00000000" w14:paraId="000000B0">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Ancient Egyptians were said to favour using Oracles, dream interpretation, astral and time divination where they would seek answers and omens</w:t>
      </w:r>
      <w:r w:rsidDel="00000000" w:rsidR="00000000" w:rsidRPr="00000000">
        <w:rPr>
          <w:rFonts w:ascii="Times New Roman" w:cs="Times New Roman" w:eastAsia="Times New Roman" w:hAnsi="Times New Roman"/>
          <w:sz w:val="24"/>
          <w:szCs w:val="24"/>
          <w:rtl w:val="0"/>
        </w:rPr>
        <w:t xml:space="preserve"> and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sz w:val="24"/>
          <w:szCs w:val="24"/>
          <w:rtl w:val="0"/>
        </w:rPr>
        <w:t xml:space="preserve">Theurgy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was hea</w:t>
      </w:r>
      <w:r w:rsidDel="00000000" w:rsidR="00000000" w:rsidRPr="00000000">
        <w:rPr>
          <w:rFonts w:ascii="Times New Roman" w:cs="Times New Roman" w:eastAsia="Times New Roman" w:hAnsi="Times New Roman"/>
          <w:sz w:val="24"/>
          <w:szCs w:val="24"/>
          <w:rtl w:val="0"/>
        </w:rPr>
        <w:t xml:space="preserve">vily influenced by ancient Egyptian practices, with Iamblichus also discussing Egyptian religion in </w:t>
      </w:r>
      <w:r w:rsidDel="00000000" w:rsidR="00000000" w:rsidRPr="00000000">
        <w:rPr>
          <w:rFonts w:ascii="Times New Roman" w:cs="Times New Roman" w:eastAsia="Times New Roman" w:hAnsi="Times New Roman"/>
          <w:i w:val="1"/>
          <w:sz w:val="24"/>
          <w:szCs w:val="24"/>
          <w:rtl w:val="0"/>
        </w:rPr>
        <w:t xml:space="preserve">De Mysteriis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vertAlign w:val="superscript"/>
        </w:rPr>
        <w:footnoteReference w:customMarkFollows="0" w:id="65"/>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difference between an omen and an oracle is that an oracle question or form of contact is directed to the Gods from the human and then the answer returns to the human, however, an omen would be a direct sign that humans would interpret them as being directly sent from Gods with or without a request first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66"/>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Ancient Egyptians emphasised the importance of having statues as a way to connect with the Gods and used them also for divination purposes as well as worship</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they honoured the Gods through oracles and statues. It is even claimed that Maximus of Ephesus used ‘statues of gods in order to perform miracles.’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67"/>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Ancient Egyptians were said to be one of the original founders and users of divination, with Iamblichus arguing that the Egyptians practise of theology included imitation of the gods and ‘nature of the universe’.</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68"/>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Iamblichus and Porphyry argue that ‘the Egyptians were the first of men who were allotted the participation of the Gods, the Gods when invoked Rejoice in the Egyptian rites.’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superscript"/>
        </w:rPr>
        <w:footnoteReference w:customMarkFollows="0" w:id="69"/>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It is also believed that it is not solely the Ancient Egyptians who were able to contact</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daimons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gods effectively, instead it is a collective variety of ancient beliefs that created the different tools and forms of divination. </w:t>
      </w:r>
    </w:p>
    <w:p w:rsidR="00000000" w:rsidDel="00000000" w:rsidP="00000000" w:rsidRDefault="00000000" w:rsidRPr="00000000" w14:paraId="000000B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Oracles can be both provoked and unprovoked. Unprovoked divination is where one investigates an omen that happens to appear without being sought out and asked for. Opposite to this would be Provoked or Evoked divination where the diviner deliberately sets out to seek connection and answers from divine power for answers or the service they require.</w:t>
      </w:r>
      <w:r w:rsidDel="00000000" w:rsidR="00000000" w:rsidRPr="00000000">
        <w:rPr>
          <w:rFonts w:ascii="Times New Roman" w:cs="Times New Roman" w:eastAsia="Times New Roman" w:hAnsi="Times New Roman"/>
          <w:sz w:val="24"/>
          <w:szCs w:val="24"/>
          <w:rtl w:val="0"/>
        </w:rPr>
        <w:t xml:space="preserve">One of the most important Oracles used within theurgy is the </w:t>
      </w:r>
      <w:r w:rsidDel="00000000" w:rsidR="00000000" w:rsidRPr="00000000">
        <w:rPr>
          <w:rFonts w:ascii="Times New Roman" w:cs="Times New Roman" w:eastAsia="Times New Roman" w:hAnsi="Times New Roman"/>
          <w:i w:val="1"/>
          <w:sz w:val="24"/>
          <w:szCs w:val="24"/>
          <w:rtl w:val="0"/>
        </w:rPr>
        <w:t xml:space="preserve">Chaldean Oracles</w:t>
      </w:r>
      <w:r w:rsidDel="00000000" w:rsidR="00000000" w:rsidRPr="00000000">
        <w:rPr>
          <w:rFonts w:ascii="Times New Roman" w:cs="Times New Roman" w:eastAsia="Times New Roman" w:hAnsi="Times New Roman"/>
          <w:i w:val="1"/>
          <w:sz w:val="24"/>
          <w:szCs w:val="24"/>
          <w:highlight w:val="white"/>
          <w:rtl w:val="0"/>
        </w:rPr>
        <w:t xml:space="preserve">.</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‘The Chaldean Oracles</w:t>
      </w:r>
      <w:r w:rsidDel="00000000" w:rsidR="00000000" w:rsidRPr="00000000">
        <w:rPr>
          <w:rFonts w:ascii="Times New Roman" w:cs="Times New Roman" w:eastAsia="Times New Roman" w:hAnsi="Times New Roman"/>
          <w:sz w:val="24"/>
          <w:szCs w:val="24"/>
          <w:highlight w:val="white"/>
          <w:rtl w:val="0"/>
        </w:rPr>
        <w:t xml:space="preserve"> are a collection of abstruse, hexameter verses purported to have been “handed down by the gods” to a certain Julian the Chaldean and/ or his son.</w:t>
      </w:r>
      <w:r w:rsidDel="00000000" w:rsidR="00000000" w:rsidRPr="00000000">
        <w:rPr>
          <w:rFonts w:ascii="Times New Roman" w:cs="Times New Roman" w:eastAsia="Times New Roman" w:hAnsi="Times New Roman"/>
          <w:sz w:val="24"/>
          <w:szCs w:val="24"/>
          <w:highlight w:val="white"/>
          <w:vertAlign w:val="superscript"/>
        </w:rPr>
        <w:footnoteReference w:customMarkFollows="0" w:id="70"/>
      </w:r>
      <w:r w:rsidDel="00000000" w:rsidR="00000000" w:rsidRPr="00000000">
        <w:rPr>
          <w:rFonts w:ascii="Times New Roman" w:cs="Times New Roman" w:eastAsia="Times New Roman" w:hAnsi="Times New Roman"/>
          <w:sz w:val="24"/>
          <w:szCs w:val="24"/>
          <w:highlight w:val="white"/>
          <w:rtl w:val="0"/>
        </w:rPr>
        <w:t xml:space="preserve"> ‘For more than 250 years, indeed, the Neoplatonists regarded the Oracles as their “Bible”. However, even though Theurgy is said to not be connected to mysticism and magic as mentioned earlier, the Chaldean Oracles are said to have belonged to and used by mystical pagan practices.</w:t>
      </w:r>
      <w:r w:rsidDel="00000000" w:rsidR="00000000" w:rsidRPr="00000000">
        <w:rPr>
          <w:rFonts w:ascii="Times New Roman" w:cs="Times New Roman" w:eastAsia="Times New Roman" w:hAnsi="Times New Roman"/>
          <w:sz w:val="24"/>
          <w:szCs w:val="24"/>
          <w:highlight w:val="white"/>
          <w:vertAlign w:val="superscript"/>
        </w:rPr>
        <w:footnoteReference w:customMarkFollows="0" w:id="71"/>
      </w:r>
      <w:r w:rsidDel="00000000" w:rsidR="00000000" w:rsidRPr="00000000">
        <w:rPr>
          <w:rFonts w:ascii="Times New Roman" w:cs="Times New Roman" w:eastAsia="Times New Roman" w:hAnsi="Times New Roman"/>
          <w:sz w:val="24"/>
          <w:szCs w:val="24"/>
          <w:rtl w:val="0"/>
        </w:rPr>
        <w:t xml:space="preserve"> Oracles have been connected to philosophy from the Second Sophistic until the end of Late Antiquity, ‘Oracles were seen as an important source of truth in late Antique religion and philosophy, particularly within Neoplatonism’.</w:t>
      </w:r>
      <w:r w:rsidDel="00000000" w:rsidR="00000000" w:rsidRPr="00000000">
        <w:rPr>
          <w:rFonts w:ascii="Times New Roman" w:cs="Times New Roman" w:eastAsia="Times New Roman" w:hAnsi="Times New Roman"/>
          <w:sz w:val="24"/>
          <w:szCs w:val="24"/>
          <w:vertAlign w:val="superscript"/>
        </w:rPr>
        <w:footnoteReference w:customMarkFollows="0" w:id="72"/>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3">
      <w:pPr>
        <w:spacing w:after="0" w:line="24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There are arguments against the use of theurgy as it was also believed to be a way of trying to manipulate the gods into granting reward out of desperation when all hope was lost.</w:t>
      </w:r>
      <w:r w:rsidDel="00000000" w:rsidR="00000000" w:rsidRPr="00000000">
        <w:rPr>
          <w:rFonts w:ascii="Times New Roman" w:cs="Times New Roman" w:eastAsia="Times New Roman" w:hAnsi="Times New Roman"/>
          <w:sz w:val="24"/>
          <w:szCs w:val="24"/>
          <w:vertAlign w:val="superscript"/>
        </w:rPr>
        <w:footnoteReference w:customMarkFollows="0" w:id="73"/>
      </w:r>
      <w:r w:rsidDel="00000000" w:rsidR="00000000" w:rsidRPr="00000000">
        <w:rPr>
          <w:rFonts w:ascii="Times New Roman" w:cs="Times New Roman" w:eastAsia="Times New Roman" w:hAnsi="Times New Roman"/>
          <w:sz w:val="24"/>
          <w:szCs w:val="24"/>
          <w:rtl w:val="0"/>
        </w:rPr>
        <w:t xml:space="preserve"> Dillon discusses an argument against using divination and sacramental theology to contact the gods under the speculation that it is trying to control the gods or over glorify theurgy;</w:t>
      </w:r>
      <w:r w:rsidDel="00000000" w:rsidR="00000000" w:rsidRPr="00000000">
        <w:rPr>
          <w:rFonts w:ascii="Times New Roman" w:cs="Times New Roman" w:eastAsia="Times New Roman" w:hAnsi="Times New Roman"/>
          <w:sz w:val="24"/>
          <w:szCs w:val="24"/>
          <w:vertAlign w:val="superscript"/>
        </w:rPr>
        <w:footnoteReference w:customMarkFollows="0" w:id="74"/>
      </w:r>
      <w:r w:rsidDel="00000000" w:rsidR="00000000" w:rsidRPr="00000000">
        <w:rPr>
          <w:rFonts w:ascii="Times New Roman" w:cs="Times New Roman" w:eastAsia="Times New Roman" w:hAnsi="Times New Roman"/>
          <w:sz w:val="24"/>
          <w:szCs w:val="24"/>
          <w:rtl w:val="0"/>
        </w:rPr>
        <w:t xml:space="preserve"> However, Theurgists could argue that without the permission of the gods then nothing would happen, similar to praying to Gods in religion theurgists believe that the gods had to consent to the human as it was impossible for someone of lower power to demand insight from a divine source of power.</w:t>
      </w:r>
      <w:r w:rsidDel="00000000" w:rsidR="00000000" w:rsidRPr="00000000">
        <w:rPr>
          <w:rFonts w:ascii="Times New Roman" w:cs="Times New Roman" w:eastAsia="Times New Roman" w:hAnsi="Times New Roman"/>
          <w:sz w:val="24"/>
          <w:szCs w:val="24"/>
          <w:vertAlign w:val="superscript"/>
        </w:rPr>
        <w:footnoteReference w:customMarkFollows="0" w:id="75"/>
      </w:r>
      <w:r w:rsidDel="00000000" w:rsidR="00000000" w:rsidRPr="00000000">
        <w:rPr>
          <w:rFonts w:ascii="Times New Roman" w:cs="Times New Roman" w:eastAsia="Times New Roman" w:hAnsi="Times New Roman"/>
          <w:sz w:val="24"/>
          <w:szCs w:val="24"/>
          <w:rtl w:val="0"/>
        </w:rPr>
        <w:t xml:space="preserve"> ‘Whatever Platonists or Christians of Late Antiquity thought about theurgy, all parties spoke of it in extremes: it was the work of Satan or of Christ, it lifted the soul beyond mortal bounds or tied it to material daimons’.</w:t>
      </w:r>
      <w:r w:rsidDel="00000000" w:rsidR="00000000" w:rsidRPr="00000000">
        <w:rPr>
          <w:rFonts w:ascii="Times New Roman" w:cs="Times New Roman" w:eastAsia="Times New Roman" w:hAnsi="Times New Roman"/>
          <w:sz w:val="24"/>
          <w:szCs w:val="24"/>
          <w:vertAlign w:val="superscript"/>
        </w:rPr>
        <w:footnoteReference w:customMarkFollows="0" w:id="76"/>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4">
      <w:pPr>
        <w:rPr>
          <w:rFonts w:ascii="Times New Roman" w:cs="Times New Roman" w:eastAsia="Times New Roman" w:hAnsi="Times New Roman"/>
          <w:b w:val="1"/>
          <w:color w:val="000000"/>
          <w:sz w:val="24"/>
          <w:szCs w:val="24"/>
        </w:rPr>
      </w:pPr>
      <w:r w:rsidDel="00000000" w:rsidR="00000000" w:rsidRPr="00000000">
        <w:rPr>
          <w:rtl w:val="0"/>
        </w:rPr>
      </w:r>
    </w:p>
    <w:p w:rsidR="00000000" w:rsidDel="00000000" w:rsidP="00000000" w:rsidRDefault="00000000" w:rsidRPr="00000000" w14:paraId="000000B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      To conclude this essay </w:t>
      </w:r>
      <w:r w:rsidDel="00000000" w:rsidR="00000000" w:rsidRPr="00000000">
        <w:rPr>
          <w:rFonts w:ascii="Times New Roman" w:cs="Times New Roman" w:eastAsia="Times New Roman" w:hAnsi="Times New Roman"/>
          <w:sz w:val="24"/>
          <w:szCs w:val="24"/>
          <w:rtl w:val="0"/>
        </w:rPr>
        <w:t xml:space="preserve">the evidence suggests that the purpose of Theurgy IS divinisation in order to connect the soul to the divine. </w:t>
      </w:r>
      <w:r w:rsidDel="00000000" w:rsidR="00000000" w:rsidRPr="00000000">
        <w:rPr>
          <w:rFonts w:ascii="Times New Roman" w:cs="Times New Roman" w:eastAsia="Times New Roman" w:hAnsi="Times New Roman"/>
          <w:color w:val="000000"/>
          <w:sz w:val="24"/>
          <w:szCs w:val="24"/>
          <w:vertAlign w:val="superscript"/>
        </w:rPr>
        <w:footnoteReference w:customMarkFollows="0" w:id="77"/>
      </w:r>
      <w:r w:rsidDel="00000000" w:rsidR="00000000" w:rsidRPr="00000000">
        <w:rPr>
          <w:rFonts w:ascii="Times New Roman" w:cs="Times New Roman" w:eastAsia="Times New Roman" w:hAnsi="Times New Roman"/>
          <w:color w:val="000000"/>
          <w:sz w:val="24"/>
          <w:szCs w:val="24"/>
          <w:vertAlign w:val="superscript"/>
          <w:rtl w:val="0"/>
        </w:rPr>
        <w:t xml:space="preserve"> </w:t>
      </w:r>
      <w:r w:rsidDel="00000000" w:rsidR="00000000" w:rsidRPr="00000000">
        <w:rPr>
          <w:rFonts w:ascii="Times New Roman" w:cs="Times New Roman" w:eastAsia="Times New Roman" w:hAnsi="Times New Roman"/>
          <w:color w:val="000000"/>
          <w:sz w:val="24"/>
          <w:szCs w:val="24"/>
          <w:rtl w:val="0"/>
        </w:rPr>
        <w:t xml:space="preserve"> Therefore not only is divination </w:t>
      </w:r>
      <w:r w:rsidDel="00000000" w:rsidR="00000000" w:rsidRPr="00000000">
        <w:rPr>
          <w:rFonts w:ascii="Times New Roman" w:cs="Times New Roman" w:eastAsia="Times New Roman" w:hAnsi="Times New Roman"/>
          <w:sz w:val="24"/>
          <w:szCs w:val="24"/>
          <w:rtl w:val="0"/>
        </w:rPr>
        <w:t xml:space="preserve">an important tool in Theurgy, but it is the key element. Iamblichus believes in a divided soul, the </w:t>
      </w:r>
      <w:r w:rsidDel="00000000" w:rsidR="00000000" w:rsidRPr="00000000">
        <w:rPr>
          <w:rFonts w:ascii="Times New Roman" w:cs="Times New Roman" w:eastAsia="Times New Roman" w:hAnsi="Times New Roman"/>
          <w:i w:val="1"/>
          <w:sz w:val="24"/>
          <w:szCs w:val="24"/>
          <w:rtl w:val="0"/>
        </w:rPr>
        <w:t xml:space="preserve">Higher</w:t>
      </w:r>
      <w:r w:rsidDel="00000000" w:rsidR="00000000" w:rsidRPr="00000000">
        <w:rPr>
          <w:rFonts w:ascii="Times New Roman" w:cs="Times New Roman" w:eastAsia="Times New Roman" w:hAnsi="Times New Roman"/>
          <w:sz w:val="24"/>
          <w:szCs w:val="24"/>
          <w:rtl w:val="0"/>
        </w:rPr>
        <w:t xml:space="preserve"> being more transcendent, pure and divinely connected, and the</w:t>
      </w:r>
      <w:r w:rsidDel="00000000" w:rsidR="00000000" w:rsidRPr="00000000">
        <w:rPr>
          <w:rFonts w:ascii="Times New Roman" w:cs="Times New Roman" w:eastAsia="Times New Roman" w:hAnsi="Times New Roman"/>
          <w:i w:val="1"/>
          <w:sz w:val="24"/>
          <w:szCs w:val="24"/>
          <w:rtl w:val="0"/>
        </w:rPr>
        <w:t xml:space="preserve"> Lower </w:t>
      </w:r>
      <w:r w:rsidDel="00000000" w:rsidR="00000000" w:rsidRPr="00000000">
        <w:rPr>
          <w:rFonts w:ascii="Times New Roman" w:cs="Times New Roman" w:eastAsia="Times New Roman" w:hAnsi="Times New Roman"/>
          <w:sz w:val="24"/>
          <w:szCs w:val="24"/>
          <w:rtl w:val="0"/>
        </w:rPr>
        <w:t xml:space="preserve">soul being more attached to the physical body therefore less connected to the gods.</w:t>
      </w:r>
      <w:r w:rsidDel="00000000" w:rsidR="00000000" w:rsidRPr="00000000">
        <w:rPr>
          <w:rFonts w:ascii="Times New Roman" w:cs="Times New Roman" w:eastAsia="Times New Roman" w:hAnsi="Times New Roman"/>
          <w:sz w:val="24"/>
          <w:szCs w:val="24"/>
          <w:vertAlign w:val="superscript"/>
        </w:rPr>
        <w:footnoteReference w:customMarkFollows="0" w:id="78"/>
      </w:r>
      <w:r w:rsidDel="00000000" w:rsidR="00000000" w:rsidRPr="00000000">
        <w:rPr>
          <w:rFonts w:ascii="Times New Roman" w:cs="Times New Roman" w:eastAsia="Times New Roman" w:hAnsi="Times New Roman"/>
          <w:sz w:val="24"/>
          <w:szCs w:val="24"/>
          <w:rtl w:val="0"/>
        </w:rPr>
        <w:t xml:space="preserve"> Proclus describes Theurgy as being able to connect the physical body to a greater power for wisdom and knowledge, by using divination, purification, initiation and divine possession.</w:t>
      </w:r>
      <w:r w:rsidDel="00000000" w:rsidR="00000000" w:rsidRPr="00000000">
        <w:rPr>
          <w:rFonts w:ascii="Times New Roman" w:cs="Times New Roman" w:eastAsia="Times New Roman" w:hAnsi="Times New Roman"/>
          <w:sz w:val="24"/>
          <w:szCs w:val="24"/>
          <w:vertAlign w:val="superscript"/>
        </w:rPr>
        <w:footnoteReference w:customMarkFollows="0" w:id="79"/>
      </w:r>
      <w:r w:rsidDel="00000000" w:rsidR="00000000" w:rsidRPr="00000000">
        <w:rPr>
          <w:rFonts w:ascii="Times New Roman" w:cs="Times New Roman" w:eastAsia="Times New Roman" w:hAnsi="Times New Roman"/>
          <w:sz w:val="24"/>
          <w:szCs w:val="24"/>
          <w:rtl w:val="0"/>
        </w:rPr>
        <w:t xml:space="preserve"> Iamblichus stated that not everyone was able to access the high level of divine contact, and the gods would only offer different portions of their foreknowledge to people depending on their devotion and pure connection.</w:t>
      </w:r>
      <w:r w:rsidDel="00000000" w:rsidR="00000000" w:rsidRPr="00000000">
        <w:rPr>
          <w:rFonts w:ascii="Times New Roman" w:cs="Times New Roman" w:eastAsia="Times New Roman" w:hAnsi="Times New Roman"/>
          <w:sz w:val="24"/>
          <w:szCs w:val="24"/>
          <w:vertAlign w:val="superscript"/>
        </w:rPr>
        <w:footnoteReference w:customMarkFollows="0" w:id="80"/>
      </w:r>
      <w:r w:rsidDel="00000000" w:rsidR="00000000" w:rsidRPr="00000000">
        <w:rPr>
          <w:rFonts w:ascii="Times New Roman" w:cs="Times New Roman" w:eastAsia="Times New Roman" w:hAnsi="Times New Roman"/>
          <w:sz w:val="24"/>
          <w:szCs w:val="24"/>
          <w:vertAlign w:val="superscript"/>
          <w:rtl w:val="0"/>
        </w:rPr>
        <w:t xml:space="preserve"> </w:t>
      </w:r>
      <w:r w:rsidDel="00000000" w:rsidR="00000000" w:rsidRPr="00000000">
        <w:rPr>
          <w:rFonts w:ascii="Times New Roman" w:cs="Times New Roman" w:eastAsia="Times New Roman" w:hAnsi="Times New Roman"/>
          <w:sz w:val="24"/>
          <w:szCs w:val="24"/>
          <w:rtl w:val="0"/>
        </w:rPr>
        <w:t xml:space="preserve">Theurgists wishing to connect to their highest, and purest form of soul in order to contact gods and their personal </w:t>
      </w:r>
      <w:r w:rsidDel="00000000" w:rsidR="00000000" w:rsidRPr="00000000">
        <w:rPr>
          <w:rFonts w:ascii="Times New Roman" w:cs="Times New Roman" w:eastAsia="Times New Roman" w:hAnsi="Times New Roman"/>
          <w:i w:val="1"/>
          <w:sz w:val="24"/>
          <w:szCs w:val="24"/>
          <w:rtl w:val="0"/>
        </w:rPr>
        <w:t xml:space="preserve">daimones </w:t>
      </w:r>
      <w:r w:rsidDel="00000000" w:rsidR="00000000" w:rsidRPr="00000000">
        <w:rPr>
          <w:rFonts w:ascii="Times New Roman" w:cs="Times New Roman" w:eastAsia="Times New Roman" w:hAnsi="Times New Roman"/>
          <w:sz w:val="24"/>
          <w:szCs w:val="24"/>
          <w:rtl w:val="0"/>
        </w:rPr>
        <w:t xml:space="preserve">would need to train their senses in order to strengthen the connection.</w:t>
      </w:r>
      <w:r w:rsidDel="00000000" w:rsidR="00000000" w:rsidRPr="00000000">
        <w:rPr>
          <w:rFonts w:ascii="Times New Roman" w:cs="Times New Roman" w:eastAsia="Times New Roman" w:hAnsi="Times New Roman"/>
          <w:sz w:val="24"/>
          <w:szCs w:val="24"/>
          <w:vertAlign w:val="superscript"/>
        </w:rPr>
        <w:footnoteReference w:customMarkFollows="0" w:id="81"/>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8">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Though Theurgy is seen as a religion it is also described as a cult,</w:t>
      </w:r>
      <w:r w:rsidDel="00000000" w:rsidR="00000000" w:rsidRPr="00000000">
        <w:rPr>
          <w:rFonts w:ascii="Times New Roman" w:cs="Times New Roman" w:eastAsia="Times New Roman" w:hAnsi="Times New Roman"/>
          <w:sz w:val="24"/>
          <w:szCs w:val="24"/>
          <w:vertAlign w:val="superscript"/>
        </w:rPr>
        <w:footnoteReference w:customMarkFollows="0" w:id="82"/>
      </w:r>
      <w:r w:rsidDel="00000000" w:rsidR="00000000" w:rsidRPr="00000000">
        <w:rPr>
          <w:rFonts w:ascii="Times New Roman" w:cs="Times New Roman" w:eastAsia="Times New Roman" w:hAnsi="Times New Roman"/>
          <w:sz w:val="24"/>
          <w:szCs w:val="24"/>
          <w:rtl w:val="0"/>
        </w:rPr>
        <w:t xml:space="preserve"> with initiation and sacrifice being important ways to connect to the divine</w:t>
      </w:r>
      <w:r w:rsidDel="00000000" w:rsidR="00000000" w:rsidRPr="00000000">
        <w:rPr>
          <w:rFonts w:ascii="Times New Roman" w:cs="Times New Roman" w:eastAsia="Times New Roman" w:hAnsi="Times New Roman"/>
          <w:sz w:val="24"/>
          <w:szCs w:val="24"/>
          <w:vertAlign w:val="superscript"/>
        </w:rPr>
        <w:footnoteReference w:customMarkFollows="0" w:id="83"/>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Through isolation, and sacrifice, whether this is animal sacrifice or be it through fasting or sacrificing </w:t>
      </w:r>
      <w:r w:rsidDel="00000000" w:rsidR="00000000" w:rsidRPr="00000000">
        <w:rPr>
          <w:rFonts w:ascii="Times New Roman" w:cs="Times New Roman" w:eastAsia="Times New Roman" w:hAnsi="Times New Roman"/>
          <w:sz w:val="24"/>
          <w:szCs w:val="24"/>
          <w:rtl w:val="0"/>
        </w:rPr>
        <w:t xml:space="preserve">one's</w:t>
      </w:r>
      <w:r w:rsidDel="00000000" w:rsidR="00000000" w:rsidRPr="00000000">
        <w:rPr>
          <w:rFonts w:ascii="Times New Roman" w:cs="Times New Roman" w:eastAsia="Times New Roman" w:hAnsi="Times New Roman"/>
          <w:color w:val="000000"/>
          <w:sz w:val="24"/>
          <w:szCs w:val="24"/>
          <w:rtl w:val="0"/>
        </w:rPr>
        <w:t xml:space="preserve"> own food in order for a pure soul and peaceful mind then those who practised divination in this state were not only able to connect and contact with divine power, they also would take on the power of the gods.</w:t>
      </w:r>
      <w:r w:rsidDel="00000000" w:rsidR="00000000" w:rsidRPr="00000000">
        <w:rPr>
          <w:rFonts w:ascii="Times New Roman" w:cs="Times New Roman" w:eastAsia="Times New Roman" w:hAnsi="Times New Roman"/>
          <w:color w:val="000000"/>
          <w:sz w:val="24"/>
          <w:szCs w:val="24"/>
          <w:vertAlign w:val="superscript"/>
        </w:rPr>
        <w:footnoteReference w:customMarkFollows="0" w:id="84"/>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T</w:t>
      </w:r>
      <w:r w:rsidDel="00000000" w:rsidR="00000000" w:rsidRPr="00000000">
        <w:rPr>
          <w:rFonts w:ascii="Times New Roman" w:cs="Times New Roman" w:eastAsia="Times New Roman" w:hAnsi="Times New Roman"/>
          <w:color w:val="000000"/>
          <w:sz w:val="24"/>
          <w:szCs w:val="24"/>
          <w:rtl w:val="0"/>
        </w:rPr>
        <w:t xml:space="preserve">heurgists believe that one must have a pure soul in order for the soul to be able to contact gods,</w:t>
      </w:r>
      <w:r w:rsidDel="00000000" w:rsidR="00000000" w:rsidRPr="00000000">
        <w:rPr>
          <w:rFonts w:ascii="Times New Roman" w:cs="Times New Roman" w:eastAsia="Times New Roman" w:hAnsi="Times New Roman"/>
          <w:i w:val="1"/>
          <w:color w:val="000000"/>
          <w:sz w:val="24"/>
          <w:szCs w:val="24"/>
          <w:rtl w:val="0"/>
        </w:rPr>
        <w:t xml:space="preserve"> da</w:t>
      </w:r>
      <w:r w:rsidDel="00000000" w:rsidR="00000000" w:rsidRPr="00000000">
        <w:rPr>
          <w:rFonts w:ascii="Times New Roman" w:cs="Times New Roman" w:eastAsia="Times New Roman" w:hAnsi="Times New Roman"/>
          <w:i w:val="1"/>
          <w:sz w:val="24"/>
          <w:szCs w:val="24"/>
          <w:rtl w:val="0"/>
        </w:rPr>
        <w:t xml:space="preserve">i</w:t>
      </w:r>
      <w:r w:rsidDel="00000000" w:rsidR="00000000" w:rsidRPr="00000000">
        <w:rPr>
          <w:rFonts w:ascii="Times New Roman" w:cs="Times New Roman" w:eastAsia="Times New Roman" w:hAnsi="Times New Roman"/>
          <w:i w:val="1"/>
          <w:color w:val="000000"/>
          <w:sz w:val="24"/>
          <w:szCs w:val="24"/>
          <w:rtl w:val="0"/>
        </w:rPr>
        <w:t xml:space="preserve">mon</w:t>
      </w:r>
      <w:r w:rsidDel="00000000" w:rsidR="00000000" w:rsidRPr="00000000">
        <w:rPr>
          <w:rFonts w:ascii="Times New Roman" w:cs="Times New Roman" w:eastAsia="Times New Roman" w:hAnsi="Times New Roman"/>
          <w:i w:val="1"/>
          <w:sz w:val="24"/>
          <w:szCs w:val="24"/>
          <w:rtl w:val="0"/>
        </w:rPr>
        <w:t xml:space="preserve">e</w:t>
      </w:r>
      <w:r w:rsidDel="00000000" w:rsidR="00000000" w:rsidRPr="00000000">
        <w:rPr>
          <w:rFonts w:ascii="Times New Roman" w:cs="Times New Roman" w:eastAsia="Times New Roman" w:hAnsi="Times New Roman"/>
          <w:i w:val="1"/>
          <w:color w:val="000000"/>
          <w:sz w:val="24"/>
          <w:szCs w:val="24"/>
          <w:rtl w:val="0"/>
        </w:rPr>
        <w:t xml:space="preserve">s</w:t>
      </w:r>
      <w:r w:rsidDel="00000000" w:rsidR="00000000" w:rsidRPr="00000000">
        <w:rPr>
          <w:rFonts w:ascii="Times New Roman" w:cs="Times New Roman" w:eastAsia="Times New Roman" w:hAnsi="Times New Roman"/>
          <w:color w:val="000000"/>
          <w:sz w:val="24"/>
          <w:szCs w:val="24"/>
          <w:rtl w:val="0"/>
        </w:rPr>
        <w:t xml:space="preserve"> and higher entities</w:t>
      </w:r>
      <w:r w:rsidDel="00000000" w:rsidR="00000000" w:rsidRPr="00000000">
        <w:rPr>
          <w:rFonts w:ascii="Times New Roman" w:cs="Times New Roman" w:eastAsia="Times New Roman" w:hAnsi="Times New Roman"/>
          <w:color w:val="000000"/>
          <w:sz w:val="24"/>
          <w:szCs w:val="24"/>
          <w:vertAlign w:val="superscript"/>
          <w:rtl w:val="0"/>
        </w:rPr>
        <w:t xml:space="preserve">.</w:t>
      </w:r>
      <w:r w:rsidDel="00000000" w:rsidR="00000000" w:rsidRPr="00000000">
        <w:rPr>
          <w:rFonts w:ascii="Times New Roman" w:cs="Times New Roman" w:eastAsia="Times New Roman" w:hAnsi="Times New Roman"/>
          <w:color w:val="000000"/>
          <w:sz w:val="24"/>
          <w:szCs w:val="24"/>
          <w:rtl w:val="0"/>
        </w:rPr>
        <w:t xml:space="preserve"> and they are more able to do this through human seclusion and loneliness and ritual where one can realise a hidden divinity and connect to a greater power. </w:t>
      </w:r>
      <w:r w:rsidDel="00000000" w:rsidR="00000000" w:rsidRPr="00000000">
        <w:rPr>
          <w:rFonts w:ascii="Times New Roman" w:cs="Times New Roman" w:eastAsia="Times New Roman" w:hAnsi="Times New Roman"/>
          <w:sz w:val="24"/>
          <w:szCs w:val="24"/>
          <w:rtl w:val="0"/>
        </w:rPr>
        <w:t xml:space="preserve">Iamblichus believes that the soul is at its purest form when performing from the unconscious mind rather than from physical acts and divination, therefore when one is asleep they are able to contact divine power easier as the physical body cannot distract them. </w:t>
      </w:r>
      <w:r w:rsidDel="00000000" w:rsidR="00000000" w:rsidRPr="00000000">
        <w:rPr>
          <w:rFonts w:ascii="Times New Roman" w:cs="Times New Roman" w:eastAsia="Times New Roman" w:hAnsi="Times New Roman"/>
          <w:sz w:val="24"/>
          <w:szCs w:val="24"/>
          <w:vertAlign w:val="superscript"/>
        </w:rPr>
        <w:footnoteReference w:customMarkFollows="0" w:id="85"/>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Human behaviour, conditioning and reason is not the pathway to </w:t>
      </w:r>
      <w:r w:rsidDel="00000000" w:rsidR="00000000" w:rsidRPr="00000000">
        <w:rPr>
          <w:rFonts w:ascii="Times New Roman" w:cs="Times New Roman" w:eastAsia="Times New Roman" w:hAnsi="Times New Roman"/>
          <w:sz w:val="24"/>
          <w:szCs w:val="24"/>
          <w:rtl w:val="0"/>
        </w:rPr>
        <w:t xml:space="preserve">enlightenment, it is</w:t>
      </w:r>
      <w:r w:rsidDel="00000000" w:rsidR="00000000" w:rsidRPr="00000000">
        <w:rPr>
          <w:rFonts w:ascii="Times New Roman" w:cs="Times New Roman" w:eastAsia="Times New Roman" w:hAnsi="Times New Roman"/>
          <w:color w:val="000000"/>
          <w:sz w:val="24"/>
          <w:szCs w:val="24"/>
          <w:rtl w:val="0"/>
        </w:rPr>
        <w:t xml:space="preserve"> through ritual and </w:t>
      </w:r>
      <w:r w:rsidDel="00000000" w:rsidR="00000000" w:rsidRPr="00000000">
        <w:rPr>
          <w:rFonts w:ascii="Times New Roman" w:cs="Times New Roman" w:eastAsia="Times New Roman" w:hAnsi="Times New Roman"/>
          <w:sz w:val="24"/>
          <w:szCs w:val="24"/>
          <w:rtl w:val="0"/>
        </w:rPr>
        <w:t xml:space="preserve">practises</w:t>
      </w:r>
      <w:r w:rsidDel="00000000" w:rsidR="00000000" w:rsidRPr="00000000">
        <w:rPr>
          <w:rFonts w:ascii="Times New Roman" w:cs="Times New Roman" w:eastAsia="Times New Roman" w:hAnsi="Times New Roman"/>
          <w:color w:val="000000"/>
          <w:sz w:val="24"/>
          <w:szCs w:val="24"/>
          <w:rtl w:val="0"/>
        </w:rPr>
        <w:t xml:space="preserve"> that one can truly find salvation.</w:t>
      </w:r>
      <w:r w:rsidDel="00000000" w:rsidR="00000000" w:rsidRPr="00000000">
        <w:rPr>
          <w:rFonts w:ascii="Times New Roman" w:cs="Times New Roman" w:eastAsia="Times New Roman" w:hAnsi="Times New Roman"/>
          <w:color w:val="000000"/>
          <w:sz w:val="24"/>
          <w:szCs w:val="24"/>
          <w:vertAlign w:val="superscript"/>
        </w:rPr>
        <w:footnoteReference w:customMarkFollows="0" w:id="86"/>
      </w:r>
      <w:r w:rsidDel="00000000" w:rsidR="00000000" w:rsidRPr="00000000">
        <w:rPr>
          <w:rtl w:val="0"/>
        </w:rPr>
      </w:r>
    </w:p>
    <w:p w:rsidR="00000000" w:rsidDel="00000000" w:rsidP="00000000" w:rsidRDefault="00000000" w:rsidRPr="00000000" w14:paraId="000000B9">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A">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Theurgy would not </w:t>
      </w:r>
      <w:r w:rsidDel="00000000" w:rsidR="00000000" w:rsidRPr="00000000">
        <w:rPr>
          <w:rFonts w:ascii="Times New Roman" w:cs="Times New Roman" w:eastAsia="Times New Roman" w:hAnsi="Times New Roman"/>
          <w:sz w:val="24"/>
          <w:szCs w:val="24"/>
          <w:rtl w:val="0"/>
        </w:rPr>
        <w:t xml:space="preserve">exist</w:t>
      </w:r>
      <w:r w:rsidDel="00000000" w:rsidR="00000000" w:rsidRPr="00000000">
        <w:rPr>
          <w:rFonts w:ascii="Times New Roman" w:cs="Times New Roman" w:eastAsia="Times New Roman" w:hAnsi="Times New Roman"/>
          <w:color w:val="000000"/>
          <w:sz w:val="24"/>
          <w:szCs w:val="24"/>
          <w:rtl w:val="0"/>
        </w:rPr>
        <w:t xml:space="preserve"> without the use of divination</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f</w:t>
      </w:r>
      <w:r w:rsidDel="00000000" w:rsidR="00000000" w:rsidRPr="00000000">
        <w:rPr>
          <w:rFonts w:ascii="Times New Roman" w:cs="Times New Roman" w:eastAsia="Times New Roman" w:hAnsi="Times New Roman"/>
          <w:color w:val="000000"/>
          <w:sz w:val="24"/>
          <w:szCs w:val="24"/>
          <w:rtl w:val="0"/>
        </w:rPr>
        <w:t xml:space="preserve">rom oracles or omens to </w:t>
      </w:r>
      <w:r w:rsidDel="00000000" w:rsidR="00000000" w:rsidRPr="00000000">
        <w:rPr>
          <w:rFonts w:ascii="Times New Roman" w:cs="Times New Roman" w:eastAsia="Times New Roman" w:hAnsi="Times New Roman"/>
          <w:sz w:val="24"/>
          <w:szCs w:val="24"/>
          <w:rtl w:val="0"/>
        </w:rPr>
        <w:t xml:space="preserve">enlightenment</w:t>
      </w:r>
      <w:r w:rsidDel="00000000" w:rsidR="00000000" w:rsidRPr="00000000">
        <w:rPr>
          <w:rFonts w:ascii="Times New Roman" w:cs="Times New Roman" w:eastAsia="Times New Roman" w:hAnsi="Times New Roman"/>
          <w:color w:val="000000"/>
          <w:sz w:val="24"/>
          <w:szCs w:val="24"/>
          <w:rtl w:val="0"/>
        </w:rPr>
        <w:t xml:space="preserve"> </w:t>
      </w:r>
      <w:r w:rsidDel="00000000" w:rsidR="00000000" w:rsidRPr="00000000">
        <w:rPr>
          <w:rFonts w:ascii="Times New Roman" w:cs="Times New Roman" w:eastAsia="Times New Roman" w:hAnsi="Times New Roman"/>
          <w:sz w:val="24"/>
          <w:szCs w:val="24"/>
          <w:rtl w:val="0"/>
        </w:rPr>
        <w:t xml:space="preserve">via prophetic </w:t>
      </w:r>
      <w:r w:rsidDel="00000000" w:rsidR="00000000" w:rsidRPr="00000000">
        <w:rPr>
          <w:rFonts w:ascii="Times New Roman" w:cs="Times New Roman" w:eastAsia="Times New Roman" w:hAnsi="Times New Roman"/>
          <w:color w:val="000000"/>
          <w:sz w:val="24"/>
          <w:szCs w:val="24"/>
          <w:rtl w:val="0"/>
        </w:rPr>
        <w:t xml:space="preserve">dreams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this belief system stems primarily from being able to contact the dead or Gods of higher power through use of divinatory methods. </w:t>
      </w:r>
      <w:r w:rsidDel="00000000" w:rsidR="00000000" w:rsidRPr="00000000">
        <w:rPr>
          <w:rFonts w:ascii="Times New Roman" w:cs="Times New Roman" w:eastAsia="Times New Roman" w:hAnsi="Times New Roman"/>
          <w:sz w:val="24"/>
          <w:szCs w:val="24"/>
          <w:rtl w:val="0"/>
        </w:rPr>
        <w:t xml:space="preserve">Humans</w:t>
      </w:r>
      <w:r w:rsidDel="00000000" w:rsidR="00000000" w:rsidRPr="00000000">
        <w:rPr>
          <w:rFonts w:ascii="Times New Roman" w:cs="Times New Roman" w:eastAsia="Times New Roman" w:hAnsi="Times New Roman"/>
          <w:color w:val="000000"/>
          <w:sz w:val="24"/>
          <w:szCs w:val="24"/>
          <w:rtl w:val="0"/>
        </w:rPr>
        <w:t xml:space="preserve"> seem to find peace in believing in a higher power with many claiming miracles to have happened through using divination and theurgic ritual. Divination is a tool that has held a powerful role in theurgy, enabling theurgists to contact the Gods for wisdom and guidance of past, present and future events. Inspired divination appears to be the preferred method for theurgists, especially through invoking divine forces in the form of possession; with theurgists using both prophets and statues in order to be taken over by higher gods and </w:t>
      </w:r>
      <w:r w:rsidDel="00000000" w:rsidR="00000000" w:rsidRPr="00000000">
        <w:rPr>
          <w:rFonts w:ascii="Times New Roman" w:cs="Times New Roman" w:eastAsia="Times New Roman" w:hAnsi="Times New Roman"/>
          <w:i w:val="1"/>
          <w:color w:val="000000"/>
          <w:sz w:val="24"/>
          <w:szCs w:val="24"/>
          <w:rtl w:val="0"/>
        </w:rPr>
        <w:t xml:space="preserve">daimons</w:t>
      </w:r>
      <w:r w:rsidDel="00000000" w:rsidR="00000000" w:rsidRPr="00000000">
        <w:rPr>
          <w:rFonts w:ascii="Times New Roman" w:cs="Times New Roman" w:eastAsia="Times New Roman" w:hAnsi="Times New Roman"/>
          <w:color w:val="000000"/>
          <w:sz w:val="24"/>
          <w:szCs w:val="24"/>
          <w:rtl w:val="0"/>
        </w:rPr>
        <w:t xml:space="preserve">. Inductive forms of divination appear to not</w:t>
      </w:r>
      <w:r w:rsidDel="00000000" w:rsidR="00000000" w:rsidRPr="00000000">
        <w:rPr>
          <w:rFonts w:ascii="Times New Roman" w:cs="Times New Roman" w:eastAsia="Times New Roman" w:hAnsi="Times New Roman"/>
          <w:sz w:val="24"/>
          <w:szCs w:val="24"/>
          <w:rtl w:val="0"/>
        </w:rPr>
        <w:t xml:space="preserve"> be as effective as the physical body may be able to interfere with the pure higher soul.  </w:t>
      </w:r>
      <w:r w:rsidDel="00000000" w:rsidR="00000000" w:rsidRPr="00000000">
        <w:rPr>
          <w:rFonts w:ascii="Times New Roman" w:cs="Times New Roman" w:eastAsia="Times New Roman" w:hAnsi="Times New Roman"/>
          <w:color w:val="000000"/>
          <w:sz w:val="24"/>
          <w:szCs w:val="24"/>
          <w:rtl w:val="0"/>
        </w:rPr>
        <w:t xml:space="preserve">Iamblichus describes theurgy as Gods work, theurgy in essence requires the participation of the Gods</w:t>
      </w:r>
      <w:r w:rsidDel="00000000" w:rsidR="00000000" w:rsidRPr="00000000">
        <w:rPr>
          <w:rFonts w:ascii="Times New Roman" w:cs="Times New Roman" w:eastAsia="Times New Roman" w:hAnsi="Times New Roman"/>
          <w:i w:val="1"/>
          <w:color w:val="000000"/>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and while he argues strongly in that the soul is divided into two, it is clear that other theurgists such as Porphryr</w:t>
      </w:r>
      <w:r w:rsidDel="00000000" w:rsidR="00000000" w:rsidRPr="00000000">
        <w:rPr>
          <w:rFonts w:ascii="Times New Roman" w:cs="Times New Roman" w:eastAsia="Times New Roman" w:hAnsi="Times New Roman"/>
          <w:color w:val="000000"/>
          <w:sz w:val="24"/>
          <w:szCs w:val="24"/>
          <w:vertAlign w:val="superscript"/>
        </w:rPr>
        <w:footnoteReference w:customMarkFollows="0" w:id="87"/>
      </w:r>
      <w:r w:rsidDel="00000000" w:rsidR="00000000" w:rsidRPr="00000000">
        <w:rPr>
          <w:rFonts w:ascii="Times New Roman" w:cs="Times New Roman" w:eastAsia="Times New Roman" w:hAnsi="Times New Roman"/>
          <w:color w:val="000000"/>
          <w:sz w:val="24"/>
          <w:szCs w:val="24"/>
          <w:rtl w:val="0"/>
        </w:rPr>
        <w:t xml:space="preserve"> have similar beliefs even if slightly different, with him believing in the lower soul needing theurgic rituals more so than the higher. Opposing Porphyryr’s emphasis on the importance of lifting up the lower soul, Iamblichus appears to believe that the lower soul is not as an important part of theurgy as it is imperfect, less divine and therefore does not help the connection between the prophets and the gods</w:t>
      </w:r>
      <w:r w:rsidDel="00000000" w:rsidR="00000000" w:rsidRPr="00000000">
        <w:rPr>
          <w:rFonts w:ascii="Times New Roman" w:cs="Times New Roman" w:eastAsia="Times New Roman" w:hAnsi="Times New Roman"/>
          <w:color w:val="000000"/>
          <w:sz w:val="24"/>
          <w:szCs w:val="24"/>
          <w:vertAlign w:val="superscript"/>
        </w:rPr>
        <w:footnoteReference w:customMarkFollows="0" w:id="88"/>
      </w:r>
      <w:r w:rsidDel="00000000" w:rsidR="00000000" w:rsidRPr="00000000">
        <w:rPr>
          <w:rFonts w:ascii="Times New Roman" w:cs="Times New Roman" w:eastAsia="Times New Roman" w:hAnsi="Times New Roman"/>
          <w:color w:val="000000"/>
          <w:sz w:val="24"/>
          <w:szCs w:val="24"/>
          <w:rtl w:val="0"/>
        </w:rPr>
        <w:t xml:space="preserve">. </w:t>
      </w:r>
    </w:p>
    <w:p w:rsidR="00000000" w:rsidDel="00000000" w:rsidP="00000000" w:rsidRDefault="00000000" w:rsidRPr="00000000" w14:paraId="000000BB">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Iamblichus, Porphyry and Plotinus all share a similar belief that natural inspired divination is a better way to connect with the Gods than inductive, as they believe the inductive method to connect to the physical human form therefore it could be argued that this would make it part of the lower soul. </w:t>
      </w:r>
      <w:r w:rsidDel="00000000" w:rsidR="00000000" w:rsidRPr="00000000">
        <w:rPr>
          <w:rFonts w:ascii="Times New Roman" w:cs="Times New Roman" w:eastAsia="Times New Roman" w:hAnsi="Times New Roman"/>
          <w:sz w:val="24"/>
          <w:szCs w:val="24"/>
          <w:rtl w:val="0"/>
        </w:rPr>
        <w:t xml:space="preserve">Theurgists are keen on using prophetic dreams as a means to connect to the divine as the physical body is unable to disturb and interfere, Porphyry however was said to have called the connection and accuracy as being a coincidence.</w:t>
      </w:r>
      <w:r w:rsidDel="00000000" w:rsidR="00000000" w:rsidRPr="00000000">
        <w:rPr>
          <w:rFonts w:ascii="Times New Roman" w:cs="Times New Roman" w:eastAsia="Times New Roman" w:hAnsi="Times New Roman"/>
          <w:sz w:val="24"/>
          <w:szCs w:val="24"/>
          <w:vertAlign w:val="superscript"/>
        </w:rPr>
        <w:footnoteReference w:customMarkFollows="0" w:id="89"/>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BC">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Iamblichus appears to believe that anything physical is not pure and sacred, therefore less likely to connect to the gods, as he shows with his argument against Porphryr about the use of statues in divination. Porphryr is able to connect the physical world to the divine, agreeing with the ancient Egyptian belief that so long as a certain craftsman has built the statues, only then will the statute be able to contain the sacred evocation of any gods or </w:t>
      </w:r>
      <w:r w:rsidDel="00000000" w:rsidR="00000000" w:rsidRPr="00000000">
        <w:rPr>
          <w:rFonts w:ascii="Times New Roman" w:cs="Times New Roman" w:eastAsia="Times New Roman" w:hAnsi="Times New Roman"/>
          <w:i w:val="1"/>
          <w:sz w:val="24"/>
          <w:szCs w:val="24"/>
          <w:rtl w:val="0"/>
        </w:rPr>
        <w:t xml:space="preserve">daimones</w:t>
      </w:r>
      <w:r w:rsidDel="00000000" w:rsidR="00000000" w:rsidRPr="00000000">
        <w:rPr>
          <w:rFonts w:ascii="Times New Roman" w:cs="Times New Roman" w:eastAsia="Times New Roman" w:hAnsi="Times New Roman"/>
          <w:sz w:val="24"/>
          <w:szCs w:val="24"/>
          <w:rtl w:val="0"/>
        </w:rPr>
        <w:t xml:space="preserve">.  The less favourable means of divination appear to be the physical, inductive forms such as Augury. And while Astrology is an important element and tool used for guiding rituals and deciding on appropriate timing, it does rank lower than other forms of astrological tools.</w:t>
      </w:r>
    </w:p>
    <w:p w:rsidR="00000000" w:rsidDel="00000000" w:rsidP="00000000" w:rsidRDefault="00000000" w:rsidRPr="00000000" w14:paraId="000000BD">
      <w:pP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sz w:val="24"/>
          <w:szCs w:val="24"/>
          <w:rtl w:val="0"/>
        </w:rPr>
        <w:t xml:space="preserve">   The goals of Theurgy is for the human soul to conjoin with the gods, through means of possession, participation, communion and union. </w:t>
      </w:r>
      <w:r w:rsidDel="00000000" w:rsidR="00000000" w:rsidRPr="00000000">
        <w:rPr>
          <w:rFonts w:ascii="Times New Roman" w:cs="Times New Roman" w:eastAsia="Times New Roman" w:hAnsi="Times New Roman"/>
          <w:sz w:val="24"/>
          <w:szCs w:val="24"/>
          <w:vertAlign w:val="superscript"/>
        </w:rPr>
        <w:footnoteReference w:customMarkFollows="0" w:id="90"/>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Divination is a key element in theurgy as it allows theurgists to separate their souls from their physical body in order to connect to the divine for wisdom, guidance and knowledge. As previously discussed it has been argued that </w:t>
      </w:r>
      <w:r w:rsidDel="00000000" w:rsidR="00000000" w:rsidRPr="00000000">
        <w:rPr>
          <w:rFonts w:ascii="Times New Roman" w:cs="Times New Roman" w:eastAsia="Times New Roman" w:hAnsi="Times New Roman"/>
          <w:sz w:val="24"/>
          <w:szCs w:val="24"/>
          <w:rtl w:val="0"/>
        </w:rPr>
        <w:t xml:space="preserve">T</w:t>
      </w:r>
      <w:r w:rsidDel="00000000" w:rsidR="00000000" w:rsidRPr="00000000">
        <w:rPr>
          <w:rFonts w:ascii="Times New Roman" w:cs="Times New Roman" w:eastAsia="Times New Roman" w:hAnsi="Times New Roman"/>
          <w:color w:val="000000"/>
          <w:sz w:val="24"/>
          <w:szCs w:val="24"/>
          <w:rtl w:val="0"/>
        </w:rPr>
        <w:t xml:space="preserve">heurgy </w:t>
      </w:r>
      <w:r w:rsidDel="00000000" w:rsidR="00000000" w:rsidRPr="00000000">
        <w:rPr>
          <w:rFonts w:ascii="Times New Roman" w:cs="Times New Roman" w:eastAsia="Times New Roman" w:hAnsi="Times New Roman"/>
          <w:sz w:val="24"/>
          <w:szCs w:val="24"/>
          <w:rtl w:val="0"/>
        </w:rPr>
        <w:t xml:space="preserve">may be a</w:t>
      </w:r>
      <w:r w:rsidDel="00000000" w:rsidR="00000000" w:rsidRPr="00000000">
        <w:rPr>
          <w:rFonts w:ascii="Times New Roman" w:cs="Times New Roman" w:eastAsia="Times New Roman" w:hAnsi="Times New Roman"/>
          <w:color w:val="000000"/>
          <w:sz w:val="24"/>
          <w:szCs w:val="24"/>
          <w:rtl w:val="0"/>
        </w:rPr>
        <w:t xml:space="preserve"> way of manipulating the gods via </w:t>
      </w:r>
      <w:r w:rsidDel="00000000" w:rsidR="00000000" w:rsidRPr="00000000">
        <w:rPr>
          <w:rFonts w:ascii="Times New Roman" w:cs="Times New Roman" w:eastAsia="Times New Roman" w:hAnsi="Times New Roman"/>
          <w:sz w:val="24"/>
          <w:szCs w:val="24"/>
          <w:rtl w:val="0"/>
        </w:rPr>
        <w:t xml:space="preserve">means of force using divination. Many Platonists, Christians and those of Late Antiquity all were said to have spoken about Theurgy in extremes describing it as manipulative, or even the work of Satan.</w:t>
      </w:r>
      <w:r w:rsidDel="00000000" w:rsidR="00000000" w:rsidRPr="00000000">
        <w:rPr>
          <w:rFonts w:ascii="Times New Roman" w:cs="Times New Roman" w:eastAsia="Times New Roman" w:hAnsi="Times New Roman"/>
          <w:sz w:val="24"/>
          <w:szCs w:val="24"/>
          <w:vertAlign w:val="superscript"/>
        </w:rPr>
        <w:footnoteReference w:customMarkFollows="0" w:id="91"/>
      </w:r>
      <w:r w:rsidDel="00000000" w:rsidR="00000000" w:rsidRPr="00000000">
        <w:rPr>
          <w:rFonts w:ascii="Times New Roman" w:cs="Times New Roman" w:eastAsia="Times New Roman" w:hAnsi="Times New Roman"/>
          <w:sz w:val="24"/>
          <w:szCs w:val="24"/>
          <w:rtl w:val="0"/>
        </w:rPr>
        <w:t xml:space="preserve"> I</w:t>
      </w:r>
      <w:r w:rsidDel="00000000" w:rsidR="00000000" w:rsidRPr="00000000">
        <w:rPr>
          <w:rFonts w:ascii="Times New Roman" w:cs="Times New Roman" w:eastAsia="Times New Roman" w:hAnsi="Times New Roman"/>
          <w:color w:val="000000"/>
          <w:sz w:val="24"/>
          <w:szCs w:val="24"/>
          <w:rtl w:val="0"/>
        </w:rPr>
        <w:t xml:space="preserve">n defence of divination and </w:t>
      </w:r>
      <w:r w:rsidDel="00000000" w:rsidR="00000000" w:rsidRPr="00000000">
        <w:rPr>
          <w:rFonts w:ascii="Times New Roman" w:cs="Times New Roman" w:eastAsia="Times New Roman" w:hAnsi="Times New Roman"/>
          <w:sz w:val="24"/>
          <w:szCs w:val="24"/>
          <w:rtl w:val="0"/>
        </w:rPr>
        <w:t xml:space="preserve">T</w:t>
      </w:r>
      <w:r w:rsidDel="00000000" w:rsidR="00000000" w:rsidRPr="00000000">
        <w:rPr>
          <w:rFonts w:ascii="Times New Roman" w:cs="Times New Roman" w:eastAsia="Times New Roman" w:hAnsi="Times New Roman"/>
          <w:color w:val="000000"/>
          <w:sz w:val="24"/>
          <w:szCs w:val="24"/>
          <w:rtl w:val="0"/>
        </w:rPr>
        <w:t xml:space="preserve">heurgy, it could be </w:t>
      </w:r>
      <w:r w:rsidDel="00000000" w:rsidR="00000000" w:rsidRPr="00000000">
        <w:rPr>
          <w:rFonts w:ascii="Times New Roman" w:cs="Times New Roman" w:eastAsia="Times New Roman" w:hAnsi="Times New Roman"/>
          <w:sz w:val="24"/>
          <w:szCs w:val="24"/>
          <w:rtl w:val="0"/>
        </w:rPr>
        <w:t xml:space="preserve">argued that since</w:t>
      </w:r>
      <w:r w:rsidDel="00000000" w:rsidR="00000000" w:rsidRPr="00000000">
        <w:rPr>
          <w:rFonts w:ascii="Times New Roman" w:cs="Times New Roman" w:eastAsia="Times New Roman" w:hAnsi="Times New Roman"/>
          <w:color w:val="000000"/>
          <w:sz w:val="24"/>
          <w:szCs w:val="24"/>
          <w:rtl w:val="0"/>
        </w:rPr>
        <w:t xml:space="preserve"> humans in their physical body have a </w:t>
      </w:r>
      <w:r w:rsidDel="00000000" w:rsidR="00000000" w:rsidRPr="00000000">
        <w:rPr>
          <w:rFonts w:ascii="Times New Roman" w:cs="Times New Roman" w:eastAsia="Times New Roman" w:hAnsi="Times New Roman"/>
          <w:i w:val="1"/>
          <w:color w:val="000000"/>
          <w:sz w:val="24"/>
          <w:szCs w:val="24"/>
          <w:rtl w:val="0"/>
        </w:rPr>
        <w:t xml:space="preserve">lower</w:t>
      </w:r>
      <w:r w:rsidDel="00000000" w:rsidR="00000000" w:rsidRPr="00000000">
        <w:rPr>
          <w:rFonts w:ascii="Times New Roman" w:cs="Times New Roman" w:eastAsia="Times New Roman" w:hAnsi="Times New Roman"/>
          <w:color w:val="000000"/>
          <w:sz w:val="24"/>
          <w:szCs w:val="24"/>
          <w:rtl w:val="0"/>
        </w:rPr>
        <w:t xml:space="preserve"> power, they do not have the power to control the gods and instead are contacting the gods for consent or insight; that will only come through with consent from the higher power.</w:t>
      </w:r>
      <w:r w:rsidDel="00000000" w:rsidR="00000000" w:rsidRPr="00000000">
        <w:rPr>
          <w:rFonts w:ascii="Times New Roman" w:cs="Times New Roman" w:eastAsia="Times New Roman" w:hAnsi="Times New Roman"/>
          <w:sz w:val="24"/>
          <w:szCs w:val="24"/>
          <w:rtl w:val="0"/>
        </w:rPr>
        <w:t xml:space="preserve"> Theurgy therefore helps to disconnect the physical body from the mind and soul, allowing the soul to transcend connecting to divine spirit, Gods, and nature for greater power, knowledge and wisdom</w:t>
      </w:r>
      <w:r w:rsidDel="00000000" w:rsidR="00000000" w:rsidRPr="00000000">
        <w:rPr>
          <w:rFonts w:ascii="Times New Roman" w:cs="Times New Roman" w:eastAsia="Times New Roman" w:hAnsi="Times New Roman"/>
          <w:sz w:val="24"/>
          <w:szCs w:val="24"/>
          <w:vertAlign w:val="superscript"/>
        </w:rPr>
        <w:footnoteReference w:customMarkFollows="0" w:id="92"/>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p w:rsidR="00000000" w:rsidDel="00000000" w:rsidP="00000000" w:rsidRDefault="00000000" w:rsidRPr="00000000" w14:paraId="000000BE">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BF">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C0">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C1">
      <w:pPr>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C2">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3">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5">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6">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7">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C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imes New Roman" w:cs="Times New Roman" w:eastAsia="Times New Roman" w:hAnsi="Times New Roman"/>
          <w:b w:val="0"/>
          <w:i w:val="0"/>
          <w:smallCaps w:val="0"/>
          <w:strike w:val="0"/>
          <w:color w:val="000000"/>
          <w:sz w:val="24"/>
          <w:szCs w:val="24"/>
          <w:highlight w:val="white"/>
          <w:u w:val="none"/>
          <w:vertAlign w:val="baseline"/>
        </w:rPr>
      </w:pP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Bibliography -  </w:t>
      </w:r>
      <w:r w:rsidDel="00000000" w:rsidR="00000000" w:rsidRPr="00000000">
        <w:rPr>
          <w:rtl w:val="0"/>
        </w:rPr>
      </w:r>
    </w:p>
    <w:p w:rsidR="00000000" w:rsidDel="00000000" w:rsidP="00000000" w:rsidRDefault="00000000" w:rsidRPr="00000000" w14:paraId="000000C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59"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  </w:t>
      </w:r>
      <w:r w:rsidDel="00000000" w:rsidR="00000000" w:rsidRPr="00000000">
        <w:rPr>
          <w:rtl w:val="0"/>
        </w:rPr>
      </w:r>
    </w:p>
    <w:p w:rsidR="00000000" w:rsidDel="00000000" w:rsidP="00000000" w:rsidRDefault="00000000" w:rsidRPr="00000000" w14:paraId="000000CC">
      <w:pPr>
        <w:numPr>
          <w:ilvl w:val="0"/>
          <w:numId w:val="1"/>
        </w:numPr>
        <w:ind w:left="72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Addey, Crystal. </w:t>
      </w:r>
      <w:r w:rsidDel="00000000" w:rsidR="00000000" w:rsidRPr="00000000">
        <w:rPr>
          <w:rFonts w:ascii="Times New Roman" w:cs="Times New Roman" w:eastAsia="Times New Roman" w:hAnsi="Times New Roman"/>
          <w:i w:val="1"/>
          <w:sz w:val="24"/>
          <w:szCs w:val="24"/>
          <w:highlight w:val="white"/>
          <w:rtl w:val="0"/>
        </w:rPr>
        <w:t xml:space="preserve">Divination and Theurgy in Neoplatonism</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Oracles of the gods</w:t>
      </w:r>
      <w:r w:rsidDel="00000000" w:rsidR="00000000" w:rsidRPr="00000000">
        <w:rPr>
          <w:rFonts w:ascii="Times New Roman" w:cs="Times New Roman" w:eastAsia="Times New Roman" w:hAnsi="Times New Roman"/>
          <w:sz w:val="24"/>
          <w:szCs w:val="24"/>
          <w:highlight w:val="white"/>
          <w:rtl w:val="0"/>
        </w:rPr>
        <w:t xml:space="preserve">, (Farnham: Ashgate, 2014)</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CD">
      <w:pPr>
        <w:numPr>
          <w:ilvl w:val="0"/>
          <w:numId w:val="1"/>
        </w:numPr>
        <w:shd w:fill="ffffff" w:val="clear"/>
        <w:ind w:left="72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Armstrong, A. Hilary. ‘Iamblichus and Egypt’  </w:t>
      </w:r>
      <w:r w:rsidDel="00000000" w:rsidR="00000000" w:rsidRPr="00000000">
        <w:rPr>
          <w:rFonts w:ascii="Times New Roman" w:cs="Times New Roman" w:eastAsia="Times New Roman" w:hAnsi="Times New Roman"/>
          <w:i w:val="1"/>
          <w:sz w:val="24"/>
          <w:szCs w:val="24"/>
          <w:rtl w:val="0"/>
        </w:rPr>
        <w:t xml:space="preserve">Les Études Philosophiques</w:t>
      </w:r>
      <w:r w:rsidDel="00000000" w:rsidR="00000000" w:rsidRPr="00000000">
        <w:rPr>
          <w:rFonts w:ascii="Times New Roman" w:cs="Times New Roman" w:eastAsia="Times New Roman" w:hAnsi="Times New Roman"/>
          <w:sz w:val="24"/>
          <w:szCs w:val="24"/>
          <w:rtl w:val="0"/>
        </w:rPr>
        <w:t xml:space="preserve">, 2/3, 179-88 (1987) </w:t>
      </w:r>
      <w:hyperlink r:id="rId8">
        <w:r w:rsidDel="00000000" w:rsidR="00000000" w:rsidRPr="00000000">
          <w:rPr>
            <w:rFonts w:ascii="Times New Roman" w:cs="Times New Roman" w:eastAsia="Times New Roman" w:hAnsi="Times New Roman"/>
            <w:sz w:val="24"/>
            <w:szCs w:val="24"/>
            <w:rtl w:val="0"/>
          </w:rPr>
          <w:t xml:space="preserve">http://www.jstor.org/stable/20848293</w:t>
        </w:r>
      </w:hyperlink>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CE">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Athanassiadi, Polymnia. ‘Dreams, Theurgy and Freelance divination’. </w:t>
      </w:r>
      <w:r w:rsidDel="00000000" w:rsidR="00000000" w:rsidRPr="00000000">
        <w:rPr>
          <w:rFonts w:ascii="Times New Roman" w:cs="Times New Roman" w:eastAsia="Times New Roman" w:hAnsi="Times New Roman"/>
          <w:i w:val="1"/>
          <w:sz w:val="24"/>
          <w:szCs w:val="24"/>
          <w:rtl w:val="0"/>
        </w:rPr>
        <w:t xml:space="preserve">The Journal of Roman Studies. </w:t>
      </w:r>
      <w:r w:rsidDel="00000000" w:rsidR="00000000" w:rsidRPr="00000000">
        <w:rPr>
          <w:rFonts w:ascii="Times New Roman" w:cs="Times New Roman" w:eastAsia="Times New Roman" w:hAnsi="Times New Roman"/>
          <w:sz w:val="24"/>
          <w:szCs w:val="24"/>
          <w:rtl w:val="0"/>
        </w:rPr>
        <w:t xml:space="preserve">83. 115-130. (1993) </w:t>
      </w:r>
    </w:p>
    <w:p w:rsidR="00000000" w:rsidDel="00000000" w:rsidP="00000000" w:rsidRDefault="00000000" w:rsidRPr="00000000" w14:paraId="000000CF">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 Clarke, C.Emma. John M. Dillon and J.P. Hershbell (eds.),</w:t>
      </w:r>
      <w:r w:rsidDel="00000000" w:rsidR="00000000" w:rsidRPr="00000000">
        <w:rPr>
          <w:rFonts w:ascii="Times New Roman" w:cs="Times New Roman" w:eastAsia="Times New Roman" w:hAnsi="Times New Roman"/>
          <w:i w:val="1"/>
          <w:sz w:val="24"/>
          <w:szCs w:val="24"/>
          <w:rtl w:val="0"/>
        </w:rPr>
        <w:t xml:space="preserve"> Iamblichus: On the Mysteries</w:t>
      </w:r>
      <w:r w:rsidDel="00000000" w:rsidR="00000000" w:rsidRPr="00000000">
        <w:rPr>
          <w:rFonts w:ascii="Times New Roman" w:cs="Times New Roman" w:eastAsia="Times New Roman" w:hAnsi="Times New Roman"/>
          <w:sz w:val="24"/>
          <w:szCs w:val="24"/>
          <w:rtl w:val="0"/>
        </w:rPr>
        <w:t xml:space="preserve"> (Atlanta: Society of Biblical Literature 2003).</w:t>
      </w:r>
    </w:p>
    <w:p w:rsidR="00000000" w:rsidDel="00000000" w:rsidP="00000000" w:rsidRDefault="00000000" w:rsidRPr="00000000" w14:paraId="000000D0">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Curry. P; Voss. A. </w:t>
      </w:r>
      <w:r w:rsidDel="00000000" w:rsidR="00000000" w:rsidRPr="00000000">
        <w:rPr>
          <w:rFonts w:ascii="Times New Roman" w:cs="Times New Roman" w:eastAsia="Times New Roman" w:hAnsi="Times New Roman"/>
          <w:i w:val="1"/>
          <w:sz w:val="24"/>
          <w:szCs w:val="24"/>
          <w:rtl w:val="0"/>
        </w:rPr>
        <w:t xml:space="preserve">Seeing with Different Eyes: Essays in Astrology and Divination</w:t>
      </w:r>
      <w:r w:rsidDel="00000000" w:rsidR="00000000" w:rsidRPr="00000000">
        <w:rPr>
          <w:rFonts w:ascii="Times New Roman" w:cs="Times New Roman" w:eastAsia="Times New Roman" w:hAnsi="Times New Roman"/>
          <w:sz w:val="24"/>
          <w:szCs w:val="24"/>
          <w:rtl w:val="0"/>
        </w:rPr>
        <w:t xml:space="preserve"> (Cambridge, Cambridge Scholars Pub., 2007). </w:t>
      </w:r>
    </w:p>
    <w:p w:rsidR="00000000" w:rsidDel="00000000" w:rsidP="00000000" w:rsidRDefault="00000000" w:rsidRPr="00000000" w14:paraId="000000D1">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De Boussac, Plato Proclus. Helena Petrovna Blavatsky Joseph-Louis. </w:t>
      </w:r>
      <w:r w:rsidDel="00000000" w:rsidR="00000000" w:rsidRPr="00000000">
        <w:rPr>
          <w:rFonts w:ascii="Times New Roman" w:cs="Times New Roman" w:eastAsia="Times New Roman" w:hAnsi="Times New Roman"/>
          <w:i w:val="1"/>
          <w:sz w:val="24"/>
          <w:szCs w:val="24"/>
          <w:highlight w:val="white"/>
          <w:rtl w:val="0"/>
        </w:rPr>
        <w:t xml:space="preserve">Magic or Theurgy</w:t>
      </w:r>
      <w:r w:rsidDel="00000000" w:rsidR="00000000" w:rsidRPr="00000000">
        <w:rPr>
          <w:rFonts w:ascii="Times New Roman" w:cs="Times New Roman" w:eastAsia="Times New Roman" w:hAnsi="Times New Roman"/>
          <w:sz w:val="24"/>
          <w:szCs w:val="24"/>
          <w:rtl w:val="0"/>
        </w:rPr>
        <w:t xml:space="preserve">. (2018)</w:t>
      </w:r>
    </w:p>
    <w:p w:rsidR="00000000" w:rsidDel="00000000" w:rsidP="00000000" w:rsidRDefault="00000000" w:rsidRPr="00000000" w14:paraId="000000D2">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Dillon. John. “Iamblichus on the Mysteries.” </w:t>
      </w:r>
      <w:r w:rsidDel="00000000" w:rsidR="00000000" w:rsidRPr="00000000">
        <w:rPr>
          <w:rFonts w:ascii="Times New Roman" w:cs="Times New Roman" w:eastAsia="Times New Roman" w:hAnsi="Times New Roman"/>
          <w:i w:val="1"/>
          <w:sz w:val="24"/>
          <w:szCs w:val="24"/>
          <w:rtl w:val="0"/>
        </w:rPr>
        <w:t xml:space="preserve">The Classical Review</w:t>
      </w:r>
      <w:r w:rsidDel="00000000" w:rsidR="00000000" w:rsidRPr="00000000">
        <w:rPr>
          <w:rFonts w:ascii="Times New Roman" w:cs="Times New Roman" w:eastAsia="Times New Roman" w:hAnsi="Times New Roman"/>
          <w:sz w:val="24"/>
          <w:szCs w:val="24"/>
          <w:rtl w:val="0"/>
        </w:rPr>
        <w:t xml:space="preserve">, vol. 54, no. 2, 349-51 (2004) http://www.jstor.org/stable/3661664. </w:t>
      </w:r>
    </w:p>
    <w:p w:rsidR="00000000" w:rsidDel="00000000" w:rsidP="00000000" w:rsidRDefault="00000000" w:rsidRPr="00000000" w14:paraId="000000D3">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Enūma Anu Enlil Tablet | British Museum, </w:t>
      </w:r>
      <w:r w:rsidDel="00000000" w:rsidR="00000000" w:rsidRPr="00000000">
        <w:rPr>
          <w:rFonts w:ascii="Times New Roman" w:cs="Times New Roman" w:eastAsia="Times New Roman" w:hAnsi="Times New Roman"/>
          <w:i w:val="1"/>
          <w:sz w:val="24"/>
          <w:szCs w:val="24"/>
          <w:rtl w:val="0"/>
        </w:rPr>
        <w:t xml:space="preserve">The British Museum</w:t>
      </w:r>
      <w:r w:rsidDel="00000000" w:rsidR="00000000" w:rsidRPr="00000000">
        <w:rPr>
          <w:rFonts w:ascii="Times New Roman" w:cs="Times New Roman" w:eastAsia="Times New Roman" w:hAnsi="Times New Roman"/>
          <w:sz w:val="24"/>
          <w:szCs w:val="24"/>
          <w:rtl w:val="0"/>
        </w:rPr>
        <w:t xml:space="preserve">, 2022 &lt;https://www.britishmuseum.org/collection/object/W_K-4292&gt; </w:t>
      </w:r>
    </w:p>
    <w:p w:rsidR="00000000" w:rsidDel="00000000" w:rsidP="00000000" w:rsidRDefault="00000000" w:rsidRPr="00000000" w14:paraId="000000D4">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Finamore. John. </w:t>
      </w:r>
      <w:r w:rsidDel="00000000" w:rsidR="00000000" w:rsidRPr="00000000">
        <w:rPr>
          <w:rFonts w:ascii="Times New Roman" w:cs="Times New Roman" w:eastAsia="Times New Roman" w:hAnsi="Times New Roman"/>
          <w:sz w:val="24"/>
          <w:szCs w:val="24"/>
          <w:rtl w:val="0"/>
        </w:rPr>
        <w:t xml:space="preserve">Adluri, Vishwa</w:t>
      </w:r>
      <w:r w:rsidDel="00000000" w:rsidR="00000000" w:rsidRPr="00000000">
        <w:rPr>
          <w:rFonts w:ascii="Times New Roman" w:cs="Times New Roman" w:eastAsia="Times New Roman" w:hAnsi="Times New Roman"/>
          <w:sz w:val="24"/>
          <w:szCs w:val="24"/>
          <w:rtl w:val="0"/>
        </w:rPr>
        <w:t xml:space="preserve">. </w:t>
      </w:r>
      <w:hyperlink r:id="rId9">
        <w:r w:rsidDel="00000000" w:rsidR="00000000" w:rsidRPr="00000000">
          <w:rPr>
            <w:rFonts w:ascii="Times New Roman" w:cs="Times New Roman" w:eastAsia="Times New Roman" w:hAnsi="Times New Roman"/>
            <w:sz w:val="24"/>
            <w:szCs w:val="24"/>
            <w:highlight w:val="white"/>
            <w:rtl w:val="0"/>
          </w:rPr>
          <w:t xml:space="preserve">Philosophy and Salvation in Greek Religion</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De Gruyter</w:t>
      </w:r>
      <w:r w:rsidDel="00000000" w:rsidR="00000000" w:rsidRPr="00000000">
        <w:rPr>
          <w:rFonts w:ascii="Montserrat" w:cs="Montserrat" w:eastAsia="Montserrat" w:hAnsi="Montserrat"/>
          <w:color w:val="2b2b2e"/>
          <w:sz w:val="21"/>
          <w:szCs w:val="21"/>
          <w:highlight w:val="white"/>
          <w:rtl w:val="0"/>
        </w:rPr>
        <w:t xml:space="preserve">. </w:t>
      </w:r>
      <w:r w:rsidDel="00000000" w:rsidR="00000000" w:rsidRPr="00000000">
        <w:rPr>
          <w:rFonts w:ascii="Times New Roman" w:cs="Times New Roman" w:eastAsia="Times New Roman" w:hAnsi="Times New Roman"/>
          <w:sz w:val="24"/>
          <w:szCs w:val="24"/>
          <w:rtl w:val="0"/>
        </w:rPr>
        <w:t xml:space="preserve">2013) </w:t>
      </w:r>
      <w:hyperlink r:id="rId10">
        <w:r w:rsidDel="00000000" w:rsidR="00000000" w:rsidRPr="00000000">
          <w:rPr>
            <w:rFonts w:ascii="Merriweather" w:cs="Merriweather" w:eastAsia="Merriweather" w:hAnsi="Merriweather"/>
            <w:color w:val="575759"/>
            <w:sz w:val="21"/>
            <w:szCs w:val="21"/>
            <w:highlight w:val="white"/>
            <w:rtl w:val="0"/>
          </w:rPr>
          <w:t xml:space="preserve">https://doi.org/10.1515/9783110276381.343</w:t>
        </w:r>
      </w:hyperlink>
      <w:r w:rsidDel="00000000" w:rsidR="00000000" w:rsidRPr="00000000">
        <w:rPr>
          <w:rtl w:val="0"/>
        </w:rPr>
      </w:r>
    </w:p>
    <w:p w:rsidR="00000000" w:rsidDel="00000000" w:rsidP="00000000" w:rsidRDefault="00000000" w:rsidRPr="00000000" w14:paraId="000000D5">
      <w:pPr>
        <w:numPr>
          <w:ilvl w:val="0"/>
          <w:numId w:val="1"/>
        </w:numPr>
        <w:shd w:fill="ffffff" w:val="clear"/>
        <w:ind w:left="72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 Gedaliahu G. Stroumsa. ‘Chaldean Oracles’, </w:t>
      </w:r>
      <w:r w:rsidDel="00000000" w:rsidR="00000000" w:rsidRPr="00000000">
        <w:rPr>
          <w:rFonts w:ascii="Times New Roman" w:cs="Times New Roman" w:eastAsia="Times New Roman" w:hAnsi="Times New Roman"/>
          <w:i w:val="1"/>
          <w:sz w:val="24"/>
          <w:szCs w:val="24"/>
          <w:rtl w:val="0"/>
        </w:rPr>
        <w:t xml:space="preserve">Numen.</w:t>
      </w:r>
      <w:r w:rsidDel="00000000" w:rsidR="00000000" w:rsidRPr="00000000">
        <w:rPr>
          <w:rFonts w:ascii="Times New Roman" w:cs="Times New Roman" w:eastAsia="Times New Roman" w:hAnsi="Times New Roman"/>
          <w:sz w:val="24"/>
          <w:szCs w:val="24"/>
          <w:rtl w:val="0"/>
        </w:rPr>
        <w:t xml:space="preserve"> 27.1. 167-172 (1980)., .https://www.jstor.org/stable/3269987 </w:t>
      </w:r>
    </w:p>
    <w:p w:rsidR="00000000" w:rsidDel="00000000" w:rsidP="00000000" w:rsidRDefault="00000000" w:rsidRPr="00000000" w14:paraId="000000D6">
      <w:pPr>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Julien le Théurge, and Majercik, Ruth Dorothy.</w:t>
      </w:r>
      <w:r w:rsidDel="00000000" w:rsidR="00000000" w:rsidRPr="00000000">
        <w:rPr>
          <w:rFonts w:ascii="Times New Roman" w:cs="Times New Roman" w:eastAsia="Times New Roman" w:hAnsi="Times New Roman"/>
          <w:i w:val="1"/>
          <w:sz w:val="24"/>
          <w:szCs w:val="24"/>
          <w:rtl w:val="0"/>
        </w:rPr>
        <w:t xml:space="preserve"> The Chaldean Oracles: Text, Translation, and Commentary</w:t>
      </w:r>
      <w:r w:rsidDel="00000000" w:rsidR="00000000" w:rsidRPr="00000000">
        <w:rPr>
          <w:rFonts w:ascii="Times New Roman" w:cs="Times New Roman" w:eastAsia="Times New Roman" w:hAnsi="Times New Roman"/>
          <w:sz w:val="24"/>
          <w:szCs w:val="24"/>
          <w:rtl w:val="0"/>
        </w:rPr>
        <w:t xml:space="preserve">. (Germany, E.J. Brill, 1989.)</w:t>
      </w:r>
    </w:p>
    <w:p w:rsidR="00000000" w:rsidDel="00000000" w:rsidP="00000000" w:rsidRDefault="00000000" w:rsidRPr="00000000" w14:paraId="000000D7">
      <w:pPr>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Khatoon, Jamila. </w:t>
      </w:r>
      <w:r w:rsidDel="00000000" w:rsidR="00000000" w:rsidRPr="00000000">
        <w:rPr>
          <w:rFonts w:ascii="Times New Roman" w:cs="Times New Roman" w:eastAsia="Times New Roman" w:hAnsi="Times New Roman"/>
          <w:i w:val="1"/>
          <w:sz w:val="24"/>
          <w:szCs w:val="24"/>
          <w:rtl w:val="0"/>
        </w:rPr>
        <w:t xml:space="preserve">The Place of God, Man, and Universe in the Philosophic System of Iqbal. </w:t>
      </w:r>
      <w:r w:rsidDel="00000000" w:rsidR="00000000" w:rsidRPr="00000000">
        <w:rPr>
          <w:rFonts w:ascii="Times New Roman" w:cs="Times New Roman" w:eastAsia="Times New Roman" w:hAnsi="Times New Roman"/>
          <w:sz w:val="24"/>
          <w:szCs w:val="24"/>
          <w:rtl w:val="0"/>
        </w:rPr>
        <w:t xml:space="preserve">(Pakistan, Iqbal Academy Pakistan, 1963).</w:t>
      </w:r>
    </w:p>
    <w:p w:rsidR="00000000" w:rsidDel="00000000" w:rsidP="00000000" w:rsidRDefault="00000000" w:rsidRPr="00000000" w14:paraId="000000D8">
      <w:pPr>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MUL.APIN Tablet | British Museum, </w:t>
      </w:r>
      <w:r w:rsidDel="00000000" w:rsidR="00000000" w:rsidRPr="00000000">
        <w:rPr>
          <w:rFonts w:ascii="Times New Roman" w:cs="Times New Roman" w:eastAsia="Times New Roman" w:hAnsi="Times New Roman"/>
          <w:i w:val="1"/>
          <w:sz w:val="24"/>
          <w:szCs w:val="24"/>
          <w:rtl w:val="0"/>
        </w:rPr>
        <w:t xml:space="preserve">The British Museum</w:t>
      </w:r>
      <w:r w:rsidDel="00000000" w:rsidR="00000000" w:rsidRPr="00000000">
        <w:rPr>
          <w:rFonts w:ascii="Times New Roman" w:cs="Times New Roman" w:eastAsia="Times New Roman" w:hAnsi="Times New Roman"/>
          <w:sz w:val="24"/>
          <w:szCs w:val="24"/>
          <w:rtl w:val="0"/>
        </w:rPr>
        <w:t xml:space="preserve">, 2022 &lt;https://www.britishmuseum.org/collection/object/W_1899-0610-108&gt; </w:t>
      </w:r>
    </w:p>
    <w:p w:rsidR="00000000" w:rsidDel="00000000" w:rsidP="00000000" w:rsidRDefault="00000000" w:rsidRPr="00000000" w14:paraId="000000D9">
      <w:pPr>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Ogden. Daniel (ed.), </w:t>
      </w:r>
      <w:r w:rsidDel="00000000" w:rsidR="00000000" w:rsidRPr="00000000">
        <w:rPr>
          <w:rFonts w:ascii="Times New Roman" w:cs="Times New Roman" w:eastAsia="Times New Roman" w:hAnsi="Times New Roman"/>
          <w:i w:val="1"/>
          <w:sz w:val="24"/>
          <w:szCs w:val="24"/>
          <w:highlight w:val="white"/>
          <w:rtl w:val="0"/>
        </w:rPr>
        <w:t xml:space="preserve">A Companion to Greek Religion</w:t>
      </w:r>
      <w:r w:rsidDel="00000000" w:rsidR="00000000" w:rsidRPr="00000000">
        <w:rPr>
          <w:rFonts w:ascii="Times New Roman" w:cs="Times New Roman" w:eastAsia="Times New Roman" w:hAnsi="Times New Roman"/>
          <w:sz w:val="24"/>
          <w:szCs w:val="24"/>
          <w:highlight w:val="white"/>
          <w:rtl w:val="0"/>
        </w:rPr>
        <w:t xml:space="preserve">, (Oxford, Blackwell, 2007). </w:t>
      </w:r>
      <w:r w:rsidDel="00000000" w:rsidR="00000000" w:rsidRPr="00000000">
        <w:rPr>
          <w:rtl w:val="0"/>
        </w:rPr>
      </w:r>
    </w:p>
    <w:p w:rsidR="00000000" w:rsidDel="00000000" w:rsidP="00000000" w:rsidRDefault="00000000" w:rsidRPr="00000000" w14:paraId="000000DA">
      <w:pPr>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Republic, Volume I: Books 1-5. Edited and translated by Christopher EmlynJones, William Preddy. Loeb Classical Library 237. Cambridge, MA: Harvard University Press, 2013. </w:t>
      </w:r>
      <w:r w:rsidDel="00000000" w:rsidR="00000000" w:rsidRPr="00000000">
        <w:rPr>
          <w:rtl w:val="0"/>
        </w:rPr>
      </w:r>
    </w:p>
    <w:p w:rsidR="00000000" w:rsidDel="00000000" w:rsidP="00000000" w:rsidRDefault="00000000" w:rsidRPr="00000000" w14:paraId="000000DB">
      <w:pPr>
        <w:numPr>
          <w:ilvl w:val="0"/>
          <w:numId w:val="1"/>
        </w:numPr>
        <w:spacing w:after="0" w:line="240" w:lineRule="auto"/>
        <w:ind w:left="720" w:hanging="360"/>
        <w:rPr>
          <w:sz w:val="24"/>
          <w:szCs w:val="24"/>
        </w:rPr>
      </w:pPr>
      <w:r w:rsidDel="00000000" w:rsidR="00000000" w:rsidRPr="00000000">
        <w:rPr>
          <w:rFonts w:ascii="Times New Roman" w:cs="Times New Roman" w:eastAsia="Times New Roman" w:hAnsi="Times New Roman"/>
          <w:sz w:val="24"/>
          <w:szCs w:val="24"/>
          <w:rtl w:val="0"/>
        </w:rPr>
        <w:t xml:space="preserve"> Shaw, Gregory. ‘Theurgy: Rituals of Unificationin the Neoplatonism of Iamblichus’ </w:t>
      </w:r>
      <w:r w:rsidDel="00000000" w:rsidR="00000000" w:rsidRPr="00000000">
        <w:rPr>
          <w:rFonts w:ascii="Times New Roman" w:cs="Times New Roman" w:eastAsia="Times New Roman" w:hAnsi="Times New Roman"/>
          <w:i w:val="1"/>
          <w:sz w:val="24"/>
          <w:szCs w:val="24"/>
          <w:rtl w:val="0"/>
        </w:rPr>
        <w:t xml:space="preserve">Traditio</w:t>
      </w:r>
      <w:r w:rsidDel="00000000" w:rsidR="00000000" w:rsidRPr="00000000">
        <w:rPr>
          <w:rFonts w:ascii="Times New Roman" w:cs="Times New Roman" w:eastAsia="Times New Roman" w:hAnsi="Times New Roman"/>
          <w:sz w:val="24"/>
          <w:szCs w:val="24"/>
          <w:rtl w:val="0"/>
        </w:rPr>
        <w:t xml:space="preserve"> , 41. 1-28. (1985) </w:t>
      </w:r>
    </w:p>
    <w:p w:rsidR="00000000" w:rsidDel="00000000" w:rsidP="00000000" w:rsidRDefault="00000000" w:rsidRPr="00000000" w14:paraId="000000DC">
      <w:pPr>
        <w:numPr>
          <w:ilvl w:val="0"/>
          <w:numId w:val="1"/>
        </w:numPr>
        <w:shd w:fill="ffffff" w:val="clear"/>
        <w:ind w:left="72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Sheppard, Anne. ‘Proclus' Attitude to Theurgy’. </w:t>
      </w:r>
      <w:r w:rsidDel="00000000" w:rsidR="00000000" w:rsidRPr="00000000">
        <w:rPr>
          <w:rFonts w:ascii="Times New Roman" w:cs="Times New Roman" w:eastAsia="Times New Roman" w:hAnsi="Times New Roman"/>
          <w:i w:val="1"/>
          <w:sz w:val="24"/>
          <w:szCs w:val="24"/>
          <w:rtl w:val="0"/>
        </w:rPr>
        <w:t xml:space="preserve">The Classical Quarterly</w:t>
      </w:r>
      <w:r w:rsidDel="00000000" w:rsidR="00000000" w:rsidRPr="00000000">
        <w:rPr>
          <w:rFonts w:ascii="Times New Roman" w:cs="Times New Roman" w:eastAsia="Times New Roman" w:hAnsi="Times New Roman"/>
          <w:sz w:val="24"/>
          <w:szCs w:val="24"/>
          <w:rtl w:val="0"/>
        </w:rPr>
        <w:t xml:space="preserve"> ,  32. 1. 212-224 (1982).</w:t>
      </w:r>
      <w:r w:rsidDel="00000000" w:rsidR="00000000" w:rsidRPr="00000000">
        <w:rPr>
          <w:rtl w:val="0"/>
        </w:rPr>
      </w:r>
    </w:p>
    <w:p w:rsidR="00000000" w:rsidDel="00000000" w:rsidP="00000000" w:rsidRDefault="00000000" w:rsidRPr="00000000" w14:paraId="000000DD">
      <w:pPr>
        <w:numPr>
          <w:ilvl w:val="0"/>
          <w:numId w:val="1"/>
        </w:numPr>
        <w:shd w:fill="ffffff" w:val="clear"/>
        <w:ind w:left="72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 Stroumsa. G. Guy. “Chalendean Oracles”, </w:t>
      </w:r>
      <w:r w:rsidDel="00000000" w:rsidR="00000000" w:rsidRPr="00000000">
        <w:rPr>
          <w:rFonts w:ascii="Times New Roman" w:cs="Times New Roman" w:eastAsia="Times New Roman" w:hAnsi="Times New Roman"/>
          <w:i w:val="1"/>
          <w:sz w:val="24"/>
          <w:szCs w:val="24"/>
          <w:rtl w:val="0"/>
        </w:rPr>
        <w:t xml:space="preserve">Numen. </w:t>
      </w:r>
      <w:r w:rsidDel="00000000" w:rsidR="00000000" w:rsidRPr="00000000">
        <w:rPr>
          <w:rFonts w:ascii="Times New Roman" w:cs="Times New Roman" w:eastAsia="Times New Roman" w:hAnsi="Times New Roman"/>
          <w:sz w:val="24"/>
          <w:szCs w:val="24"/>
          <w:rtl w:val="0"/>
        </w:rPr>
        <w:t xml:space="preserve">27.1 162-172(1980)</w:t>
      </w:r>
    </w:p>
    <w:p w:rsidR="00000000" w:rsidDel="00000000" w:rsidP="00000000" w:rsidRDefault="00000000" w:rsidRPr="00000000" w14:paraId="000000DE">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Taylor, Thomas. Porphyry. Iamblichus </w:t>
      </w:r>
      <w:r w:rsidDel="00000000" w:rsidR="00000000" w:rsidRPr="00000000">
        <w:rPr>
          <w:rFonts w:ascii="Times New Roman" w:cs="Times New Roman" w:eastAsia="Times New Roman" w:hAnsi="Times New Roman"/>
          <w:i w:val="1"/>
          <w:sz w:val="24"/>
          <w:szCs w:val="24"/>
          <w:highlight w:val="white"/>
          <w:rtl w:val="0"/>
        </w:rPr>
        <w:t xml:space="preserve">On the Mysteries of the Egyptians, Chaldeans, and Assyrians. </w:t>
      </w:r>
      <w:r w:rsidDel="00000000" w:rsidR="00000000" w:rsidRPr="00000000">
        <w:rPr>
          <w:rFonts w:ascii="Times New Roman" w:cs="Times New Roman" w:eastAsia="Times New Roman" w:hAnsi="Times New Roman"/>
          <w:sz w:val="24"/>
          <w:szCs w:val="24"/>
          <w:highlight w:val="white"/>
          <w:rtl w:val="0"/>
        </w:rPr>
        <w:t xml:space="preserve">(United Kingdom, Bertram Dobell, 1895) </w:t>
      </w:r>
      <w:r w:rsidDel="00000000" w:rsidR="00000000" w:rsidRPr="00000000">
        <w:rPr>
          <w:rtl w:val="0"/>
        </w:rPr>
      </w:r>
    </w:p>
    <w:p w:rsidR="00000000" w:rsidDel="00000000" w:rsidP="00000000" w:rsidRDefault="00000000" w:rsidRPr="00000000" w14:paraId="000000DF">
      <w:pPr>
        <w:numPr>
          <w:ilvl w:val="0"/>
          <w:numId w:val="1"/>
        </w:numPr>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Tedlock, Barbara. ‘Divination as a Way of Knowing: Embodiment, Visualisation, Narrative, and Interpretation’. </w:t>
      </w:r>
      <w:r w:rsidDel="00000000" w:rsidR="00000000" w:rsidRPr="00000000">
        <w:rPr>
          <w:rFonts w:ascii="Times New Roman" w:cs="Times New Roman" w:eastAsia="Times New Roman" w:hAnsi="Times New Roman"/>
          <w:i w:val="1"/>
          <w:sz w:val="24"/>
          <w:szCs w:val="24"/>
          <w:rtl w:val="0"/>
        </w:rPr>
        <w:t xml:space="preserve">Folklore </w:t>
      </w:r>
      <w:r w:rsidDel="00000000" w:rsidR="00000000" w:rsidRPr="00000000">
        <w:rPr>
          <w:rFonts w:ascii="Times New Roman" w:cs="Times New Roman" w:eastAsia="Times New Roman" w:hAnsi="Times New Roman"/>
          <w:sz w:val="24"/>
          <w:szCs w:val="24"/>
          <w:rtl w:val="0"/>
        </w:rPr>
        <w:t xml:space="preserve">112. 2:189-197 (2001) </w:t>
      </w:r>
    </w:p>
    <w:p w:rsidR="00000000" w:rsidDel="00000000" w:rsidP="00000000" w:rsidRDefault="00000000" w:rsidRPr="00000000" w14:paraId="000000E0">
      <w:pPr>
        <w:numPr>
          <w:ilvl w:val="0"/>
          <w:numId w:val="1"/>
        </w:numPr>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Twelftree,G. (Ed). </w:t>
      </w:r>
      <w:r w:rsidDel="00000000" w:rsidR="00000000" w:rsidRPr="00000000">
        <w:rPr>
          <w:rFonts w:ascii="Times New Roman" w:cs="Times New Roman" w:eastAsia="Times New Roman" w:hAnsi="Times New Roman"/>
          <w:i w:val="1"/>
          <w:sz w:val="24"/>
          <w:szCs w:val="24"/>
          <w:rtl w:val="0"/>
        </w:rPr>
        <w:t xml:space="preserve">The Cambridge Companion to Miracles. Cambridge Companions to Religion </w:t>
      </w:r>
      <w:r w:rsidDel="00000000" w:rsidR="00000000" w:rsidRPr="00000000">
        <w:rPr>
          <w:rFonts w:ascii="Times New Roman" w:cs="Times New Roman" w:eastAsia="Times New Roman" w:hAnsi="Times New Roman"/>
          <w:sz w:val="24"/>
          <w:szCs w:val="24"/>
          <w:rtl w:val="0"/>
        </w:rPr>
        <w:t xml:space="preserve">(Cambridge: Cambridge University Press. 2011)</w:t>
      </w:r>
      <w:r w:rsidDel="00000000" w:rsidR="00000000" w:rsidRPr="00000000">
        <w:rPr>
          <w:rtl w:val="0"/>
        </w:rPr>
      </w:r>
    </w:p>
    <w:p w:rsidR="00000000" w:rsidDel="00000000" w:rsidP="00000000" w:rsidRDefault="00000000" w:rsidRPr="00000000" w14:paraId="000000E1">
      <w:pPr>
        <w:numPr>
          <w:ilvl w:val="0"/>
          <w:numId w:val="1"/>
        </w:numPr>
        <w:spacing w:after="0" w:line="240" w:lineRule="auto"/>
        <w:ind w:left="720" w:hanging="36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Wallis, R. T. ‘The Platonic Theology of Proclus.’ </w:t>
      </w:r>
      <w:r w:rsidDel="00000000" w:rsidR="00000000" w:rsidRPr="00000000">
        <w:rPr>
          <w:rFonts w:ascii="Times New Roman" w:cs="Times New Roman" w:eastAsia="Times New Roman" w:hAnsi="Times New Roman"/>
          <w:i w:val="1"/>
          <w:sz w:val="24"/>
          <w:szCs w:val="24"/>
          <w:rtl w:val="0"/>
        </w:rPr>
        <w:t xml:space="preserve">The Classical Review</w:t>
      </w:r>
      <w:r w:rsidDel="00000000" w:rsidR="00000000" w:rsidRPr="00000000">
        <w:rPr>
          <w:rFonts w:ascii="Times New Roman" w:cs="Times New Roman" w:eastAsia="Times New Roman" w:hAnsi="Times New Roman"/>
          <w:sz w:val="24"/>
          <w:szCs w:val="24"/>
          <w:rtl w:val="0"/>
        </w:rPr>
        <w:t xml:space="preserve">, 20. 3, 324-26 (1970),.</w:t>
      </w:r>
      <w:r w:rsidDel="00000000" w:rsidR="00000000" w:rsidRPr="00000000">
        <w:rPr>
          <w:rFonts w:ascii="Times New Roman" w:cs="Times New Roman" w:eastAsia="Times New Roman" w:hAnsi="Times New Roman"/>
          <w:sz w:val="24"/>
          <w:szCs w:val="24"/>
          <w:highlight w:val="white"/>
          <w:rtl w:val="0"/>
        </w:rPr>
        <w:t xml:space="preserve"> 1.25-7-10 113; 291</w:t>
      </w:r>
      <w:r w:rsidDel="00000000" w:rsidR="00000000" w:rsidRPr="00000000">
        <w:rPr>
          <w:rFonts w:ascii="Times New Roman" w:cs="Times New Roman" w:eastAsia="Times New Roman" w:hAnsi="Times New Roman"/>
          <w:sz w:val="24"/>
          <w:szCs w:val="24"/>
          <w:rtl w:val="0"/>
        </w:rPr>
        <w:t xml:space="preserve">http://www.jstor.org/stable/706330.</w:t>
      </w:r>
    </w:p>
    <w:p w:rsidR="00000000" w:rsidDel="00000000" w:rsidP="00000000" w:rsidRDefault="00000000" w:rsidRPr="00000000" w14:paraId="000000E2">
      <w:pPr>
        <w:ind w:left="0" w:firstLine="0"/>
        <w:rPr>
          <w:rFonts w:ascii="Times New Roman" w:cs="Times New Roman" w:eastAsia="Times New Roman" w:hAnsi="Times New Roman"/>
          <w:sz w:val="24"/>
          <w:szCs w:val="24"/>
        </w:rPr>
      </w:pPr>
      <w:r w:rsidDel="00000000" w:rsidR="00000000" w:rsidRPr="00000000">
        <w:rPr>
          <w:rtl w:val="0"/>
        </w:rPr>
      </w:r>
    </w:p>
    <w:sectPr>
      <w:headerReference r:id="rId11" w:type="default"/>
      <w:footerReference r:id="rId12" w:type="default"/>
      <w:pgSz w:h="16838" w:w="11906"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Trebuchet MS"/>
  <w:font w:name="Times New Roman"/>
  <w:font w:name="Montserrat">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Tahoma">
    <w:embedRegular w:fontKey="{00000000-0000-0000-0000-000000000000}" r:id="rId5" w:subsetted="0"/>
    <w:embedBold w:fontKey="{00000000-0000-0000-0000-000000000000}" r:id="rId6" w:subsetted="0"/>
  </w:font>
  <w:font w:name="Code2000"/>
  <w:font w:name="Times"/>
  <w:font w:name="Quattrocento Sans">
    <w:embedRegular w:fontKey="{00000000-0000-0000-0000-000000000000}" r:id="rId7" w:subsetted="0"/>
    <w:embedBold w:fontKey="{00000000-0000-0000-0000-000000000000}" r:id="rId8" w:subsetted="0"/>
    <w:embedItalic w:fontKey="{00000000-0000-0000-0000-000000000000}" r:id="rId9" w:subsetted="0"/>
    <w:embedBoldItalic w:fontKey="{00000000-0000-0000-0000-000000000000}" r:id="rId10" w:subsetted="0"/>
  </w:font>
  <w:font w:name="Merriweather">
    <w:embedRegular w:fontKey="{00000000-0000-0000-0000-000000000000}" r:id="rId11" w:subsetted="0"/>
    <w:embedBold w:fontKey="{00000000-0000-0000-0000-000000000000}" r:id="rId12" w:subsetted="0"/>
    <w:embedItalic w:fontKey="{00000000-0000-0000-0000-000000000000}" r:id="rId13" w:subsetted="0"/>
    <w:embedBoldItalic w:fontKey="{00000000-0000-0000-0000-000000000000}" r:id="rId14"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bl>
    <w:tblPr>
      <w:tblStyle w:val="Table4"/>
      <w:tblW w:w="9015.0" w:type="dxa"/>
      <w:jc w:val="left"/>
      <w:tblInd w:w="0.0" w:type="dxa"/>
      <w:tblLayout w:type="fixed"/>
      <w:tblLook w:val="0400"/>
    </w:tblPr>
    <w:tblGrid>
      <w:gridCol w:w="3005"/>
      <w:gridCol w:w="3005"/>
      <w:gridCol w:w="3005"/>
      <w:tblGridChange w:id="0">
        <w:tblGrid>
          <w:gridCol w:w="3005"/>
          <w:gridCol w:w="3005"/>
          <w:gridCol w:w="3005"/>
        </w:tblGrid>
      </w:tblGridChange>
    </w:tblGrid>
    <w:tr>
      <w:trPr>
        <w:cantSplit w:val="0"/>
        <w:tblHeader w:val="0"/>
      </w:trPr>
      <w:tc>
        <w:tcPr/>
        <w:p w:rsidR="00000000" w:rsidDel="00000000" w:rsidP="00000000" w:rsidRDefault="00000000" w:rsidRPr="00000000" w14:paraId="0000011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115"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11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c>
        <w:tcPr/>
        <w:p w:rsidR="00000000" w:rsidDel="00000000" w:rsidP="00000000" w:rsidRDefault="00000000" w:rsidRPr="00000000" w14:paraId="0000011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115"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11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E3">
      <w:pPr>
        <w:rPr>
          <w:rFonts w:ascii="Times" w:cs="Times" w:eastAsia="Times" w:hAnsi="Times"/>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w:cs="Times" w:eastAsia="Times" w:hAnsi="Times"/>
          <w:sz w:val="18"/>
          <w:szCs w:val="18"/>
          <w:highlight w:val="white"/>
          <w:rtl w:val="0"/>
        </w:rPr>
        <w:t xml:space="preserve">De Boussac, Plato Proclus. Helena Petrovna Blavatsky Joseph-Louis. 2018. </w:t>
      </w:r>
      <w:r w:rsidDel="00000000" w:rsidR="00000000" w:rsidRPr="00000000">
        <w:rPr>
          <w:rFonts w:ascii="Times" w:cs="Times" w:eastAsia="Times" w:hAnsi="Times"/>
          <w:i w:val="1"/>
          <w:sz w:val="18"/>
          <w:szCs w:val="18"/>
          <w:highlight w:val="white"/>
          <w:rtl w:val="0"/>
        </w:rPr>
        <w:t xml:space="preserve">Magic or Theurgy</w:t>
      </w:r>
      <w:r w:rsidDel="00000000" w:rsidR="00000000" w:rsidRPr="00000000">
        <w:rPr>
          <w:rFonts w:ascii="Times" w:cs="Times" w:eastAsia="Times" w:hAnsi="Times"/>
          <w:sz w:val="18"/>
          <w:szCs w:val="18"/>
          <w:rtl w:val="0"/>
        </w:rPr>
        <w:t xml:space="preserve">. p.21</w:t>
      </w:r>
    </w:p>
  </w:footnote>
  <w:footnote w:id="1">
    <w:p w:rsidR="00000000" w:rsidDel="00000000" w:rsidP="00000000" w:rsidRDefault="00000000" w:rsidRPr="00000000" w14:paraId="000000E4">
      <w:pPr>
        <w:ind w:left="90" w:hanging="90"/>
        <w:rPr>
          <w:rFonts w:ascii="Times" w:cs="Times" w:eastAsia="Times" w:hAnsi="Times"/>
          <w:sz w:val="18"/>
          <w:szCs w:val="18"/>
        </w:rPr>
      </w:pPr>
      <w:r w:rsidDel="00000000" w:rsidR="00000000" w:rsidRPr="00000000">
        <w:rPr>
          <w:rStyle w:val="FootnoteReference"/>
          <w:vertAlign w:val="superscript"/>
        </w:rPr>
        <w:footnoteRef/>
      </w:r>
      <w:r w:rsidDel="00000000" w:rsidR="00000000" w:rsidRPr="00000000">
        <w:rPr>
          <w:rFonts w:ascii="Times" w:cs="Times" w:eastAsia="Times" w:hAnsi="Times"/>
          <w:sz w:val="18"/>
          <w:szCs w:val="18"/>
          <w:rtl w:val="0"/>
        </w:rPr>
        <w:t xml:space="preserve"> Wallis, R. T. ‘The Platonic Theology of Proclus.’ </w:t>
      </w:r>
      <w:r w:rsidDel="00000000" w:rsidR="00000000" w:rsidRPr="00000000">
        <w:rPr>
          <w:rFonts w:ascii="Times" w:cs="Times" w:eastAsia="Times" w:hAnsi="Times"/>
          <w:i w:val="1"/>
          <w:sz w:val="18"/>
          <w:szCs w:val="18"/>
          <w:rtl w:val="0"/>
        </w:rPr>
        <w:t xml:space="preserve">The Classical Review</w:t>
      </w:r>
      <w:r w:rsidDel="00000000" w:rsidR="00000000" w:rsidRPr="00000000">
        <w:rPr>
          <w:rFonts w:ascii="Times" w:cs="Times" w:eastAsia="Times" w:hAnsi="Times"/>
          <w:sz w:val="18"/>
          <w:szCs w:val="18"/>
          <w:rtl w:val="0"/>
        </w:rPr>
        <w:t xml:space="preserve">, 20. 3, 324-26 (1970),.</w:t>
      </w:r>
      <w:r w:rsidDel="00000000" w:rsidR="00000000" w:rsidRPr="00000000">
        <w:rPr>
          <w:rFonts w:ascii="Times" w:cs="Times" w:eastAsia="Times" w:hAnsi="Times"/>
          <w:sz w:val="18"/>
          <w:szCs w:val="18"/>
          <w:highlight w:val="white"/>
          <w:rtl w:val="0"/>
        </w:rPr>
        <w:t xml:space="preserve"> 1.25-7-10 113; 291</w:t>
      </w:r>
      <w:r w:rsidDel="00000000" w:rsidR="00000000" w:rsidRPr="00000000">
        <w:rPr>
          <w:rFonts w:ascii="Times" w:cs="Times" w:eastAsia="Times" w:hAnsi="Times"/>
          <w:sz w:val="18"/>
          <w:szCs w:val="18"/>
          <w:rtl w:val="0"/>
        </w:rPr>
        <w:t xml:space="preserve">http://www.jstor.org/stable/706330.</w:t>
      </w:r>
    </w:p>
    <w:p w:rsidR="00000000" w:rsidDel="00000000" w:rsidP="00000000" w:rsidRDefault="00000000" w:rsidRPr="00000000" w14:paraId="000000E5">
      <w:pPr>
        <w:ind w:left="90" w:hanging="90"/>
        <w:rPr>
          <w:rFonts w:ascii="Times" w:cs="Times" w:eastAsia="Times" w:hAnsi="Times"/>
          <w:sz w:val="18"/>
          <w:szCs w:val="18"/>
        </w:rPr>
      </w:pPr>
      <w:r w:rsidDel="00000000" w:rsidR="00000000" w:rsidRPr="00000000">
        <w:rPr>
          <w:rtl w:val="0"/>
        </w:rPr>
      </w:r>
    </w:p>
  </w:footnote>
  <w:footnote w:id="2">
    <w:p w:rsidR="00000000" w:rsidDel="00000000" w:rsidP="00000000" w:rsidRDefault="00000000" w:rsidRPr="00000000" w14:paraId="000000E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w:cs="Times" w:eastAsia="Times" w:hAnsi="Times"/>
          <w:b w:val="0"/>
          <w:i w:val="0"/>
          <w:smallCaps w:val="0"/>
          <w:strike w:val="0"/>
          <w:color w:val="000000"/>
          <w:sz w:val="18"/>
          <w:szCs w:val="18"/>
          <w:u w:val="none"/>
          <w:shd w:fill="auto" w:val="clear"/>
          <w:vertAlign w:val="baseline"/>
          <w:rtl w:val="0"/>
        </w:rPr>
        <w:t xml:space="preserve"> </w:t>
      </w:r>
      <w:r w:rsidDel="00000000" w:rsidR="00000000" w:rsidRPr="00000000">
        <w:rPr>
          <w:rFonts w:ascii="Times" w:cs="Times" w:eastAsia="Times" w:hAnsi="Times"/>
          <w:b w:val="0"/>
          <w:i w:val="0"/>
          <w:smallCaps w:val="0"/>
          <w:strike w:val="0"/>
          <w:color w:val="000000"/>
          <w:sz w:val="18"/>
          <w:szCs w:val="18"/>
          <w:highlight w:val="white"/>
          <w:u w:val="none"/>
          <w:vertAlign w:val="baseline"/>
          <w:rtl w:val="0"/>
        </w:rPr>
        <w:t xml:space="preserve">Blavatsky Joseph-Louis. 2018. </w:t>
      </w:r>
      <w:r w:rsidDel="00000000" w:rsidR="00000000" w:rsidRPr="00000000">
        <w:rPr>
          <w:rFonts w:ascii="Times" w:cs="Times" w:eastAsia="Times" w:hAnsi="Times"/>
          <w:b w:val="0"/>
          <w:i w:val="1"/>
          <w:smallCaps w:val="0"/>
          <w:strike w:val="0"/>
          <w:color w:val="000000"/>
          <w:sz w:val="18"/>
          <w:szCs w:val="18"/>
          <w:highlight w:val="white"/>
          <w:u w:val="none"/>
          <w:vertAlign w:val="baseline"/>
          <w:rtl w:val="0"/>
        </w:rPr>
        <w:t xml:space="preserve">Magic or Theurgy</w:t>
      </w:r>
      <w:r w:rsidDel="00000000" w:rsidR="00000000" w:rsidRPr="00000000">
        <w:rPr>
          <w:rFonts w:ascii="Times" w:cs="Times" w:eastAsia="Times" w:hAnsi="Times"/>
          <w:b w:val="0"/>
          <w:i w:val="0"/>
          <w:smallCaps w:val="0"/>
          <w:strike w:val="0"/>
          <w:color w:val="000000"/>
          <w:sz w:val="18"/>
          <w:szCs w:val="18"/>
          <w:u w:val="none"/>
          <w:shd w:fill="auto" w:val="clear"/>
          <w:vertAlign w:val="baseline"/>
          <w:rtl w:val="0"/>
        </w:rPr>
        <w:t xml:space="preserve">. P.22</w:t>
      </w:r>
    </w:p>
  </w:footnote>
  <w:footnote w:id="3">
    <w:p w:rsidR="00000000" w:rsidDel="00000000" w:rsidP="00000000" w:rsidRDefault="00000000" w:rsidRPr="00000000" w14:paraId="000000E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Crystal Addey, </w:t>
      </w:r>
      <w:r w:rsidDel="00000000" w:rsidR="00000000" w:rsidRPr="00000000">
        <w:rPr>
          <w:rFonts w:ascii="Times New Roman" w:cs="Times New Roman" w:eastAsia="Times New Roman" w:hAnsi="Times New Roman"/>
          <w:i w:val="1"/>
          <w:smallCaps w:val="0"/>
          <w:strike w:val="0"/>
          <w:color w:val="000000"/>
          <w:sz w:val="18"/>
          <w:szCs w:val="18"/>
          <w:u w:val="none"/>
          <w:shd w:fill="auto" w:val="clear"/>
          <w:vertAlign w:val="baseline"/>
          <w:rtl w:val="0"/>
        </w:rPr>
        <w:t xml:space="preserve">Divination &amp; Theurgy in Natoplatonism</w:t>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 Ch.6, p.215</w:t>
      </w:r>
    </w:p>
  </w:footnote>
  <w:footnote w:id="4">
    <w:p w:rsidR="00000000" w:rsidDel="00000000" w:rsidP="00000000" w:rsidRDefault="00000000" w:rsidRPr="00000000" w14:paraId="000000E8">
      <w:pPr>
        <w:rPr/>
      </w:pPr>
      <w:r w:rsidDel="00000000" w:rsidR="00000000" w:rsidRPr="00000000">
        <w:rPr>
          <w:rStyle w:val="FootnoteReference"/>
          <w:vertAlign w:val="superscript"/>
        </w:rPr>
        <w:footnoteRef/>
      </w:r>
      <w:r w:rsidDel="00000000" w:rsidR="00000000" w:rsidRPr="00000000">
        <w:rPr>
          <w:rtl w:val="0"/>
        </w:rPr>
        <w:t xml:space="preserve"> </w:t>
      </w:r>
      <w:r w:rsidDel="00000000" w:rsidR="00000000" w:rsidRPr="00000000">
        <w:rPr>
          <w:sz w:val="20"/>
          <w:szCs w:val="20"/>
          <w:rtl w:val="0"/>
        </w:rPr>
        <w:t xml:space="preserve"> </w:t>
      </w:r>
      <w:r w:rsidDel="00000000" w:rsidR="00000000" w:rsidRPr="00000000">
        <w:rPr>
          <w:rFonts w:ascii="Times" w:cs="Times" w:eastAsia="Times" w:hAnsi="Times"/>
          <w:sz w:val="18"/>
          <w:szCs w:val="18"/>
          <w:highlight w:val="white"/>
          <w:rtl w:val="0"/>
        </w:rPr>
        <w:t xml:space="preserve">Graham H.Twelftree. 2011. The Cambridge Companion to Miracles Cambridge Companions to Religion p.88</w:t>
      </w:r>
      <w:r w:rsidDel="00000000" w:rsidR="00000000" w:rsidRPr="00000000">
        <w:rPr>
          <w:rtl w:val="0"/>
        </w:rPr>
      </w:r>
    </w:p>
  </w:footnote>
  <w:footnote w:id="5">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Iamblichus, </w:t>
      </w: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De Mysteriis</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1497. 3.12 (129.1-11),</w:t>
      </w:r>
    </w:p>
  </w:footnote>
  <w:footnote w:id="6">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w:t>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Gregory Shaw</w:t>
      </w:r>
      <w:r w:rsidDel="00000000" w:rsidR="00000000" w:rsidRPr="00000000">
        <w:rPr>
          <w:rFonts w:ascii="Times New Roman" w:cs="Times New Roman" w:eastAsia="Times New Roman" w:hAnsi="Times New Roman"/>
          <w:sz w:val="18"/>
          <w:szCs w:val="18"/>
          <w:rtl w:val="0"/>
        </w:rPr>
        <w:t xml:space="preserve">. ‘Theurgy: Rituals of Unificationin the Neoplatonism of Iamblichus’ </w:t>
      </w:r>
      <w:r w:rsidDel="00000000" w:rsidR="00000000" w:rsidRPr="00000000">
        <w:rPr>
          <w:rFonts w:ascii="Times New Roman" w:cs="Times New Roman" w:eastAsia="Times New Roman" w:hAnsi="Times New Roman"/>
          <w:i w:val="1"/>
          <w:smallCaps w:val="0"/>
          <w:strike w:val="0"/>
          <w:color w:val="000000"/>
          <w:sz w:val="18"/>
          <w:szCs w:val="18"/>
          <w:u w:val="none"/>
          <w:shd w:fill="auto" w:val="clear"/>
          <w:vertAlign w:val="baseline"/>
          <w:rtl w:val="0"/>
        </w:rPr>
        <w:t xml:space="preserve">Traditio</w:t>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 , 41. 1-28. (1985) p.2; Porphyry, De regressi! </w:t>
      </w:r>
      <w:r w:rsidDel="00000000" w:rsidR="00000000" w:rsidRPr="00000000">
        <w:rPr>
          <w:rFonts w:ascii="Times New Roman" w:cs="Times New Roman" w:eastAsia="Times New Roman" w:hAnsi="Times New Roman"/>
          <w:sz w:val="18"/>
          <w:szCs w:val="18"/>
          <w:rtl w:val="0"/>
        </w:rPr>
        <w:t xml:space="preserve">A</w:t>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nimae 27.21-28.15.</w:t>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tl w:val="0"/>
        </w:rPr>
      </w:r>
    </w:p>
  </w:footnote>
  <w:footnote w:id="7">
    <w:p w:rsidR="00000000" w:rsidDel="00000000" w:rsidP="00000000" w:rsidRDefault="00000000" w:rsidRPr="00000000" w14:paraId="000000EC">
      <w:pPr>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w:t>
      </w:r>
      <w:r w:rsidDel="00000000" w:rsidR="00000000" w:rsidRPr="00000000">
        <w:rPr>
          <w:rFonts w:ascii="Times New Roman" w:cs="Times New Roman" w:eastAsia="Times New Roman" w:hAnsi="Times New Roman"/>
          <w:sz w:val="18"/>
          <w:szCs w:val="18"/>
          <w:highlight w:val="white"/>
          <w:rtl w:val="0"/>
        </w:rPr>
        <w:t xml:space="preserve">Crystal, Addey. </w:t>
      </w:r>
      <w:r w:rsidDel="00000000" w:rsidR="00000000" w:rsidRPr="00000000">
        <w:rPr>
          <w:rFonts w:ascii="Times New Roman" w:cs="Times New Roman" w:eastAsia="Times New Roman" w:hAnsi="Times New Roman"/>
          <w:i w:val="1"/>
          <w:sz w:val="18"/>
          <w:szCs w:val="18"/>
          <w:highlight w:val="white"/>
          <w:rtl w:val="0"/>
        </w:rPr>
        <w:t xml:space="preserve">Divination and Theurgy in Neoplatonism</w:t>
      </w:r>
      <w:r w:rsidDel="00000000" w:rsidR="00000000" w:rsidRPr="00000000">
        <w:rPr>
          <w:rFonts w:ascii="Times New Roman" w:cs="Times New Roman" w:eastAsia="Times New Roman" w:hAnsi="Times New Roman"/>
          <w:sz w:val="18"/>
          <w:szCs w:val="18"/>
          <w:highlight w:val="white"/>
          <w:rtl w:val="0"/>
        </w:rPr>
        <w:t xml:space="preserve">: </w:t>
      </w:r>
      <w:r w:rsidDel="00000000" w:rsidR="00000000" w:rsidRPr="00000000">
        <w:rPr>
          <w:rFonts w:ascii="Times New Roman" w:cs="Times New Roman" w:eastAsia="Times New Roman" w:hAnsi="Times New Roman"/>
          <w:i w:val="1"/>
          <w:sz w:val="18"/>
          <w:szCs w:val="18"/>
          <w:highlight w:val="white"/>
          <w:rtl w:val="0"/>
        </w:rPr>
        <w:t xml:space="preserve">Oracles of the gods</w:t>
      </w:r>
      <w:r w:rsidDel="00000000" w:rsidR="00000000" w:rsidRPr="00000000">
        <w:rPr>
          <w:rFonts w:ascii="Times New Roman" w:cs="Times New Roman" w:eastAsia="Times New Roman" w:hAnsi="Times New Roman"/>
          <w:sz w:val="18"/>
          <w:szCs w:val="18"/>
          <w:highlight w:val="white"/>
          <w:rtl w:val="0"/>
        </w:rPr>
        <w:t xml:space="preserve">, (Farnham: Ashgate, 2014)</w:t>
      </w:r>
      <w:r w:rsidDel="00000000" w:rsidR="00000000" w:rsidRPr="00000000">
        <w:rPr>
          <w:rFonts w:ascii="Times New Roman" w:cs="Times New Roman" w:eastAsia="Times New Roman" w:hAnsi="Times New Roman"/>
          <w:sz w:val="18"/>
          <w:szCs w:val="18"/>
          <w:rtl w:val="0"/>
        </w:rPr>
        <w:t xml:space="preserve">  P.39</w:t>
      </w:r>
    </w:p>
  </w:footnote>
  <w:footnote w:id="8">
    <w:p w:rsidR="00000000" w:rsidDel="00000000" w:rsidP="00000000" w:rsidRDefault="00000000" w:rsidRPr="00000000" w14:paraId="000000ED">
      <w:pPr>
        <w:jc w:val="both"/>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Iamblichus, </w:t>
      </w:r>
      <w:r w:rsidDel="00000000" w:rsidR="00000000" w:rsidRPr="00000000">
        <w:rPr>
          <w:rFonts w:ascii="Times New Roman" w:cs="Times New Roman" w:eastAsia="Times New Roman" w:hAnsi="Times New Roman"/>
          <w:i w:val="1"/>
          <w:sz w:val="18"/>
          <w:szCs w:val="18"/>
          <w:rtl w:val="0"/>
        </w:rPr>
        <w:t xml:space="preserve">De Mysteriis</w:t>
      </w:r>
      <w:r w:rsidDel="00000000" w:rsidR="00000000" w:rsidRPr="00000000">
        <w:rPr>
          <w:rFonts w:ascii="Times New Roman" w:cs="Times New Roman" w:eastAsia="Times New Roman" w:hAnsi="Times New Roman"/>
          <w:sz w:val="18"/>
          <w:szCs w:val="18"/>
          <w:rtl w:val="0"/>
        </w:rPr>
        <w:t xml:space="preserve">, 1497. 1.7 29</w:t>
      </w:r>
    </w:p>
  </w:footnote>
  <w:footnote w:id="9">
    <w:p w:rsidR="00000000" w:rsidDel="00000000" w:rsidP="00000000" w:rsidRDefault="00000000" w:rsidRPr="00000000" w14:paraId="000000EE">
      <w:pPr>
        <w:jc w:val="both"/>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Iamblichus, </w:t>
      </w:r>
      <w:r w:rsidDel="00000000" w:rsidR="00000000" w:rsidRPr="00000000">
        <w:rPr>
          <w:rFonts w:ascii="Times New Roman" w:cs="Times New Roman" w:eastAsia="Times New Roman" w:hAnsi="Times New Roman"/>
          <w:i w:val="1"/>
          <w:sz w:val="18"/>
          <w:szCs w:val="18"/>
          <w:rtl w:val="0"/>
        </w:rPr>
        <w:t xml:space="preserve">De Mysteriis</w:t>
      </w:r>
      <w:r w:rsidDel="00000000" w:rsidR="00000000" w:rsidRPr="00000000">
        <w:rPr>
          <w:rFonts w:ascii="Times New Roman" w:cs="Times New Roman" w:eastAsia="Times New Roman" w:hAnsi="Times New Roman"/>
          <w:sz w:val="18"/>
          <w:szCs w:val="18"/>
          <w:rtl w:val="0"/>
        </w:rPr>
        <w:t xml:space="preserve">, 1497. 1.6-7 - 27</w:t>
      </w:r>
    </w:p>
  </w:footnote>
  <w:footnote w:id="10">
    <w:p w:rsidR="00000000" w:rsidDel="00000000" w:rsidP="00000000" w:rsidRDefault="00000000" w:rsidRPr="00000000" w14:paraId="000000E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Addey, </w:t>
      </w: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Divination and Theurgy</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p.25 on Iamblichus, DM 5.22 (231.12-231.2.).</w:t>
      </w:r>
    </w:p>
  </w:footnote>
  <w:footnote w:id="11">
    <w:p w:rsidR="00000000" w:rsidDel="00000000" w:rsidP="00000000" w:rsidRDefault="00000000" w:rsidRPr="00000000" w14:paraId="000000F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 Plato, </w:t>
      </w:r>
      <w:r w:rsidDel="00000000" w:rsidR="00000000" w:rsidRPr="00000000">
        <w:rPr>
          <w:rFonts w:ascii="Times New Roman" w:cs="Times New Roman" w:eastAsia="Times New Roman" w:hAnsi="Times New Roman"/>
          <w:i w:val="1"/>
          <w:smallCaps w:val="0"/>
          <w:strike w:val="0"/>
          <w:color w:val="000000"/>
          <w:sz w:val="18"/>
          <w:szCs w:val="18"/>
          <w:u w:val="none"/>
          <w:shd w:fill="auto" w:val="clear"/>
          <w:vertAlign w:val="baseline"/>
          <w:rtl w:val="0"/>
        </w:rPr>
        <w:t xml:space="preserve">Timaeus,</w:t>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 p.73: 37.</w:t>
      </w:r>
    </w:p>
  </w:footnote>
  <w:footnote w:id="12">
    <w:p w:rsidR="00000000" w:rsidDel="00000000" w:rsidP="00000000" w:rsidRDefault="00000000" w:rsidRPr="00000000" w14:paraId="000000F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Plato, </w:t>
      </w:r>
      <w:r w:rsidDel="00000000" w:rsidR="00000000" w:rsidRPr="00000000">
        <w:rPr>
          <w:rFonts w:ascii="Times New Roman" w:cs="Times New Roman" w:eastAsia="Times New Roman" w:hAnsi="Times New Roman"/>
          <w:i w:val="1"/>
          <w:smallCaps w:val="0"/>
          <w:strike w:val="0"/>
          <w:color w:val="000000"/>
          <w:sz w:val="18"/>
          <w:szCs w:val="18"/>
          <w:u w:val="none"/>
          <w:shd w:fill="auto" w:val="clear"/>
          <w:vertAlign w:val="baseline"/>
          <w:rtl w:val="0"/>
        </w:rPr>
        <w:t xml:space="preserve">Phaedo,</w:t>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 p.331: d.</w:t>
      </w:r>
    </w:p>
  </w:footnote>
  <w:footnote w:id="13">
    <w:p w:rsidR="00000000" w:rsidDel="00000000" w:rsidP="00000000" w:rsidRDefault="00000000" w:rsidRPr="00000000" w14:paraId="000000F2">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Polymnia Athanassiadi. </w:t>
      </w:r>
      <w:r w:rsidDel="00000000" w:rsidR="00000000" w:rsidRPr="00000000">
        <w:rPr>
          <w:rFonts w:ascii="Times New Roman" w:cs="Times New Roman" w:eastAsia="Times New Roman" w:hAnsi="Times New Roman"/>
          <w:sz w:val="18"/>
          <w:szCs w:val="18"/>
          <w:rtl w:val="0"/>
        </w:rPr>
        <w:t xml:space="preserve">‘</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Dreams, Theurgy and Freelance divination</w:t>
      </w:r>
      <w:r w:rsidDel="00000000" w:rsidR="00000000" w:rsidRPr="00000000">
        <w:rPr>
          <w:rFonts w:ascii="Times New Roman" w:cs="Times New Roman" w:eastAsia="Times New Roman" w:hAnsi="Times New Roman"/>
          <w:sz w:val="18"/>
          <w:szCs w:val="18"/>
          <w:rtl w:val="0"/>
        </w:rPr>
        <w:t xml:space="preserve">’</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The Journal of Roman Studies. </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83. 115-130. (1993) P120; Myst, g ibid. V.25; I.I5; cf. v </w:t>
      </w:r>
    </w:p>
  </w:footnote>
  <w:footnote w:id="14">
    <w:p w:rsidR="00000000" w:rsidDel="00000000" w:rsidP="00000000" w:rsidRDefault="00000000" w:rsidRPr="00000000" w14:paraId="000000F3">
      <w:pPr>
        <w:keepNext w:val="0"/>
        <w:keepLines w:val="0"/>
        <w:pageBreakBefore w:val="0"/>
        <w:widowControl w:val="1"/>
        <w:pBdr>
          <w:top w:space="0" w:sz="0" w:val="nil"/>
          <w:left w:space="0" w:sz="0" w:val="nil"/>
          <w:bottom w:space="0" w:sz="0" w:val="nil"/>
          <w:right w:space="0" w:sz="0" w:val="nil"/>
          <w:between w:space="0" w:sz="0" w:val="nil"/>
        </w:pBdr>
        <w:shd w:fill="ffffff"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Athanassiadi, </w:t>
      </w:r>
      <w:r w:rsidDel="00000000" w:rsidR="00000000" w:rsidRPr="00000000">
        <w:rPr>
          <w:rFonts w:ascii="Times New Roman" w:cs="Times New Roman" w:eastAsia="Times New Roman" w:hAnsi="Times New Roman"/>
          <w:sz w:val="18"/>
          <w:szCs w:val="18"/>
          <w:rtl w:val="0"/>
        </w:rPr>
        <w:t xml:space="preserve">‘</w:t>
      </w:r>
      <w:r w:rsidDel="00000000" w:rsidR="00000000" w:rsidRPr="00000000">
        <w:rPr>
          <w:rFonts w:ascii="Times New Roman" w:cs="Times New Roman" w:eastAsia="Times New Roman" w:hAnsi="Times New Roman"/>
          <w:b w:val="0"/>
          <w:smallCaps w:val="0"/>
          <w:strike w:val="0"/>
          <w:color w:val="000000"/>
          <w:sz w:val="18"/>
          <w:szCs w:val="18"/>
          <w:u w:val="none"/>
          <w:shd w:fill="auto" w:val="clear"/>
          <w:vertAlign w:val="baseline"/>
          <w:rtl w:val="0"/>
        </w:rPr>
        <w:t xml:space="preserve">Divination and Theurgy.</w:t>
      </w:r>
      <w:r w:rsidDel="00000000" w:rsidR="00000000" w:rsidRPr="00000000">
        <w:rPr>
          <w:rFonts w:ascii="Times New Roman" w:cs="Times New Roman" w:eastAsia="Times New Roman" w:hAnsi="Times New Roman"/>
          <w:sz w:val="18"/>
          <w:szCs w:val="18"/>
          <w:rtl w:val="0"/>
        </w:rPr>
        <w:t xml:space="preserve">’</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p.121; Myst. III.3.</w:t>
      </w:r>
      <w:r w:rsidDel="00000000" w:rsidR="00000000" w:rsidRPr="00000000">
        <w:rPr>
          <w:rtl w:val="0"/>
        </w:rPr>
      </w:r>
    </w:p>
  </w:footnote>
  <w:footnote w:id="16">
    <w:p w:rsidR="00000000" w:rsidDel="00000000" w:rsidP="00000000" w:rsidRDefault="00000000" w:rsidRPr="00000000" w14:paraId="000000F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Gedaliahu G. Stroumsa. ‘Chaldean Oracles’, </w:t>
      </w: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Numen.</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27.1. 167-172 (1980) p.169., .https://www.jstor.org/stable/3269987 </w:t>
      </w:r>
    </w:p>
  </w:footnote>
  <w:footnote w:id="18">
    <w:p w:rsidR="00000000" w:rsidDel="00000000" w:rsidP="00000000" w:rsidRDefault="00000000" w:rsidRPr="00000000" w14:paraId="000000F5">
      <w:pPr>
        <w:rPr>
          <w:rFonts w:ascii="Times New Roman" w:cs="Times New Roman" w:eastAsia="Times New Roman" w:hAnsi="Times New Roman"/>
          <w:color w:val="000000"/>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Patrick Curry and Angela Voss. </w:t>
      </w:r>
      <w:r w:rsidDel="00000000" w:rsidR="00000000" w:rsidRPr="00000000">
        <w:rPr>
          <w:rFonts w:ascii="Times New Roman" w:cs="Times New Roman" w:eastAsia="Times New Roman" w:hAnsi="Times New Roman"/>
          <w:i w:val="1"/>
          <w:sz w:val="18"/>
          <w:szCs w:val="18"/>
          <w:rtl w:val="0"/>
        </w:rPr>
        <w:t xml:space="preserve">Seeing with Different Eyes: Essays in Astrology and Divination</w:t>
      </w:r>
      <w:r w:rsidDel="00000000" w:rsidR="00000000" w:rsidRPr="00000000">
        <w:rPr>
          <w:rFonts w:ascii="Times New Roman" w:cs="Times New Roman" w:eastAsia="Times New Roman" w:hAnsi="Times New Roman"/>
          <w:sz w:val="18"/>
          <w:szCs w:val="18"/>
          <w:rtl w:val="0"/>
        </w:rPr>
        <w:t xml:space="preserve"> (Cambridge, Cambridge Scholars Pub., 2007). Introduction. </w:t>
      </w:r>
      <w:r w:rsidDel="00000000" w:rsidR="00000000" w:rsidRPr="00000000">
        <w:rPr>
          <w:rFonts w:ascii="Times New Roman" w:cs="Times New Roman" w:eastAsia="Times New Roman" w:hAnsi="Times New Roman"/>
          <w:sz w:val="18"/>
          <w:szCs w:val="18"/>
          <w:highlight w:val="white"/>
          <w:rtl w:val="0"/>
        </w:rPr>
        <w:t xml:space="preserve">xi</w:t>
      </w:r>
      <w:r w:rsidDel="00000000" w:rsidR="00000000" w:rsidRPr="00000000">
        <w:rPr>
          <w:rtl w:val="0"/>
        </w:rPr>
      </w:r>
    </w:p>
  </w:footnote>
  <w:footnote w:id="20">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ffffff" w:val="clear"/>
        <w:spacing w:after="160" w:before="0" w:line="259" w:lineRule="auto"/>
        <w:ind w:left="0" w:right="0" w:firstLine="0"/>
        <w:jc w:val="left"/>
        <w:rPr>
          <w:rFonts w:ascii="Times New Roman" w:cs="Times New Roman" w:eastAsia="Times New Roman" w:hAnsi="Times New Roman"/>
          <w:b w:val="0"/>
          <w:i w:val="1"/>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Athanassiadi. </w:t>
      </w:r>
      <w:r w:rsidDel="00000000" w:rsidR="00000000" w:rsidRPr="00000000">
        <w:rPr>
          <w:rFonts w:ascii="Times New Roman" w:cs="Times New Roman" w:eastAsia="Times New Roman" w:hAnsi="Times New Roman"/>
          <w:sz w:val="18"/>
          <w:szCs w:val="18"/>
          <w:rtl w:val="0"/>
        </w:rPr>
        <w:t xml:space="preserve">‘</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Dreams, Theurgy and Freelance divination</w:t>
      </w:r>
      <w:r w:rsidDel="00000000" w:rsidR="00000000" w:rsidRPr="00000000">
        <w:rPr>
          <w:rFonts w:ascii="Times New Roman" w:cs="Times New Roman" w:eastAsia="Times New Roman" w:hAnsi="Times New Roman"/>
          <w:sz w:val="18"/>
          <w:szCs w:val="18"/>
          <w:rtl w:val="0"/>
        </w:rPr>
        <w:t xml:space="preserve">’</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P.119; Iamblichus. In Ti. fr. 45. </w:t>
      </w:r>
      <w:r w:rsidDel="00000000" w:rsidR="00000000" w:rsidRPr="00000000">
        <w:rPr>
          <w:rtl w:val="0"/>
        </w:rPr>
      </w:r>
    </w:p>
    <w:p w:rsidR="00000000" w:rsidDel="00000000" w:rsidP="00000000" w:rsidRDefault="00000000" w:rsidRPr="00000000" w14:paraId="000000F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footnote>
  <w:footnote w:id="21">
    <w:p w:rsidR="00000000" w:rsidDel="00000000" w:rsidP="00000000" w:rsidRDefault="00000000" w:rsidRPr="00000000" w14:paraId="000000F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w:t>
      </w:r>
      <w:r w:rsidDel="00000000" w:rsidR="00000000" w:rsidRPr="00000000">
        <w:rPr>
          <w:rFonts w:ascii="Times New Roman" w:cs="Times New Roman" w:eastAsia="Times New Roman" w:hAnsi="Times New Roman"/>
          <w:i w:val="0"/>
          <w:smallCaps w:val="0"/>
          <w:strike w:val="0"/>
          <w:sz w:val="18"/>
          <w:szCs w:val="18"/>
          <w:shd w:fill="auto" w:val="clear"/>
          <w:vertAlign w:val="baseline"/>
          <w:rtl w:val="0"/>
        </w:rPr>
        <w:t xml:space="preserve">Emma C. Clarke, Jackson P. Hershbell, John M. Dillon - </w:t>
      </w:r>
      <w:r w:rsidDel="00000000" w:rsidR="00000000" w:rsidRPr="00000000">
        <w:rPr>
          <w:rFonts w:ascii="Times New Roman" w:cs="Times New Roman" w:eastAsia="Times New Roman" w:hAnsi="Times New Roman"/>
          <w:i w:val="0"/>
          <w:smallCaps w:val="0"/>
          <w:strike w:val="0"/>
          <w:sz w:val="18"/>
          <w:szCs w:val="18"/>
          <w:shd w:fill="auto" w:val="clear"/>
          <w:vertAlign w:val="baseline"/>
          <w:rtl w:val="0"/>
        </w:rPr>
        <w:t xml:space="preserve">Iam</w:t>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blichus. </w:t>
      </w:r>
      <w:r w:rsidDel="00000000" w:rsidR="00000000" w:rsidRPr="00000000">
        <w:rPr>
          <w:rFonts w:ascii="Times New Roman" w:cs="Times New Roman" w:eastAsia="Times New Roman" w:hAnsi="Times New Roman"/>
          <w:i w:val="1"/>
          <w:smallCaps w:val="0"/>
          <w:strike w:val="0"/>
          <w:color w:val="000000"/>
          <w:sz w:val="18"/>
          <w:szCs w:val="18"/>
          <w:u w:val="none"/>
          <w:shd w:fill="auto" w:val="clear"/>
          <w:vertAlign w:val="baseline"/>
          <w:rtl w:val="0"/>
        </w:rPr>
        <w:t xml:space="preserve">De Mysteriis. </w:t>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2003. P.83</w:t>
      </w:r>
    </w:p>
  </w:footnote>
  <w:footnote w:id="22">
    <w:p w:rsidR="00000000" w:rsidDel="00000000" w:rsidP="00000000" w:rsidRDefault="00000000" w:rsidRPr="00000000" w14:paraId="000000F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John</w:t>
      </w:r>
      <w:r w:rsidDel="00000000" w:rsidR="00000000" w:rsidRPr="00000000">
        <w:rPr>
          <w:rFonts w:ascii="Times New Roman" w:cs="Times New Roman" w:eastAsia="Times New Roman" w:hAnsi="Times New Roman"/>
          <w:sz w:val="18"/>
          <w:szCs w:val="18"/>
          <w:rtl w:val="0"/>
        </w:rPr>
        <w:t xml:space="preserve"> Finamore.</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Iamblichus, Theurgy, and the Soul’s Ascen</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t.2013, pp. 343-356. </w:t>
      </w:r>
    </w:p>
  </w:footnote>
  <w:footnote w:id="25">
    <w:p w:rsidR="00000000" w:rsidDel="00000000" w:rsidP="00000000" w:rsidRDefault="00000000" w:rsidRPr="00000000" w14:paraId="000000FA">
      <w:pPr>
        <w:rPr>
          <w:rFonts w:ascii="Times" w:cs="Times" w:eastAsia="Times" w:hAnsi="Times"/>
          <w:color w:val="000000"/>
          <w:sz w:val="18"/>
          <w:szCs w:val="18"/>
        </w:rPr>
      </w:pPr>
      <w:r w:rsidDel="00000000" w:rsidR="00000000" w:rsidRPr="00000000">
        <w:rPr>
          <w:rStyle w:val="FootnoteReference"/>
          <w:vertAlign w:val="superscript"/>
        </w:rPr>
        <w:footnoteRef/>
      </w:r>
      <w:r w:rsidDel="00000000" w:rsidR="00000000" w:rsidRPr="00000000">
        <w:rPr>
          <w:rtl w:val="0"/>
        </w:rPr>
        <w:t xml:space="preserve"> </w:t>
      </w:r>
      <w:r w:rsidDel="00000000" w:rsidR="00000000" w:rsidRPr="00000000">
        <w:rPr>
          <w:rFonts w:ascii="Times" w:cs="Times" w:eastAsia="Times" w:hAnsi="Times"/>
          <w:sz w:val="18"/>
          <w:szCs w:val="18"/>
          <w:rtl w:val="0"/>
        </w:rPr>
        <w:t xml:space="preserve">Curry. Voss. </w:t>
      </w:r>
      <w:r w:rsidDel="00000000" w:rsidR="00000000" w:rsidRPr="00000000">
        <w:rPr>
          <w:rFonts w:ascii="Times" w:cs="Times" w:eastAsia="Times" w:hAnsi="Times"/>
          <w:i w:val="1"/>
          <w:sz w:val="18"/>
          <w:szCs w:val="18"/>
          <w:rtl w:val="0"/>
        </w:rPr>
        <w:t xml:space="preserve">Seeing with Different Eyes</w:t>
      </w:r>
      <w:r w:rsidDel="00000000" w:rsidR="00000000" w:rsidRPr="00000000">
        <w:rPr>
          <w:rFonts w:ascii="Times" w:cs="Times" w:eastAsia="Times" w:hAnsi="Times"/>
          <w:sz w:val="18"/>
          <w:szCs w:val="18"/>
          <w:rtl w:val="0"/>
        </w:rPr>
        <w:t xml:space="preserve">. III, p.40.</w:t>
      </w:r>
      <w:r w:rsidDel="00000000" w:rsidR="00000000" w:rsidRPr="00000000">
        <w:rPr>
          <w:rtl w:val="0"/>
        </w:rPr>
      </w:r>
    </w:p>
    <w:p w:rsidR="00000000" w:rsidDel="00000000" w:rsidP="00000000" w:rsidRDefault="00000000" w:rsidRPr="00000000" w14:paraId="000000F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tl w:val="0"/>
        </w:rPr>
      </w:r>
    </w:p>
  </w:footnote>
  <w:footnote w:id="26">
    <w:p w:rsidR="00000000" w:rsidDel="00000000" w:rsidP="00000000" w:rsidRDefault="00000000" w:rsidRPr="00000000" w14:paraId="000000FC">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Barbara Tedlock, ‘Divination as a Way of Knowing: Embodiment, Visualisation, Narrative, and Interpretation’. </w:t>
      </w:r>
      <w:r w:rsidDel="00000000" w:rsidR="00000000" w:rsidRPr="00000000">
        <w:rPr>
          <w:rFonts w:ascii="Times New Roman" w:cs="Times New Roman" w:eastAsia="Times New Roman" w:hAnsi="Times New Roman"/>
          <w:i w:val="1"/>
          <w:sz w:val="18"/>
          <w:szCs w:val="18"/>
          <w:rtl w:val="0"/>
        </w:rPr>
        <w:t xml:space="preserve">Folklore </w:t>
      </w:r>
      <w:r w:rsidDel="00000000" w:rsidR="00000000" w:rsidRPr="00000000">
        <w:rPr>
          <w:rFonts w:ascii="Times New Roman" w:cs="Times New Roman" w:eastAsia="Times New Roman" w:hAnsi="Times New Roman"/>
          <w:sz w:val="18"/>
          <w:szCs w:val="18"/>
          <w:rtl w:val="0"/>
        </w:rPr>
        <w:t xml:space="preserve">112. 2:189-197 (2001) p.190</w:t>
      </w:r>
    </w:p>
    <w:p w:rsidR="00000000" w:rsidDel="00000000" w:rsidP="00000000" w:rsidRDefault="00000000" w:rsidRPr="00000000" w14:paraId="000000F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tl w:val="0"/>
        </w:rPr>
      </w:r>
    </w:p>
  </w:footnote>
  <w:footnote w:id="27">
    <w:p w:rsidR="00000000" w:rsidDel="00000000" w:rsidP="00000000" w:rsidRDefault="00000000" w:rsidRPr="00000000" w14:paraId="000000F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Addey,</w:t>
      </w: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 Divination and Theurgy.</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p.25</w:t>
      </w:r>
    </w:p>
  </w:footnote>
  <w:footnote w:id="29">
    <w:p w:rsidR="00000000" w:rsidDel="00000000" w:rsidP="00000000" w:rsidRDefault="00000000" w:rsidRPr="00000000" w14:paraId="000000F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w:t>
      </w:r>
      <w:r w:rsidDel="00000000" w:rsidR="00000000" w:rsidRPr="00000000">
        <w:rPr>
          <w:rFonts w:ascii="Times New Roman" w:cs="Times New Roman" w:eastAsia="Times New Roman" w:hAnsi="Times New Roman"/>
          <w:sz w:val="18"/>
          <w:szCs w:val="18"/>
          <w:rtl w:val="0"/>
        </w:rPr>
        <w:t xml:space="preserve">Ibid.. </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p.239</w:t>
      </w:r>
    </w:p>
  </w:footnote>
  <w:footnote w:id="30">
    <w:p w:rsidR="00000000" w:rsidDel="00000000" w:rsidP="00000000" w:rsidRDefault="00000000" w:rsidRPr="00000000" w14:paraId="0000010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 Ibid, p.250.</w:t>
      </w:r>
    </w:p>
  </w:footnote>
  <w:footnote w:id="40">
    <w:p w:rsidR="00000000" w:rsidDel="00000000" w:rsidP="00000000" w:rsidRDefault="00000000" w:rsidRPr="00000000" w14:paraId="00000101">
      <w:pPr>
        <w:rPr>
          <w:rFonts w:ascii="Times New Roman" w:cs="Times New Roman" w:eastAsia="Times New Roman" w:hAnsi="Times New Roman"/>
          <w:color w:val="000000"/>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Becker, Judith. ‘Music and Trance.’ </w:t>
      </w:r>
      <w:r w:rsidDel="00000000" w:rsidR="00000000" w:rsidRPr="00000000">
        <w:rPr>
          <w:rFonts w:ascii="Times New Roman" w:cs="Times New Roman" w:eastAsia="Times New Roman" w:hAnsi="Times New Roman"/>
          <w:i w:val="1"/>
          <w:sz w:val="18"/>
          <w:szCs w:val="18"/>
          <w:rtl w:val="0"/>
        </w:rPr>
        <w:t xml:space="preserve">Leonardo Music Journal</w:t>
      </w:r>
      <w:r w:rsidDel="00000000" w:rsidR="00000000" w:rsidRPr="00000000">
        <w:rPr>
          <w:rFonts w:ascii="Times New Roman" w:cs="Times New Roman" w:eastAsia="Times New Roman" w:hAnsi="Times New Roman"/>
          <w:sz w:val="18"/>
          <w:szCs w:val="18"/>
          <w:rtl w:val="0"/>
        </w:rPr>
        <w:t xml:space="preserve">, 4.41-51 (1994),. p.196., https://doi.org/10.2307/1513180. </w:t>
      </w:r>
      <w:r w:rsidDel="00000000" w:rsidR="00000000" w:rsidRPr="00000000">
        <w:rPr>
          <w:rtl w:val="0"/>
        </w:rPr>
      </w:r>
    </w:p>
  </w:footnote>
  <w:footnote w:id="41">
    <w:p w:rsidR="00000000" w:rsidDel="00000000" w:rsidP="00000000" w:rsidRDefault="00000000" w:rsidRPr="00000000" w14:paraId="000001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i w:val="0"/>
          <w:smallCaps w:val="0"/>
          <w:strike w:val="0"/>
          <w:color w:val="000000"/>
          <w:sz w:val="18"/>
          <w:szCs w:val="18"/>
          <w:u w:val="none"/>
          <w:shd w:fill="auto" w:val="clear"/>
          <w:vertAlign w:val="baseline"/>
          <w:rtl w:val="0"/>
        </w:rPr>
        <w:t xml:space="preserve"> </w:t>
      </w:r>
      <w:r w:rsidDel="00000000" w:rsidR="00000000" w:rsidRPr="00000000">
        <w:rPr>
          <w:rFonts w:ascii="Times New Roman" w:cs="Times New Roman" w:eastAsia="Times New Roman" w:hAnsi="Times New Roman"/>
          <w:color w:val="202124"/>
          <w:sz w:val="18"/>
          <w:szCs w:val="18"/>
          <w:highlight w:val="white"/>
          <w:rtl w:val="0"/>
        </w:rPr>
        <w:t xml:space="preserve">Daniel Ogden (ed.), </w:t>
      </w:r>
      <w:r w:rsidDel="00000000" w:rsidR="00000000" w:rsidRPr="00000000">
        <w:rPr>
          <w:rFonts w:ascii="Times New Roman" w:cs="Times New Roman" w:eastAsia="Times New Roman" w:hAnsi="Times New Roman"/>
          <w:i w:val="1"/>
          <w:color w:val="202124"/>
          <w:sz w:val="18"/>
          <w:szCs w:val="18"/>
          <w:highlight w:val="white"/>
          <w:rtl w:val="0"/>
        </w:rPr>
        <w:t xml:space="preserve">A Companion to Greek Religion</w:t>
      </w:r>
      <w:r w:rsidDel="00000000" w:rsidR="00000000" w:rsidRPr="00000000">
        <w:rPr>
          <w:rFonts w:ascii="Times New Roman" w:cs="Times New Roman" w:eastAsia="Times New Roman" w:hAnsi="Times New Roman"/>
          <w:color w:val="202124"/>
          <w:sz w:val="18"/>
          <w:szCs w:val="18"/>
          <w:highlight w:val="white"/>
          <w:rtl w:val="0"/>
        </w:rPr>
        <w:t xml:space="preserve">, (Oxford, Blackwell, </w:t>
      </w:r>
      <w:r w:rsidDel="00000000" w:rsidR="00000000" w:rsidRPr="00000000">
        <w:rPr>
          <w:rFonts w:ascii="Times New Roman" w:cs="Times New Roman" w:eastAsia="Times New Roman" w:hAnsi="Times New Roman"/>
          <w:color w:val="202124"/>
          <w:sz w:val="18"/>
          <w:szCs w:val="18"/>
          <w:highlight w:val="white"/>
          <w:rtl w:val="0"/>
        </w:rPr>
        <w:t xml:space="preserve">2007)</w:t>
      </w:r>
      <w:r w:rsidDel="00000000" w:rsidR="00000000" w:rsidRPr="00000000">
        <w:rPr>
          <w:rFonts w:ascii="Times New Roman" w:cs="Times New Roman" w:eastAsia="Times New Roman" w:hAnsi="Times New Roman"/>
          <w:color w:val="202124"/>
          <w:sz w:val="18"/>
          <w:szCs w:val="18"/>
          <w:highlight w:val="white"/>
          <w:rtl w:val="0"/>
        </w:rPr>
        <w:t xml:space="preserve">. 1. 18</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p. 339.</w:t>
      </w:r>
    </w:p>
  </w:footnote>
  <w:footnote w:id="42">
    <w:p w:rsidR="00000000" w:rsidDel="00000000" w:rsidP="00000000" w:rsidRDefault="00000000" w:rsidRPr="00000000" w14:paraId="00000103">
      <w:pPr>
        <w:rPr>
          <w:rFonts w:ascii="Times New Roman" w:cs="Times New Roman" w:eastAsia="Times New Roman" w:hAnsi="Times New Roman"/>
          <w:color w:val="000000"/>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Khatoon, Jamila. </w:t>
      </w:r>
      <w:r w:rsidDel="00000000" w:rsidR="00000000" w:rsidRPr="00000000">
        <w:rPr>
          <w:rFonts w:ascii="Times New Roman" w:cs="Times New Roman" w:eastAsia="Times New Roman" w:hAnsi="Times New Roman"/>
          <w:i w:val="1"/>
          <w:sz w:val="18"/>
          <w:szCs w:val="18"/>
          <w:rtl w:val="0"/>
        </w:rPr>
        <w:t xml:space="preserve">The Place of God, Man, and Universe in the Philosophic System of Iqbal. </w:t>
      </w:r>
      <w:r w:rsidDel="00000000" w:rsidR="00000000" w:rsidRPr="00000000">
        <w:rPr>
          <w:rFonts w:ascii="Times New Roman" w:cs="Times New Roman" w:eastAsia="Times New Roman" w:hAnsi="Times New Roman"/>
          <w:sz w:val="18"/>
          <w:szCs w:val="18"/>
          <w:rtl w:val="0"/>
        </w:rPr>
        <w:t xml:space="preserve">(Pakistan, Iqbal Academy Pakistan, 1963). </w:t>
      </w:r>
      <w:r w:rsidDel="00000000" w:rsidR="00000000" w:rsidRPr="00000000">
        <w:rPr>
          <w:rFonts w:ascii="Times New Roman" w:cs="Times New Roman" w:eastAsia="Times New Roman" w:hAnsi="Times New Roman"/>
          <w:color w:val="000000"/>
          <w:sz w:val="18"/>
          <w:szCs w:val="18"/>
          <w:rtl w:val="0"/>
        </w:rPr>
        <w:t xml:space="preserve">p. 63.</w:t>
      </w:r>
    </w:p>
  </w:footnote>
  <w:footnote w:id="43">
    <w:p w:rsidR="00000000" w:rsidDel="00000000" w:rsidP="00000000" w:rsidRDefault="00000000" w:rsidRPr="00000000" w14:paraId="000001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Addey, </w:t>
      </w: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Divination and Th</w:t>
      </w:r>
      <w:r w:rsidDel="00000000" w:rsidR="00000000" w:rsidRPr="00000000">
        <w:rPr>
          <w:rFonts w:ascii="Times New Roman" w:cs="Times New Roman" w:eastAsia="Times New Roman" w:hAnsi="Times New Roman"/>
          <w:i w:val="1"/>
          <w:sz w:val="18"/>
          <w:szCs w:val="18"/>
          <w:rtl w:val="0"/>
        </w:rPr>
        <w:t xml:space="preserve">eurgy</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p.55</w:t>
      </w:r>
    </w:p>
  </w:footnote>
  <w:footnote w:id="44">
    <w:p w:rsidR="00000000" w:rsidDel="00000000" w:rsidP="00000000" w:rsidRDefault="00000000" w:rsidRPr="00000000" w14:paraId="00000105">
      <w:pPr>
        <w:keepNext w:val="0"/>
        <w:keepLines w:val="0"/>
        <w:pageBreakBefore w:val="0"/>
        <w:widowControl w:val="1"/>
        <w:pBdr>
          <w:top w:space="0" w:sz="0" w:val="nil"/>
          <w:left w:space="0" w:sz="0" w:val="nil"/>
          <w:bottom w:space="0" w:sz="0" w:val="nil"/>
          <w:right w:space="0" w:sz="0" w:val="nil"/>
          <w:between w:space="0" w:sz="0" w:val="nil"/>
        </w:pBdr>
        <w:shd w:fill="ffffff"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Anne Sheppard, </w:t>
      </w:r>
      <w:r w:rsidDel="00000000" w:rsidR="00000000" w:rsidRPr="00000000">
        <w:rPr>
          <w:rFonts w:ascii="Times New Roman" w:cs="Times New Roman" w:eastAsia="Times New Roman" w:hAnsi="Times New Roman"/>
          <w:sz w:val="18"/>
          <w:szCs w:val="18"/>
          <w:rtl w:val="0"/>
        </w:rPr>
        <w:t xml:space="preserve">‘</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Proclus' Attitude to Theurgy</w:t>
      </w:r>
      <w:r w:rsidDel="00000000" w:rsidR="00000000" w:rsidRPr="00000000">
        <w:rPr>
          <w:rFonts w:ascii="Times New Roman" w:cs="Times New Roman" w:eastAsia="Times New Roman" w:hAnsi="Times New Roman"/>
          <w:sz w:val="18"/>
          <w:szCs w:val="18"/>
          <w:rtl w:val="0"/>
        </w:rPr>
        <w:t xml:space="preserve">’</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The Classical Quarterly</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  32. 1.(1982), 212-224. </w:t>
      </w:r>
      <w:r w:rsidDel="00000000" w:rsidR="00000000" w:rsidRPr="00000000">
        <w:rPr>
          <w:rFonts w:ascii="Times New Roman" w:cs="Times New Roman" w:eastAsia="Times New Roman" w:hAnsi="Times New Roman"/>
          <w:sz w:val="18"/>
          <w:szCs w:val="18"/>
          <w:rtl w:val="0"/>
        </w:rPr>
        <w:t xml:space="preserve">92. 10-13.</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(p.216) </w:t>
      </w:r>
    </w:p>
  </w:footnote>
  <w:footnote w:id="46">
    <w:p w:rsidR="00000000" w:rsidDel="00000000" w:rsidP="00000000" w:rsidRDefault="00000000" w:rsidRPr="00000000" w14:paraId="000001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Ibid. 92. 10-13.</w:t>
      </w:r>
    </w:p>
  </w:footnote>
  <w:footnote w:id="47">
    <w:p w:rsidR="00000000" w:rsidDel="00000000" w:rsidP="00000000" w:rsidRDefault="00000000" w:rsidRPr="00000000" w14:paraId="00000107">
      <w:pPr>
        <w:keepNext w:val="0"/>
        <w:keepLines w:val="0"/>
        <w:pageBreakBefore w:val="0"/>
        <w:widowControl w:val="1"/>
        <w:pBdr>
          <w:top w:space="0" w:sz="0" w:val="nil"/>
          <w:left w:space="0" w:sz="0" w:val="nil"/>
          <w:bottom w:space="0" w:sz="0" w:val="nil"/>
          <w:right w:space="0" w:sz="0" w:val="nil"/>
          <w:between w:space="0" w:sz="0" w:val="nil"/>
        </w:pBdr>
        <w:shd w:fill="ffffff"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Athanassiadi, </w:t>
      </w:r>
      <w:r w:rsidDel="00000000" w:rsidR="00000000" w:rsidRPr="00000000">
        <w:rPr>
          <w:rFonts w:ascii="Times New Roman" w:cs="Times New Roman" w:eastAsia="Times New Roman" w:hAnsi="Times New Roman"/>
          <w:sz w:val="18"/>
          <w:szCs w:val="18"/>
          <w:rtl w:val="0"/>
        </w:rPr>
        <w:t xml:space="preserve">‘Dreams,</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Theurgy</w:t>
      </w:r>
      <w:r w:rsidDel="00000000" w:rsidR="00000000" w:rsidRPr="00000000">
        <w:rPr>
          <w:rFonts w:ascii="Times New Roman" w:cs="Times New Roman" w:eastAsia="Times New Roman" w:hAnsi="Times New Roman"/>
          <w:sz w:val="18"/>
          <w:szCs w:val="18"/>
          <w:rtl w:val="0"/>
        </w:rPr>
        <w:t xml:space="preserve">’</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P.121, EP.Aneb.ii.c.</w:t>
      </w:r>
    </w:p>
  </w:footnote>
  <w:footnote w:id="48">
    <w:p w:rsidR="00000000" w:rsidDel="00000000" w:rsidP="00000000" w:rsidRDefault="00000000" w:rsidRPr="00000000" w14:paraId="00000108">
      <w:pPr>
        <w:keepNext w:val="0"/>
        <w:keepLines w:val="0"/>
        <w:pageBreakBefore w:val="0"/>
        <w:widowControl w:val="1"/>
        <w:pBdr>
          <w:top w:space="0" w:sz="0" w:val="nil"/>
          <w:left w:space="0" w:sz="0" w:val="nil"/>
          <w:bottom w:space="0" w:sz="0" w:val="nil"/>
          <w:right w:space="0" w:sz="0" w:val="nil"/>
          <w:between w:space="0" w:sz="0" w:val="nil"/>
        </w:pBdr>
        <w:shd w:fill="ffffff"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w:t>
      </w:r>
      <w:r w:rsidDel="00000000" w:rsidR="00000000" w:rsidRPr="00000000">
        <w:rPr>
          <w:rFonts w:ascii="Times New Roman" w:cs="Times New Roman" w:eastAsia="Times New Roman" w:hAnsi="Times New Roman"/>
          <w:sz w:val="18"/>
          <w:szCs w:val="18"/>
          <w:rtl w:val="0"/>
        </w:rPr>
        <w:t xml:space="preserve">Ibid.</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P.121; Myst . III .25. </w:t>
      </w:r>
    </w:p>
  </w:footnote>
  <w:footnote w:id="49">
    <w:p w:rsidR="00000000" w:rsidDel="00000000" w:rsidP="00000000" w:rsidRDefault="00000000" w:rsidRPr="00000000" w14:paraId="000001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Iamblichus, </w:t>
      </w: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De Mysteriis</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1497. 3.11 126. 1-3</w:t>
      </w:r>
    </w:p>
  </w:footnote>
  <w:footnote w:id="66">
    <w:p w:rsidR="00000000" w:rsidDel="00000000" w:rsidP="00000000" w:rsidRDefault="00000000" w:rsidRPr="00000000" w14:paraId="0000010A">
      <w:pPr>
        <w:rPr>
          <w:rFonts w:ascii="Times" w:cs="Times" w:eastAsia="Times" w:hAnsi="Times"/>
          <w:sz w:val="18"/>
          <w:szCs w:val="18"/>
        </w:rPr>
      </w:pPr>
      <w:r w:rsidDel="00000000" w:rsidR="00000000" w:rsidRPr="00000000">
        <w:rPr>
          <w:rStyle w:val="FootnoteReference"/>
          <w:vertAlign w:val="superscript"/>
        </w:rPr>
        <w:footnoteRef/>
      </w:r>
      <w:r w:rsidDel="00000000" w:rsidR="00000000" w:rsidRPr="00000000">
        <w:rPr>
          <w:rFonts w:ascii="Times" w:cs="Times" w:eastAsia="Times" w:hAnsi="Times"/>
          <w:sz w:val="18"/>
          <w:szCs w:val="18"/>
          <w:rtl w:val="0"/>
        </w:rPr>
        <w:t xml:space="preserve"> Von Lieven 1999, </w:t>
      </w:r>
      <w:r w:rsidDel="00000000" w:rsidR="00000000" w:rsidRPr="00000000">
        <w:rPr>
          <w:rFonts w:ascii="Times" w:cs="Times" w:eastAsia="Times" w:hAnsi="Times"/>
          <w:i w:val="1"/>
          <w:color w:val="000000"/>
          <w:sz w:val="18"/>
          <w:szCs w:val="18"/>
          <w:highlight w:val="white"/>
          <w:rtl w:val="0"/>
        </w:rPr>
        <w:t xml:space="preserve">Divination in Ägypten p.</w:t>
      </w:r>
      <w:r w:rsidDel="00000000" w:rsidR="00000000" w:rsidRPr="00000000">
        <w:rPr>
          <w:rFonts w:ascii="Times" w:cs="Times" w:eastAsia="Times" w:hAnsi="Times"/>
          <w:sz w:val="18"/>
          <w:szCs w:val="18"/>
          <w:rtl w:val="0"/>
        </w:rPr>
        <w:t xml:space="preserve">78</w:t>
      </w:r>
    </w:p>
  </w:footnote>
  <w:footnote w:id="67">
    <w:p w:rsidR="00000000" w:rsidDel="00000000" w:rsidP="00000000" w:rsidRDefault="00000000" w:rsidRPr="00000000" w14:paraId="0000010B">
      <w:pPr>
        <w:rPr>
          <w:sz w:val="20"/>
          <w:szCs w:val="20"/>
        </w:rPr>
      </w:pPr>
      <w:r w:rsidDel="00000000" w:rsidR="00000000" w:rsidRPr="00000000">
        <w:rPr>
          <w:rStyle w:val="FootnoteReference"/>
          <w:vertAlign w:val="superscript"/>
        </w:rPr>
        <w:footnoteRef/>
      </w:r>
      <w:r w:rsidDel="00000000" w:rsidR="00000000" w:rsidRPr="00000000">
        <w:rPr>
          <w:rFonts w:ascii="Times" w:cs="Times" w:eastAsia="Times" w:hAnsi="Times"/>
          <w:sz w:val="18"/>
          <w:szCs w:val="18"/>
          <w:rtl w:val="0"/>
        </w:rPr>
        <w:t xml:space="preserve"> Athanassiadi, P. 1993.</w:t>
      </w:r>
      <w:r w:rsidDel="00000000" w:rsidR="00000000" w:rsidRPr="00000000">
        <w:rPr>
          <w:rFonts w:ascii="Times" w:cs="Times" w:eastAsia="Times" w:hAnsi="Times"/>
          <w:i w:val="1"/>
          <w:sz w:val="18"/>
          <w:szCs w:val="18"/>
          <w:rtl w:val="0"/>
        </w:rPr>
        <w:t xml:space="preserve"> Dreams, Theurgy and Freelance Divination: </w:t>
      </w:r>
      <w:r w:rsidDel="00000000" w:rsidR="00000000" w:rsidRPr="00000000">
        <w:rPr>
          <w:rFonts w:ascii="Times" w:cs="Times" w:eastAsia="Times" w:hAnsi="Times"/>
          <w:sz w:val="18"/>
          <w:szCs w:val="18"/>
          <w:rtl w:val="0"/>
        </w:rPr>
        <w:t xml:space="preserve">III. p.122</w:t>
      </w:r>
      <w:r w:rsidDel="00000000" w:rsidR="00000000" w:rsidRPr="00000000">
        <w:rPr>
          <w:rtl w:val="0"/>
        </w:rPr>
      </w:r>
    </w:p>
  </w:footnote>
  <w:footnote w:id="68">
    <w:p w:rsidR="00000000" w:rsidDel="00000000" w:rsidP="00000000" w:rsidRDefault="00000000" w:rsidRPr="00000000" w14:paraId="000001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w:cs="Times" w:eastAsia="Times" w:hAnsi="Times"/>
          <w:b w:val="0"/>
          <w:i w:val="0"/>
          <w:smallCaps w:val="0"/>
          <w:strike w:val="0"/>
          <w:color w:val="000000"/>
          <w:sz w:val="20"/>
          <w:szCs w:val="20"/>
          <w:u w:val="none"/>
          <w:shd w:fill="auto" w:val="clear"/>
          <w:vertAlign w:val="baseline"/>
          <w:rtl w:val="0"/>
        </w:rPr>
        <w:t xml:space="preserve"> </w:t>
      </w:r>
      <w:r w:rsidDel="00000000" w:rsidR="00000000" w:rsidRPr="00000000">
        <w:rPr>
          <w:rFonts w:ascii="Times" w:cs="Times" w:eastAsia="Times" w:hAnsi="Times"/>
          <w:b w:val="0"/>
          <w:i w:val="0"/>
          <w:smallCaps w:val="0"/>
          <w:strike w:val="0"/>
          <w:color w:val="000000"/>
          <w:sz w:val="18"/>
          <w:szCs w:val="18"/>
          <w:u w:val="none"/>
          <w:shd w:fill="auto" w:val="clear"/>
          <w:vertAlign w:val="baseline"/>
          <w:rtl w:val="0"/>
        </w:rPr>
        <w:t xml:space="preserve">Iamblichus, </w:t>
      </w:r>
      <w:r w:rsidDel="00000000" w:rsidR="00000000" w:rsidRPr="00000000">
        <w:rPr>
          <w:rFonts w:ascii="Times" w:cs="Times" w:eastAsia="Times" w:hAnsi="Times"/>
          <w:b w:val="0"/>
          <w:i w:val="1"/>
          <w:smallCaps w:val="0"/>
          <w:strike w:val="0"/>
          <w:color w:val="000000"/>
          <w:sz w:val="18"/>
          <w:szCs w:val="18"/>
          <w:u w:val="none"/>
          <w:shd w:fill="auto" w:val="clear"/>
          <w:vertAlign w:val="baseline"/>
          <w:rtl w:val="0"/>
        </w:rPr>
        <w:t xml:space="preserve">De Mysteriis</w:t>
      </w:r>
      <w:r w:rsidDel="00000000" w:rsidR="00000000" w:rsidRPr="00000000">
        <w:rPr>
          <w:rFonts w:ascii="Times" w:cs="Times" w:eastAsia="Times" w:hAnsi="Times"/>
          <w:b w:val="0"/>
          <w:i w:val="0"/>
          <w:smallCaps w:val="0"/>
          <w:strike w:val="0"/>
          <w:color w:val="000000"/>
          <w:sz w:val="18"/>
          <w:szCs w:val="18"/>
          <w:u w:val="none"/>
          <w:shd w:fill="auto" w:val="clear"/>
          <w:vertAlign w:val="baseline"/>
          <w:rtl w:val="0"/>
        </w:rPr>
        <w:t xml:space="preserve">, 1497. 7.1-2. .291</w:t>
      </w:r>
    </w:p>
  </w:footnote>
  <w:footnote w:id="69">
    <w:p w:rsidR="00000000" w:rsidDel="00000000" w:rsidP="00000000" w:rsidRDefault="00000000" w:rsidRPr="00000000" w14:paraId="000001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w:cs="Times" w:eastAsia="Times" w:hAnsi="Times"/>
          <w:b w:val="0"/>
          <w:i w:val="0"/>
          <w:smallCaps w:val="0"/>
          <w:strike w:val="0"/>
          <w:color w:val="000000"/>
          <w:sz w:val="18"/>
          <w:szCs w:val="18"/>
          <w:u w:val="none"/>
          <w:shd w:fill="auto" w:val="clear"/>
          <w:vertAlign w:val="baseline"/>
          <w:rtl w:val="0"/>
        </w:rPr>
        <w:t xml:space="preserve"> </w:t>
      </w:r>
      <w:hyperlink r:id="rId1">
        <w:r w:rsidDel="00000000" w:rsidR="00000000" w:rsidRPr="00000000">
          <w:rPr>
            <w:rFonts w:ascii="Times" w:cs="Times" w:eastAsia="Times" w:hAnsi="Times"/>
            <w:b w:val="0"/>
            <w:i w:val="0"/>
            <w:smallCaps w:val="0"/>
            <w:strike w:val="0"/>
            <w:color w:val="000000"/>
            <w:sz w:val="18"/>
            <w:szCs w:val="18"/>
            <w:u w:val="none"/>
            <w:shd w:fill="auto" w:val="clear"/>
            <w:vertAlign w:val="baseline"/>
            <w:rtl w:val="0"/>
          </w:rPr>
          <w:t xml:space="preserve">Iamblichus</w:t>
        </w:r>
      </w:hyperlink>
      <w:r w:rsidDel="00000000" w:rsidR="00000000" w:rsidRPr="00000000">
        <w:rPr>
          <w:rFonts w:ascii="Times" w:cs="Times" w:eastAsia="Times" w:hAnsi="Times"/>
          <w:b w:val="0"/>
          <w:i w:val="0"/>
          <w:smallCaps w:val="0"/>
          <w:strike w:val="0"/>
          <w:color w:val="000000"/>
          <w:sz w:val="18"/>
          <w:szCs w:val="18"/>
          <w:u w:val="none"/>
          <w:shd w:fill="auto" w:val="clear"/>
          <w:vertAlign w:val="baseline"/>
          <w:rtl w:val="0"/>
        </w:rPr>
        <w:t xml:space="preserve">, </w:t>
      </w:r>
      <w:hyperlink r:id="rId2">
        <w:r w:rsidDel="00000000" w:rsidR="00000000" w:rsidRPr="00000000">
          <w:rPr>
            <w:rFonts w:ascii="Times" w:cs="Times" w:eastAsia="Times" w:hAnsi="Times"/>
            <w:b w:val="0"/>
            <w:i w:val="0"/>
            <w:smallCaps w:val="0"/>
            <w:strike w:val="0"/>
            <w:color w:val="000000"/>
            <w:sz w:val="18"/>
            <w:szCs w:val="18"/>
            <w:u w:val="none"/>
            <w:shd w:fill="auto" w:val="clear"/>
            <w:vertAlign w:val="baseline"/>
            <w:rtl w:val="0"/>
          </w:rPr>
          <w:t xml:space="preserve">Porphyry</w:t>
        </w:r>
      </w:hyperlink>
      <w:r w:rsidDel="00000000" w:rsidR="00000000" w:rsidRPr="00000000">
        <w:rPr>
          <w:rFonts w:ascii="Times" w:cs="Times" w:eastAsia="Times" w:hAnsi="Times"/>
          <w:b w:val="0"/>
          <w:i w:val="0"/>
          <w:smallCaps w:val="0"/>
          <w:strike w:val="0"/>
          <w:color w:val="000000"/>
          <w:sz w:val="18"/>
          <w:szCs w:val="18"/>
          <w:u w:val="none"/>
          <w:shd w:fill="auto" w:val="clear"/>
          <w:vertAlign w:val="baseline"/>
          <w:rtl w:val="0"/>
        </w:rPr>
        <w:t xml:space="preserve"> · 1895. ,P.296</w:t>
      </w:r>
    </w:p>
  </w:footnote>
  <w:footnote w:id="77">
    <w:p w:rsidR="00000000" w:rsidDel="00000000" w:rsidP="00000000" w:rsidRDefault="00000000" w:rsidRPr="00000000" w14:paraId="000001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Addey , Div and Theurgy. P.26</w:t>
      </w:r>
    </w:p>
  </w:footnote>
  <w:footnote w:id="84">
    <w:p w:rsidR="00000000" w:rsidDel="00000000" w:rsidP="00000000" w:rsidRDefault="00000000" w:rsidRPr="00000000" w14:paraId="000001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18"/>
          <w:szCs w:val="18"/>
          <w:u w:val="none"/>
          <w:shd w:fill="auto" w:val="clear"/>
          <w:vertAlign w:val="baseline"/>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b w:val="0"/>
          <w:i w:val="0"/>
          <w:smallCaps w:val="0"/>
          <w:strike w:val="0"/>
          <w:color w:val="000000"/>
          <w:sz w:val="18"/>
          <w:szCs w:val="18"/>
          <w:u w:val="single"/>
          <w:shd w:fill="auto" w:val="clear"/>
          <w:vertAlign w:val="baseline"/>
          <w:rtl w:val="0"/>
        </w:rPr>
        <w:t xml:space="preserve"> </w:t>
      </w:r>
      <w:hyperlink r:id="rId3">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Iamblichus</w:t>
        </w:r>
      </w:hyperlink>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w:t>
      </w:r>
      <w:hyperlink r:id="rId4">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Porphyry</w:t>
        </w:r>
      </w:hyperlink>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 1895</w:t>
      </w: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 Iamblichus on the Mysteries of the Egyptians, Chaldeans</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,P.12</w:t>
      </w:r>
      <w:r w:rsidDel="00000000" w:rsidR="00000000" w:rsidRPr="00000000">
        <w:rPr>
          <w:rtl w:val="0"/>
        </w:rPr>
      </w:r>
    </w:p>
  </w:footnote>
  <w:footnote w:id="86">
    <w:p w:rsidR="00000000" w:rsidDel="00000000" w:rsidP="00000000" w:rsidRDefault="00000000" w:rsidRPr="00000000" w14:paraId="000001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w:cs="Times" w:eastAsia="Times" w:hAnsi="Times"/>
          <w:b w:val="0"/>
          <w:i w:val="0"/>
          <w:smallCaps w:val="0"/>
          <w:strike w:val="0"/>
          <w:color w:val="000000"/>
          <w:sz w:val="18"/>
          <w:szCs w:val="18"/>
          <w:u w:val="none"/>
          <w:shd w:fill="auto" w:val="clear"/>
          <w:vertAlign w:val="superscript"/>
        </w:rPr>
      </w:pPr>
      <w:r w:rsidDel="00000000" w:rsidR="00000000" w:rsidRPr="00000000">
        <w:rPr>
          <w:rStyle w:val="FootnoteReference"/>
          <w:vertAlign w:val="superscript"/>
        </w:rPr>
        <w:footnoteRef/>
      </w:r>
      <w:r w:rsidDel="00000000" w:rsidR="00000000" w:rsidRPr="00000000">
        <w:rPr>
          <w:rFonts w:ascii="Times" w:cs="Times" w:eastAsia="Times" w:hAnsi="Times"/>
          <w:b w:val="0"/>
          <w:i w:val="0"/>
          <w:smallCaps w:val="0"/>
          <w:strike w:val="0"/>
          <w:color w:val="000000"/>
          <w:sz w:val="18"/>
          <w:szCs w:val="18"/>
          <w:u w:val="none"/>
          <w:shd w:fill="auto" w:val="clear"/>
          <w:vertAlign w:val="baseline"/>
          <w:rtl w:val="0"/>
        </w:rPr>
        <w:t xml:space="preserve"> Dodds, E. R. </w:t>
      </w:r>
      <w:r w:rsidDel="00000000" w:rsidR="00000000" w:rsidRPr="00000000">
        <w:rPr>
          <w:rFonts w:ascii="Times" w:cs="Times" w:eastAsia="Times" w:hAnsi="Times"/>
          <w:b w:val="0"/>
          <w:i w:val="1"/>
          <w:smallCaps w:val="0"/>
          <w:strike w:val="0"/>
          <w:color w:val="000000"/>
          <w:sz w:val="18"/>
          <w:szCs w:val="18"/>
          <w:u w:val="none"/>
          <w:shd w:fill="auto" w:val="clear"/>
          <w:vertAlign w:val="baseline"/>
          <w:rtl w:val="0"/>
        </w:rPr>
        <w:t xml:space="preserve">Theurgy and Its Relationship to Neoplatonism.</w:t>
      </w:r>
      <w:r w:rsidDel="00000000" w:rsidR="00000000" w:rsidRPr="00000000">
        <w:rPr>
          <w:rFonts w:ascii="Times" w:cs="Times" w:eastAsia="Times" w:hAnsi="Times"/>
          <w:b w:val="0"/>
          <w:i w:val="0"/>
          <w:smallCaps w:val="0"/>
          <w:strike w:val="0"/>
          <w:color w:val="000000"/>
          <w:sz w:val="18"/>
          <w:szCs w:val="18"/>
          <w:u w:val="none"/>
          <w:shd w:fill="auto" w:val="clear"/>
          <w:vertAlign w:val="baseline"/>
          <w:rtl w:val="0"/>
        </w:rPr>
        <w:t xml:space="preserve"> 2022. P.59</w:t>
      </w:r>
      <w:r w:rsidDel="00000000" w:rsidR="00000000" w:rsidRPr="00000000">
        <w:rPr>
          <w:rtl w:val="0"/>
        </w:rPr>
      </w:r>
    </w:p>
  </w:footnote>
  <w:footnote w:id="87">
    <w:p w:rsidR="00000000" w:rsidDel="00000000" w:rsidP="00000000" w:rsidRDefault="00000000" w:rsidRPr="00000000" w14:paraId="00000111">
      <w:pPr>
        <w:keepNext w:val="0"/>
        <w:keepLines w:val="0"/>
        <w:pageBreakBefore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Style w:val="FootnoteReference"/>
          <w:vertAlign w:val="superscript"/>
        </w:rPr>
        <w:footnoteRef/>
      </w:r>
      <w:r w:rsidDel="00000000" w:rsidR="00000000" w:rsidRPr="00000000">
        <w:rPr>
          <w:rFonts w:ascii="Calibri" w:cs="Calibri" w:eastAsia="Calibri" w:hAnsi="Calibri"/>
          <w:b w:val="0"/>
          <w:i w:val="0"/>
          <w:smallCaps w:val="0"/>
          <w:strike w:val="0"/>
          <w:color w:val="000000"/>
          <w:sz w:val="24"/>
          <w:szCs w:val="24"/>
          <w:u w:val="none"/>
          <w:shd w:fill="auto" w:val="clear"/>
          <w:vertAlign w:val="baseline"/>
          <w:rtl w:val="0"/>
        </w:rPr>
        <w:t xml:space="preserve"> </w:t>
      </w:r>
      <w:r w:rsidDel="00000000" w:rsidR="00000000" w:rsidRPr="00000000">
        <w:rPr>
          <w:rFonts w:ascii="Code2000" w:cs="Code2000" w:eastAsia="Code2000" w:hAnsi="Code2000"/>
          <w:b w:val="0"/>
          <w:i w:val="0"/>
          <w:smallCaps w:val="0"/>
          <w:strike w:val="0"/>
          <w:color w:val="000000"/>
          <w:sz w:val="16"/>
          <w:szCs w:val="16"/>
          <w:u w:val="none"/>
          <w:shd w:fill="auto" w:val="clear"/>
          <w:vertAlign w:val="baseline"/>
          <w:rtl w:val="0"/>
        </w:rPr>
        <w:t xml:space="preserve">Porphyry, De regressi! animae 27.21-28.15.</w:t>
      </w:r>
      <w:r w:rsidDel="00000000" w:rsidR="00000000" w:rsidRPr="00000000">
        <w:rPr>
          <w:rtl w:val="0"/>
        </w:rPr>
      </w:r>
    </w:p>
  </w:footnote>
  <w:footnote w:id="88">
    <w:p w:rsidR="00000000" w:rsidDel="00000000" w:rsidP="00000000" w:rsidRDefault="00000000" w:rsidRPr="00000000" w14:paraId="0000011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Style w:val="FootnoteReference"/>
          <w:vertAlign w:val="superscript"/>
        </w:rPr>
        <w:footnoteRef/>
      </w:r>
      <w:r w:rsidDel="00000000" w:rsidR="00000000" w:rsidRPr="00000000">
        <w:rPr>
          <w:rFonts w:ascii="Calibri" w:cs="Calibri" w:eastAsia="Calibri" w:hAnsi="Calibri"/>
          <w:b w:val="0"/>
          <w:i w:val="0"/>
          <w:smallCaps w:val="0"/>
          <w:strike w:val="0"/>
          <w:color w:val="000000"/>
          <w:sz w:val="20"/>
          <w:szCs w:val="20"/>
          <w:u w:val="none"/>
          <w:shd w:fill="auto" w:val="clear"/>
          <w:vertAlign w:val="baseline"/>
          <w:rtl w:val="0"/>
        </w:rPr>
        <w:t xml:space="preserve"> </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Iamblichus, </w:t>
      </w:r>
      <w:r w:rsidDel="00000000" w:rsidR="00000000" w:rsidRPr="00000000">
        <w:rPr>
          <w:rFonts w:ascii="Times New Roman" w:cs="Times New Roman" w:eastAsia="Times New Roman" w:hAnsi="Times New Roman"/>
          <w:b w:val="0"/>
          <w:i w:val="1"/>
          <w:smallCaps w:val="0"/>
          <w:strike w:val="0"/>
          <w:color w:val="000000"/>
          <w:sz w:val="18"/>
          <w:szCs w:val="18"/>
          <w:u w:val="none"/>
          <w:shd w:fill="auto" w:val="clear"/>
          <w:vertAlign w:val="baseline"/>
          <w:rtl w:val="0"/>
        </w:rPr>
        <w:t xml:space="preserve">De Mysteriis</w:t>
      </w:r>
      <w:r w:rsidDel="00000000" w:rsidR="00000000" w:rsidRPr="00000000">
        <w:rPr>
          <w:rFonts w:ascii="Times New Roman" w:cs="Times New Roman" w:eastAsia="Times New Roman" w:hAnsi="Times New Roman"/>
          <w:b w:val="0"/>
          <w:i w:val="0"/>
          <w:smallCaps w:val="0"/>
          <w:strike w:val="0"/>
          <w:color w:val="000000"/>
          <w:sz w:val="18"/>
          <w:szCs w:val="18"/>
          <w:u w:val="none"/>
          <w:shd w:fill="auto" w:val="clear"/>
          <w:vertAlign w:val="baseline"/>
          <w:rtl w:val="0"/>
        </w:rPr>
        <w:t xml:space="preserve">, 1497. 1.6-7 - 27</w:t>
      </w:r>
      <w:r w:rsidDel="00000000" w:rsidR="00000000" w:rsidRPr="00000000">
        <w:rPr>
          <w:rtl w:val="0"/>
        </w:rPr>
      </w:r>
    </w:p>
  </w:footnote>
  <w:footnote w:id="19">
    <w:p w:rsidR="00000000" w:rsidDel="00000000" w:rsidP="00000000" w:rsidRDefault="00000000" w:rsidRPr="00000000" w14:paraId="0000011D">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Iamblichus, </w:t>
      </w:r>
      <w:r w:rsidDel="00000000" w:rsidR="00000000" w:rsidRPr="00000000">
        <w:rPr>
          <w:rFonts w:ascii="Times New Roman" w:cs="Times New Roman" w:eastAsia="Times New Roman" w:hAnsi="Times New Roman"/>
          <w:i w:val="1"/>
          <w:sz w:val="18"/>
          <w:szCs w:val="18"/>
          <w:rtl w:val="0"/>
        </w:rPr>
        <w:t xml:space="preserve">De Mysteriis, </w:t>
      </w:r>
      <w:r w:rsidDel="00000000" w:rsidR="00000000" w:rsidRPr="00000000">
        <w:rPr>
          <w:rFonts w:ascii="Times New Roman" w:cs="Times New Roman" w:eastAsia="Times New Roman" w:hAnsi="Times New Roman"/>
          <w:sz w:val="18"/>
          <w:szCs w:val="18"/>
          <w:rtl w:val="0"/>
        </w:rPr>
        <w:t xml:space="preserve">1497.</w:t>
      </w:r>
    </w:p>
  </w:footnote>
  <w:footnote w:id="70">
    <w:p w:rsidR="00000000" w:rsidDel="00000000" w:rsidP="00000000" w:rsidRDefault="00000000" w:rsidRPr="00000000" w14:paraId="0000011E">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Julien le Théurge, and Majercik, Ruth Dorothy. The Chaldean Oracles: Text, Translation, and Commentary. Germany, E.J. Brill, 1989. Introduction p.1</w:t>
      </w:r>
    </w:p>
  </w:footnote>
  <w:footnote w:id="71">
    <w:p w:rsidR="00000000" w:rsidDel="00000000" w:rsidP="00000000" w:rsidRDefault="00000000" w:rsidRPr="00000000" w14:paraId="0000011F">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Stroumsa. Chaldean Oracles. P.168.</w:t>
      </w:r>
    </w:p>
  </w:footnote>
  <w:footnote w:id="72">
    <w:p w:rsidR="00000000" w:rsidDel="00000000" w:rsidP="00000000" w:rsidRDefault="00000000" w:rsidRPr="00000000" w14:paraId="00000120">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Addey, Divination and Theurgy Ch1. P.1</w:t>
      </w:r>
    </w:p>
  </w:footnote>
  <w:footnote w:id="61">
    <w:p w:rsidR="00000000" w:rsidDel="00000000" w:rsidP="00000000" w:rsidRDefault="00000000" w:rsidRPr="00000000" w14:paraId="00000121">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Addey, </w:t>
      </w:r>
      <w:r w:rsidDel="00000000" w:rsidR="00000000" w:rsidRPr="00000000">
        <w:rPr>
          <w:rFonts w:ascii="Times New Roman" w:cs="Times New Roman" w:eastAsia="Times New Roman" w:hAnsi="Times New Roman"/>
          <w:i w:val="1"/>
          <w:sz w:val="18"/>
          <w:szCs w:val="18"/>
          <w:rtl w:val="0"/>
        </w:rPr>
        <w:t xml:space="preserve">Divination and Theurgy.</w:t>
      </w:r>
      <w:r w:rsidDel="00000000" w:rsidR="00000000" w:rsidRPr="00000000">
        <w:rPr>
          <w:rFonts w:ascii="Times New Roman" w:cs="Times New Roman" w:eastAsia="Times New Roman" w:hAnsi="Times New Roman"/>
          <w:sz w:val="18"/>
          <w:szCs w:val="18"/>
          <w:rtl w:val="0"/>
        </w:rPr>
        <w:t xml:space="preserve"> Ch.3, P.81</w:t>
      </w:r>
    </w:p>
  </w:footnote>
  <w:footnote w:id="62">
    <w:p w:rsidR="00000000" w:rsidDel="00000000" w:rsidP="00000000" w:rsidRDefault="00000000" w:rsidRPr="00000000" w14:paraId="00000122">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Ibid III. P.121</w:t>
      </w:r>
    </w:p>
  </w:footnote>
  <w:footnote w:id="63">
    <w:p w:rsidR="00000000" w:rsidDel="00000000" w:rsidP="00000000" w:rsidRDefault="00000000" w:rsidRPr="00000000" w14:paraId="00000123">
      <w:pPr>
        <w:spacing w:after="0" w:line="240" w:lineRule="auto"/>
        <w:rPr>
          <w:rFonts w:ascii="Times" w:cs="Times" w:eastAsia="Times" w:hAnsi="Times"/>
          <w:sz w:val="18"/>
          <w:szCs w:val="18"/>
        </w:rPr>
      </w:pPr>
      <w:r w:rsidDel="00000000" w:rsidR="00000000" w:rsidRPr="00000000">
        <w:rPr>
          <w:rStyle w:val="FootnoteReference"/>
          <w:vertAlign w:val="superscript"/>
        </w:rPr>
        <w:footnoteRef/>
      </w:r>
      <w:r w:rsidDel="00000000" w:rsidR="00000000" w:rsidRPr="00000000">
        <w:rPr>
          <w:rFonts w:ascii="Times" w:cs="Times" w:eastAsia="Times" w:hAnsi="Times"/>
          <w:sz w:val="18"/>
          <w:szCs w:val="18"/>
          <w:rtl w:val="0"/>
        </w:rPr>
        <w:t xml:space="preserve"> MUL.APIN Tablet | British Museum, </w:t>
      </w:r>
      <w:r w:rsidDel="00000000" w:rsidR="00000000" w:rsidRPr="00000000">
        <w:rPr>
          <w:rFonts w:ascii="Times" w:cs="Times" w:eastAsia="Times" w:hAnsi="Times"/>
          <w:i w:val="1"/>
          <w:sz w:val="18"/>
          <w:szCs w:val="18"/>
          <w:rtl w:val="0"/>
        </w:rPr>
        <w:t xml:space="preserve">The British Museum</w:t>
      </w:r>
      <w:r w:rsidDel="00000000" w:rsidR="00000000" w:rsidRPr="00000000">
        <w:rPr>
          <w:rFonts w:ascii="Times" w:cs="Times" w:eastAsia="Times" w:hAnsi="Times"/>
          <w:sz w:val="18"/>
          <w:szCs w:val="18"/>
          <w:rtl w:val="0"/>
        </w:rPr>
        <w:t xml:space="preserve">, 2022 &lt;https://www.britishmuseum.org/collection/object/W_1899-0610-108&gt; </w:t>
      </w:r>
    </w:p>
  </w:footnote>
  <w:footnote w:id="64">
    <w:p w:rsidR="00000000" w:rsidDel="00000000" w:rsidP="00000000" w:rsidRDefault="00000000" w:rsidRPr="00000000" w14:paraId="00000124">
      <w:pPr>
        <w:spacing w:after="0" w:line="240" w:lineRule="auto"/>
        <w:rPr>
          <w:rFonts w:ascii="Times" w:cs="Times" w:eastAsia="Times" w:hAnsi="Times"/>
          <w:sz w:val="18"/>
          <w:szCs w:val="18"/>
        </w:rPr>
      </w:pPr>
      <w:r w:rsidDel="00000000" w:rsidR="00000000" w:rsidRPr="00000000">
        <w:rPr>
          <w:rStyle w:val="FootnoteReference"/>
          <w:vertAlign w:val="superscript"/>
        </w:rPr>
        <w:footnoteRef/>
      </w:r>
      <w:r w:rsidDel="00000000" w:rsidR="00000000" w:rsidRPr="00000000">
        <w:rPr>
          <w:rFonts w:ascii="Times" w:cs="Times" w:eastAsia="Times" w:hAnsi="Times"/>
          <w:sz w:val="18"/>
          <w:szCs w:val="18"/>
          <w:rtl w:val="0"/>
        </w:rPr>
        <w:t xml:space="preserve"> Enūma Anu Enlil Tablet | British Museum, </w:t>
      </w:r>
      <w:r w:rsidDel="00000000" w:rsidR="00000000" w:rsidRPr="00000000">
        <w:rPr>
          <w:rFonts w:ascii="Times" w:cs="Times" w:eastAsia="Times" w:hAnsi="Times"/>
          <w:i w:val="1"/>
          <w:sz w:val="18"/>
          <w:szCs w:val="18"/>
          <w:rtl w:val="0"/>
        </w:rPr>
        <w:t xml:space="preserve">The British Museum</w:t>
      </w:r>
      <w:r w:rsidDel="00000000" w:rsidR="00000000" w:rsidRPr="00000000">
        <w:rPr>
          <w:rFonts w:ascii="Times" w:cs="Times" w:eastAsia="Times" w:hAnsi="Times"/>
          <w:sz w:val="18"/>
          <w:szCs w:val="18"/>
          <w:rtl w:val="0"/>
        </w:rPr>
        <w:t xml:space="preserve">, 2022 &lt;https://www.britishmuseum.org/collection/object/W_K-4292&gt; </w:t>
      </w:r>
    </w:p>
  </w:footnote>
  <w:footnote w:id="17">
    <w:p w:rsidR="00000000" w:rsidDel="00000000" w:rsidP="00000000" w:rsidRDefault="00000000" w:rsidRPr="00000000" w14:paraId="00000125">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Addey, </w:t>
      </w:r>
      <w:r w:rsidDel="00000000" w:rsidR="00000000" w:rsidRPr="00000000">
        <w:rPr>
          <w:rFonts w:ascii="Times New Roman" w:cs="Times New Roman" w:eastAsia="Times New Roman" w:hAnsi="Times New Roman"/>
          <w:i w:val="1"/>
          <w:sz w:val="18"/>
          <w:szCs w:val="18"/>
          <w:rtl w:val="0"/>
        </w:rPr>
        <w:t xml:space="preserve">Divination and Theurgy</w:t>
      </w:r>
      <w:r w:rsidDel="00000000" w:rsidR="00000000" w:rsidRPr="00000000">
        <w:rPr>
          <w:rFonts w:ascii="Times New Roman" w:cs="Times New Roman" w:eastAsia="Times New Roman" w:hAnsi="Times New Roman"/>
          <w:sz w:val="18"/>
          <w:szCs w:val="18"/>
          <w:rtl w:val="0"/>
        </w:rPr>
        <w:t xml:space="preserve">. p.181; CF. Ch.1, pp.35-36; Porphryr, </w:t>
      </w:r>
      <w:r w:rsidDel="00000000" w:rsidR="00000000" w:rsidRPr="00000000">
        <w:rPr>
          <w:rFonts w:ascii="Times New Roman" w:cs="Times New Roman" w:eastAsia="Times New Roman" w:hAnsi="Times New Roman"/>
          <w:i w:val="1"/>
          <w:sz w:val="18"/>
          <w:szCs w:val="18"/>
          <w:rtl w:val="0"/>
        </w:rPr>
        <w:t xml:space="preserve">Abst, </w:t>
      </w:r>
      <w:r w:rsidDel="00000000" w:rsidR="00000000" w:rsidRPr="00000000">
        <w:rPr>
          <w:rFonts w:ascii="Times New Roman" w:cs="Times New Roman" w:eastAsia="Times New Roman" w:hAnsi="Times New Roman"/>
          <w:sz w:val="18"/>
          <w:szCs w:val="18"/>
          <w:rtl w:val="0"/>
        </w:rPr>
        <w:t xml:space="preserve">2.41.5;2.42.1;2.45.1-3</w:t>
      </w:r>
    </w:p>
  </w:footnote>
  <w:footnote w:id="31">
    <w:p w:rsidR="00000000" w:rsidDel="00000000" w:rsidP="00000000" w:rsidRDefault="00000000" w:rsidRPr="00000000" w14:paraId="00000126">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Addey, </w:t>
      </w:r>
      <w:r w:rsidDel="00000000" w:rsidR="00000000" w:rsidRPr="00000000">
        <w:rPr>
          <w:rFonts w:ascii="Times New Roman" w:cs="Times New Roman" w:eastAsia="Times New Roman" w:hAnsi="Times New Roman"/>
          <w:i w:val="1"/>
          <w:sz w:val="18"/>
          <w:szCs w:val="18"/>
          <w:rtl w:val="0"/>
        </w:rPr>
        <w:t xml:space="preserve">Divination and Theurgy. </w:t>
      </w:r>
      <w:r w:rsidDel="00000000" w:rsidR="00000000" w:rsidRPr="00000000">
        <w:rPr>
          <w:rFonts w:ascii="Times New Roman" w:cs="Times New Roman" w:eastAsia="Times New Roman" w:hAnsi="Times New Roman"/>
          <w:sz w:val="18"/>
          <w:szCs w:val="18"/>
          <w:rtl w:val="0"/>
        </w:rPr>
        <w:t xml:space="preserve">p.261</w:t>
      </w:r>
    </w:p>
  </w:footnote>
  <w:footnote w:id="32">
    <w:p w:rsidR="00000000" w:rsidDel="00000000" w:rsidP="00000000" w:rsidRDefault="00000000" w:rsidRPr="00000000" w14:paraId="00000127">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w:t>
      </w:r>
      <w:r w:rsidDel="00000000" w:rsidR="00000000" w:rsidRPr="00000000">
        <w:rPr>
          <w:rFonts w:ascii="Times" w:cs="Times" w:eastAsia="Times" w:hAnsi="Times"/>
          <w:sz w:val="18"/>
          <w:szCs w:val="18"/>
          <w:rtl w:val="0"/>
        </w:rPr>
        <w:t xml:space="preserve">Curry.,Voss. </w:t>
      </w:r>
      <w:r w:rsidDel="00000000" w:rsidR="00000000" w:rsidRPr="00000000">
        <w:rPr>
          <w:rFonts w:ascii="Times" w:cs="Times" w:eastAsia="Times" w:hAnsi="Times"/>
          <w:i w:val="1"/>
          <w:sz w:val="18"/>
          <w:szCs w:val="18"/>
          <w:rtl w:val="0"/>
        </w:rPr>
        <w:t xml:space="preserve">Seeing with Different Eyes. I</w:t>
      </w:r>
      <w:r w:rsidDel="00000000" w:rsidR="00000000" w:rsidRPr="00000000">
        <w:rPr>
          <w:rFonts w:ascii="Times" w:cs="Times" w:eastAsia="Times" w:hAnsi="Times"/>
          <w:sz w:val="18"/>
          <w:szCs w:val="18"/>
          <w:rtl w:val="0"/>
        </w:rPr>
        <w:t xml:space="preserve">II, p.40.</w:t>
      </w:r>
      <w:r w:rsidDel="00000000" w:rsidR="00000000" w:rsidRPr="00000000">
        <w:rPr>
          <w:rtl w:val="0"/>
        </w:rPr>
      </w:r>
    </w:p>
  </w:footnote>
  <w:footnote w:id="34">
    <w:p w:rsidR="00000000" w:rsidDel="00000000" w:rsidP="00000000" w:rsidRDefault="00000000" w:rsidRPr="00000000" w14:paraId="00000128">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w:t>
      </w:r>
      <w:r w:rsidDel="00000000" w:rsidR="00000000" w:rsidRPr="00000000">
        <w:rPr>
          <w:rFonts w:ascii="Times" w:cs="Times" w:eastAsia="Times" w:hAnsi="Times"/>
          <w:sz w:val="18"/>
          <w:szCs w:val="18"/>
          <w:rtl w:val="0"/>
        </w:rPr>
        <w:t xml:space="preserve">Curry.,Voss.</w:t>
      </w:r>
      <w:r w:rsidDel="00000000" w:rsidR="00000000" w:rsidRPr="00000000">
        <w:rPr>
          <w:rFonts w:ascii="Times" w:cs="Times" w:eastAsia="Times" w:hAnsi="Times"/>
          <w:i w:val="1"/>
          <w:sz w:val="18"/>
          <w:szCs w:val="18"/>
          <w:rtl w:val="0"/>
        </w:rPr>
        <w:t xml:space="preserve"> Seeing with Different Eyes</w:t>
      </w:r>
      <w:r w:rsidDel="00000000" w:rsidR="00000000" w:rsidRPr="00000000">
        <w:rPr>
          <w:rFonts w:ascii="Times" w:cs="Times" w:eastAsia="Times" w:hAnsi="Times"/>
          <w:sz w:val="18"/>
          <w:szCs w:val="18"/>
          <w:rtl w:val="0"/>
        </w:rPr>
        <w:t xml:space="preserve">. III, p.41</w:t>
      </w:r>
      <w:r w:rsidDel="00000000" w:rsidR="00000000" w:rsidRPr="00000000">
        <w:rPr>
          <w:rtl w:val="0"/>
        </w:rPr>
      </w:r>
    </w:p>
  </w:footnote>
  <w:footnote w:id="33">
    <w:p w:rsidR="00000000" w:rsidDel="00000000" w:rsidP="00000000" w:rsidRDefault="00000000" w:rsidRPr="00000000" w14:paraId="00000129">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Addey, </w:t>
      </w:r>
      <w:r w:rsidDel="00000000" w:rsidR="00000000" w:rsidRPr="00000000">
        <w:rPr>
          <w:rFonts w:ascii="Times New Roman" w:cs="Times New Roman" w:eastAsia="Times New Roman" w:hAnsi="Times New Roman"/>
          <w:i w:val="1"/>
          <w:sz w:val="18"/>
          <w:szCs w:val="18"/>
          <w:rtl w:val="0"/>
        </w:rPr>
        <w:t xml:space="preserve">Divination and Theurgy,</w:t>
      </w:r>
      <w:r w:rsidDel="00000000" w:rsidR="00000000" w:rsidRPr="00000000">
        <w:rPr>
          <w:rFonts w:ascii="Times New Roman" w:cs="Times New Roman" w:eastAsia="Times New Roman" w:hAnsi="Times New Roman"/>
          <w:sz w:val="18"/>
          <w:szCs w:val="18"/>
          <w:rtl w:val="0"/>
        </w:rPr>
        <w:t xml:space="preserve"> p.242</w:t>
      </w:r>
      <w:r w:rsidDel="00000000" w:rsidR="00000000" w:rsidRPr="00000000">
        <w:rPr>
          <w:sz w:val="20"/>
          <w:szCs w:val="20"/>
          <w:rtl w:val="0"/>
        </w:rPr>
        <w:t xml:space="preserve">.</w:t>
      </w:r>
    </w:p>
  </w:footnote>
  <w:footnote w:id="23">
    <w:p w:rsidR="00000000" w:rsidDel="00000000" w:rsidP="00000000" w:rsidRDefault="00000000" w:rsidRPr="00000000" w14:paraId="0000012A">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Curry, Seeing with different eyes. Ch.3, p.40.</w:t>
      </w:r>
    </w:p>
  </w:footnote>
  <w:footnote w:id="24">
    <w:p w:rsidR="00000000" w:rsidDel="00000000" w:rsidP="00000000" w:rsidRDefault="00000000" w:rsidRPr="00000000" w14:paraId="0000012B">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Addey</w:t>
      </w:r>
      <w:r w:rsidDel="00000000" w:rsidR="00000000" w:rsidRPr="00000000">
        <w:rPr>
          <w:rFonts w:ascii="Times New Roman" w:cs="Times New Roman" w:eastAsia="Times New Roman" w:hAnsi="Times New Roman"/>
          <w:i w:val="1"/>
          <w:sz w:val="18"/>
          <w:szCs w:val="18"/>
          <w:rtl w:val="0"/>
        </w:rPr>
        <w:t xml:space="preserve">, Divination and Theurgy</w:t>
      </w:r>
      <w:r w:rsidDel="00000000" w:rsidR="00000000" w:rsidRPr="00000000">
        <w:rPr>
          <w:rFonts w:ascii="Times New Roman" w:cs="Times New Roman" w:eastAsia="Times New Roman" w:hAnsi="Times New Roman"/>
          <w:sz w:val="18"/>
          <w:szCs w:val="18"/>
          <w:rtl w:val="0"/>
        </w:rPr>
        <w:t xml:space="preserve">  p.27.</w:t>
      </w:r>
    </w:p>
  </w:footnote>
  <w:footnote w:id="28">
    <w:p w:rsidR="00000000" w:rsidDel="00000000" w:rsidP="00000000" w:rsidRDefault="00000000" w:rsidRPr="00000000" w14:paraId="0000012C">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Ibid., p.206; Plotinus, </w:t>
      </w:r>
      <w:r w:rsidDel="00000000" w:rsidR="00000000" w:rsidRPr="00000000">
        <w:rPr>
          <w:rFonts w:ascii="Times New Roman" w:cs="Times New Roman" w:eastAsia="Times New Roman" w:hAnsi="Times New Roman"/>
          <w:i w:val="1"/>
          <w:sz w:val="18"/>
          <w:szCs w:val="18"/>
          <w:rtl w:val="0"/>
        </w:rPr>
        <w:t xml:space="preserve">On Destiny (Enn</w:t>
      </w:r>
      <w:r w:rsidDel="00000000" w:rsidR="00000000" w:rsidRPr="00000000">
        <w:rPr>
          <w:rFonts w:ascii="Times New Roman" w:cs="Times New Roman" w:eastAsia="Times New Roman" w:hAnsi="Times New Roman"/>
          <w:sz w:val="18"/>
          <w:szCs w:val="18"/>
          <w:rtl w:val="0"/>
        </w:rPr>
        <w:t xml:space="preserve">.III.1)</w:t>
      </w:r>
    </w:p>
  </w:footnote>
  <w:footnote w:id="35">
    <w:p w:rsidR="00000000" w:rsidDel="00000000" w:rsidP="00000000" w:rsidRDefault="00000000" w:rsidRPr="00000000" w14:paraId="0000012D">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Iamblichus, </w:t>
      </w:r>
      <w:r w:rsidDel="00000000" w:rsidR="00000000" w:rsidRPr="00000000">
        <w:rPr>
          <w:rFonts w:ascii="Times New Roman" w:cs="Times New Roman" w:eastAsia="Times New Roman" w:hAnsi="Times New Roman"/>
          <w:i w:val="1"/>
          <w:sz w:val="18"/>
          <w:szCs w:val="18"/>
          <w:rtl w:val="0"/>
        </w:rPr>
        <w:t xml:space="preserve">De Mysteriis</w:t>
      </w:r>
      <w:r w:rsidDel="00000000" w:rsidR="00000000" w:rsidRPr="00000000">
        <w:rPr>
          <w:rFonts w:ascii="Times New Roman" w:cs="Times New Roman" w:eastAsia="Times New Roman" w:hAnsi="Times New Roman"/>
          <w:sz w:val="18"/>
          <w:szCs w:val="18"/>
          <w:rtl w:val="0"/>
        </w:rPr>
        <w:t xml:space="preserve">, 1497. 3.III. p.118</w:t>
      </w:r>
    </w:p>
  </w:footnote>
  <w:footnote w:id="36">
    <w:p w:rsidR="00000000" w:rsidDel="00000000" w:rsidP="00000000" w:rsidRDefault="00000000" w:rsidRPr="00000000" w14:paraId="0000012E">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Iamblichus, </w:t>
      </w:r>
      <w:r w:rsidDel="00000000" w:rsidR="00000000" w:rsidRPr="00000000">
        <w:rPr>
          <w:rFonts w:ascii="Times New Roman" w:cs="Times New Roman" w:eastAsia="Times New Roman" w:hAnsi="Times New Roman"/>
          <w:i w:val="1"/>
          <w:sz w:val="18"/>
          <w:szCs w:val="18"/>
          <w:rtl w:val="0"/>
        </w:rPr>
        <w:t xml:space="preserve">De Mysteriis</w:t>
      </w:r>
      <w:r w:rsidDel="00000000" w:rsidR="00000000" w:rsidRPr="00000000">
        <w:rPr>
          <w:rFonts w:ascii="Times New Roman" w:cs="Times New Roman" w:eastAsia="Times New Roman" w:hAnsi="Times New Roman"/>
          <w:sz w:val="18"/>
          <w:szCs w:val="18"/>
          <w:rtl w:val="0"/>
        </w:rPr>
        <w:t xml:space="preserve">, 1497. 3.11 126. 1-3</w:t>
      </w:r>
      <w:r w:rsidDel="00000000" w:rsidR="00000000" w:rsidRPr="00000000">
        <w:rPr>
          <w:rtl w:val="0"/>
        </w:rPr>
      </w:r>
    </w:p>
  </w:footnote>
  <w:footnote w:id="37">
    <w:p w:rsidR="00000000" w:rsidDel="00000000" w:rsidP="00000000" w:rsidRDefault="00000000" w:rsidRPr="00000000" w14:paraId="0000012F">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Addey, </w:t>
      </w:r>
      <w:r w:rsidDel="00000000" w:rsidR="00000000" w:rsidRPr="00000000">
        <w:rPr>
          <w:rFonts w:ascii="Times New Roman" w:cs="Times New Roman" w:eastAsia="Times New Roman" w:hAnsi="Times New Roman"/>
          <w:i w:val="1"/>
          <w:sz w:val="18"/>
          <w:szCs w:val="18"/>
          <w:rtl w:val="0"/>
        </w:rPr>
        <w:t xml:space="preserve">Divination and Theurgy</w:t>
      </w:r>
      <w:r w:rsidDel="00000000" w:rsidR="00000000" w:rsidRPr="00000000">
        <w:rPr>
          <w:rFonts w:ascii="Times New Roman" w:cs="Times New Roman" w:eastAsia="Times New Roman" w:hAnsi="Times New Roman"/>
          <w:sz w:val="18"/>
          <w:szCs w:val="18"/>
          <w:rtl w:val="0"/>
        </w:rPr>
        <w:t xml:space="preserve">. pp.25-26</w:t>
      </w:r>
    </w:p>
  </w:footnote>
  <w:footnote w:id="39">
    <w:p w:rsidR="00000000" w:rsidDel="00000000" w:rsidP="00000000" w:rsidRDefault="00000000" w:rsidRPr="00000000" w14:paraId="00000130">
      <w:pPr>
        <w:spacing w:after="0"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Athanassiadi, ‘</w:t>
      </w:r>
      <w:r w:rsidDel="00000000" w:rsidR="00000000" w:rsidRPr="00000000">
        <w:rPr>
          <w:rFonts w:ascii="Times New Roman" w:cs="Times New Roman" w:eastAsia="Times New Roman" w:hAnsi="Times New Roman"/>
          <w:sz w:val="18"/>
          <w:szCs w:val="18"/>
          <w:rtl w:val="0"/>
        </w:rPr>
        <w:t xml:space="preserve">Dreams, Theurgy and Freelance divination’</w:t>
      </w:r>
      <w:r w:rsidDel="00000000" w:rsidR="00000000" w:rsidRPr="00000000">
        <w:rPr>
          <w:rFonts w:ascii="Times New Roman" w:cs="Times New Roman" w:eastAsia="Times New Roman" w:hAnsi="Times New Roman"/>
          <w:i w:val="1"/>
          <w:sz w:val="18"/>
          <w:szCs w:val="18"/>
          <w:rtl w:val="0"/>
        </w:rPr>
        <w:t xml:space="preserve">. </w:t>
      </w:r>
      <w:r w:rsidDel="00000000" w:rsidR="00000000" w:rsidRPr="00000000">
        <w:rPr>
          <w:rFonts w:ascii="Times New Roman" w:cs="Times New Roman" w:eastAsia="Times New Roman" w:hAnsi="Times New Roman"/>
          <w:sz w:val="18"/>
          <w:szCs w:val="18"/>
          <w:rtl w:val="0"/>
        </w:rPr>
        <w:t xml:space="preserve">P.124-125 ;</w:t>
      </w:r>
      <w:r w:rsidDel="00000000" w:rsidR="00000000" w:rsidRPr="00000000">
        <w:rPr>
          <w:rFonts w:ascii="Times New Roman" w:cs="Times New Roman" w:eastAsia="Times New Roman" w:hAnsi="Times New Roman"/>
          <w:i w:val="1"/>
          <w:sz w:val="18"/>
          <w:szCs w:val="18"/>
          <w:rtl w:val="0"/>
        </w:rPr>
        <w:t xml:space="preserve"> Iamblichus De Myst</w:t>
      </w:r>
      <w:r w:rsidDel="00000000" w:rsidR="00000000" w:rsidRPr="00000000">
        <w:rPr>
          <w:rFonts w:ascii="Times New Roman" w:cs="Times New Roman" w:eastAsia="Times New Roman" w:hAnsi="Times New Roman"/>
          <w:sz w:val="18"/>
          <w:szCs w:val="18"/>
          <w:rtl w:val="0"/>
        </w:rPr>
        <w:t xml:space="preserve">. 111.2 and </w:t>
      </w:r>
      <w:r w:rsidDel="00000000" w:rsidR="00000000" w:rsidRPr="00000000">
        <w:rPr>
          <w:rFonts w:ascii="Times New Roman" w:cs="Times New Roman" w:eastAsia="Times New Roman" w:hAnsi="Times New Roman"/>
          <w:i w:val="1"/>
          <w:sz w:val="18"/>
          <w:szCs w:val="18"/>
          <w:rtl w:val="0"/>
        </w:rPr>
        <w:t xml:space="preserve">Artemidorus I</w:t>
      </w:r>
      <w:r w:rsidDel="00000000" w:rsidR="00000000" w:rsidRPr="00000000">
        <w:rPr>
          <w:rFonts w:ascii="Times New Roman" w:cs="Times New Roman" w:eastAsia="Times New Roman" w:hAnsi="Times New Roman"/>
          <w:sz w:val="18"/>
          <w:szCs w:val="18"/>
          <w:rtl w:val="0"/>
        </w:rPr>
        <w:t xml:space="preserve">. I (Pack) p.</w:t>
      </w:r>
      <w:r w:rsidDel="00000000" w:rsidR="00000000" w:rsidRPr="00000000">
        <w:rPr>
          <w:rtl w:val="0"/>
        </w:rPr>
      </w:r>
    </w:p>
  </w:footnote>
  <w:footnote w:id="38">
    <w:p w:rsidR="00000000" w:rsidDel="00000000" w:rsidP="00000000" w:rsidRDefault="00000000" w:rsidRPr="00000000" w14:paraId="00000131">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 Iamblichus </w:t>
      </w:r>
      <w:r w:rsidDel="00000000" w:rsidR="00000000" w:rsidRPr="00000000">
        <w:rPr>
          <w:rFonts w:ascii="Times New Roman" w:cs="Times New Roman" w:eastAsia="Times New Roman" w:hAnsi="Times New Roman"/>
          <w:i w:val="1"/>
          <w:sz w:val="18"/>
          <w:szCs w:val="18"/>
          <w:rtl w:val="0"/>
        </w:rPr>
        <w:t xml:space="preserve">De Myst</w:t>
      </w:r>
      <w:r w:rsidDel="00000000" w:rsidR="00000000" w:rsidRPr="00000000">
        <w:rPr>
          <w:rFonts w:ascii="Times New Roman" w:cs="Times New Roman" w:eastAsia="Times New Roman" w:hAnsi="Times New Roman"/>
          <w:sz w:val="18"/>
          <w:szCs w:val="18"/>
          <w:rtl w:val="0"/>
        </w:rPr>
        <w:t xml:space="preserve">. 111.2</w:t>
      </w:r>
      <w:r w:rsidDel="00000000" w:rsidR="00000000" w:rsidRPr="00000000">
        <w:rPr>
          <w:rtl w:val="0"/>
        </w:rPr>
      </w:r>
    </w:p>
  </w:footnote>
  <w:footnote w:id="45">
    <w:p w:rsidR="00000000" w:rsidDel="00000000" w:rsidP="00000000" w:rsidRDefault="00000000" w:rsidRPr="00000000" w14:paraId="00000132">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Addey, </w:t>
      </w:r>
      <w:r w:rsidDel="00000000" w:rsidR="00000000" w:rsidRPr="00000000">
        <w:rPr>
          <w:rFonts w:ascii="Times New Roman" w:cs="Times New Roman" w:eastAsia="Times New Roman" w:hAnsi="Times New Roman"/>
          <w:i w:val="1"/>
          <w:sz w:val="18"/>
          <w:szCs w:val="18"/>
          <w:rtl w:val="0"/>
        </w:rPr>
        <w:t xml:space="preserve">Divination and Theurgy, </w:t>
      </w:r>
      <w:r w:rsidDel="00000000" w:rsidR="00000000" w:rsidRPr="00000000">
        <w:rPr>
          <w:rFonts w:ascii="Times New Roman" w:cs="Times New Roman" w:eastAsia="Times New Roman" w:hAnsi="Times New Roman"/>
          <w:sz w:val="18"/>
          <w:szCs w:val="18"/>
          <w:rtl w:val="0"/>
        </w:rPr>
        <w:t xml:space="preserve">p.55; Fontenrose (1988), 125-130; Busine (2005),193.</w:t>
      </w:r>
    </w:p>
  </w:footnote>
  <w:footnote w:id="60">
    <w:p w:rsidR="00000000" w:rsidDel="00000000" w:rsidP="00000000" w:rsidRDefault="00000000" w:rsidRPr="00000000" w14:paraId="00000133">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Athanassiadi, ‘Dreams, Theurgy’. IIII. P.121</w:t>
      </w:r>
      <w:r w:rsidDel="00000000" w:rsidR="00000000" w:rsidRPr="00000000">
        <w:rPr>
          <w:rtl w:val="0"/>
        </w:rPr>
      </w:r>
    </w:p>
  </w:footnote>
  <w:footnote w:id="59">
    <w:p w:rsidR="00000000" w:rsidDel="00000000" w:rsidP="00000000" w:rsidRDefault="00000000" w:rsidRPr="00000000" w14:paraId="00000134">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18"/>
          <w:szCs w:val="18"/>
          <w:rtl w:val="0"/>
        </w:rPr>
        <w:t xml:space="preserve">Mys</w:t>
      </w:r>
      <w:r w:rsidDel="00000000" w:rsidR="00000000" w:rsidRPr="00000000">
        <w:rPr>
          <w:rFonts w:ascii="Times New Roman" w:cs="Times New Roman" w:eastAsia="Times New Roman" w:hAnsi="Times New Roman"/>
          <w:sz w:val="18"/>
          <w:szCs w:val="18"/>
          <w:rtl w:val="0"/>
        </w:rPr>
        <w:t xml:space="preserve">t . III .25. </w:t>
      </w:r>
      <w:r w:rsidDel="00000000" w:rsidR="00000000" w:rsidRPr="00000000">
        <w:rPr>
          <w:rtl w:val="0"/>
        </w:rPr>
      </w:r>
    </w:p>
  </w:footnote>
  <w:footnote w:id="55">
    <w:p w:rsidR="00000000" w:rsidDel="00000000" w:rsidP="00000000" w:rsidRDefault="00000000" w:rsidRPr="00000000" w14:paraId="00000135">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Addey, </w:t>
      </w:r>
      <w:r w:rsidDel="00000000" w:rsidR="00000000" w:rsidRPr="00000000">
        <w:rPr>
          <w:rFonts w:ascii="Times New Roman" w:cs="Times New Roman" w:eastAsia="Times New Roman" w:hAnsi="Times New Roman"/>
          <w:i w:val="1"/>
          <w:sz w:val="18"/>
          <w:szCs w:val="18"/>
          <w:rtl w:val="0"/>
        </w:rPr>
        <w:t xml:space="preserve">Divination and Theurgy</w:t>
      </w:r>
      <w:r w:rsidDel="00000000" w:rsidR="00000000" w:rsidRPr="00000000">
        <w:rPr>
          <w:rFonts w:ascii="Times New Roman" w:cs="Times New Roman" w:eastAsia="Times New Roman" w:hAnsi="Times New Roman"/>
          <w:sz w:val="18"/>
          <w:szCs w:val="18"/>
          <w:rtl w:val="0"/>
        </w:rPr>
        <w:t xml:space="preserve">. 3. p.83</w:t>
      </w:r>
    </w:p>
  </w:footnote>
  <w:footnote w:id="51">
    <w:p w:rsidR="00000000" w:rsidDel="00000000" w:rsidP="00000000" w:rsidRDefault="00000000" w:rsidRPr="00000000" w14:paraId="00000136">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Athanassiadi, ‘</w:t>
      </w:r>
      <w:r w:rsidDel="00000000" w:rsidR="00000000" w:rsidRPr="00000000">
        <w:rPr>
          <w:rFonts w:ascii="Times New Roman" w:cs="Times New Roman" w:eastAsia="Times New Roman" w:hAnsi="Times New Roman"/>
          <w:sz w:val="18"/>
          <w:szCs w:val="18"/>
          <w:rtl w:val="0"/>
        </w:rPr>
        <w:t xml:space="preserve">Dreams, Theurgy’.</w:t>
      </w:r>
      <w:r w:rsidDel="00000000" w:rsidR="00000000" w:rsidRPr="00000000">
        <w:rPr>
          <w:rFonts w:ascii="Times New Roman" w:cs="Times New Roman" w:eastAsia="Times New Roman" w:hAnsi="Times New Roman"/>
          <w:i w:val="1"/>
          <w:sz w:val="18"/>
          <w:szCs w:val="18"/>
          <w:rtl w:val="0"/>
        </w:rPr>
        <w:t xml:space="preserve"> Divination by Statues. </w:t>
      </w:r>
      <w:r w:rsidDel="00000000" w:rsidR="00000000" w:rsidRPr="00000000">
        <w:rPr>
          <w:rFonts w:ascii="Times New Roman" w:cs="Times New Roman" w:eastAsia="Times New Roman" w:hAnsi="Times New Roman"/>
          <w:sz w:val="18"/>
          <w:szCs w:val="18"/>
          <w:rtl w:val="0"/>
        </w:rPr>
        <w:t xml:space="preserve">p.122.</w:t>
      </w:r>
    </w:p>
  </w:footnote>
  <w:footnote w:id="54">
    <w:p w:rsidR="00000000" w:rsidDel="00000000" w:rsidP="00000000" w:rsidRDefault="00000000" w:rsidRPr="00000000" w14:paraId="00000137">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Athanassiadi, ‘</w:t>
      </w:r>
      <w:r w:rsidDel="00000000" w:rsidR="00000000" w:rsidRPr="00000000">
        <w:rPr>
          <w:rFonts w:ascii="Times New Roman" w:cs="Times New Roman" w:eastAsia="Times New Roman" w:hAnsi="Times New Roman"/>
          <w:sz w:val="18"/>
          <w:szCs w:val="18"/>
          <w:rtl w:val="0"/>
        </w:rPr>
        <w:t xml:space="preserve">Dreams, Theurgy’</w:t>
      </w:r>
      <w:r w:rsidDel="00000000" w:rsidR="00000000" w:rsidRPr="00000000">
        <w:rPr>
          <w:rFonts w:ascii="Times New Roman" w:cs="Times New Roman" w:eastAsia="Times New Roman" w:hAnsi="Times New Roman"/>
          <w:i w:val="1"/>
          <w:sz w:val="18"/>
          <w:szCs w:val="18"/>
          <w:rtl w:val="0"/>
        </w:rPr>
        <w:t xml:space="preserve">. Divination by Statues. </w:t>
      </w:r>
      <w:r w:rsidDel="00000000" w:rsidR="00000000" w:rsidRPr="00000000">
        <w:rPr>
          <w:rFonts w:ascii="Times New Roman" w:cs="Times New Roman" w:eastAsia="Times New Roman" w:hAnsi="Times New Roman"/>
          <w:sz w:val="18"/>
          <w:szCs w:val="18"/>
          <w:rtl w:val="0"/>
        </w:rPr>
        <w:t xml:space="preserve">p.122.</w:t>
      </w:r>
      <w:r w:rsidDel="00000000" w:rsidR="00000000" w:rsidRPr="00000000">
        <w:rPr>
          <w:rtl w:val="0"/>
        </w:rPr>
      </w:r>
    </w:p>
  </w:footnote>
  <w:footnote w:id="53">
    <w:p w:rsidR="00000000" w:rsidDel="00000000" w:rsidP="00000000" w:rsidRDefault="00000000" w:rsidRPr="00000000" w14:paraId="00000138">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18"/>
          <w:szCs w:val="18"/>
          <w:rtl w:val="0"/>
        </w:rPr>
        <w:t xml:space="preserve">De Myst.</w:t>
      </w:r>
      <w:r w:rsidDel="00000000" w:rsidR="00000000" w:rsidRPr="00000000">
        <w:rPr>
          <w:rFonts w:ascii="Times New Roman" w:cs="Times New Roman" w:eastAsia="Times New Roman" w:hAnsi="Times New Roman"/>
          <w:sz w:val="18"/>
          <w:szCs w:val="18"/>
          <w:rtl w:val="0"/>
        </w:rPr>
        <w:t xml:space="preserve"> III.28.167</w:t>
      </w:r>
    </w:p>
  </w:footnote>
  <w:footnote w:id="52">
    <w:p w:rsidR="00000000" w:rsidDel="00000000" w:rsidP="00000000" w:rsidRDefault="00000000" w:rsidRPr="00000000" w14:paraId="00000139">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Ibid. </w:t>
      </w:r>
      <w:r w:rsidDel="00000000" w:rsidR="00000000" w:rsidRPr="00000000">
        <w:rPr>
          <w:rFonts w:ascii="Times New Roman" w:cs="Times New Roman" w:eastAsia="Times New Roman" w:hAnsi="Times New Roman"/>
          <w:i w:val="1"/>
          <w:sz w:val="18"/>
          <w:szCs w:val="18"/>
          <w:rtl w:val="0"/>
        </w:rPr>
        <w:t xml:space="preserve">Ep. Aneb</w:t>
      </w:r>
      <w:r w:rsidDel="00000000" w:rsidR="00000000" w:rsidRPr="00000000">
        <w:rPr>
          <w:rFonts w:ascii="Times New Roman" w:cs="Times New Roman" w:eastAsia="Times New Roman" w:hAnsi="Times New Roman"/>
          <w:sz w:val="18"/>
          <w:szCs w:val="18"/>
          <w:rtl w:val="0"/>
        </w:rPr>
        <w:t xml:space="preserve">. II.6b; cf.Phil. I,pp.130-4</w:t>
      </w:r>
    </w:p>
  </w:footnote>
  <w:footnote w:id="57">
    <w:p w:rsidR="00000000" w:rsidDel="00000000" w:rsidP="00000000" w:rsidRDefault="00000000" w:rsidRPr="00000000" w14:paraId="0000013A">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Ibid., p.105</w:t>
      </w:r>
    </w:p>
  </w:footnote>
  <w:footnote w:id="58">
    <w:p w:rsidR="00000000" w:rsidDel="00000000" w:rsidP="00000000" w:rsidRDefault="00000000" w:rsidRPr="00000000" w14:paraId="0000013B">
      <w:pPr>
        <w:shd w:fill="ffffff" w:val="clear"/>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4"/>
          <w:szCs w:val="24"/>
          <w:rtl w:val="0"/>
        </w:rPr>
        <w:t xml:space="preserve"> </w:t>
      </w:r>
      <w:r w:rsidDel="00000000" w:rsidR="00000000" w:rsidRPr="00000000">
        <w:rPr>
          <w:rFonts w:ascii="Times New Roman" w:cs="Times New Roman" w:eastAsia="Times New Roman" w:hAnsi="Times New Roman"/>
          <w:sz w:val="18"/>
          <w:szCs w:val="18"/>
          <w:rtl w:val="0"/>
        </w:rPr>
        <w:t xml:space="preserve">Athanassiadi, ‘Dreams, Theurgy’. III. P.121.; </w:t>
      </w:r>
      <w:r w:rsidDel="00000000" w:rsidR="00000000" w:rsidRPr="00000000">
        <w:rPr>
          <w:rFonts w:ascii="Times New Roman" w:cs="Times New Roman" w:eastAsia="Times New Roman" w:hAnsi="Times New Roman"/>
          <w:i w:val="1"/>
          <w:sz w:val="18"/>
          <w:szCs w:val="18"/>
          <w:rtl w:val="0"/>
        </w:rPr>
        <w:t xml:space="preserve">Myst.</w:t>
      </w:r>
      <w:r w:rsidDel="00000000" w:rsidR="00000000" w:rsidRPr="00000000">
        <w:rPr>
          <w:rFonts w:ascii="Times New Roman" w:cs="Times New Roman" w:eastAsia="Times New Roman" w:hAnsi="Times New Roman"/>
          <w:sz w:val="18"/>
          <w:szCs w:val="18"/>
          <w:rtl w:val="0"/>
        </w:rPr>
        <w:t xml:space="preserve"> IX.3.275</w:t>
      </w:r>
      <w:r w:rsidDel="00000000" w:rsidR="00000000" w:rsidRPr="00000000">
        <w:rPr>
          <w:sz w:val="24"/>
          <w:szCs w:val="24"/>
          <w:rtl w:val="0"/>
        </w:rPr>
        <w:t xml:space="preserve">. </w:t>
      </w:r>
      <w:r w:rsidDel="00000000" w:rsidR="00000000" w:rsidRPr="00000000">
        <w:rPr>
          <w:rtl w:val="0"/>
        </w:rPr>
      </w:r>
    </w:p>
  </w:footnote>
  <w:footnote w:id="56">
    <w:p w:rsidR="00000000" w:rsidDel="00000000" w:rsidP="00000000" w:rsidRDefault="00000000" w:rsidRPr="00000000" w14:paraId="0000013C">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Ibid, </w:t>
      </w:r>
      <w:r w:rsidDel="00000000" w:rsidR="00000000" w:rsidRPr="00000000">
        <w:rPr>
          <w:rFonts w:ascii="Times New Roman" w:cs="Times New Roman" w:eastAsia="Times New Roman" w:hAnsi="Times New Roman"/>
          <w:i w:val="1"/>
          <w:sz w:val="18"/>
          <w:szCs w:val="18"/>
          <w:rtl w:val="0"/>
        </w:rPr>
        <w:t xml:space="preserve">Oracles and AStrology: Astrology in the Philosophy from Oracles</w:t>
      </w:r>
      <w:r w:rsidDel="00000000" w:rsidR="00000000" w:rsidRPr="00000000">
        <w:rPr>
          <w:rFonts w:ascii="Times New Roman" w:cs="Times New Roman" w:eastAsia="Times New Roman" w:hAnsi="Times New Roman"/>
          <w:sz w:val="18"/>
          <w:szCs w:val="18"/>
          <w:rtl w:val="0"/>
        </w:rPr>
        <w:t xml:space="preserve">. p.118.</w:t>
      </w:r>
    </w:p>
  </w:footnote>
  <w:footnote w:id="50">
    <w:p w:rsidR="00000000" w:rsidDel="00000000" w:rsidP="00000000" w:rsidRDefault="00000000" w:rsidRPr="00000000" w14:paraId="0000013D">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Hilary, A Armstrong,. ‘Iamblichus and Egypt’  </w:t>
      </w:r>
      <w:r w:rsidDel="00000000" w:rsidR="00000000" w:rsidRPr="00000000">
        <w:rPr>
          <w:rFonts w:ascii="Times New Roman" w:cs="Times New Roman" w:eastAsia="Times New Roman" w:hAnsi="Times New Roman"/>
          <w:i w:val="1"/>
          <w:sz w:val="18"/>
          <w:szCs w:val="18"/>
          <w:rtl w:val="0"/>
        </w:rPr>
        <w:t xml:space="preserve">Les Études Philosophiques</w:t>
      </w:r>
      <w:r w:rsidDel="00000000" w:rsidR="00000000" w:rsidRPr="00000000">
        <w:rPr>
          <w:rFonts w:ascii="Times New Roman" w:cs="Times New Roman" w:eastAsia="Times New Roman" w:hAnsi="Times New Roman"/>
          <w:sz w:val="18"/>
          <w:szCs w:val="18"/>
          <w:rtl w:val="0"/>
        </w:rPr>
        <w:t xml:space="preserve">, 2/3, 179-88 (1987) . p.186 http://www.jstor.org/stable/20848293.</w:t>
      </w:r>
    </w:p>
  </w:footnote>
  <w:footnote w:id="65">
    <w:p w:rsidR="00000000" w:rsidDel="00000000" w:rsidP="00000000" w:rsidRDefault="00000000" w:rsidRPr="00000000" w14:paraId="0000013E">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Armstrong, ‘Iamblichus and Egypt’. p.179-180</w:t>
      </w:r>
    </w:p>
  </w:footnote>
  <w:footnote w:id="89">
    <w:p w:rsidR="00000000" w:rsidDel="00000000" w:rsidP="00000000" w:rsidRDefault="00000000" w:rsidRPr="00000000" w14:paraId="0000013F">
      <w:pPr>
        <w:spacing w:after="0"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Athanassiadi, ‘Dreams, Theurgy and Freelance divination’</w:t>
      </w:r>
      <w:r w:rsidDel="00000000" w:rsidR="00000000" w:rsidRPr="00000000">
        <w:rPr>
          <w:rFonts w:ascii="Times New Roman" w:cs="Times New Roman" w:eastAsia="Times New Roman" w:hAnsi="Times New Roman"/>
          <w:i w:val="1"/>
          <w:sz w:val="18"/>
          <w:szCs w:val="18"/>
          <w:rtl w:val="0"/>
        </w:rPr>
        <w:t xml:space="preserve">. </w:t>
      </w:r>
      <w:r w:rsidDel="00000000" w:rsidR="00000000" w:rsidRPr="00000000">
        <w:rPr>
          <w:rFonts w:ascii="Times New Roman" w:cs="Times New Roman" w:eastAsia="Times New Roman" w:hAnsi="Times New Roman"/>
          <w:sz w:val="18"/>
          <w:szCs w:val="18"/>
          <w:rtl w:val="0"/>
        </w:rPr>
        <w:t xml:space="preserve">P.124-125 ;</w:t>
      </w:r>
      <w:r w:rsidDel="00000000" w:rsidR="00000000" w:rsidRPr="00000000">
        <w:rPr>
          <w:rFonts w:ascii="Times New Roman" w:cs="Times New Roman" w:eastAsia="Times New Roman" w:hAnsi="Times New Roman"/>
          <w:i w:val="1"/>
          <w:sz w:val="18"/>
          <w:szCs w:val="18"/>
          <w:rtl w:val="0"/>
        </w:rPr>
        <w:t xml:space="preserve"> Iamblichus De Myst</w:t>
      </w:r>
      <w:r w:rsidDel="00000000" w:rsidR="00000000" w:rsidRPr="00000000">
        <w:rPr>
          <w:rFonts w:ascii="Times New Roman" w:cs="Times New Roman" w:eastAsia="Times New Roman" w:hAnsi="Times New Roman"/>
          <w:sz w:val="18"/>
          <w:szCs w:val="18"/>
          <w:rtl w:val="0"/>
        </w:rPr>
        <w:t xml:space="preserve">. 111.2 and </w:t>
      </w:r>
      <w:r w:rsidDel="00000000" w:rsidR="00000000" w:rsidRPr="00000000">
        <w:rPr>
          <w:rFonts w:ascii="Times New Roman" w:cs="Times New Roman" w:eastAsia="Times New Roman" w:hAnsi="Times New Roman"/>
          <w:i w:val="1"/>
          <w:sz w:val="18"/>
          <w:szCs w:val="18"/>
          <w:rtl w:val="0"/>
        </w:rPr>
        <w:t xml:space="preserve">Artemidorus I</w:t>
      </w:r>
      <w:r w:rsidDel="00000000" w:rsidR="00000000" w:rsidRPr="00000000">
        <w:rPr>
          <w:rFonts w:ascii="Times New Roman" w:cs="Times New Roman" w:eastAsia="Times New Roman" w:hAnsi="Times New Roman"/>
          <w:sz w:val="18"/>
          <w:szCs w:val="18"/>
          <w:rtl w:val="0"/>
        </w:rPr>
        <w:t xml:space="preserve">. I (Pack) p.</w:t>
      </w:r>
      <w:r w:rsidDel="00000000" w:rsidR="00000000" w:rsidRPr="00000000">
        <w:rPr>
          <w:rtl w:val="0"/>
        </w:rPr>
      </w:r>
    </w:p>
  </w:footnote>
  <w:footnote w:id="79">
    <w:p w:rsidR="00000000" w:rsidDel="00000000" w:rsidP="00000000" w:rsidRDefault="00000000" w:rsidRPr="00000000" w14:paraId="00000140">
      <w:pPr>
        <w:ind w:left="90"/>
        <w:rPr>
          <w:rFonts w:ascii="Times" w:cs="Times" w:eastAsia="Times" w:hAnsi="Times"/>
          <w:sz w:val="18"/>
          <w:szCs w:val="18"/>
        </w:rPr>
      </w:pPr>
      <w:r w:rsidDel="00000000" w:rsidR="00000000" w:rsidRPr="00000000">
        <w:rPr>
          <w:rStyle w:val="FootnoteReference"/>
          <w:vertAlign w:val="superscript"/>
        </w:rPr>
        <w:footnoteRef/>
      </w:r>
      <w:r w:rsidDel="00000000" w:rsidR="00000000" w:rsidRPr="00000000">
        <w:rPr>
          <w:rFonts w:ascii="Times" w:cs="Times" w:eastAsia="Times" w:hAnsi="Times"/>
          <w:sz w:val="18"/>
          <w:szCs w:val="18"/>
          <w:rtl w:val="0"/>
        </w:rPr>
        <w:t xml:space="preserve"> Wallis, R. T. ‘The Platonic Theology of Proclus.’ </w:t>
      </w:r>
      <w:r w:rsidDel="00000000" w:rsidR="00000000" w:rsidRPr="00000000">
        <w:rPr>
          <w:rFonts w:ascii="Times" w:cs="Times" w:eastAsia="Times" w:hAnsi="Times"/>
          <w:i w:val="1"/>
          <w:sz w:val="18"/>
          <w:szCs w:val="18"/>
          <w:rtl w:val="0"/>
        </w:rPr>
        <w:t xml:space="preserve">The Classical Review</w:t>
      </w:r>
      <w:r w:rsidDel="00000000" w:rsidR="00000000" w:rsidRPr="00000000">
        <w:rPr>
          <w:rFonts w:ascii="Times" w:cs="Times" w:eastAsia="Times" w:hAnsi="Times"/>
          <w:sz w:val="18"/>
          <w:szCs w:val="18"/>
          <w:rtl w:val="0"/>
        </w:rPr>
        <w:t xml:space="preserve">, 20. 3, 324-26 (1970),.</w:t>
      </w:r>
      <w:r w:rsidDel="00000000" w:rsidR="00000000" w:rsidRPr="00000000">
        <w:rPr>
          <w:rFonts w:ascii="Times" w:cs="Times" w:eastAsia="Times" w:hAnsi="Times"/>
          <w:sz w:val="18"/>
          <w:szCs w:val="18"/>
          <w:highlight w:val="white"/>
          <w:rtl w:val="0"/>
        </w:rPr>
        <w:t xml:space="preserve"> 1.25-7-10 113; 291</w:t>
      </w:r>
      <w:r w:rsidDel="00000000" w:rsidR="00000000" w:rsidRPr="00000000">
        <w:rPr>
          <w:rFonts w:ascii="Times" w:cs="Times" w:eastAsia="Times" w:hAnsi="Times"/>
          <w:sz w:val="18"/>
          <w:szCs w:val="18"/>
          <w:rtl w:val="0"/>
        </w:rPr>
        <w:t xml:space="preserve">http://www.jstor.org/stable/706330.</w:t>
      </w:r>
    </w:p>
    <w:p w:rsidR="00000000" w:rsidDel="00000000" w:rsidP="00000000" w:rsidRDefault="00000000" w:rsidRPr="00000000" w14:paraId="00000141">
      <w:pPr>
        <w:ind w:left="90"/>
        <w:rPr>
          <w:rFonts w:ascii="Times" w:cs="Times" w:eastAsia="Times" w:hAnsi="Times"/>
          <w:sz w:val="18"/>
          <w:szCs w:val="18"/>
        </w:rPr>
      </w:pPr>
      <w:r w:rsidDel="00000000" w:rsidR="00000000" w:rsidRPr="00000000">
        <w:rPr>
          <w:rtl w:val="0"/>
        </w:rPr>
      </w:r>
    </w:p>
  </w:footnote>
  <w:footnote w:id="91">
    <w:p w:rsidR="00000000" w:rsidDel="00000000" w:rsidP="00000000" w:rsidRDefault="00000000" w:rsidRPr="00000000" w14:paraId="00000142">
      <w:pPr>
        <w:spacing w:after="0"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Dillon.</w:t>
      </w:r>
      <w:r w:rsidDel="00000000" w:rsidR="00000000" w:rsidRPr="00000000">
        <w:rPr>
          <w:rFonts w:ascii="Times New Roman" w:cs="Times New Roman" w:eastAsia="Times New Roman" w:hAnsi="Times New Roman"/>
          <w:i w:val="1"/>
          <w:sz w:val="18"/>
          <w:szCs w:val="18"/>
          <w:rtl w:val="0"/>
        </w:rPr>
        <w:t xml:space="preserve"> Iamblichus on the Mysteries 54</w:t>
      </w:r>
      <w:r w:rsidDel="00000000" w:rsidR="00000000" w:rsidRPr="00000000">
        <w:rPr>
          <w:rFonts w:ascii="Times New Roman" w:cs="Times New Roman" w:eastAsia="Times New Roman" w:hAnsi="Times New Roman"/>
          <w:sz w:val="18"/>
          <w:szCs w:val="18"/>
          <w:rtl w:val="0"/>
        </w:rPr>
        <w:t xml:space="preserve">(2), 349–351.</w:t>
      </w:r>
      <w:r w:rsidDel="00000000" w:rsidR="00000000" w:rsidRPr="00000000">
        <w:rPr>
          <w:rtl w:val="0"/>
        </w:rPr>
      </w:r>
    </w:p>
  </w:footnote>
  <w:footnote w:id="81">
    <w:p w:rsidR="00000000" w:rsidDel="00000000" w:rsidP="00000000" w:rsidRDefault="00000000" w:rsidRPr="00000000" w14:paraId="00000143">
      <w:pPr>
        <w:spacing w:after="0" w:line="240" w:lineRule="auto"/>
        <w:rPr>
          <w:rFonts w:ascii="Times" w:cs="Times" w:eastAsia="Times" w:hAnsi="Times"/>
          <w:sz w:val="18"/>
          <w:szCs w:val="18"/>
        </w:rPr>
      </w:pPr>
      <w:r w:rsidDel="00000000" w:rsidR="00000000" w:rsidRPr="00000000">
        <w:rPr>
          <w:rStyle w:val="FootnoteReference"/>
          <w:vertAlign w:val="superscript"/>
        </w:rPr>
        <w:footnoteRef/>
      </w:r>
      <w:r w:rsidDel="00000000" w:rsidR="00000000" w:rsidRPr="00000000">
        <w:rPr>
          <w:rFonts w:ascii="Times" w:cs="Times" w:eastAsia="Times" w:hAnsi="Times"/>
          <w:sz w:val="18"/>
          <w:szCs w:val="18"/>
          <w:rtl w:val="0"/>
        </w:rPr>
        <w:t xml:space="preserve"> </w:t>
      </w:r>
      <w:r w:rsidDel="00000000" w:rsidR="00000000" w:rsidRPr="00000000">
        <w:rPr>
          <w:rFonts w:ascii="Times" w:cs="Times" w:eastAsia="Times" w:hAnsi="Times"/>
          <w:sz w:val="18"/>
          <w:szCs w:val="18"/>
          <w:highlight w:val="white"/>
          <w:rtl w:val="0"/>
        </w:rPr>
        <w:t xml:space="preserve">Blavatsky Joseph-Louis. 2018. </w:t>
      </w:r>
      <w:r w:rsidDel="00000000" w:rsidR="00000000" w:rsidRPr="00000000">
        <w:rPr>
          <w:rFonts w:ascii="Times" w:cs="Times" w:eastAsia="Times" w:hAnsi="Times"/>
          <w:i w:val="1"/>
          <w:sz w:val="18"/>
          <w:szCs w:val="18"/>
          <w:highlight w:val="white"/>
          <w:rtl w:val="0"/>
        </w:rPr>
        <w:t xml:space="preserve">Magic or Theurgy</w:t>
      </w:r>
      <w:r w:rsidDel="00000000" w:rsidR="00000000" w:rsidRPr="00000000">
        <w:rPr>
          <w:rFonts w:ascii="Times" w:cs="Times" w:eastAsia="Times" w:hAnsi="Times"/>
          <w:sz w:val="18"/>
          <w:szCs w:val="18"/>
          <w:rtl w:val="0"/>
        </w:rPr>
        <w:t xml:space="preserve">. P.22</w:t>
      </w:r>
    </w:p>
  </w:footnote>
  <w:footnote w:id="80">
    <w:p w:rsidR="00000000" w:rsidDel="00000000" w:rsidP="00000000" w:rsidRDefault="00000000" w:rsidRPr="00000000" w14:paraId="00000144">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Iamblichus, </w:t>
      </w:r>
      <w:r w:rsidDel="00000000" w:rsidR="00000000" w:rsidRPr="00000000">
        <w:rPr>
          <w:rFonts w:ascii="Times New Roman" w:cs="Times New Roman" w:eastAsia="Times New Roman" w:hAnsi="Times New Roman"/>
          <w:i w:val="1"/>
          <w:sz w:val="18"/>
          <w:szCs w:val="18"/>
          <w:rtl w:val="0"/>
        </w:rPr>
        <w:t xml:space="preserve">De Mysteriis</w:t>
      </w:r>
      <w:r w:rsidDel="00000000" w:rsidR="00000000" w:rsidRPr="00000000">
        <w:rPr>
          <w:rFonts w:ascii="Times New Roman" w:cs="Times New Roman" w:eastAsia="Times New Roman" w:hAnsi="Times New Roman"/>
          <w:sz w:val="18"/>
          <w:szCs w:val="18"/>
          <w:rtl w:val="0"/>
        </w:rPr>
        <w:t xml:space="preserve">, 1497. 3.12 (129.1-11),</w:t>
      </w:r>
    </w:p>
  </w:footnote>
  <w:footnote w:id="90">
    <w:p w:rsidR="00000000" w:rsidDel="00000000" w:rsidP="00000000" w:rsidRDefault="00000000" w:rsidRPr="00000000" w14:paraId="00000145">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Crystal Addey, </w:t>
      </w:r>
      <w:r w:rsidDel="00000000" w:rsidR="00000000" w:rsidRPr="00000000">
        <w:rPr>
          <w:rFonts w:ascii="Times New Roman" w:cs="Times New Roman" w:eastAsia="Times New Roman" w:hAnsi="Times New Roman"/>
          <w:i w:val="1"/>
          <w:sz w:val="18"/>
          <w:szCs w:val="18"/>
          <w:rtl w:val="0"/>
        </w:rPr>
        <w:t xml:space="preserve">Divination &amp; Theurgy in Natoplatonism</w:t>
      </w:r>
      <w:r w:rsidDel="00000000" w:rsidR="00000000" w:rsidRPr="00000000">
        <w:rPr>
          <w:rFonts w:ascii="Times New Roman" w:cs="Times New Roman" w:eastAsia="Times New Roman" w:hAnsi="Times New Roman"/>
          <w:sz w:val="18"/>
          <w:szCs w:val="18"/>
          <w:rtl w:val="0"/>
        </w:rPr>
        <w:t xml:space="preserve">. Ch.6, p.215</w:t>
      </w:r>
    </w:p>
  </w:footnote>
  <w:footnote w:id="82">
    <w:p w:rsidR="00000000" w:rsidDel="00000000" w:rsidP="00000000" w:rsidRDefault="00000000" w:rsidRPr="00000000" w14:paraId="00000146">
      <w:pPr>
        <w:spacing w:after="0"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Athanassiadi. ‘Dreams, Theurgy ’. p.120; Myst, g ibid. V.25; I.I5; cf. v </w:t>
      </w:r>
      <w:r w:rsidDel="00000000" w:rsidR="00000000" w:rsidRPr="00000000">
        <w:rPr>
          <w:rtl w:val="0"/>
        </w:rPr>
      </w:r>
    </w:p>
  </w:footnote>
  <w:footnote w:id="83">
    <w:p w:rsidR="00000000" w:rsidDel="00000000" w:rsidP="00000000" w:rsidRDefault="00000000" w:rsidRPr="00000000" w14:paraId="00000147">
      <w:pPr>
        <w:spacing w:after="0" w:line="240" w:lineRule="auto"/>
        <w:rPr>
          <w:rFonts w:ascii="Times New Roman" w:cs="Times New Roman" w:eastAsia="Times New Roman" w:hAnsi="Times New Roman"/>
          <w:sz w:val="24"/>
          <w:szCs w:val="24"/>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Ibid. p.121; Myst. III.3.</w:t>
      </w:r>
      <w:r w:rsidDel="00000000" w:rsidR="00000000" w:rsidRPr="00000000">
        <w:rPr>
          <w:rtl w:val="0"/>
        </w:rPr>
      </w:r>
    </w:p>
    <w:p w:rsidR="00000000" w:rsidDel="00000000" w:rsidP="00000000" w:rsidRDefault="00000000" w:rsidRPr="00000000" w14:paraId="00000148">
      <w:pPr>
        <w:spacing w:after="0" w:line="240" w:lineRule="auto"/>
        <w:rPr>
          <w:sz w:val="20"/>
          <w:szCs w:val="20"/>
        </w:rPr>
      </w:pPr>
      <w:r w:rsidDel="00000000" w:rsidR="00000000" w:rsidRPr="00000000">
        <w:rPr>
          <w:rtl w:val="0"/>
        </w:rPr>
      </w:r>
    </w:p>
  </w:footnote>
  <w:footnote w:id="92">
    <w:p w:rsidR="00000000" w:rsidDel="00000000" w:rsidP="00000000" w:rsidRDefault="00000000" w:rsidRPr="00000000" w14:paraId="00000149">
      <w:pPr>
        <w:rPr>
          <w:rFonts w:ascii="Times" w:cs="Times" w:eastAsia="Times" w:hAnsi="Times"/>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w:cs="Times" w:eastAsia="Times" w:hAnsi="Times"/>
          <w:sz w:val="18"/>
          <w:szCs w:val="18"/>
          <w:highlight w:val="white"/>
          <w:rtl w:val="0"/>
        </w:rPr>
        <w:t xml:space="preserve">De Boussac, Plato Proclus. Helena Petrovna Blavatsky Joseph-Louis. 2018. </w:t>
      </w:r>
      <w:r w:rsidDel="00000000" w:rsidR="00000000" w:rsidRPr="00000000">
        <w:rPr>
          <w:rFonts w:ascii="Times" w:cs="Times" w:eastAsia="Times" w:hAnsi="Times"/>
          <w:i w:val="1"/>
          <w:sz w:val="18"/>
          <w:szCs w:val="18"/>
          <w:highlight w:val="white"/>
          <w:rtl w:val="0"/>
        </w:rPr>
        <w:t xml:space="preserve">Magic or Theurgy</w:t>
      </w:r>
      <w:r w:rsidDel="00000000" w:rsidR="00000000" w:rsidRPr="00000000">
        <w:rPr>
          <w:rFonts w:ascii="Times" w:cs="Times" w:eastAsia="Times" w:hAnsi="Times"/>
          <w:sz w:val="18"/>
          <w:szCs w:val="18"/>
          <w:rtl w:val="0"/>
        </w:rPr>
        <w:t xml:space="preserve">. p.21</w:t>
      </w:r>
    </w:p>
  </w:footnote>
  <w:footnote w:id="15">
    <w:p w:rsidR="00000000" w:rsidDel="00000000" w:rsidP="00000000" w:rsidRDefault="00000000" w:rsidRPr="00000000" w14:paraId="0000014A">
      <w:pPr>
        <w:spacing w:after="0" w:line="240" w:lineRule="auto"/>
        <w:rPr>
          <w:rFonts w:ascii="Times New Roman" w:cs="Times New Roman" w:eastAsia="Times New Roman" w:hAnsi="Times New Roman"/>
          <w:sz w:val="18"/>
          <w:szCs w:val="18"/>
          <w:vertAlign w:val="superscript"/>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Crystal Addey. 2014. </w:t>
      </w:r>
      <w:r w:rsidDel="00000000" w:rsidR="00000000" w:rsidRPr="00000000">
        <w:rPr>
          <w:rFonts w:ascii="Times New Roman" w:cs="Times New Roman" w:eastAsia="Times New Roman" w:hAnsi="Times New Roman"/>
          <w:i w:val="1"/>
          <w:sz w:val="18"/>
          <w:szCs w:val="18"/>
          <w:rtl w:val="0"/>
        </w:rPr>
        <w:t xml:space="preserve">Divination and Theurgy in Neoplatonism: Oracles of the gods.</w:t>
      </w:r>
      <w:r w:rsidDel="00000000" w:rsidR="00000000" w:rsidRPr="00000000">
        <w:rPr>
          <w:rFonts w:ascii="Times New Roman" w:cs="Times New Roman" w:eastAsia="Times New Roman" w:hAnsi="Times New Roman"/>
          <w:sz w:val="18"/>
          <w:szCs w:val="18"/>
          <w:rtl w:val="0"/>
        </w:rPr>
        <w:t xml:space="preserve"> P.249-250</w:t>
      </w:r>
      <w:r w:rsidDel="00000000" w:rsidR="00000000" w:rsidRPr="00000000">
        <w:rPr>
          <w:rtl w:val="0"/>
        </w:rPr>
      </w:r>
    </w:p>
  </w:footnote>
  <w:footnote w:id="73">
    <w:p w:rsidR="00000000" w:rsidDel="00000000" w:rsidP="00000000" w:rsidRDefault="00000000" w:rsidRPr="00000000" w14:paraId="0000014B">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Shaw, </w:t>
      </w:r>
      <w:r w:rsidDel="00000000" w:rsidR="00000000" w:rsidRPr="00000000">
        <w:rPr>
          <w:rFonts w:ascii="Times New Roman" w:cs="Times New Roman" w:eastAsia="Times New Roman" w:hAnsi="Times New Roman"/>
          <w:i w:val="1"/>
          <w:sz w:val="18"/>
          <w:szCs w:val="18"/>
          <w:rtl w:val="0"/>
        </w:rPr>
        <w:t xml:space="preserve">Rituals.</w:t>
      </w:r>
      <w:r w:rsidDel="00000000" w:rsidR="00000000" w:rsidRPr="00000000">
        <w:rPr>
          <w:rFonts w:ascii="Times New Roman" w:cs="Times New Roman" w:eastAsia="Times New Roman" w:hAnsi="Times New Roman"/>
          <w:sz w:val="18"/>
          <w:szCs w:val="18"/>
          <w:rtl w:val="0"/>
        </w:rPr>
        <w:t xml:space="preserve"> pp.4-5 </w:t>
      </w:r>
    </w:p>
  </w:footnote>
  <w:footnote w:id="74">
    <w:p w:rsidR="00000000" w:rsidDel="00000000" w:rsidP="00000000" w:rsidRDefault="00000000" w:rsidRPr="00000000" w14:paraId="0000014C">
      <w:pPr>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John Dillon. 2004.</w:t>
      </w:r>
      <w:r w:rsidDel="00000000" w:rsidR="00000000" w:rsidRPr="00000000">
        <w:rPr>
          <w:rFonts w:ascii="Times New Roman" w:cs="Times New Roman" w:eastAsia="Times New Roman" w:hAnsi="Times New Roman"/>
          <w:i w:val="1"/>
          <w:sz w:val="18"/>
          <w:szCs w:val="18"/>
          <w:rtl w:val="0"/>
        </w:rPr>
        <w:t xml:space="preserve"> Iamblichus on the Mysteries</w:t>
      </w:r>
      <w:r w:rsidDel="00000000" w:rsidR="00000000" w:rsidRPr="00000000">
        <w:rPr>
          <w:rFonts w:ascii="Times New Roman" w:cs="Times New Roman" w:eastAsia="Times New Roman" w:hAnsi="Times New Roman"/>
          <w:sz w:val="18"/>
          <w:szCs w:val="18"/>
          <w:rtl w:val="0"/>
        </w:rPr>
        <w:t xml:space="preserve"> </w:t>
      </w:r>
      <w:r w:rsidDel="00000000" w:rsidR="00000000" w:rsidRPr="00000000">
        <w:rPr>
          <w:rFonts w:ascii="Times New Roman" w:cs="Times New Roman" w:eastAsia="Times New Roman" w:hAnsi="Times New Roman"/>
          <w:i w:val="1"/>
          <w:sz w:val="18"/>
          <w:szCs w:val="18"/>
          <w:rtl w:val="0"/>
        </w:rPr>
        <w:t xml:space="preserve">54</w:t>
      </w:r>
      <w:r w:rsidDel="00000000" w:rsidR="00000000" w:rsidRPr="00000000">
        <w:rPr>
          <w:rFonts w:ascii="Times New Roman" w:cs="Times New Roman" w:eastAsia="Times New Roman" w:hAnsi="Times New Roman"/>
          <w:sz w:val="18"/>
          <w:szCs w:val="18"/>
          <w:rtl w:val="0"/>
        </w:rPr>
        <w:t xml:space="preserve">(2), 349–351.</w:t>
      </w:r>
    </w:p>
  </w:footnote>
  <w:footnote w:id="75">
    <w:p w:rsidR="00000000" w:rsidDel="00000000" w:rsidP="00000000" w:rsidRDefault="00000000" w:rsidRPr="00000000" w14:paraId="0000014D">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highlight w:val="white"/>
          <w:rtl w:val="0"/>
        </w:rPr>
        <w:t xml:space="preserve">Thomas Taylor. Porphyry. Iamblichus </w:t>
      </w:r>
      <w:r w:rsidDel="00000000" w:rsidR="00000000" w:rsidRPr="00000000">
        <w:rPr>
          <w:rFonts w:ascii="Times New Roman" w:cs="Times New Roman" w:eastAsia="Times New Roman" w:hAnsi="Times New Roman"/>
          <w:i w:val="1"/>
          <w:sz w:val="18"/>
          <w:szCs w:val="18"/>
          <w:highlight w:val="white"/>
          <w:rtl w:val="0"/>
        </w:rPr>
        <w:t xml:space="preserve">On the Mysteries of the Egyptians, Chaldeans, and Assyrians. </w:t>
      </w:r>
      <w:r w:rsidDel="00000000" w:rsidR="00000000" w:rsidRPr="00000000">
        <w:rPr>
          <w:rFonts w:ascii="Times New Roman" w:cs="Times New Roman" w:eastAsia="Times New Roman" w:hAnsi="Times New Roman"/>
          <w:sz w:val="18"/>
          <w:szCs w:val="18"/>
          <w:highlight w:val="white"/>
          <w:rtl w:val="0"/>
        </w:rPr>
        <w:t xml:space="preserve">(United Kingdom, Bertram Dobell, 1895) </w:t>
      </w:r>
      <w:r w:rsidDel="00000000" w:rsidR="00000000" w:rsidRPr="00000000">
        <w:rPr>
          <w:rFonts w:ascii="Times New Roman" w:cs="Times New Roman" w:eastAsia="Times New Roman" w:hAnsi="Times New Roman"/>
          <w:sz w:val="18"/>
          <w:szCs w:val="18"/>
          <w:rtl w:val="0"/>
        </w:rPr>
        <w:t xml:space="preserve">III. 208-209</w:t>
      </w:r>
    </w:p>
  </w:footnote>
  <w:footnote w:id="76">
    <w:p w:rsidR="00000000" w:rsidDel="00000000" w:rsidP="00000000" w:rsidRDefault="00000000" w:rsidRPr="00000000" w14:paraId="0000014E">
      <w:pPr>
        <w:spacing w:after="0"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Dillon.</w:t>
      </w:r>
      <w:r w:rsidDel="00000000" w:rsidR="00000000" w:rsidRPr="00000000">
        <w:rPr>
          <w:rFonts w:ascii="Times New Roman" w:cs="Times New Roman" w:eastAsia="Times New Roman" w:hAnsi="Times New Roman"/>
          <w:i w:val="1"/>
          <w:sz w:val="18"/>
          <w:szCs w:val="18"/>
          <w:rtl w:val="0"/>
        </w:rPr>
        <w:t xml:space="preserve"> Iamblichus on the Mysteries 54</w:t>
      </w:r>
      <w:r w:rsidDel="00000000" w:rsidR="00000000" w:rsidRPr="00000000">
        <w:rPr>
          <w:rFonts w:ascii="Times New Roman" w:cs="Times New Roman" w:eastAsia="Times New Roman" w:hAnsi="Times New Roman"/>
          <w:sz w:val="18"/>
          <w:szCs w:val="18"/>
          <w:rtl w:val="0"/>
        </w:rPr>
        <w:t xml:space="preserve">(2), 349–351.</w:t>
      </w:r>
      <w:r w:rsidDel="00000000" w:rsidR="00000000" w:rsidRPr="00000000">
        <w:rPr>
          <w:rtl w:val="0"/>
        </w:rPr>
      </w:r>
    </w:p>
  </w:footnote>
  <w:footnote w:id="78">
    <w:p w:rsidR="00000000" w:rsidDel="00000000" w:rsidP="00000000" w:rsidRDefault="00000000" w:rsidRPr="00000000" w14:paraId="0000014F">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18"/>
          <w:szCs w:val="18"/>
          <w:rtl w:val="0"/>
        </w:rPr>
        <w:t xml:space="preserve"> Iamblichus, </w:t>
      </w:r>
      <w:r w:rsidDel="00000000" w:rsidR="00000000" w:rsidRPr="00000000">
        <w:rPr>
          <w:rFonts w:ascii="Times New Roman" w:cs="Times New Roman" w:eastAsia="Times New Roman" w:hAnsi="Times New Roman"/>
          <w:i w:val="1"/>
          <w:sz w:val="18"/>
          <w:szCs w:val="18"/>
          <w:rtl w:val="0"/>
        </w:rPr>
        <w:t xml:space="preserve">De Mysteriis</w:t>
      </w:r>
      <w:r w:rsidDel="00000000" w:rsidR="00000000" w:rsidRPr="00000000">
        <w:rPr>
          <w:rFonts w:ascii="Times New Roman" w:cs="Times New Roman" w:eastAsia="Times New Roman" w:hAnsi="Times New Roman"/>
          <w:sz w:val="18"/>
          <w:szCs w:val="18"/>
          <w:rtl w:val="0"/>
        </w:rPr>
        <w:t xml:space="preserve">, 1497. 3.III. p.118</w:t>
      </w:r>
    </w:p>
  </w:footnote>
  <w:footnote w:id="85">
    <w:p w:rsidR="00000000" w:rsidDel="00000000" w:rsidP="00000000" w:rsidRDefault="00000000" w:rsidRPr="00000000" w14:paraId="00000150">
      <w:pPr>
        <w:spacing w:after="0" w:line="240" w:lineRule="auto"/>
        <w:rPr>
          <w:rFonts w:ascii="Times New Roman" w:cs="Times New Roman" w:eastAsia="Times New Roman" w:hAnsi="Times New Roman"/>
          <w:sz w:val="18"/>
          <w:szCs w:val="18"/>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sz w:val="18"/>
          <w:szCs w:val="18"/>
          <w:rtl w:val="0"/>
        </w:rPr>
        <w:t xml:space="preserve">Iamblichus, </w:t>
      </w:r>
      <w:r w:rsidDel="00000000" w:rsidR="00000000" w:rsidRPr="00000000">
        <w:rPr>
          <w:rFonts w:ascii="Times New Roman" w:cs="Times New Roman" w:eastAsia="Times New Roman" w:hAnsi="Times New Roman"/>
          <w:i w:val="1"/>
          <w:sz w:val="18"/>
          <w:szCs w:val="18"/>
          <w:rtl w:val="0"/>
        </w:rPr>
        <w:t xml:space="preserve">De Mysteriis</w:t>
      </w:r>
      <w:r w:rsidDel="00000000" w:rsidR="00000000" w:rsidRPr="00000000">
        <w:rPr>
          <w:rFonts w:ascii="Times New Roman" w:cs="Times New Roman" w:eastAsia="Times New Roman" w:hAnsi="Times New Roman"/>
          <w:sz w:val="18"/>
          <w:szCs w:val="18"/>
          <w:rtl w:val="0"/>
        </w:rPr>
        <w:t xml:space="preserve">, 1497. 3.III. p.118</w:t>
      </w:r>
    </w:p>
    <w:p w:rsidR="00000000" w:rsidDel="00000000" w:rsidP="00000000" w:rsidRDefault="00000000" w:rsidRPr="00000000" w14:paraId="00000151">
      <w:pPr>
        <w:spacing w:after="0" w:line="240" w:lineRule="auto"/>
        <w:rPr>
          <w:sz w:val="20"/>
          <w:szCs w:val="20"/>
        </w:rPr>
      </w:pPr>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Calibri" w:cs="Calibri" w:eastAsia="Calibri" w:hAnsi="Calibri"/>
        <w:b w:val="0"/>
        <w:i w:val="0"/>
        <w:smallCaps w:val="0"/>
        <w:strike w:val="0"/>
        <w:color w:val="000000"/>
        <w:sz w:val="20"/>
        <w:szCs w:val="20"/>
        <w:u w:val="none"/>
        <w:shd w:fill="auto" w:val="clear"/>
        <w:vertAlign w:val="baseline"/>
      </w:rPr>
    </w:pPr>
    <w:r w:rsidDel="00000000" w:rsidR="00000000" w:rsidRPr="00000000">
      <w:rPr>
        <w:rtl w:val="0"/>
      </w:rPr>
    </w:r>
  </w:p>
  <w:tbl>
    <w:tblPr>
      <w:tblStyle w:val="Table3"/>
      <w:tblW w:w="9015.0" w:type="dxa"/>
      <w:jc w:val="left"/>
      <w:tblInd w:w="0.0" w:type="dxa"/>
      <w:tblLayout w:type="fixed"/>
      <w:tblLook w:val="0400"/>
    </w:tblPr>
    <w:tblGrid>
      <w:gridCol w:w="3005"/>
      <w:gridCol w:w="3005"/>
      <w:gridCol w:w="3005"/>
      <w:tblGridChange w:id="0">
        <w:tblGrid>
          <w:gridCol w:w="3005"/>
          <w:gridCol w:w="3005"/>
          <w:gridCol w:w="3005"/>
        </w:tblGrid>
      </w:tblGridChange>
    </w:tblGrid>
    <w:tr>
      <w:trPr>
        <w:cantSplit w:val="0"/>
        <w:tblHeader w:val="0"/>
      </w:trPr>
      <w:tc>
        <w:tcPr/>
        <w:p w:rsidR="00000000" w:rsidDel="00000000" w:rsidP="00000000" w:rsidRDefault="00000000" w:rsidRPr="00000000" w14:paraId="0000011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115"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Cara Louise Braia</w:t>
          </w:r>
        </w:p>
      </w:tc>
      <w:tc>
        <w:tcPr/>
        <w:p w:rsidR="00000000" w:rsidDel="00000000" w:rsidP="00000000" w:rsidRDefault="00000000" w:rsidRPr="00000000" w14:paraId="0000011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tc>
      <w:tc>
        <w:tcPr/>
        <w:p w:rsidR="00000000" w:rsidDel="00000000" w:rsidP="00000000" w:rsidRDefault="00000000" w:rsidRPr="00000000" w14:paraId="0000011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115"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HPCA7027</w:t>
          </w:r>
        </w:p>
      </w:tc>
    </w:tr>
  </w:tbl>
  <w:p w:rsidR="00000000" w:rsidDel="00000000" w:rsidP="00000000" w:rsidRDefault="00000000" w:rsidRPr="00000000" w14:paraId="00000117">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spacing w:after="0" w:before="40" w:lineRule="auto"/>
    </w:pPr>
    <w:rPr>
      <w:rFonts w:ascii="Calibri" w:cs="Calibri" w:eastAsia="Calibri" w:hAnsi="Calibri"/>
      <w:color w:val="1f3864"/>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pPr>
      <w:spacing w:after="160" w:line="259" w:lineRule="auto"/>
    </w:pPr>
    <w:rPr>
      <w:rFonts w:asciiTheme="minorHAnsi" w:cstheme="minorBidi" w:eastAsiaTheme="minorHAnsi" w:hAnsiTheme="minorHAnsi"/>
      <w:sz w:val="22"/>
      <w:szCs w:val="22"/>
      <w:lang w:eastAsia="en-US"/>
    </w:rPr>
  </w:style>
  <w:style w:type="paragraph" w:styleId="Heading3">
    <w:name w:val="heading 3"/>
    <w:basedOn w:val="Normal"/>
    <w:next w:val="Normal"/>
    <w:link w:val="Heading3Char"/>
    <w:uiPriority w:val="9"/>
    <w:unhideWhenUsed w:val="1"/>
    <w:qFormat w:val="1"/>
    <w:pPr>
      <w:keepNext w:val="1"/>
      <w:keepLines w:val="1"/>
      <w:spacing w:after="0" w:before="40"/>
      <w:outlineLvl w:val="2"/>
    </w:pPr>
    <w:rPr>
      <w:rFonts w:asciiTheme="majorHAnsi" w:cstheme="majorBidi" w:eastAsiaTheme="majorEastAsia" w:hAnsiTheme="majorHAnsi"/>
      <w:color w:val="1f3864" w:themeColor="accent1" w:themeShade="000080"/>
      <w:sz w:val="24"/>
      <w:szCs w:val="24"/>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Footer">
    <w:name w:val="footer"/>
    <w:basedOn w:val="Normal"/>
    <w:link w:val="FooterChar"/>
    <w:uiPriority w:val="99"/>
    <w:unhideWhenUsed w:val="1"/>
    <w:qFormat w:val="1"/>
    <w:pPr>
      <w:tabs>
        <w:tab w:val="center" w:pos="4680"/>
        <w:tab w:val="right" w:pos="9360"/>
      </w:tabs>
      <w:spacing w:after="0" w:line="240" w:lineRule="auto"/>
    </w:pPr>
  </w:style>
  <w:style w:type="paragraph" w:styleId="FootnoteText">
    <w:name w:val="footnote text"/>
    <w:basedOn w:val="Normal"/>
    <w:link w:val="FootnoteTextChar"/>
    <w:uiPriority w:val="99"/>
    <w:unhideWhenUsed w:val="1"/>
    <w:qFormat w:val="1"/>
    <w:pPr>
      <w:spacing w:after="0" w:line="240" w:lineRule="auto"/>
    </w:pPr>
    <w:rPr>
      <w:sz w:val="20"/>
      <w:szCs w:val="20"/>
    </w:rPr>
  </w:style>
  <w:style w:type="paragraph" w:styleId="Header">
    <w:name w:val="header"/>
    <w:basedOn w:val="Normal"/>
    <w:link w:val="HeaderChar"/>
    <w:uiPriority w:val="99"/>
    <w:unhideWhenUsed w:val="1"/>
    <w:qFormat w:val="1"/>
    <w:pPr>
      <w:tabs>
        <w:tab w:val="center" w:pos="4680"/>
        <w:tab w:val="right" w:pos="9360"/>
      </w:tabs>
      <w:spacing w:after="0" w:line="240" w:lineRule="auto"/>
    </w:pPr>
  </w:style>
  <w:style w:type="paragraph" w:styleId="NormalWeb">
    <w:name w:val="Normal (Web)"/>
    <w:basedOn w:val="Normal"/>
    <w:uiPriority w:val="99"/>
    <w:unhideWhenUsed w:val="1"/>
    <w:qFormat w:val="1"/>
    <w:rPr>
      <w:sz w:val="24"/>
      <w:szCs w:val="24"/>
    </w:rPr>
  </w:style>
  <w:style w:type="character" w:styleId="FootnoteReference">
    <w:name w:val="footnote reference"/>
    <w:basedOn w:val="DefaultParagraphFont"/>
    <w:uiPriority w:val="99"/>
    <w:unhideWhenUsed w:val="1"/>
    <w:qFormat w:val="1"/>
    <w:rPr>
      <w:vertAlign w:val="superscript"/>
    </w:rPr>
  </w:style>
  <w:style w:type="character" w:styleId="Hyperlink">
    <w:name w:val="Hyperlink"/>
    <w:basedOn w:val="DefaultParagraphFont"/>
    <w:uiPriority w:val="99"/>
    <w:unhideWhenUsed w:val="1"/>
    <w:qFormat w:val="1"/>
    <w:rPr>
      <w:color w:val="0563c1" w:themeColor="hyperlink"/>
      <w:u w:val="single"/>
    </w:rPr>
  </w:style>
  <w:style w:type="table" w:styleId="TableGrid">
    <w:name w:val="Table Grid"/>
    <w:basedOn w:val="TableNormal"/>
    <w:uiPriority w:val="59"/>
    <w:qFormat w:val="1"/>
    <w:tblPr>
      <w:tblBorders>
        <w:top w:color="000000" w:space="0" w:sz="4" w:themeColor="text1" w:val="single"/>
        <w:left w:color="000000" w:space="0" w:sz="4" w:themeColor="text1" w:val="single"/>
        <w:bottom w:color="000000" w:space="0" w:sz="4" w:themeColor="text1" w:val="single"/>
        <w:right w:color="000000" w:space="0" w:sz="4" w:themeColor="text1" w:val="single"/>
        <w:insideH w:color="000000" w:space="0" w:sz="4" w:themeColor="text1" w:val="single"/>
        <w:insideV w:color="000000" w:space="0" w:sz="4" w:themeColor="text1" w:val="single"/>
      </w:tblBorders>
    </w:tblPr>
  </w:style>
  <w:style w:type="character" w:styleId="Heading3Char" w:customStyle="1">
    <w:name w:val="Heading 3 Char"/>
    <w:basedOn w:val="DefaultParagraphFont"/>
    <w:link w:val="Heading3"/>
    <w:uiPriority w:val="9"/>
    <w:qFormat w:val="1"/>
    <w:rPr>
      <w:rFonts w:asciiTheme="majorHAnsi" w:cstheme="majorBidi" w:eastAsiaTheme="majorEastAsia" w:hAnsiTheme="majorHAnsi"/>
      <w:color w:val="1f3864" w:themeColor="accent1" w:themeShade="000080"/>
      <w:sz w:val="24"/>
      <w:szCs w:val="24"/>
    </w:rPr>
  </w:style>
  <w:style w:type="paragraph" w:styleId="ListParagraph1" w:customStyle="1">
    <w:name w:val="List Paragraph1"/>
    <w:basedOn w:val="Normal"/>
    <w:uiPriority w:val="34"/>
    <w:qFormat w:val="1"/>
    <w:pPr>
      <w:ind w:left="720"/>
      <w:contextualSpacing w:val="1"/>
    </w:pPr>
  </w:style>
  <w:style w:type="character" w:styleId="HeaderChar" w:customStyle="1">
    <w:name w:val="Header Char"/>
    <w:basedOn w:val="DefaultParagraphFont"/>
    <w:link w:val="Header"/>
    <w:uiPriority w:val="99"/>
    <w:qFormat w:val="1"/>
  </w:style>
  <w:style w:type="character" w:styleId="FooterChar" w:customStyle="1">
    <w:name w:val="Footer Char"/>
    <w:basedOn w:val="DefaultParagraphFont"/>
    <w:link w:val="Footer"/>
    <w:uiPriority w:val="99"/>
    <w:qFormat w:val="1"/>
  </w:style>
  <w:style w:type="character" w:styleId="FootnoteTextChar" w:customStyle="1">
    <w:name w:val="Footnote Text Char"/>
    <w:basedOn w:val="DefaultParagraphFont"/>
    <w:link w:val="FootnoteText"/>
    <w:uiPriority w:val="99"/>
    <w:semiHidden w:val="1"/>
    <w:qFormat w:val="1"/>
    <w:rPr>
      <w:sz w:val="20"/>
      <w:szCs w:val="20"/>
    </w:rPr>
  </w:style>
  <w:style w:type="paragraph" w:styleId="Revision">
    <w:name w:val="Revision"/>
    <w:hidden w:val="1"/>
    <w:uiPriority w:val="99"/>
    <w:semiHidden w:val="1"/>
    <w:rsid w:val="00026195"/>
    <w:rPr>
      <w:rFonts w:asciiTheme="minorHAnsi" w:cstheme="minorBidi" w:eastAsiaTheme="minorHAnsi" w:hAnsiTheme="minorHAnsi"/>
      <w:sz w:val="22"/>
      <w:szCs w:val="22"/>
      <w:lang w:eastAsia="en-US"/>
    </w:rPr>
  </w:style>
  <w:style w:type="character" w:styleId="FollowedHyperlink">
    <w:name w:val="FollowedHyperlink"/>
    <w:basedOn w:val="DefaultParagraphFont"/>
    <w:uiPriority w:val="99"/>
    <w:semiHidden w:val="1"/>
    <w:unhideWhenUsed w:val="1"/>
    <w:rsid w:val="003B0E74"/>
    <w:rPr>
      <w:color w:val="954f72" w:themeColor="followedHyperlink"/>
      <w:u w:val="single"/>
    </w:rPr>
  </w:style>
  <w:style w:type="character" w:styleId="normaltextrun" w:customStyle="1">
    <w:name w:val="normaltextrun"/>
    <w:basedOn w:val="DefaultParagraphFont"/>
    <w:rsid w:val="003C69FF"/>
  </w:style>
  <w:style w:type="character" w:styleId="eop" w:customStyle="1">
    <w:name w:val="eop"/>
    <w:basedOn w:val="DefaultParagraphFont"/>
    <w:rsid w:val="003C69FF"/>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0.0" w:type="dxa"/>
        <w:left w:w="115.0" w:type="dxa"/>
        <w:bottom w:w="0.0" w:type="dxa"/>
        <w:right w:w="115.0" w:type="dxa"/>
      </w:tblCellMar>
    </w:tblPr>
  </w:style>
  <w:style w:type="table" w:styleId="Table3">
    <w:basedOn w:val="TableNormal"/>
    <w:tblPr>
      <w:tblStyleRowBandSize w:val="1"/>
      <w:tblStyleColBandSize w:val="1"/>
      <w:tblCellMar>
        <w:top w:w="0.0" w:type="dxa"/>
        <w:left w:w="115.0" w:type="dxa"/>
        <w:bottom w:w="0.0" w:type="dxa"/>
        <w:right w:w="115.0" w:type="dxa"/>
      </w:tblCellMar>
    </w:tblPr>
  </w:style>
  <w:style w:type="table" w:styleId="Table4">
    <w:basedOn w:val="TableNormal"/>
    <w:tblPr>
      <w:tblStyleRowBandSize w:val="1"/>
      <w:tblStyleColBandSize w:val="1"/>
      <w:tblCellMar>
        <w:top w:w="0.0" w:type="dxa"/>
        <w:left w:w="115.0" w:type="dxa"/>
        <w:bottom w:w="0.0" w:type="dxa"/>
        <w:right w:w="115.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eader" Target="header1.xml"/><Relationship Id="rId10" Type="http://schemas.openxmlformats.org/officeDocument/2006/relationships/hyperlink" Target="https://doi.org/10.1515/9783110276381.343" TargetMode="External"/><Relationship Id="rId12" Type="http://schemas.openxmlformats.org/officeDocument/2006/relationships/footer" Target="footer1.xm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degruyter.com/document/doi/10.1515/9783110276381/html"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customXml" Target="../customXML/item1.xml"/><Relationship Id="rId8" Type="http://schemas.openxmlformats.org/officeDocument/2006/relationships/hyperlink" Target="http://www.jstor.org/stable/20848293" TargetMode="External"/></Relationships>
</file>

<file path=word/_rels/fontTable.xml.rels><?xml version="1.0" encoding="UTF-8" standalone="yes"?><Relationships xmlns="http://schemas.openxmlformats.org/package/2006/relationships"><Relationship Id="rId11" Type="http://schemas.openxmlformats.org/officeDocument/2006/relationships/font" Target="fonts/Merriweather-regular.ttf"/><Relationship Id="rId10" Type="http://schemas.openxmlformats.org/officeDocument/2006/relationships/font" Target="fonts/QuattrocentoSans-boldItalic.ttf"/><Relationship Id="rId13" Type="http://schemas.openxmlformats.org/officeDocument/2006/relationships/font" Target="fonts/Merriweather-italic.ttf"/><Relationship Id="rId12" Type="http://schemas.openxmlformats.org/officeDocument/2006/relationships/font" Target="fonts/Merriweather-bold.ttf"/><Relationship Id="rId1" Type="http://schemas.openxmlformats.org/officeDocument/2006/relationships/font" Target="fonts/Montserrat-regular.ttf"/><Relationship Id="rId2" Type="http://schemas.openxmlformats.org/officeDocument/2006/relationships/font" Target="fonts/Montserrat-bold.ttf"/><Relationship Id="rId3" Type="http://schemas.openxmlformats.org/officeDocument/2006/relationships/font" Target="fonts/Montserrat-italic.ttf"/><Relationship Id="rId4" Type="http://schemas.openxmlformats.org/officeDocument/2006/relationships/font" Target="fonts/Montserrat-boldItalic.ttf"/><Relationship Id="rId9" Type="http://schemas.openxmlformats.org/officeDocument/2006/relationships/font" Target="fonts/QuattrocentoSans-italic.ttf"/><Relationship Id="rId14" Type="http://schemas.openxmlformats.org/officeDocument/2006/relationships/font" Target="fonts/Merriweather-boldItalic.ttf"/><Relationship Id="rId5" Type="http://schemas.openxmlformats.org/officeDocument/2006/relationships/font" Target="fonts/Tahoma-regular.ttf"/><Relationship Id="rId6" Type="http://schemas.openxmlformats.org/officeDocument/2006/relationships/font" Target="fonts/Tahoma-bold.ttf"/><Relationship Id="rId7" Type="http://schemas.openxmlformats.org/officeDocument/2006/relationships/font" Target="fonts/QuattrocentoSans-regular.ttf"/><Relationship Id="rId8" Type="http://schemas.openxmlformats.org/officeDocument/2006/relationships/font" Target="fonts/QuattrocentoSans-bold.ttf"/></Relationships>
</file>

<file path=word/_rels/footnotes.xml.rels><?xml version="1.0" encoding="UTF-8" standalone="yes"?><Relationships xmlns="http://schemas.openxmlformats.org/package/2006/relationships"><Relationship Id="rId1" Type="http://schemas.openxmlformats.org/officeDocument/2006/relationships/hyperlink" Target="https://www.google.co.uk/search?hl=en&amp;sxsrf=ALiCzsZQqOpCYiUt3YTE_vsZk93l03IJFg:1651251663982&amp;q=inauthor:%22Iamblichus%22&amp;tbm=bks" TargetMode="External"/><Relationship Id="rId2" Type="http://schemas.openxmlformats.org/officeDocument/2006/relationships/hyperlink" Target="https://www.google.co.uk/search?hl=en&amp;sxsrf=ALiCzsZQqOpCYiUt3YTE_vsZk93l03IJFg:1651251663982&amp;q=inauthor:%22Porphyry%22&amp;tbm=bks" TargetMode="External"/><Relationship Id="rId3" Type="http://schemas.openxmlformats.org/officeDocument/2006/relationships/hyperlink" Target="https://www.google.co.uk/search?hl=en&amp;sxsrf=ALiCzsZQqOpCYiUt3YTE_vsZk93l03IJFg:1651251663982&amp;q=inauthor:%22Iamblichus%22&amp;tbm=bks" TargetMode="External"/><Relationship Id="rId4" Type="http://schemas.openxmlformats.org/officeDocument/2006/relationships/hyperlink" Target="https://www.google.co.uk/search?hl=en&amp;sxsrf=ALiCzsZQqOpCYiUt3YTE_vsZk93l03IJFg:1651251663982&amp;q=inauthor:%22Porphyry%22&amp;tbm=bk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mcHTDGeJ7ojVXi5TBNpcKnBIFag==">AMUW2mUm0/AcMXWhO+Lpr520fsd+4nbw3PgTlQwzkJDWDkv8LekxQ5pXFOcCX5tCvasbDd1n1xa+eBhRRRTDEZW8/afa5tXlPasPZIHlbSDKEppKkB+SS3+HdHob4pSn55p4GiAXXmSHQI1cfKrwlBd1wJiEuzGens7cSc/Z8lZjvLEvOMhI/aSnwTgLk0IPHuQaUaYgkF99JG8KOcfOaxCWRoHG5x9eGIdUJfMrFhlXr7RS6EE+0TyJIqlVsAnf0MzH3XmiBXSd58Bn93he3wpllpv2cOvWnHHIS00GQNmy1jasF8f3c6ovzAFN1deeZ0GInBs6EcT9CFc6AeJptrzSJB0F1dSoXBL/a8KL1YcIitt5uV9PTQ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2022-07-29T19:18:00Z</dcterms:created>
  <dc:creator>Cara Braia (2116365)</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1033-3.1.1.5096</vt:lpwstr>
  </property>
</Properties>
</file>