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center"/>
        <w:rPr>
          <w:rFonts w:ascii="Times New Roman" w:cs="Times New Roman" w:eastAsia="Times New Roman" w:hAnsi="Times New Roman"/>
          <w:b w:val="1"/>
          <w:sz w:val="32"/>
          <w:szCs w:val="32"/>
        </w:rPr>
      </w:pPr>
      <w:r w:rsidDel="00000000" w:rsidR="00000000" w:rsidRPr="00000000">
        <w:rPr>
          <w:b w:val="1"/>
          <w:sz w:val="24"/>
          <w:szCs w:val="24"/>
        </w:rPr>
        <w:drawing>
          <wp:inline distB="114300" distT="114300" distL="114300" distR="114300">
            <wp:extent cx="1638300" cy="1309688"/>
            <wp:effectExtent b="0" l="0" r="0" t="0"/>
            <wp:docPr id="13"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1638300" cy="130968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after="200" w:line="480" w:lineRule="auto"/>
        <w:jc w:val="center"/>
        <w:rPr>
          <w:b w:val="1"/>
          <w:sz w:val="24"/>
          <w:szCs w:val="24"/>
        </w:rPr>
      </w:pPr>
      <w:r w:rsidDel="00000000" w:rsidR="00000000" w:rsidRPr="00000000">
        <w:rPr>
          <w:b w:val="1"/>
          <w:sz w:val="24"/>
          <w:szCs w:val="24"/>
          <w:rtl w:val="0"/>
        </w:rPr>
        <w:t xml:space="preserve">Student name : Luiza Georgiana Lisac</w:t>
      </w:r>
    </w:p>
    <w:p w:rsidR="00000000" w:rsidDel="00000000" w:rsidP="00000000" w:rsidRDefault="00000000" w:rsidRPr="00000000" w14:paraId="00000005">
      <w:pPr>
        <w:spacing w:after="200" w:line="480" w:lineRule="auto"/>
        <w:jc w:val="center"/>
        <w:rPr>
          <w:b w:val="1"/>
          <w:sz w:val="24"/>
          <w:szCs w:val="24"/>
        </w:rPr>
      </w:pPr>
      <w:r w:rsidDel="00000000" w:rsidR="00000000" w:rsidRPr="00000000">
        <w:rPr>
          <w:b w:val="1"/>
          <w:sz w:val="24"/>
          <w:szCs w:val="24"/>
          <w:rtl w:val="0"/>
        </w:rPr>
        <w:t xml:space="preserve">Programme: BA Business Management</w:t>
      </w:r>
    </w:p>
    <w:p w:rsidR="00000000" w:rsidDel="00000000" w:rsidP="00000000" w:rsidRDefault="00000000" w:rsidRPr="00000000" w14:paraId="00000006">
      <w:pPr>
        <w:spacing w:after="200" w:line="480" w:lineRule="auto"/>
        <w:jc w:val="center"/>
        <w:rPr>
          <w:b w:val="1"/>
          <w:sz w:val="24"/>
          <w:szCs w:val="24"/>
        </w:rPr>
      </w:pPr>
      <w:r w:rsidDel="00000000" w:rsidR="00000000" w:rsidRPr="00000000">
        <w:rPr>
          <w:b w:val="1"/>
          <w:sz w:val="24"/>
          <w:szCs w:val="24"/>
          <w:rtl w:val="0"/>
        </w:rPr>
        <w:t xml:space="preserve">Module:</w:t>
      </w:r>
      <w:r w:rsidDel="00000000" w:rsidR="00000000" w:rsidRPr="00000000">
        <w:rPr>
          <w:rFonts w:ascii="Times New Roman" w:cs="Times New Roman" w:eastAsia="Times New Roman" w:hAnsi="Times New Roman"/>
          <w:b w:val="1"/>
          <w:sz w:val="24"/>
          <w:szCs w:val="24"/>
          <w:rtl w:val="0"/>
        </w:rPr>
        <w:t xml:space="preserve"> Data Handling &amp; Business Intelligence</w:t>
      </w:r>
      <w:r w:rsidDel="00000000" w:rsidR="00000000" w:rsidRPr="00000000">
        <w:rPr>
          <w:rtl w:val="0"/>
        </w:rPr>
      </w:r>
    </w:p>
    <w:p w:rsidR="00000000" w:rsidDel="00000000" w:rsidP="00000000" w:rsidRDefault="00000000" w:rsidRPr="00000000" w14:paraId="00000007">
      <w:pPr>
        <w:spacing w:after="200" w:line="480" w:lineRule="auto"/>
        <w:jc w:val="center"/>
        <w:rPr>
          <w:b w:val="1"/>
          <w:sz w:val="24"/>
          <w:szCs w:val="24"/>
        </w:rPr>
      </w:pPr>
      <w:r w:rsidDel="00000000" w:rsidR="00000000" w:rsidRPr="00000000">
        <w:rPr>
          <w:b w:val="1"/>
          <w:sz w:val="24"/>
          <w:szCs w:val="24"/>
          <w:rtl w:val="0"/>
        </w:rPr>
        <w:t xml:space="preserve">Module code: </w:t>
      </w:r>
      <w:r w:rsidDel="00000000" w:rsidR="00000000" w:rsidRPr="00000000">
        <w:rPr>
          <w:rFonts w:ascii="Times New Roman" w:cs="Times New Roman" w:eastAsia="Times New Roman" w:hAnsi="Times New Roman"/>
          <w:b w:val="1"/>
          <w:sz w:val="24"/>
          <w:szCs w:val="24"/>
          <w:rtl w:val="0"/>
        </w:rPr>
        <w:t xml:space="preserve"> LCBB5000</w:t>
      </w:r>
      <w:r w:rsidDel="00000000" w:rsidR="00000000" w:rsidRPr="00000000">
        <w:rPr>
          <w:rtl w:val="0"/>
        </w:rPr>
      </w:r>
    </w:p>
    <w:p w:rsidR="00000000" w:rsidDel="00000000" w:rsidP="00000000" w:rsidRDefault="00000000" w:rsidRPr="00000000" w14:paraId="00000008">
      <w:pPr>
        <w:spacing w:after="200" w:line="480" w:lineRule="auto"/>
        <w:jc w:val="center"/>
        <w:rPr>
          <w:rFonts w:ascii="Times New Roman" w:cs="Times New Roman" w:eastAsia="Times New Roman" w:hAnsi="Times New Roman"/>
          <w:b w:val="1"/>
          <w:sz w:val="32"/>
          <w:szCs w:val="32"/>
        </w:rPr>
      </w:pPr>
      <w:r w:rsidDel="00000000" w:rsidR="00000000" w:rsidRPr="00000000">
        <w:rPr>
          <w:b w:val="1"/>
          <w:sz w:val="24"/>
          <w:szCs w:val="24"/>
          <w:rtl w:val="0"/>
        </w:rPr>
        <w:t xml:space="preserve">Assignment Title:Data Analysis &amp; Visualisation</w:t>
      </w: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Determination of the decline in profits and sales over the years</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the usage of Excel for analyzing the data, pre-processing the data and visualizing the data</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Determination of decline in profit or sales through IF and Pivot tables</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Estimation of students as per liking of vanilla flavor of ice cream</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Estimation of students by gender</w:t>
              <w:tab/>
              <w:t xml:space="preserve">10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Mean and Median of participants those are liking strawberry and chocolate flavor ice-cream</w:t>
              <w:tab/>
              <w:t xml:space="preserve">11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Example of clustering</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Explanation of the most basic data mining and text mining methods</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Discussion of the disadvantages and advantages of utilizing SPSS and Excel</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Reference List</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line="360" w:lineRule="auto"/>
        <w:jc w:val="center"/>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heading=h.gjdgxs" w:id="0"/>
      <w:bookmarkEnd w:id="0"/>
      <w:r w:rsidDel="00000000" w:rsidR="00000000" w:rsidRPr="00000000">
        <w:rPr>
          <w:rtl w:val="0"/>
        </w:rPr>
        <w:t xml:space="preserve">Part 1 </w:t>
      </w:r>
    </w:p>
    <w:p w:rsidR="00000000" w:rsidDel="00000000" w:rsidP="00000000" w:rsidRDefault="00000000" w:rsidRPr="00000000" w14:paraId="0000001D">
      <w:pPr>
        <w:pStyle w:val="Heading2"/>
        <w:rPr/>
      </w:pPr>
      <w:bookmarkStart w:colFirst="0" w:colLast="0" w:name="_heading=h.30j0zll" w:id="1"/>
      <w:bookmarkEnd w:id="1"/>
      <w:r w:rsidDel="00000000" w:rsidR="00000000" w:rsidRPr="00000000">
        <w:rPr>
          <w:rtl w:val="0"/>
        </w:rPr>
        <w:t xml:space="preserve">Determination of the decline in profits and sales over the years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Superstore Sales data set various sales and profit ranges over some years have been shown and over these years the sales and profit both have declined. In this section, proper determination of these decline in profits and sales have been highlighted in an effective manner. This decline in profits and sales happened in 2009, 2010, 2011 and 2012 in these consecutive years (</w:t>
      </w:r>
      <w:r w:rsidDel="00000000" w:rsidR="00000000" w:rsidRPr="00000000">
        <w:rPr>
          <w:rFonts w:ascii="Times New Roman" w:cs="Times New Roman" w:eastAsia="Times New Roman" w:hAnsi="Times New Roman"/>
          <w:color w:val="222222"/>
          <w:sz w:val="24"/>
          <w:szCs w:val="24"/>
          <w:highlight w:val="white"/>
          <w:rtl w:val="0"/>
        </w:rPr>
        <w:t xml:space="preserve">Evergreen, 2019</w:t>
      </w:r>
      <w:r w:rsidDel="00000000" w:rsidR="00000000" w:rsidRPr="00000000">
        <w:rPr>
          <w:rFonts w:ascii="Times New Roman" w:cs="Times New Roman" w:eastAsia="Times New Roman" w:hAnsi="Times New Roman"/>
          <w:sz w:val="24"/>
          <w:szCs w:val="24"/>
          <w:rtl w:val="0"/>
        </w:rPr>
        <w:t xml:space="preserve">). In the year of 2009 the sales rate was 261.54 and with these sales nearly -213.25 was the profit and that was a significant loss and the loss was 48.29. On the other hand, in the sale year, in the month of September, the total sales rate was 5586.33 and the profit was nearly 80.44 as the sales were higher and the profit was too low.</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September, 2009, the priority of the order was high and the sales rate of this order was 460.68 and the delice in profit was nearly -116.76. In addition, in November, 2009, the sales rate was 224.47 and the delice in profit was approximately -49.31 and this can also be recognized as the significant loss. In the year of 2009, another order which was medium order in priority, its sales rate was 2560.59 and in this order the profit was higher and that was 670.96. Though, in comparison to the sales rate the profit is still much lower therefore, this can also be considered as the loss. In November 2009, the order priority was lower and the sales rate was 235.09 and the significant loss in the profit was -1987.49 and in this scenario the profit loss is too low (Becker, and Gould, 2019). Moreover, in January 2009, the order priority was critical and the sales rate was 2750.107 and the profit was 667.45 and that was quite a loss in comparison to 2750.107.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year 2010, the order priority was medium and the sales rate was 244.57 and the profit rate 46.71 and, in this scenario, the loss was quite low and the profit was higher than that. In October, 2010, the order priority was higher and the sales rate was 53.01 and the profit was 3.85. From this case, the loss is too high therefore, it can be stated that the profit range is lower than the loss. In August 2010, the sales rate was 392.57 for medium orders and the profit was 22.25. The profit range is low in this case also (Guerrero, H., 2018). In March 2011, the sales rate was 146.69 and the profit was 4.43 and from this it can be highlighted that the profit is much lower than the sales rate. In the year of 2011, the sales rate was 234.28 and from this sales rate the profit was -65.42 and from this it can be highlighted that, the profit was not actually profit, it is loss. Moreover, in August, 2011, the sale rate was 2631.107 of a medium order priority and the profit was 297.11 and in comparison, to the sales rate, the profit was much lower. In the last year which is 2012, some decline in the profit has also been highlighted in an effective manner. In February, 2012, for the higher order priority, the sales rate was approximately 4965.76 and the profit for this order was nearly 1198.97 and as the sales rate was higher still the profit was not increased that much, it is too low (Ertug</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2018). In April, 2012, for a specified order, the sales rate was 1364.803 and the decline within the sale was nearly -183.68. Moreover, in May, 2012, for a low order priority, the sales rate was 557.23 and the profit was -42.99 and in comparison, to the sales rate, the profit was too low. </w:t>
      </w:r>
    </w:p>
    <w:p w:rsidR="00000000" w:rsidDel="00000000" w:rsidP="00000000" w:rsidRDefault="00000000" w:rsidRPr="00000000" w14:paraId="00000021">
      <w:pPr>
        <w:pStyle w:val="Heading2"/>
        <w:rPr/>
      </w:pPr>
      <w:bookmarkStart w:colFirst="0" w:colLast="0" w:name="_heading=h.1fob9te" w:id="2"/>
      <w:bookmarkEnd w:id="2"/>
      <w:r w:rsidDel="00000000" w:rsidR="00000000" w:rsidRPr="00000000">
        <w:rPr>
          <w:rtl w:val="0"/>
        </w:rPr>
        <w:t xml:space="preserve">Evaluation of the usage of Excel for analyzing the data, pre-processing the data and visualizing the data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not unknown that MS-Excel is vastly utilized for pre-processing any kind of data, analyzing data as well as visualizing the data. For the non-programmers, this Excel is known as the best tool to preprocess and manage structured data. In addition, MS-Excel has some effective functions as well as techniques that make it simpler to get clean structured data. An effective Excel spreadsheet would support an individual in organizing raw data into the readable format that helps in making it easier for extracting actionable insights (Jelen and Alexander, 2018). Moreover, with some more difficult data, MS-Excel provides a better allowance for customizing functions and fields that make the calculations. It can be stated that, there are various functions in Excel that help in pre-processing of the data such as IF, LEFT, IFERROR, MID, RIGHT, FIND, COUNTIF and ISTEXT. </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Analyzing data in MS Excel helps in empowering to understand the data by natural language queries that provide a better allowance for asking questions regarding the data without having to write any kind of complicated formulas. Moreover, analyzing data gives higher-level visual patterns, trends and summaries (Mace</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2018). Data analysis is necessary as it supports businesses in understanding their consumers more effectively, enhances sales, enhances consumer targeting, diminishes costs and provides a better allowance for the creation of effective strategies of problem solving. In addition, there are various features available in Excel for analyzing the data such as COUNTBLANK, XLOOKUP, conditional formatting, pivot charts and pivot tables and MATCH (McFedries, 2019). On the other hand, there are several more types of data analysis present within Excel such as charts, filters and sorting. Moreover, the VLOOKUP function is known as the most effectively utilized and also recognizable function within Excel and most people are using this function. This would look for a particular value within a table including that return information from another column associating with that value. This is effective for combining data from various lists into one or else comparing other two lists to match or some missing items. The current trends in BI are automation and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Excel charts and graphs are utilized for making a graphical representation of any particular set of data. In addition, a chart is known as the visual representation of the information, within that the data is effectively represented through symbols mainly as bars within a Bar Chart or else lines within a Line Chart. In this work, IF function for pre-processing data and Pivot Table for analysis and graph for visualizing the data have been utilized (Fuller and Dubuque, 2019). The main aim of data visualization is to make this easier in identifying trends, patterns and outliers within a vast dataset. Any individual can be able to organize data within a spreadsheet into a more organized and accessible format just as the bar graph, line graph and Gantt chart. Data visualization provides a clearer idea of what exactly the information means by providing visual context by graphs and maps.   </w:t>
      </w:r>
    </w:p>
    <w:p w:rsidR="00000000" w:rsidDel="00000000" w:rsidP="00000000" w:rsidRDefault="00000000" w:rsidRPr="00000000" w14:paraId="00000025">
      <w:pPr>
        <w:pStyle w:val="Heading2"/>
        <w:rPr/>
      </w:pPr>
      <w:bookmarkStart w:colFirst="0" w:colLast="0" w:name="_heading=h.3znysh7" w:id="3"/>
      <w:bookmarkEnd w:id="3"/>
      <w:r w:rsidDel="00000000" w:rsidR="00000000" w:rsidRPr="00000000">
        <w:rPr>
          <w:rtl w:val="0"/>
        </w:rPr>
        <w:t xml:space="preserve">Determination of decline in profit or sales through IF and Pivot tables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in-depth illustration of the usage of Excel for data pre-processing, data visualization and data analyzing have been illustrated in an effective manner. In addition, in terms of demonstrating this usage of Excel for visualizing, analyzing and preprocessing, two functions of Excel such as IF and Pivot Table have been used in a proper way. The Pivot Table has been done in the Superstore sales data set for making the data in a systematic order (Jelen, 2020). A Pivot Table can be considered as the interactive way to rapidly summarize any vast estimation of data. An individual can be able to utilize a Pivot Table for analyzing numerical data in depth along with answering unanticipated questions regarding the data. Moreover, a Pivot Table is mainly designed to query vast estimation of data in several types of user-friendly ways. In the data, the decline in profits or sales has happened over the 4 consecutive years and in terms of showing this declining over 2009, 2010, 2011, and 2012 years, Pivot Table has been utilized.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decline in sales or profit have been shown individually over the four years and in the 2009 year, the total sales rate is 4209896.846 and the overall profit is 434096.02. From this grand total of sum of profit and sum of sales, it can be stated that, the sales rate over every order in 2009 was too high and in comparison, to the sum of sales, the sum of profit is too low (Domino</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2021). The total loss in the 2009 year is 3,775,800.826 and from this loss it can be stated that, though the sales rate is higher still the loss is much lower than that. </w:t>
      </w:r>
    </w:p>
    <w:p w:rsidR="00000000" w:rsidDel="00000000" w:rsidP="00000000" w:rsidRDefault="00000000" w:rsidRPr="00000000" w14:paraId="0000002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014913" cy="2641784"/>
            <wp:effectExtent b="25400" l="25400" r="25400" t="25400"/>
            <wp:docPr id="12"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014913" cy="264178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Grand total of sum of sales and profit in 2009</w:t>
      </w:r>
    </w:p>
    <w:p w:rsidR="00000000" w:rsidDel="00000000" w:rsidP="00000000" w:rsidRDefault="00000000" w:rsidRPr="00000000" w14:paraId="0000002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MS-Excel)</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year of 2010, also the decline in profit and sales can be seen and this decline within the profit has been shown through the support of Pivot table. From the 2010 data, it can be stated that, the overall sum of sales is 3560087.045 and the sum of profit is 364917.33 and from this grand total of these two, it can be stated that the profit is too low in comparison to sales (Zhang</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2019). The decline in profit is approximately 3,195,169.715 and from this it can be easily illustrated that the loss in the profit is also higher in 2010. </w:t>
      </w:r>
    </w:p>
    <w:p w:rsidR="00000000" w:rsidDel="00000000" w:rsidP="00000000" w:rsidRDefault="00000000" w:rsidRPr="00000000" w14:paraId="0000002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267200" cy="2476500"/>
            <wp:effectExtent b="25400" l="25400" r="25400" t="25400"/>
            <wp:docPr id="15"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4267200" cy="24765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Grand total of sum of sales and profit in 2010</w:t>
      </w:r>
    </w:p>
    <w:p w:rsidR="00000000" w:rsidDel="00000000" w:rsidP="00000000" w:rsidRDefault="00000000" w:rsidRPr="00000000" w14:paraId="0000002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MS-Excel)</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decline in profit can also be seen in the sales of the orders in the year of 2011 and the grand total sum of sales is 3429944.981 and the sum of profit is 380310 and the profit is too low in comparison to the sum of profit. Focusing on the sum of sales and the sum of profit, the decline in profit in 2011 was nearly 3,049,634.481 and that is a much higher loss in orders in 2011. In order to visualize the decline in profit in 2011m the below chart of 2011 has been shown. From this below chart, it is clear that the sum of sales is much higher than the sum of profit. </w:t>
      </w:r>
    </w:p>
    <w:p w:rsidR="00000000" w:rsidDel="00000000" w:rsidP="00000000" w:rsidRDefault="00000000" w:rsidRPr="00000000" w14:paraId="0000003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207883" cy="2528776"/>
            <wp:effectExtent b="25400" l="25400" r="25400" t="25400"/>
            <wp:docPr id="14"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4207883" cy="2528776"/>
                    </a:xfrm>
                    <a:prstGeom prst="rect"/>
                    <a:ln w="25400">
                      <a:solidFill>
                        <a:srgbClr val="000000"/>
                      </a:solidFill>
                      <a:prstDash val="solid"/>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Decline in profit in 2011</w:t>
      </w:r>
    </w:p>
    <w:p w:rsidR="00000000" w:rsidDel="00000000" w:rsidP="00000000" w:rsidRDefault="00000000" w:rsidRPr="00000000" w14:paraId="0000003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MS-Excel)</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2012, the grand total of sum of sales was 3715671.953 and the sum of profit was 342444.13 and from this it can be stated that the profit was much lower in 2012 also. The decline in profit is approximately 3,373,227.823 and the decline in profit is much lower than the sales rate. In order to visualize the decline in profit in 2012, the below chart has been shown. </w:t>
      </w:r>
    </w:p>
    <w:p w:rsidR="00000000" w:rsidDel="00000000" w:rsidP="00000000" w:rsidRDefault="00000000" w:rsidRPr="00000000" w14:paraId="0000003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40910" cy="2728913"/>
            <wp:effectExtent b="25400" l="25400" r="25400" t="25400"/>
            <wp:docPr id="17"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4540910" cy="272891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5">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Decline in profit in 2012</w:t>
      </w:r>
    </w:p>
    <w:p w:rsidR="00000000" w:rsidDel="00000000" w:rsidP="00000000" w:rsidRDefault="00000000" w:rsidRPr="00000000" w14:paraId="0000003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MS-Excel)</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show the decline in profit over the years, the below line chart has been formulated from the Pivot Table. From the below chart, it is evident that the sum of sales is much higher than the sum of profit (Addoum</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2020). The profit range rover 2009, 2010, 2011, and 2012 is much lower for each order and hence, it is proven that decline in profit has happened. </w:t>
      </w:r>
    </w:p>
    <w:p w:rsidR="00000000" w:rsidDel="00000000" w:rsidP="00000000" w:rsidRDefault="00000000" w:rsidRPr="00000000" w14:paraId="0000003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248332" cy="2582112"/>
            <wp:effectExtent b="25400" l="25400" r="25400" t="25400"/>
            <wp:docPr id="16"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248332" cy="2582112"/>
                    </a:xfrm>
                    <a:prstGeom prst="rect"/>
                    <a:ln w="25400">
                      <a:solidFill>
                        <a:srgbClr val="000000"/>
                      </a:solidFill>
                      <a:prstDash val="solid"/>
                    </a:ln>
                  </pic:spPr>
                </pic:pic>
              </a:graphicData>
            </a:graphic>
          </wp:inline>
        </w:drawing>
      </w: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3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5: Graph of sales and profits by years </w:t>
      </w:r>
    </w:p>
    <w:p w:rsidR="00000000" w:rsidDel="00000000" w:rsidP="00000000" w:rsidRDefault="00000000" w:rsidRPr="00000000" w14:paraId="0000003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MS-Excel)</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Superstore sales, the IF function has been utilized to understand the decline and increase in profit in an effective manner. In the year of 2012 the sales rate was 4965.76 and the profit was 1198.97 and according to the IF function this is “decline” in profit (Jelen, 2019). In addition, in 2011, the sales rate was 394.27 and the profit was 30.94 and as per IF function this is “decline” in sales. In addition, in 2012, the sales rate was 2781.82 and the profit was -695.26 and as per the IF function this is “decline” in profit. Therefore, it can be stated, in this section, that the IF function has been utilized in Excel in an effective manner for doing the pre-processing of data. </w:t>
      </w:r>
    </w:p>
    <w:p w:rsidR="00000000" w:rsidDel="00000000" w:rsidP="00000000" w:rsidRDefault="00000000" w:rsidRPr="00000000" w14:paraId="0000003C">
      <w:pPr>
        <w:pStyle w:val="Heading1"/>
        <w:rPr/>
      </w:pPr>
      <w:bookmarkStart w:colFirst="0" w:colLast="0" w:name="_heading=h.2et92p0" w:id="4"/>
      <w:bookmarkEnd w:id="4"/>
      <w:r w:rsidDel="00000000" w:rsidR="00000000" w:rsidRPr="00000000">
        <w:rPr>
          <w:rtl w:val="0"/>
        </w:rPr>
        <w:t xml:space="preserve">Part 2 </w:t>
      </w:r>
    </w:p>
    <w:p w:rsidR="00000000" w:rsidDel="00000000" w:rsidP="00000000" w:rsidRDefault="00000000" w:rsidRPr="00000000" w14:paraId="0000003D">
      <w:pPr>
        <w:pStyle w:val="Heading2"/>
        <w:rPr/>
      </w:pPr>
      <w:bookmarkStart w:colFirst="0" w:colLast="0" w:name="_heading=h.tyjcwt" w:id="5"/>
      <w:bookmarkEnd w:id="5"/>
      <w:r w:rsidDel="00000000" w:rsidR="00000000" w:rsidRPr="00000000">
        <w:rPr>
          <w:rtl w:val="0"/>
        </w:rPr>
        <w:t xml:space="preserve">2.1 Estimation of students as per liking of vanilla flavor of ice cream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a data analyst, a report has been produced through evaluating the findings through Histogram, Pie and Bar based on the dataset of Ice cream_csv and Ice cream.xls. In this section, the proper estimation of students like the vanilla flavor of ice cream has been shown in an effective manner through the support of SPSS data mining software. </w:t>
      </w:r>
    </w:p>
    <w:p w:rsidR="00000000" w:rsidDel="00000000" w:rsidP="00000000" w:rsidRDefault="00000000" w:rsidRPr="00000000" w14:paraId="0000003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91050" cy="1514475"/>
            <wp:effectExtent b="25400" l="25400" r="25400" t="25400"/>
            <wp:docPr id="19"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4591050" cy="15144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6: Percentage of students like vanilla flavor</w:t>
      </w:r>
    </w:p>
    <w:p w:rsidR="00000000" w:rsidDel="00000000" w:rsidP="00000000" w:rsidRDefault="00000000" w:rsidRPr="00000000" w14:paraId="0000004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SPSS)</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this aforementioned figure, it can be highlighted that, 1 means vanilla and nearly 47.5% of students like vanilla and in the below histogram the percentage of this has been shown. In addition, in the histogram, it is shown that, most of the students are liking vanilla more than other ice cream flavors.  </w:t>
      </w:r>
    </w:p>
    <w:p w:rsidR="00000000" w:rsidDel="00000000" w:rsidP="00000000" w:rsidRDefault="00000000" w:rsidRPr="00000000" w14:paraId="0000004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48188" cy="2421174"/>
            <wp:effectExtent b="25400" l="25400" r="25400" t="25400"/>
            <wp:docPr id="18"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4548188" cy="242117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7: Histogram of ice cream</w:t>
      </w:r>
    </w:p>
    <w:p w:rsidR="00000000" w:rsidDel="00000000" w:rsidP="00000000" w:rsidRDefault="00000000" w:rsidRPr="00000000" w14:paraId="0000004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SPSS)</w:t>
      </w:r>
    </w:p>
    <w:p w:rsidR="00000000" w:rsidDel="00000000" w:rsidP="00000000" w:rsidRDefault="00000000" w:rsidRPr="00000000" w14:paraId="00000046">
      <w:pPr>
        <w:pStyle w:val="Heading2"/>
        <w:rPr/>
      </w:pPr>
      <w:bookmarkStart w:colFirst="0" w:colLast="0" w:name="_heading=h.3dy6vkm" w:id="6"/>
      <w:bookmarkEnd w:id="6"/>
      <w:r w:rsidDel="00000000" w:rsidR="00000000" w:rsidRPr="00000000">
        <w:rPr>
          <w:rtl w:val="0"/>
        </w:rPr>
        <w:t xml:space="preserve">2.2 Estimation of students by gender </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section, the overestimation of students which are male and female have been shown in this section through the SPSS software. From the figure, it has been shown that 0 is male and 1 is female and the percentage of male is 45.5 and the percentage of female is 54.5. </w:t>
      </w:r>
    </w:p>
    <w:p w:rsidR="00000000" w:rsidDel="00000000" w:rsidP="00000000" w:rsidRDefault="00000000" w:rsidRPr="00000000" w14:paraId="0000004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72000" cy="1476375"/>
            <wp:effectExtent b="25400" l="25400" r="25400" t="25400"/>
            <wp:docPr id="21"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4572000" cy="14763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8: Percentage of male and female</w:t>
      </w:r>
    </w:p>
    <w:p w:rsidR="00000000" w:rsidDel="00000000" w:rsidP="00000000" w:rsidRDefault="00000000" w:rsidRPr="00000000" w14:paraId="0000004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SPSS)</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below, pie chart of the percentage of male and female of the students have been shown and from this pie chart it is clear that rate of female is higher than male.</w:t>
      </w:r>
    </w:p>
    <w:p w:rsidR="00000000" w:rsidDel="00000000" w:rsidP="00000000" w:rsidRDefault="00000000" w:rsidRPr="00000000" w14:paraId="0000004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133850" cy="3448050"/>
            <wp:effectExtent b="25400" l="25400" r="25400" t="25400"/>
            <wp:docPr id="20"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4133850" cy="344805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9: Pie chart</w:t>
      </w:r>
    </w:p>
    <w:p w:rsidR="00000000" w:rsidDel="00000000" w:rsidP="00000000" w:rsidRDefault="00000000" w:rsidRPr="00000000" w14:paraId="0000004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SPSS)</w:t>
      </w:r>
    </w:p>
    <w:p w:rsidR="00000000" w:rsidDel="00000000" w:rsidP="00000000" w:rsidRDefault="00000000" w:rsidRPr="00000000" w14:paraId="0000004F">
      <w:pPr>
        <w:pStyle w:val="Heading2"/>
        <w:rPr/>
      </w:pPr>
      <w:bookmarkStart w:colFirst="0" w:colLast="0" w:name="_heading=h.1t3h5sf" w:id="7"/>
      <w:bookmarkEnd w:id="7"/>
      <w:r w:rsidDel="00000000" w:rsidR="00000000" w:rsidRPr="00000000">
        <w:rPr>
          <w:rtl w:val="0"/>
        </w:rPr>
        <w:t xml:space="preserve">2.3 Mean and Median of participants those are liking strawberry and chocolate flavor ice-cream </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section, the mean and median of the participants that are liking chocolate and strawberry flavored ice cream have been shown through the support of SPSS software. The total number of participants are 200 and Mean statistics of the participants who are liking chocolate and strawberry flavored ice cream is 1.82 and as this is greater than 1 therefore, it shows that most of the participants are liking chocolate and strawberry flavor (Cleff, 2019). In addition, the maximum statistics is 3 and minimum statistics is 1 both are positive values. Therefore, it shows that most of the participants like strawberry and chocolate flavors. </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360.000000000002"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31"/>
        <w:gridCol w:w="922"/>
        <w:gridCol w:w="973"/>
        <w:gridCol w:w="992"/>
        <w:gridCol w:w="931"/>
        <w:gridCol w:w="1247"/>
        <w:gridCol w:w="982"/>
        <w:gridCol w:w="931"/>
        <w:gridCol w:w="951"/>
        <w:tblGridChange w:id="0">
          <w:tblGrid>
            <w:gridCol w:w="1431"/>
            <w:gridCol w:w="922"/>
            <w:gridCol w:w="973"/>
            <w:gridCol w:w="992"/>
            <w:gridCol w:w="931"/>
            <w:gridCol w:w="1247"/>
            <w:gridCol w:w="982"/>
            <w:gridCol w:w="931"/>
            <w:gridCol w:w="951"/>
          </w:tblGrid>
        </w:tblGridChange>
      </w:tblGrid>
      <w:tr>
        <w:trPr>
          <w:cantSplit w:val="0"/>
          <w:trHeight w:val="515" w:hRule="atLeast"/>
          <w:tblHeader w:val="0"/>
        </w:trPr>
        <w:tc>
          <w:tcPr>
            <w:gridSpan w:val="9"/>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56">
            <w:pPr>
              <w:spacing w:line="349" w:lineRule="auto"/>
              <w:ind w:left="60" w:right="60" w:firstLine="0"/>
              <w:jc w:val="center"/>
              <w:rPr>
                <w:b w:val="1"/>
                <w:color w:val="010205"/>
                <w:sz w:val="24"/>
                <w:szCs w:val="24"/>
              </w:rPr>
            </w:pPr>
            <w:r w:rsidDel="00000000" w:rsidR="00000000" w:rsidRPr="00000000">
              <w:rPr>
                <w:b w:val="1"/>
                <w:color w:val="010205"/>
                <w:sz w:val="24"/>
                <w:szCs w:val="24"/>
                <w:rtl w:val="0"/>
              </w:rPr>
              <w:t xml:space="preserve">Descriptive Statistics</w:t>
            </w:r>
          </w:p>
        </w:tc>
      </w:tr>
      <w:tr>
        <w:trPr>
          <w:cantSplit w:val="0"/>
          <w:trHeight w:val="515" w:hRule="atLeast"/>
          <w:tblHeader w:val="0"/>
        </w:trPr>
        <w:tc>
          <w:tcPr>
            <w:vMerge w:val="restart"/>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5F">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0">
            <w:pPr>
              <w:spacing w:line="349" w:lineRule="auto"/>
              <w:ind w:left="60" w:right="60" w:firstLine="0"/>
              <w:jc w:val="center"/>
              <w:rPr>
                <w:color w:val="264a60"/>
                <w:sz w:val="18"/>
                <w:szCs w:val="18"/>
              </w:rPr>
            </w:pPr>
            <w:r w:rsidDel="00000000" w:rsidR="00000000" w:rsidRPr="00000000">
              <w:rPr>
                <w:color w:val="264a60"/>
                <w:sz w:val="18"/>
                <w:szCs w:val="18"/>
                <w:rtl w:val="0"/>
              </w:rPr>
              <w:t xml:space="preserve">N</w:t>
            </w:r>
          </w:p>
        </w:tc>
        <w:tc>
          <w:tcPr>
            <w:tcBorders>
              <w:top w:color="000000" w:space="0" w:sz="0" w:val="nil"/>
              <w:left w:color="e0e0e0" w:space="0" w:sz="8" w:val="single"/>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1">
            <w:pPr>
              <w:spacing w:line="349" w:lineRule="auto"/>
              <w:ind w:left="60" w:right="60" w:firstLine="0"/>
              <w:jc w:val="center"/>
              <w:rPr>
                <w:color w:val="264a60"/>
                <w:sz w:val="18"/>
                <w:szCs w:val="18"/>
              </w:rPr>
            </w:pPr>
            <w:r w:rsidDel="00000000" w:rsidR="00000000" w:rsidRPr="00000000">
              <w:rPr>
                <w:color w:val="264a60"/>
                <w:sz w:val="18"/>
                <w:szCs w:val="18"/>
                <w:rtl w:val="0"/>
              </w:rPr>
              <w:t xml:space="preserve">Minimum</w:t>
            </w:r>
          </w:p>
        </w:tc>
        <w:tc>
          <w:tcPr>
            <w:tcBorders>
              <w:top w:color="000000" w:space="0" w:sz="0" w:val="nil"/>
              <w:left w:color="e0e0e0" w:space="0" w:sz="8" w:val="single"/>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2">
            <w:pPr>
              <w:spacing w:line="349" w:lineRule="auto"/>
              <w:ind w:left="60" w:right="60" w:firstLine="0"/>
              <w:jc w:val="center"/>
              <w:rPr>
                <w:color w:val="264a60"/>
                <w:sz w:val="18"/>
                <w:szCs w:val="18"/>
              </w:rPr>
            </w:pPr>
            <w:r w:rsidDel="00000000" w:rsidR="00000000" w:rsidRPr="00000000">
              <w:rPr>
                <w:color w:val="264a60"/>
                <w:sz w:val="18"/>
                <w:szCs w:val="18"/>
                <w:rtl w:val="0"/>
              </w:rPr>
              <w:t xml:space="preserve">Maximum</w:t>
            </w:r>
          </w:p>
        </w:tc>
        <w:tc>
          <w:tcPr>
            <w:tcBorders>
              <w:top w:color="000000" w:space="0" w:sz="0" w:val="nil"/>
              <w:left w:color="e0e0e0" w:space="0" w:sz="8" w:val="single"/>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3">
            <w:pPr>
              <w:spacing w:line="349" w:lineRule="auto"/>
              <w:ind w:left="60" w:right="60" w:firstLine="0"/>
              <w:jc w:val="center"/>
              <w:rPr>
                <w:color w:val="264a60"/>
                <w:sz w:val="18"/>
                <w:szCs w:val="18"/>
              </w:rPr>
            </w:pPr>
            <w:r w:rsidDel="00000000" w:rsidR="00000000" w:rsidRPr="00000000">
              <w:rPr>
                <w:color w:val="264a60"/>
                <w:sz w:val="18"/>
                <w:szCs w:val="18"/>
                <w:rtl w:val="0"/>
              </w:rPr>
              <w:t xml:space="preserve">Mean</w:t>
            </w:r>
          </w:p>
        </w:tc>
        <w:tc>
          <w:tcPr>
            <w:tcBorders>
              <w:top w:color="000000" w:space="0" w:sz="0" w:val="nil"/>
              <w:left w:color="e0e0e0" w:space="0" w:sz="8" w:val="single"/>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4">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Std. Deviation</w:t>
            </w:r>
          </w:p>
        </w:tc>
        <w:tc>
          <w:tcPr>
            <w:tcBorders>
              <w:top w:color="000000" w:space="0" w:sz="0" w:val="nil"/>
              <w:left w:color="e0e0e0" w:space="0" w:sz="8" w:val="single"/>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5">
            <w:pPr>
              <w:spacing w:line="349" w:lineRule="auto"/>
              <w:ind w:left="60" w:right="60" w:firstLine="0"/>
              <w:jc w:val="center"/>
              <w:rPr>
                <w:color w:val="264a60"/>
                <w:sz w:val="18"/>
                <w:szCs w:val="18"/>
              </w:rPr>
            </w:pPr>
            <w:r w:rsidDel="00000000" w:rsidR="00000000" w:rsidRPr="00000000">
              <w:rPr>
                <w:color w:val="264a60"/>
                <w:sz w:val="18"/>
                <w:szCs w:val="18"/>
                <w:rtl w:val="0"/>
              </w:rPr>
              <w:t xml:space="preserve">Variance</w:t>
            </w:r>
          </w:p>
        </w:tc>
        <w:tc>
          <w:tcPr>
            <w:gridSpan w:val="2"/>
            <w:tcBorders>
              <w:top w:color="000000" w:space="0" w:sz="0" w:val="nil"/>
              <w:left w:color="e0e0e0" w:space="0" w:sz="8" w:val="single"/>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6">
            <w:pPr>
              <w:spacing w:line="349" w:lineRule="auto"/>
              <w:ind w:left="60" w:right="60" w:firstLine="0"/>
              <w:jc w:val="center"/>
              <w:rPr>
                <w:color w:val="264a60"/>
                <w:sz w:val="18"/>
                <w:szCs w:val="18"/>
              </w:rPr>
            </w:pPr>
            <w:r w:rsidDel="00000000" w:rsidR="00000000" w:rsidRPr="00000000">
              <w:rPr>
                <w:color w:val="264a60"/>
                <w:sz w:val="18"/>
                <w:szCs w:val="18"/>
                <w:rtl w:val="0"/>
              </w:rPr>
              <w:t xml:space="preserve">Kurtosis</w:t>
            </w:r>
          </w:p>
        </w:tc>
      </w:tr>
      <w:tr>
        <w:trPr>
          <w:cantSplit w:val="0"/>
          <w:trHeight w:val="530" w:hRule="atLeast"/>
          <w:tblHeader w:val="0"/>
        </w:trPr>
        <w:tc>
          <w:tcPr>
            <w:vMerge w:val="continue"/>
            <w:tcBorders>
              <w:top w:color="000000" w:space="0" w:sz="0" w:val="nil"/>
              <w:left w:color="000000" w:space="0" w:sz="0" w:val="nil"/>
              <w:bottom w:color="000000" w:space="0" w:sz="0" w:val="nil"/>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64a60"/>
                <w:sz w:val="18"/>
                <w:szCs w:val="18"/>
              </w:rPr>
            </w:pPr>
            <w:r w:rsidDel="00000000" w:rsidR="00000000" w:rsidRPr="00000000">
              <w:rPr>
                <w:rtl w:val="0"/>
              </w:rPr>
            </w:r>
          </w:p>
        </w:tc>
        <w:tc>
          <w:tcPr>
            <w:tcBorders>
              <w:top w:color="000000" w:space="0" w:sz="0" w:val="nil"/>
              <w:left w:color="000000" w:space="0" w:sz="0" w:val="nil"/>
              <w:bottom w:color="152935" w:space="0" w:sz="8" w:val="single"/>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9">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Statistic</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A">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Statistic</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B">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Statistic</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C">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Statistic</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D">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Statistic</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6E">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Statistic</w:t>
            </w:r>
          </w:p>
        </w:tc>
        <w:tc>
          <w:tcPr>
            <w:tcBorders>
              <w:top w:color="000000" w:space="0" w:sz="0" w:val="nil"/>
              <w:left w:color="e0e0e0" w:space="0" w:sz="8" w:val="single"/>
              <w:bottom w:color="152935" w:space="0" w:sz="8" w:val="single"/>
              <w:right w:color="e0e0e0" w:space="0" w:sz="8" w:val="single"/>
            </w:tcBorders>
            <w:shd w:fill="ffffff" w:val="clear"/>
            <w:tcMar>
              <w:top w:w="100.0" w:type="dxa"/>
              <w:left w:w="100.0" w:type="dxa"/>
              <w:bottom w:w="100.0" w:type="dxa"/>
              <w:right w:w="100.0" w:type="dxa"/>
            </w:tcMar>
            <w:vAlign w:val="bottom"/>
          </w:tcPr>
          <w:p w:rsidR="00000000" w:rsidDel="00000000" w:rsidP="00000000" w:rsidRDefault="00000000" w:rsidRPr="00000000" w14:paraId="0000006F">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Statistic</w:t>
            </w:r>
          </w:p>
        </w:tc>
        <w:tc>
          <w:tcPr>
            <w:tcBorders>
              <w:top w:color="000000" w:space="0" w:sz="0" w:val="nil"/>
              <w:left w:color="000000" w:space="0" w:sz="0" w:val="nil"/>
              <w:bottom w:color="152935" w:space="0" w:sz="8" w:val="single"/>
              <w:right w:color="000000" w:space="0" w:sz="0" w:val="nil"/>
            </w:tcBorders>
            <w:shd w:fill="ffffff" w:val="clear"/>
            <w:tcMar>
              <w:top w:w="100.0" w:type="dxa"/>
              <w:left w:w="100.0" w:type="dxa"/>
              <w:bottom w:w="100.0" w:type="dxa"/>
              <w:right w:w="100.0" w:type="dxa"/>
            </w:tcMar>
            <w:vAlign w:val="bottom"/>
          </w:tcPr>
          <w:p w:rsidR="00000000" w:rsidDel="00000000" w:rsidP="00000000" w:rsidRDefault="00000000" w:rsidRPr="00000000" w14:paraId="00000070">
            <w:pPr>
              <w:spacing w:line="349" w:lineRule="auto"/>
              <w:ind w:left="60" w:right="60" w:firstLine="0"/>
              <w:jc w:val="center"/>
              <w:rPr>
                <w:color w:val="264a60"/>
                <w:sz w:val="18"/>
                <w:szCs w:val="18"/>
              </w:rPr>
            </w:pPr>
            <w:r w:rsidDel="00000000" w:rsidR="00000000" w:rsidRPr="00000000">
              <w:rPr>
                <w:color w:val="264a60"/>
                <w:sz w:val="18"/>
                <w:szCs w:val="18"/>
                <w:rtl w:val="0"/>
              </w:rPr>
              <w:t xml:space="preserve">Std. Error</w:t>
            </w:r>
          </w:p>
        </w:tc>
      </w:tr>
      <w:tr>
        <w:trPr>
          <w:cantSplit w:val="0"/>
          <w:trHeight w:val="545" w:hRule="atLeast"/>
          <w:tblHeader w:val="0"/>
        </w:trPr>
        <w:tc>
          <w:tcPr>
            <w:tcBorders>
              <w:top w:color="152935" w:space="0" w:sz="8" w:val="single"/>
              <w:left w:color="000000" w:space="0" w:sz="0" w:val="nil"/>
              <w:bottom w:color="aeaeae" w:space="0" w:sz="8" w:val="single"/>
              <w:right w:color="000000" w:space="0" w:sz="0" w:val="nil"/>
            </w:tcBorders>
            <w:shd w:fill="e0e0e0" w:val="clear"/>
            <w:tcMar>
              <w:top w:w="100.0" w:type="dxa"/>
              <w:left w:w="100.0" w:type="dxa"/>
              <w:bottom w:w="100.0" w:type="dxa"/>
              <w:right w:w="100.0" w:type="dxa"/>
            </w:tcMar>
          </w:tcPr>
          <w:p w:rsidR="00000000" w:rsidDel="00000000" w:rsidP="00000000" w:rsidRDefault="00000000" w:rsidRPr="00000000" w14:paraId="00000071">
            <w:pPr>
              <w:spacing w:line="349" w:lineRule="auto"/>
              <w:ind w:left="60" w:right="60" w:firstLine="0"/>
              <w:jc w:val="both"/>
              <w:rPr>
                <w:color w:val="264a60"/>
                <w:sz w:val="18"/>
                <w:szCs w:val="18"/>
              </w:rPr>
            </w:pPr>
            <w:r w:rsidDel="00000000" w:rsidR="00000000" w:rsidRPr="00000000">
              <w:rPr>
                <w:color w:val="264a60"/>
                <w:sz w:val="18"/>
                <w:szCs w:val="18"/>
                <w:rtl w:val="0"/>
              </w:rPr>
              <w:t xml:space="preserve">ice-cream</w:t>
            </w:r>
          </w:p>
        </w:tc>
        <w:tc>
          <w:tcPr>
            <w:tcBorders>
              <w:top w:color="000000" w:space="0" w:sz="0" w:val="nil"/>
              <w:left w:color="000000" w:space="0" w:sz="0" w:val="nil"/>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2">
            <w:pPr>
              <w:spacing w:line="349" w:lineRule="auto"/>
              <w:ind w:left="60" w:right="60" w:firstLine="0"/>
              <w:jc w:val="right"/>
              <w:rPr>
                <w:color w:val="010205"/>
                <w:sz w:val="18"/>
                <w:szCs w:val="18"/>
              </w:rPr>
            </w:pPr>
            <w:r w:rsidDel="00000000" w:rsidR="00000000" w:rsidRPr="00000000">
              <w:rPr>
                <w:color w:val="010205"/>
                <w:sz w:val="18"/>
                <w:szCs w:val="18"/>
                <w:rtl w:val="0"/>
              </w:rPr>
              <w:t xml:space="preserve">200</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3">
            <w:pPr>
              <w:spacing w:line="349" w:lineRule="auto"/>
              <w:ind w:left="60" w:right="60" w:firstLine="0"/>
              <w:jc w:val="right"/>
              <w:rPr>
                <w:color w:val="010205"/>
                <w:sz w:val="18"/>
                <w:szCs w:val="18"/>
              </w:rPr>
            </w:pPr>
            <w:r w:rsidDel="00000000" w:rsidR="00000000" w:rsidRPr="00000000">
              <w:rPr>
                <w:color w:val="010205"/>
                <w:sz w:val="18"/>
                <w:szCs w:val="18"/>
                <w:rtl w:val="0"/>
              </w:rPr>
              <w:t xml:space="preserve">1</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4">
            <w:pPr>
              <w:spacing w:line="349" w:lineRule="auto"/>
              <w:ind w:left="60" w:right="60" w:firstLine="0"/>
              <w:jc w:val="right"/>
              <w:rPr>
                <w:color w:val="010205"/>
                <w:sz w:val="18"/>
                <w:szCs w:val="18"/>
              </w:rPr>
            </w:pPr>
            <w:r w:rsidDel="00000000" w:rsidR="00000000" w:rsidRPr="00000000">
              <w:rPr>
                <w:color w:val="010205"/>
                <w:sz w:val="18"/>
                <w:szCs w:val="18"/>
                <w:rtl w:val="0"/>
              </w:rPr>
              <w:t xml:space="preserve">3</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5">
            <w:pPr>
              <w:spacing w:line="349" w:lineRule="auto"/>
              <w:ind w:left="60" w:right="60" w:firstLine="0"/>
              <w:jc w:val="right"/>
              <w:rPr>
                <w:color w:val="010205"/>
                <w:sz w:val="18"/>
                <w:szCs w:val="18"/>
              </w:rPr>
            </w:pPr>
            <w:r w:rsidDel="00000000" w:rsidR="00000000" w:rsidRPr="00000000">
              <w:rPr>
                <w:color w:val="010205"/>
                <w:sz w:val="18"/>
                <w:szCs w:val="18"/>
                <w:rtl w:val="0"/>
              </w:rPr>
              <w:t xml:space="preserve">1.82</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6">
            <w:pPr>
              <w:spacing w:line="349" w:lineRule="auto"/>
              <w:ind w:left="60" w:right="60" w:firstLine="0"/>
              <w:jc w:val="right"/>
              <w:rPr>
                <w:color w:val="010205"/>
                <w:sz w:val="18"/>
                <w:szCs w:val="18"/>
              </w:rPr>
            </w:pPr>
            <w:r w:rsidDel="00000000" w:rsidR="00000000" w:rsidRPr="00000000">
              <w:rPr>
                <w:color w:val="010205"/>
                <w:sz w:val="18"/>
                <w:szCs w:val="18"/>
                <w:rtl w:val="0"/>
              </w:rPr>
              <w:t xml:space="preserve">.857</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7">
            <w:pPr>
              <w:spacing w:line="349" w:lineRule="auto"/>
              <w:ind w:left="60" w:right="60" w:firstLine="0"/>
              <w:jc w:val="right"/>
              <w:rPr>
                <w:color w:val="010205"/>
                <w:sz w:val="18"/>
                <w:szCs w:val="18"/>
              </w:rPr>
            </w:pPr>
            <w:r w:rsidDel="00000000" w:rsidR="00000000" w:rsidRPr="00000000">
              <w:rPr>
                <w:color w:val="010205"/>
                <w:sz w:val="18"/>
                <w:szCs w:val="18"/>
                <w:rtl w:val="0"/>
              </w:rPr>
              <w:t xml:space="preserve">.734</w:t>
            </w:r>
          </w:p>
        </w:tc>
        <w:tc>
          <w:tcPr>
            <w:tcBorders>
              <w:top w:color="000000" w:space="0" w:sz="0" w:val="nil"/>
              <w:left w:color="e0e0e0" w:space="0" w:sz="8" w:val="single"/>
              <w:bottom w:color="aeaeae" w:space="0" w:sz="8" w:val="single"/>
              <w:right w:color="e0e0e0" w:space="0" w:sz="8" w:val="single"/>
            </w:tcBorders>
            <w:shd w:fill="ffffff" w:val="clear"/>
            <w:tcMar>
              <w:top w:w="100.0" w:type="dxa"/>
              <w:left w:w="100.0" w:type="dxa"/>
              <w:bottom w:w="100.0" w:type="dxa"/>
              <w:right w:w="100.0" w:type="dxa"/>
            </w:tcMar>
          </w:tcPr>
          <w:p w:rsidR="00000000" w:rsidDel="00000000" w:rsidP="00000000" w:rsidRDefault="00000000" w:rsidRPr="00000000" w14:paraId="00000078">
            <w:pPr>
              <w:spacing w:line="349" w:lineRule="auto"/>
              <w:ind w:left="60" w:right="60" w:firstLine="0"/>
              <w:jc w:val="right"/>
              <w:rPr>
                <w:color w:val="010205"/>
                <w:sz w:val="18"/>
                <w:szCs w:val="18"/>
              </w:rPr>
            </w:pPr>
            <w:r w:rsidDel="00000000" w:rsidR="00000000" w:rsidRPr="00000000">
              <w:rPr>
                <w:color w:val="010205"/>
                <w:sz w:val="18"/>
                <w:szCs w:val="18"/>
                <w:rtl w:val="0"/>
              </w:rPr>
              <w:t xml:space="preserve">-1.545</w:t>
            </w:r>
          </w:p>
        </w:tc>
        <w:tc>
          <w:tcPr>
            <w:tcBorders>
              <w:top w:color="000000" w:space="0" w:sz="0" w:val="nil"/>
              <w:left w:color="000000" w:space="0" w:sz="0" w:val="nil"/>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9">
            <w:pPr>
              <w:spacing w:line="349" w:lineRule="auto"/>
              <w:ind w:left="60" w:right="60" w:firstLine="0"/>
              <w:jc w:val="right"/>
              <w:rPr>
                <w:color w:val="010205"/>
                <w:sz w:val="18"/>
                <w:szCs w:val="18"/>
              </w:rPr>
            </w:pPr>
            <w:r w:rsidDel="00000000" w:rsidR="00000000" w:rsidRPr="00000000">
              <w:rPr>
                <w:color w:val="010205"/>
                <w:sz w:val="18"/>
                <w:szCs w:val="18"/>
                <w:rtl w:val="0"/>
              </w:rPr>
              <w:t xml:space="preserve">.342</w:t>
            </w:r>
          </w:p>
        </w:tc>
      </w:tr>
      <w:tr>
        <w:trPr>
          <w:cantSplit w:val="0"/>
          <w:trHeight w:val="545" w:hRule="atLeast"/>
          <w:tblHeader w:val="0"/>
        </w:trPr>
        <w:tc>
          <w:tcPr>
            <w:tcBorders>
              <w:top w:color="000000" w:space="0" w:sz="0" w:val="nil"/>
              <w:left w:color="000000" w:space="0" w:sz="0" w:val="nil"/>
              <w:bottom w:color="aeaeae" w:space="0" w:sz="8" w:val="single"/>
              <w:right w:color="000000" w:space="0" w:sz="0" w:val="nil"/>
            </w:tcBorders>
            <w:shd w:fill="e0e0e0" w:val="clear"/>
            <w:tcMar>
              <w:top w:w="100.0" w:type="dxa"/>
              <w:left w:w="100.0" w:type="dxa"/>
              <w:bottom w:w="100.0" w:type="dxa"/>
              <w:right w:w="100.0" w:type="dxa"/>
            </w:tcMar>
          </w:tcPr>
          <w:p w:rsidR="00000000" w:rsidDel="00000000" w:rsidP="00000000" w:rsidRDefault="00000000" w:rsidRPr="00000000" w14:paraId="0000007A">
            <w:pPr>
              <w:spacing w:line="349" w:lineRule="auto"/>
              <w:ind w:left="60" w:right="60" w:firstLine="0"/>
              <w:jc w:val="both"/>
              <w:rPr>
                <w:color w:val="264a60"/>
                <w:sz w:val="18"/>
                <w:szCs w:val="18"/>
              </w:rPr>
            </w:pPr>
            <w:r w:rsidDel="00000000" w:rsidR="00000000" w:rsidRPr="00000000">
              <w:rPr>
                <w:color w:val="264a60"/>
                <w:sz w:val="18"/>
                <w:szCs w:val="18"/>
                <w:rtl w:val="0"/>
              </w:rPr>
              <w:t xml:space="preserve">id</w:t>
            </w:r>
          </w:p>
        </w:tc>
        <w:tc>
          <w:tcPr>
            <w:tcBorders>
              <w:top w:color="000000" w:space="0" w:sz="0" w:val="nil"/>
              <w:left w:color="000000" w:space="0" w:sz="0" w:val="nil"/>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B">
            <w:pPr>
              <w:spacing w:line="349" w:lineRule="auto"/>
              <w:ind w:left="60" w:right="60" w:firstLine="0"/>
              <w:jc w:val="right"/>
              <w:rPr>
                <w:color w:val="010205"/>
                <w:sz w:val="18"/>
                <w:szCs w:val="18"/>
              </w:rPr>
            </w:pPr>
            <w:r w:rsidDel="00000000" w:rsidR="00000000" w:rsidRPr="00000000">
              <w:rPr>
                <w:color w:val="010205"/>
                <w:sz w:val="18"/>
                <w:szCs w:val="18"/>
                <w:rtl w:val="0"/>
              </w:rPr>
              <w:t xml:space="preserve">200</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C">
            <w:pPr>
              <w:spacing w:line="349" w:lineRule="auto"/>
              <w:ind w:left="60" w:right="60" w:firstLine="0"/>
              <w:jc w:val="right"/>
              <w:rPr>
                <w:color w:val="010205"/>
                <w:sz w:val="18"/>
                <w:szCs w:val="18"/>
              </w:rPr>
            </w:pPr>
            <w:r w:rsidDel="00000000" w:rsidR="00000000" w:rsidRPr="00000000">
              <w:rPr>
                <w:color w:val="010205"/>
                <w:sz w:val="18"/>
                <w:szCs w:val="18"/>
                <w:rtl w:val="0"/>
              </w:rPr>
              <w:t xml:space="preserve">1</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D">
            <w:pPr>
              <w:spacing w:line="349" w:lineRule="auto"/>
              <w:ind w:left="60" w:right="60" w:firstLine="0"/>
              <w:jc w:val="right"/>
              <w:rPr>
                <w:color w:val="010205"/>
                <w:sz w:val="18"/>
                <w:szCs w:val="18"/>
              </w:rPr>
            </w:pPr>
            <w:r w:rsidDel="00000000" w:rsidR="00000000" w:rsidRPr="00000000">
              <w:rPr>
                <w:color w:val="010205"/>
                <w:sz w:val="18"/>
                <w:szCs w:val="18"/>
                <w:rtl w:val="0"/>
              </w:rPr>
              <w:t xml:space="preserve">200</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E">
            <w:pPr>
              <w:spacing w:line="349" w:lineRule="auto"/>
              <w:ind w:left="60" w:right="60" w:firstLine="0"/>
              <w:jc w:val="right"/>
              <w:rPr>
                <w:color w:val="010205"/>
                <w:sz w:val="18"/>
                <w:szCs w:val="18"/>
              </w:rPr>
            </w:pPr>
            <w:r w:rsidDel="00000000" w:rsidR="00000000" w:rsidRPr="00000000">
              <w:rPr>
                <w:color w:val="010205"/>
                <w:sz w:val="18"/>
                <w:szCs w:val="18"/>
                <w:rtl w:val="0"/>
              </w:rPr>
              <w:t xml:space="preserve">100.50</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7F">
            <w:pPr>
              <w:spacing w:line="349" w:lineRule="auto"/>
              <w:ind w:left="60" w:right="60" w:firstLine="0"/>
              <w:jc w:val="right"/>
              <w:rPr>
                <w:color w:val="010205"/>
                <w:sz w:val="18"/>
                <w:szCs w:val="18"/>
              </w:rPr>
            </w:pPr>
            <w:r w:rsidDel="00000000" w:rsidR="00000000" w:rsidRPr="00000000">
              <w:rPr>
                <w:color w:val="010205"/>
                <w:sz w:val="18"/>
                <w:szCs w:val="18"/>
                <w:rtl w:val="0"/>
              </w:rPr>
              <w:t xml:space="preserve">57.879</w:t>
            </w:r>
          </w:p>
        </w:tc>
        <w:tc>
          <w:tcPr>
            <w:tcBorders>
              <w:top w:color="000000" w:space="0" w:sz="0" w:val="nil"/>
              <w:left w:color="e0e0e0" w:space="0" w:sz="8" w:val="single"/>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0">
            <w:pPr>
              <w:spacing w:line="349" w:lineRule="auto"/>
              <w:ind w:left="60" w:right="60" w:firstLine="0"/>
              <w:jc w:val="right"/>
              <w:rPr>
                <w:color w:val="010205"/>
                <w:sz w:val="18"/>
                <w:szCs w:val="18"/>
              </w:rPr>
            </w:pPr>
            <w:r w:rsidDel="00000000" w:rsidR="00000000" w:rsidRPr="00000000">
              <w:rPr>
                <w:color w:val="010205"/>
                <w:sz w:val="18"/>
                <w:szCs w:val="18"/>
                <w:rtl w:val="0"/>
              </w:rPr>
              <w:t xml:space="preserve">3350.000</w:t>
            </w:r>
          </w:p>
        </w:tc>
        <w:tc>
          <w:tcPr>
            <w:tcBorders>
              <w:top w:color="000000" w:space="0" w:sz="0" w:val="nil"/>
              <w:left w:color="e0e0e0" w:space="0" w:sz="8" w:val="single"/>
              <w:bottom w:color="aeaeae" w:space="0" w:sz="8" w:val="single"/>
              <w:right w:color="e0e0e0" w:space="0" w:sz="8" w:val="single"/>
            </w:tcBorders>
            <w:shd w:fill="ffffff" w:val="clear"/>
            <w:tcMar>
              <w:top w:w="100.0" w:type="dxa"/>
              <w:left w:w="100.0" w:type="dxa"/>
              <w:bottom w:w="100.0" w:type="dxa"/>
              <w:right w:w="100.0" w:type="dxa"/>
            </w:tcMar>
          </w:tcPr>
          <w:p w:rsidR="00000000" w:rsidDel="00000000" w:rsidP="00000000" w:rsidRDefault="00000000" w:rsidRPr="00000000" w14:paraId="00000081">
            <w:pPr>
              <w:spacing w:line="349" w:lineRule="auto"/>
              <w:ind w:left="60" w:right="60" w:firstLine="0"/>
              <w:jc w:val="right"/>
              <w:rPr>
                <w:color w:val="010205"/>
                <w:sz w:val="18"/>
                <w:szCs w:val="18"/>
              </w:rPr>
            </w:pPr>
            <w:r w:rsidDel="00000000" w:rsidR="00000000" w:rsidRPr="00000000">
              <w:rPr>
                <w:color w:val="010205"/>
                <w:sz w:val="18"/>
                <w:szCs w:val="18"/>
                <w:rtl w:val="0"/>
              </w:rPr>
              <w:t xml:space="preserve">-1.200</w:t>
            </w:r>
          </w:p>
        </w:tc>
        <w:tc>
          <w:tcPr>
            <w:tcBorders>
              <w:top w:color="000000" w:space="0" w:sz="0" w:val="nil"/>
              <w:left w:color="000000" w:space="0" w:sz="0" w:val="nil"/>
              <w:bottom w:color="aeaeae"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2">
            <w:pPr>
              <w:spacing w:line="349" w:lineRule="auto"/>
              <w:ind w:left="60" w:right="60" w:firstLine="0"/>
              <w:jc w:val="right"/>
              <w:rPr>
                <w:color w:val="010205"/>
                <w:sz w:val="18"/>
                <w:szCs w:val="18"/>
              </w:rPr>
            </w:pPr>
            <w:r w:rsidDel="00000000" w:rsidR="00000000" w:rsidRPr="00000000">
              <w:rPr>
                <w:color w:val="010205"/>
                <w:sz w:val="18"/>
                <w:szCs w:val="18"/>
                <w:rtl w:val="0"/>
              </w:rPr>
              <w:t xml:space="preserve">.342</w:t>
            </w:r>
          </w:p>
        </w:tc>
      </w:tr>
      <w:tr>
        <w:trPr>
          <w:cantSplit w:val="0"/>
          <w:trHeight w:val="545" w:hRule="atLeast"/>
          <w:tblHeader w:val="0"/>
        </w:trPr>
        <w:tc>
          <w:tcPr>
            <w:tcBorders>
              <w:top w:color="000000" w:space="0" w:sz="0" w:val="nil"/>
              <w:left w:color="000000" w:space="0" w:sz="0" w:val="nil"/>
              <w:bottom w:color="152935" w:space="0" w:sz="8" w:val="single"/>
              <w:right w:color="000000" w:space="0" w:sz="0" w:val="nil"/>
            </w:tcBorders>
            <w:shd w:fill="e0e0e0" w:val="clear"/>
            <w:tcMar>
              <w:top w:w="100.0" w:type="dxa"/>
              <w:left w:w="100.0" w:type="dxa"/>
              <w:bottom w:w="100.0" w:type="dxa"/>
              <w:right w:w="100.0" w:type="dxa"/>
            </w:tcMar>
          </w:tcPr>
          <w:p w:rsidR="00000000" w:rsidDel="00000000" w:rsidP="00000000" w:rsidRDefault="00000000" w:rsidRPr="00000000" w14:paraId="00000083">
            <w:pPr>
              <w:spacing w:line="349" w:lineRule="auto"/>
              <w:ind w:left="60" w:right="60" w:firstLine="0"/>
              <w:jc w:val="both"/>
              <w:rPr>
                <w:color w:val="264a60"/>
                <w:sz w:val="18"/>
                <w:szCs w:val="18"/>
              </w:rPr>
            </w:pPr>
            <w:r w:rsidDel="00000000" w:rsidR="00000000" w:rsidRPr="00000000">
              <w:rPr>
                <w:color w:val="264a60"/>
                <w:sz w:val="18"/>
                <w:szCs w:val="18"/>
                <w:rtl w:val="0"/>
              </w:rPr>
              <w:t xml:space="preserve">Valid N (listwise)</w:t>
            </w:r>
          </w:p>
        </w:tc>
        <w:tc>
          <w:tcPr>
            <w:tcBorders>
              <w:top w:color="000000" w:space="0" w:sz="0" w:val="nil"/>
              <w:left w:color="000000" w:space="0" w:sz="0" w:val="nil"/>
              <w:bottom w:color="152935"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4">
            <w:pPr>
              <w:spacing w:line="349" w:lineRule="auto"/>
              <w:ind w:left="60" w:right="60" w:firstLine="0"/>
              <w:jc w:val="right"/>
              <w:rPr>
                <w:color w:val="010205"/>
                <w:sz w:val="18"/>
                <w:szCs w:val="18"/>
              </w:rPr>
            </w:pPr>
            <w:r w:rsidDel="00000000" w:rsidR="00000000" w:rsidRPr="00000000">
              <w:rPr>
                <w:color w:val="010205"/>
                <w:sz w:val="18"/>
                <w:szCs w:val="18"/>
                <w:rtl w:val="0"/>
              </w:rPr>
              <w:t xml:space="preserve">200</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5">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6">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7">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8">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e0e0e0" w:space="0" w:sz="8" w:val="single"/>
              <w:bottom w:color="152935"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9">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e0e0e0" w:space="0" w:sz="8" w:val="single"/>
              <w:bottom w:color="152935" w:space="0" w:sz="8" w:val="single"/>
              <w:right w:color="e0e0e0" w:space="0" w:sz="8" w:val="single"/>
            </w:tcBorders>
            <w:shd w:fill="ffffff" w:val="clear"/>
            <w:tcMar>
              <w:top w:w="100.0" w:type="dxa"/>
              <w:left w:w="100.0" w:type="dxa"/>
              <w:bottom w:w="100.0" w:type="dxa"/>
              <w:right w:w="100.0" w:type="dxa"/>
            </w:tcMar>
          </w:tcPr>
          <w:p w:rsidR="00000000" w:rsidDel="00000000" w:rsidP="00000000" w:rsidRDefault="00000000" w:rsidRPr="00000000" w14:paraId="0000008A">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152935" w:space="0" w:sz="8" w:val="single"/>
              <w:right w:color="000000" w:space="0" w:sz="0" w:val="nil"/>
            </w:tcBorders>
            <w:shd w:fill="ffffff" w:val="clear"/>
            <w:tcMar>
              <w:top w:w="100.0" w:type="dxa"/>
              <w:left w:w="100.0" w:type="dxa"/>
              <w:bottom w:w="100.0" w:type="dxa"/>
              <w:right w:w="100.0" w:type="dxa"/>
            </w:tcMar>
          </w:tcPr>
          <w:p w:rsidR="00000000" w:rsidDel="00000000" w:rsidP="00000000" w:rsidRDefault="00000000" w:rsidRPr="00000000" w14:paraId="0000008B">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bl>
    <w:p w:rsidR="00000000" w:rsidDel="00000000" w:rsidP="00000000" w:rsidRDefault="00000000" w:rsidRPr="00000000" w14:paraId="0000008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10: Descriptive statistics of participants</w:t>
      </w:r>
    </w:p>
    <w:p w:rsidR="00000000" w:rsidDel="00000000" w:rsidP="00000000" w:rsidRDefault="00000000" w:rsidRPr="00000000" w14:paraId="0000008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SPSS)</w:t>
      </w:r>
    </w:p>
    <w:p w:rsidR="00000000" w:rsidDel="00000000" w:rsidP="00000000" w:rsidRDefault="00000000" w:rsidRPr="00000000" w14:paraId="0000008E">
      <w:pPr>
        <w:pStyle w:val="Heading2"/>
        <w:rPr/>
      </w:pPr>
      <w:bookmarkStart w:colFirst="0" w:colLast="0" w:name="_heading=h.4d34og8" w:id="8"/>
      <w:bookmarkEnd w:id="8"/>
      <w:r w:rsidDel="00000000" w:rsidR="00000000" w:rsidRPr="00000000">
        <w:rPr>
          <w:rtl w:val="0"/>
        </w:rPr>
        <w:t xml:space="preserve">2.4 Example of clustering </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Clustering is the process of assigning comparable data points to groups utilizing data patterns. In addition, clustering algorithms search equal data points including that allocate them towards the same set (Indraputra and Fitriana, 2020). Moreover, K means clustering is the one of such types of algorithms and cluster is the set or group of data points. </w:t>
      </w:r>
    </w:p>
    <w:p w:rsidR="00000000" w:rsidDel="00000000" w:rsidP="00000000" w:rsidRDefault="00000000" w:rsidRPr="00000000" w14:paraId="0000009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781175" cy="1438275"/>
            <wp:effectExtent b="0" l="0" r="0" t="0"/>
            <wp:docPr id="22"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1781175" cy="1438275"/>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11: Clustering </w:t>
      </w:r>
    </w:p>
    <w:p w:rsidR="00000000" w:rsidDel="00000000" w:rsidP="00000000" w:rsidRDefault="00000000" w:rsidRPr="00000000" w14:paraId="0000009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Indraputra and Fitriana, 2020)</w:t>
      </w:r>
    </w:p>
    <w:p w:rsidR="00000000" w:rsidDel="00000000" w:rsidP="00000000" w:rsidRDefault="00000000" w:rsidRPr="00000000" w14:paraId="00000093">
      <w:pPr>
        <w:pStyle w:val="Heading2"/>
        <w:rPr/>
      </w:pPr>
      <w:bookmarkStart w:colFirst="0" w:colLast="0" w:name="_heading=h.2s8eyo1" w:id="9"/>
      <w:bookmarkEnd w:id="9"/>
      <w:r w:rsidDel="00000000" w:rsidR="00000000" w:rsidRPr="00000000">
        <w:rPr>
          <w:rtl w:val="0"/>
        </w:rPr>
        <w:t xml:space="preserve">2.5 Explanation of the most basic data mining and text mining methods </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common data mining method is Machine Learning and in the present business world, nearly half of the companies are using this aforementioned data mining method. The current trend in data mining is “multimedia data mining” and higher utilization of SaaS is the present trend in data warehousing. In terms of real business world examples, it can be highlighted that Twitter, IBM, Google, Facebook and HubSpot, Apple, Microsoft, Amazon and Netflix are using Machine Learning. In addition, Alexa is one of the parts of Amazon that utilizes Machine Learning for predicting what the user would ask for information (Geeks for Geeks, 2022). Information extraction is known as an effective text mining method that can be utilized for business and as an example, information extraction is vastly used for presentations, scientific papers and legal documents. </w:t>
      </w:r>
    </w:p>
    <w:p w:rsidR="00000000" w:rsidDel="00000000" w:rsidP="00000000" w:rsidRDefault="00000000" w:rsidRPr="00000000" w14:paraId="00000095">
      <w:pPr>
        <w:pStyle w:val="Heading2"/>
        <w:rPr/>
      </w:pPr>
      <w:bookmarkStart w:colFirst="0" w:colLast="0" w:name="_heading=h.17dp8vu" w:id="10"/>
      <w:bookmarkEnd w:id="10"/>
      <w:r w:rsidDel="00000000" w:rsidR="00000000" w:rsidRPr="00000000">
        <w:rPr>
          <w:rtl w:val="0"/>
        </w:rPr>
        <w:t xml:space="preserve">2.6 Discussion of the disadvantages and advantages of utilizing SPSS and Excel </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ffe599" w:val="clear"/>
            <w:tcMar>
              <w:top w:w="100.0" w:type="dxa"/>
              <w:left w:w="100.0" w:type="dxa"/>
              <w:bottom w:w="100.0" w:type="dxa"/>
              <w:right w:w="100.0" w:type="dxa"/>
            </w:tcMar>
          </w:tcPr>
          <w:p w:rsidR="00000000" w:rsidDel="00000000" w:rsidP="00000000" w:rsidRDefault="00000000" w:rsidRPr="00000000" w14:paraId="0000009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Advantages of SPSS</w:t>
            </w:r>
          </w:p>
        </w:tc>
        <w:tc>
          <w:tcPr>
            <w:shd w:fill="ffe599" w:val="clear"/>
            <w:tcMar>
              <w:top w:w="100.0" w:type="dxa"/>
              <w:left w:w="100.0" w:type="dxa"/>
              <w:bottom w:w="100.0" w:type="dxa"/>
              <w:right w:w="100.0" w:type="dxa"/>
            </w:tcMar>
          </w:tcPr>
          <w:p w:rsidR="00000000" w:rsidDel="00000000" w:rsidP="00000000" w:rsidRDefault="00000000" w:rsidRPr="00000000" w14:paraId="0000009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Disadvantages of SPSS</w:t>
            </w:r>
          </w:p>
        </w:tc>
      </w:tr>
      <w:tr>
        <w:trPr>
          <w:cantSplit w:val="0"/>
          <w:tblHeader w:val="0"/>
        </w:trPr>
        <w:tc>
          <w:tcPr>
            <w:shd w:fill="c9daf8" w:val="clear"/>
            <w:tcMar>
              <w:top w:w="100.0" w:type="dxa"/>
              <w:left w:w="100.0" w:type="dxa"/>
              <w:bottom w:w="100.0" w:type="dxa"/>
              <w:right w:w="100.0" w:type="dxa"/>
            </w:tcMar>
          </w:tcPr>
          <w:p w:rsidR="00000000" w:rsidDel="00000000" w:rsidP="00000000" w:rsidRDefault="00000000" w:rsidRPr="00000000" w14:paraId="0000009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offers fast answers and reliable answers and in terms of showing the example it can be stated that, for obtaining reliable answers this SPSS statistics is highly utilized in education sectors. </w:t>
            </w:r>
          </w:p>
        </w:tc>
        <w:tc>
          <w:tcPr>
            <w:shd w:fill="c9daf8" w:val="clear"/>
            <w:tcMar>
              <w:top w:w="100.0" w:type="dxa"/>
              <w:left w:w="100.0" w:type="dxa"/>
              <w:bottom w:w="100.0" w:type="dxa"/>
              <w:right w:w="100.0" w:type="dxa"/>
            </w:tcMar>
          </w:tcPr>
          <w:p w:rsidR="00000000" w:rsidDel="00000000" w:rsidP="00000000" w:rsidRDefault="00000000" w:rsidRPr="00000000" w14:paraId="0000009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limitation of SPSS is that it might not be utilized to scrutinize a large data set. As an example, SPSS 32 bit might handle 2 billion within a dataset (Cook, 2021). Any research sometimes gets a vast data set in the field of nursing and medicine therefore, these researchers utilize SAS rather than using SPSS for analyzing clinical data.</w:t>
            </w:r>
          </w:p>
        </w:tc>
      </w:tr>
      <w:tr>
        <w:trPr>
          <w:cantSplit w:val="0"/>
          <w:tblHeader w:val="0"/>
        </w:trPr>
        <w:tc>
          <w:tcPr>
            <w:shd w:fill="c9daf8" w:val="clear"/>
            <w:tcMar>
              <w:top w:w="100.0" w:type="dxa"/>
              <w:left w:w="100.0" w:type="dxa"/>
              <w:bottom w:w="100.0" w:type="dxa"/>
              <w:right w:w="100.0" w:type="dxa"/>
            </w:tcMar>
          </w:tcPr>
          <w:p w:rsidR="00000000" w:rsidDel="00000000" w:rsidP="00000000" w:rsidRDefault="00000000" w:rsidRPr="00000000" w14:paraId="0000009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Beneficial for both qualitative and quantitative data. In terms of illustrating the example it can be stated that this software is vastly utilized by researchers for performing quantitative analysis since software’s development in the 1960s through Norman. </w:t>
            </w:r>
          </w:p>
        </w:tc>
        <w:tc>
          <w:tcPr>
            <w:shd w:fill="c9daf8" w:val="clear"/>
            <w:tcMar>
              <w:top w:w="100.0" w:type="dxa"/>
              <w:left w:w="100.0" w:type="dxa"/>
              <w:bottom w:w="100.0" w:type="dxa"/>
              <w:right w:w="100.0" w:type="dxa"/>
            </w:tcMar>
          </w:tcPr>
          <w:p w:rsidR="00000000" w:rsidDel="00000000" w:rsidP="00000000" w:rsidRDefault="00000000" w:rsidRPr="00000000" w14:paraId="0000009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SPSS might be expensive to buy for the students. </w:t>
            </w:r>
          </w:p>
        </w:tc>
      </w:tr>
      <w:tr>
        <w:trPr>
          <w:cantSplit w:val="0"/>
          <w:tblHeader w:val="0"/>
        </w:trPr>
        <w:tc>
          <w:tcPr>
            <w:shd w:fill="c9daf8" w:val="clear"/>
            <w:tcMar>
              <w:top w:w="100.0" w:type="dxa"/>
              <w:left w:w="100.0" w:type="dxa"/>
              <w:bottom w:w="100.0" w:type="dxa"/>
              <w:right w:w="100.0" w:type="dxa"/>
            </w:tcMar>
          </w:tcPr>
          <w:p w:rsidR="00000000" w:rsidDel="00000000" w:rsidP="00000000" w:rsidRDefault="00000000" w:rsidRPr="00000000" w14:paraId="0000009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does not need a lot of effort to start to use this software. As an example, it can be highlighted that in the interface of the software it shows open data and a spreadsheet within its main view (Shao</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2019). </w:t>
            </w:r>
          </w:p>
        </w:tc>
        <w:tc>
          <w:tcPr>
            <w:shd w:fill="c9daf8" w:val="clear"/>
            <w:tcMar>
              <w:top w:w="100.0" w:type="dxa"/>
              <w:left w:w="100.0" w:type="dxa"/>
              <w:bottom w:w="100.0" w:type="dxa"/>
              <w:right w:w="100.0" w:type="dxa"/>
            </w:tcMar>
          </w:tcPr>
          <w:p w:rsidR="00000000" w:rsidDel="00000000" w:rsidP="00000000" w:rsidRDefault="00000000" w:rsidRPr="00000000" w14:paraId="0000009D">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requires training for completely exploiting several of the available features. </w:t>
            </w:r>
          </w:p>
        </w:tc>
      </w:tr>
      <w:tr>
        <w:trPr>
          <w:cantSplit w:val="0"/>
          <w:tblHeader w:val="0"/>
        </w:trPr>
        <w:tc>
          <w:tcPr>
            <w:shd w:fill="c9daf8" w:val="clear"/>
            <w:tcMar>
              <w:top w:w="100.0" w:type="dxa"/>
              <w:left w:w="100.0" w:type="dxa"/>
              <w:bottom w:w="100.0" w:type="dxa"/>
              <w:right w:w="100.0" w:type="dxa"/>
            </w:tcMar>
          </w:tcPr>
          <w:p w:rsidR="00000000" w:rsidDel="00000000" w:rsidP="00000000" w:rsidRDefault="00000000" w:rsidRPr="00000000" w14:paraId="0000009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data management and in order to give an example it can be stated that SPSS provides data analysis for bivariate and descriptive statistics and predictions to identify groups.</w:t>
            </w:r>
          </w:p>
        </w:tc>
        <w:tc>
          <w:tcPr>
            <w:shd w:fill="c9daf8" w:val="clear"/>
            <w:tcMar>
              <w:top w:w="100.0" w:type="dxa"/>
              <w:left w:w="100.0" w:type="dxa"/>
              <w:bottom w:w="100.0" w:type="dxa"/>
              <w:right w:w="100.0" w:type="dxa"/>
            </w:tcMar>
          </w:tcPr>
          <w:p w:rsidR="00000000" w:rsidDel="00000000" w:rsidP="00000000" w:rsidRDefault="00000000" w:rsidRPr="00000000" w14:paraId="0000009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features of graphs of SPSS are not that simple in comparison to MS Excel. </w:t>
            </w:r>
          </w:p>
        </w:tc>
      </w:tr>
    </w:tbl>
    <w:p w:rsidR="00000000" w:rsidDel="00000000" w:rsidP="00000000" w:rsidRDefault="00000000" w:rsidRPr="00000000" w14:paraId="000000A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Advantages and disadvantages of SPSS</w:t>
      </w:r>
    </w:p>
    <w:p w:rsidR="00000000" w:rsidDel="00000000" w:rsidP="00000000" w:rsidRDefault="00000000" w:rsidRPr="00000000" w14:paraId="000000A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Learner)</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9fc5e8" w:val="clear"/>
            <w:tcMar>
              <w:top w:w="100.0" w:type="dxa"/>
              <w:left w:w="100.0" w:type="dxa"/>
              <w:bottom w:w="100.0" w:type="dxa"/>
              <w:right w:w="100.0" w:type="dxa"/>
            </w:tcMar>
          </w:tcPr>
          <w:p w:rsidR="00000000" w:rsidDel="00000000" w:rsidP="00000000" w:rsidRDefault="00000000" w:rsidRPr="00000000" w14:paraId="000000A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Advantages of Excel </w:t>
            </w:r>
          </w:p>
        </w:tc>
        <w:tc>
          <w:tcPr>
            <w:shd w:fill="9fc5e8" w:val="clear"/>
            <w:tcMar>
              <w:top w:w="100.0" w:type="dxa"/>
              <w:left w:w="100.0" w:type="dxa"/>
              <w:bottom w:w="100.0" w:type="dxa"/>
              <w:right w:w="100.0" w:type="dxa"/>
            </w:tcMar>
          </w:tcPr>
          <w:p w:rsidR="00000000" w:rsidDel="00000000" w:rsidP="00000000" w:rsidRDefault="00000000" w:rsidRPr="00000000" w14:paraId="000000A3">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Disadvantages of Excel </w:t>
            </w:r>
          </w:p>
        </w:tc>
      </w:tr>
      <w:tr>
        <w:trPr>
          <w:cantSplit w:val="0"/>
          <w:tblHeader w:val="0"/>
        </w:trPr>
        <w:tc>
          <w:tcPr>
            <w:shd w:fill="ffe599" w:val="clear"/>
            <w:tcMar>
              <w:top w:w="100.0" w:type="dxa"/>
              <w:left w:w="100.0" w:type="dxa"/>
              <w:bottom w:w="100.0" w:type="dxa"/>
              <w:right w:w="100.0" w:type="dxa"/>
            </w:tcMar>
          </w:tcPr>
          <w:p w:rsidR="00000000" w:rsidDel="00000000" w:rsidP="00000000" w:rsidRDefault="00000000" w:rsidRPr="00000000" w14:paraId="000000A4">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MS-Excel is the best way for storing any large or small data. </w:t>
            </w:r>
          </w:p>
        </w:tc>
        <w:tc>
          <w:tcPr>
            <w:shd w:fill="ffe599" w:val="clear"/>
            <w:tcMar>
              <w:top w:w="100.0" w:type="dxa"/>
              <w:left w:w="100.0" w:type="dxa"/>
              <w:bottom w:w="100.0" w:type="dxa"/>
              <w:right w:w="100.0" w:type="dxa"/>
            </w:tcMar>
          </w:tcPr>
          <w:p w:rsidR="00000000" w:rsidDel="00000000" w:rsidP="00000000" w:rsidRDefault="00000000" w:rsidRPr="00000000" w14:paraId="000000A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security and control as Excel lacks in encryption features to safeguard sensitive data mainly as “personally identifiable information” (PII). As an example, 16,000 missing cases of COVID have occurred due to Excel errors (Castro, 2022). </w:t>
            </w:r>
          </w:p>
        </w:tc>
      </w:tr>
      <w:tr>
        <w:trPr>
          <w:cantSplit w:val="0"/>
          <w:tblHeader w:val="0"/>
        </w:trPr>
        <w:tc>
          <w:tcPr>
            <w:shd w:fill="ffe599" w:val="clear"/>
            <w:tcMar>
              <w:top w:w="100.0" w:type="dxa"/>
              <w:left w:w="100.0" w:type="dxa"/>
              <w:bottom w:w="100.0" w:type="dxa"/>
              <w:right w:w="100.0" w:type="dxa"/>
            </w:tcMar>
          </w:tcPr>
          <w:p w:rsidR="00000000" w:rsidDel="00000000" w:rsidP="00000000" w:rsidRDefault="00000000" w:rsidRPr="00000000" w14:paraId="000000A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also has all the tools for data analysis therefore, data analysis can be done on Excel. As an example, it has been proven that in the age of data analysis, MS Excel is still also relevant.  </w:t>
            </w:r>
          </w:p>
        </w:tc>
        <w:tc>
          <w:tcPr>
            <w:shd w:fill="ffe599" w:val="clear"/>
            <w:tcMar>
              <w:top w:w="100.0" w:type="dxa"/>
              <w:left w:w="100.0" w:type="dxa"/>
              <w:bottom w:w="100.0" w:type="dxa"/>
              <w:right w:w="100.0" w:type="dxa"/>
            </w:tcMar>
          </w:tcPr>
          <w:p w:rsidR="00000000" w:rsidDel="00000000" w:rsidP="00000000" w:rsidRDefault="00000000" w:rsidRPr="00000000" w14:paraId="000000A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MS Excel is more prone towards human error as any kind of broken formula would disrupt the accuracy and reliability of the information. As an example, MS Excel has been blamed for bringing errors within academic gene papers (BBC News, 2016).</w:t>
            </w:r>
          </w:p>
        </w:tc>
      </w:tr>
      <w:tr>
        <w:trPr>
          <w:cantSplit w:val="0"/>
          <w:tblHeader w:val="0"/>
        </w:trPr>
        <w:tc>
          <w:tcPr>
            <w:shd w:fill="ffe599" w:val="clear"/>
            <w:tcMar>
              <w:top w:w="100.0" w:type="dxa"/>
              <w:left w:w="100.0" w:type="dxa"/>
              <w:bottom w:w="100.0" w:type="dxa"/>
              <w:right w:w="100.0" w:type="dxa"/>
            </w:tcMar>
          </w:tcPr>
          <w:p w:rsidR="00000000" w:rsidDel="00000000" w:rsidP="00000000" w:rsidRDefault="00000000" w:rsidRPr="00000000" w14:paraId="000000A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MS-Excel is the simplest way to visualize data with charts. </w:t>
            </w:r>
          </w:p>
        </w:tc>
        <w:tc>
          <w:tcPr>
            <w:shd w:fill="ffe599" w:val="clear"/>
            <w:tcMar>
              <w:top w:w="100.0" w:type="dxa"/>
              <w:left w:w="100.0" w:type="dxa"/>
              <w:bottom w:w="100.0" w:type="dxa"/>
              <w:right w:w="100.0" w:type="dxa"/>
            </w:tcMar>
          </w:tcPr>
          <w:p w:rsidR="00000000" w:rsidDel="00000000" w:rsidP="00000000" w:rsidRDefault="00000000" w:rsidRPr="00000000" w14:paraId="000000A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MS Excel is more difficult for testing or trouble shooting. As an example, Excel sometimes stops responding, working or hangs. </w:t>
            </w:r>
          </w:p>
        </w:tc>
      </w:tr>
    </w:tbl>
    <w:p w:rsidR="00000000" w:rsidDel="00000000" w:rsidP="00000000" w:rsidRDefault="00000000" w:rsidRPr="00000000" w14:paraId="000000A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2: Advantages and disadvantages of Excel</w:t>
      </w:r>
    </w:p>
    <w:p w:rsidR="00000000" w:rsidDel="00000000" w:rsidP="00000000" w:rsidRDefault="00000000" w:rsidRPr="00000000" w14:paraId="000000A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Learner)</w:t>
      </w:r>
      <w:r w:rsidDel="00000000" w:rsidR="00000000" w:rsidRPr="00000000">
        <w:br w:type="page"/>
      </w:r>
      <w:r w:rsidDel="00000000" w:rsidR="00000000" w:rsidRPr="00000000">
        <w:rPr>
          <w:rtl w:val="0"/>
        </w:rPr>
      </w:r>
    </w:p>
    <w:p w:rsidR="00000000" w:rsidDel="00000000" w:rsidP="00000000" w:rsidRDefault="00000000" w:rsidRPr="00000000" w14:paraId="000000AC">
      <w:pPr>
        <w:pStyle w:val="Heading1"/>
        <w:rPr>
          <w:highlight w:val="white"/>
        </w:rPr>
      </w:pPr>
      <w:bookmarkStart w:colFirst="0" w:colLast="0" w:name="_heading=h.3rdcrjn" w:id="11"/>
      <w:bookmarkEnd w:id="11"/>
      <w:r w:rsidDel="00000000" w:rsidR="00000000" w:rsidRPr="00000000">
        <w:rPr>
          <w:highlight w:val="white"/>
          <w:rtl w:val="0"/>
        </w:rPr>
        <w:t xml:space="preserve">Reference List</w:t>
      </w:r>
    </w:p>
    <w:p w:rsidR="00000000" w:rsidDel="00000000" w:rsidP="00000000" w:rsidRDefault="00000000" w:rsidRPr="00000000" w14:paraId="000000AD">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Addoum, J.M., Ng, D.T. and Ortiz-Bobea, A., 2020. Temperature shocks and establishment sales. </w:t>
      </w:r>
      <w:r w:rsidDel="00000000" w:rsidR="00000000" w:rsidRPr="00000000">
        <w:rPr>
          <w:rFonts w:ascii="Times New Roman" w:cs="Times New Roman" w:eastAsia="Times New Roman" w:hAnsi="Times New Roman"/>
          <w:i w:val="1"/>
          <w:sz w:val="24"/>
          <w:szCs w:val="24"/>
          <w:rtl w:val="0"/>
        </w:rPr>
        <w:t xml:space="preserve">The Review of Financial Studies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(3), pp.1331-1366.</w:t>
      </w:r>
      <w:hyperlink r:id="rId18">
        <w:r w:rsidDel="00000000" w:rsidR="00000000" w:rsidRPr="00000000">
          <w:rPr>
            <w:rFonts w:ascii="Times New Roman" w:cs="Times New Roman" w:eastAsia="Times New Roman" w:hAnsi="Times New Roman"/>
            <w:sz w:val="24"/>
            <w:szCs w:val="24"/>
            <w:rtl w:val="0"/>
          </w:rPr>
          <w:t xml:space="preserve"> </w:t>
        </w:r>
      </w:hyperlink>
      <w:hyperlink r:id="rId19">
        <w:r w:rsidDel="00000000" w:rsidR="00000000" w:rsidRPr="00000000">
          <w:rPr>
            <w:rFonts w:ascii="Times New Roman" w:cs="Times New Roman" w:eastAsia="Times New Roman" w:hAnsi="Times New Roman"/>
            <w:color w:val="1155cc"/>
            <w:sz w:val="24"/>
            <w:szCs w:val="24"/>
            <w:u w:val="single"/>
            <w:rtl w:val="0"/>
          </w:rPr>
          <w:t xml:space="preserve">https://academic.oup.com/rfs/article-abstract/33/3/1331/5735303</w:t>
        </w:r>
      </w:hyperlink>
      <w:r w:rsidDel="00000000" w:rsidR="00000000" w:rsidRPr="00000000">
        <w:rPr>
          <w:rtl w:val="0"/>
        </w:rPr>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News, 2016. </w:t>
      </w:r>
      <w:r w:rsidDel="00000000" w:rsidR="00000000" w:rsidRPr="00000000">
        <w:rPr>
          <w:rFonts w:ascii="Times New Roman" w:cs="Times New Roman" w:eastAsia="Times New Roman" w:hAnsi="Times New Roman"/>
          <w:i w:val="1"/>
          <w:sz w:val="24"/>
          <w:szCs w:val="24"/>
          <w:rtl w:val="0"/>
        </w:rPr>
        <w:t xml:space="preserve">Microsoft Excel blamed for gene study errors.</w:t>
      </w:r>
      <w:r w:rsidDel="00000000" w:rsidR="00000000" w:rsidRPr="00000000">
        <w:rPr>
          <w:rFonts w:ascii="Times New Roman" w:cs="Times New Roman" w:eastAsia="Times New Roman" w:hAnsi="Times New Roman"/>
          <w:sz w:val="24"/>
          <w:szCs w:val="24"/>
          <w:rtl w:val="0"/>
        </w:rPr>
        <w:t xml:space="preserve"> [Online]. Available athttps://www.bbc.com/news/technology-37176926 [Accessed on: 15 November, 2022]</w:t>
      </w:r>
    </w:p>
    <w:p w:rsidR="00000000" w:rsidDel="00000000" w:rsidP="00000000" w:rsidRDefault="00000000" w:rsidRPr="00000000" w14:paraId="000000AF">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Becker, L.T. and Gould, E.M., 2019. Microsoft power BI: extending excel to manipulate, analyze, and visualize diverse data. </w:t>
      </w:r>
      <w:r w:rsidDel="00000000" w:rsidR="00000000" w:rsidRPr="00000000">
        <w:rPr>
          <w:rFonts w:ascii="Times New Roman" w:cs="Times New Roman" w:eastAsia="Times New Roman" w:hAnsi="Times New Roman"/>
          <w:i w:val="1"/>
          <w:sz w:val="24"/>
          <w:szCs w:val="24"/>
          <w:rtl w:val="0"/>
        </w:rPr>
        <w:t xml:space="preserve">Serials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45</w:t>
      </w:r>
      <w:r w:rsidDel="00000000" w:rsidR="00000000" w:rsidRPr="00000000">
        <w:rPr>
          <w:rFonts w:ascii="Times New Roman" w:cs="Times New Roman" w:eastAsia="Times New Roman" w:hAnsi="Times New Roman"/>
          <w:sz w:val="24"/>
          <w:szCs w:val="24"/>
          <w:rtl w:val="0"/>
        </w:rPr>
        <w:t xml:space="preserve">(3), pp.184-188.</w:t>
      </w:r>
      <w:hyperlink r:id="rId20">
        <w:r w:rsidDel="00000000" w:rsidR="00000000" w:rsidRPr="00000000">
          <w:rPr>
            <w:rFonts w:ascii="Times New Roman" w:cs="Times New Roman" w:eastAsia="Times New Roman" w:hAnsi="Times New Roman"/>
            <w:sz w:val="20"/>
            <w:szCs w:val="20"/>
            <w:rtl w:val="0"/>
          </w:rPr>
          <w:t xml:space="preserve"> </w:t>
        </w:r>
      </w:hyperlink>
      <w:hyperlink r:id="rId21">
        <w:r w:rsidDel="00000000" w:rsidR="00000000" w:rsidRPr="00000000">
          <w:rPr>
            <w:rFonts w:ascii="Times New Roman" w:cs="Times New Roman" w:eastAsia="Times New Roman" w:hAnsi="Times New Roman"/>
            <w:color w:val="1155cc"/>
            <w:sz w:val="24"/>
            <w:szCs w:val="24"/>
            <w:u w:val="single"/>
            <w:rtl w:val="0"/>
          </w:rPr>
          <w:t xml:space="preserve">https://www.tandfonline.com/doi/abs/10.1080/00987913.2019.1644891</w:t>
        </w:r>
      </w:hyperlink>
      <w:r w:rsidDel="00000000" w:rsidR="00000000" w:rsidRPr="00000000">
        <w:rPr>
          <w:rtl w:val="0"/>
        </w:rPr>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Castro, A, 2022</w:t>
      </w:r>
      <w:r w:rsidDel="00000000" w:rsidR="00000000" w:rsidRPr="00000000">
        <w:rPr>
          <w:rFonts w:ascii="Times New Roman" w:cs="Times New Roman" w:eastAsia="Times New Roman" w:hAnsi="Times New Roman"/>
          <w:b w:val="1"/>
          <w:i w:val="1"/>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Excel spreadsheet error blamed for UK’s 16,000 missing coronavirus cases.</w:t>
      </w:r>
      <w:r w:rsidDel="00000000" w:rsidR="00000000" w:rsidRPr="00000000">
        <w:rPr>
          <w:rFonts w:ascii="Times New Roman" w:cs="Times New Roman" w:eastAsia="Times New Roman" w:hAnsi="Times New Roman"/>
          <w:sz w:val="24"/>
          <w:szCs w:val="24"/>
          <w:rtl w:val="0"/>
        </w:rPr>
        <w:t xml:space="preserve"> [Online]. Available at:</w:t>
      </w:r>
      <w:hyperlink r:id="rId22">
        <w:r w:rsidDel="00000000" w:rsidR="00000000" w:rsidRPr="00000000">
          <w:rPr>
            <w:rFonts w:ascii="Times New Roman" w:cs="Times New Roman" w:eastAsia="Times New Roman" w:hAnsi="Times New Roman"/>
            <w:sz w:val="24"/>
            <w:szCs w:val="24"/>
            <w:rtl w:val="0"/>
          </w:rPr>
          <w:t xml:space="preserve"> </w:t>
        </w:r>
      </w:hyperlink>
      <w:hyperlink r:id="rId23">
        <w:r w:rsidDel="00000000" w:rsidR="00000000" w:rsidRPr="00000000">
          <w:rPr>
            <w:rFonts w:ascii="Times New Roman" w:cs="Times New Roman" w:eastAsia="Times New Roman" w:hAnsi="Times New Roman"/>
            <w:color w:val="1155cc"/>
            <w:sz w:val="24"/>
            <w:szCs w:val="24"/>
            <w:u w:val="single"/>
            <w:rtl w:val="0"/>
          </w:rPr>
          <w:t xml:space="preserve">https://www.theverge.com/2020/10/5/21502141/uk-missing-coronavirus-cases-excel-spreadsheet-error</w:t>
        </w:r>
      </w:hyperlink>
      <w:r w:rsidDel="00000000" w:rsidR="00000000" w:rsidRPr="00000000">
        <w:rPr>
          <w:rFonts w:ascii="Times New Roman" w:cs="Times New Roman" w:eastAsia="Times New Roman" w:hAnsi="Times New Roman"/>
          <w:sz w:val="24"/>
          <w:szCs w:val="24"/>
          <w:rtl w:val="0"/>
        </w:rPr>
        <w:t xml:space="preserve"> [Accessed on: 15 November, 2022]</w:t>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Cleff, T., 2019. </w:t>
      </w:r>
      <w:r w:rsidDel="00000000" w:rsidR="00000000" w:rsidRPr="00000000">
        <w:rPr>
          <w:rFonts w:ascii="Times New Roman" w:cs="Times New Roman" w:eastAsia="Times New Roman" w:hAnsi="Times New Roman"/>
          <w:i w:val="1"/>
          <w:sz w:val="24"/>
          <w:szCs w:val="24"/>
          <w:rtl w:val="0"/>
        </w:rPr>
        <w:t xml:space="preserve">Applied statistics and multivariate data analysis for business and economics: A modern approach using SPSS, Stata, and Excel</w:t>
      </w:r>
      <w:r w:rsidDel="00000000" w:rsidR="00000000" w:rsidRPr="00000000">
        <w:rPr>
          <w:rFonts w:ascii="Times New Roman" w:cs="Times New Roman" w:eastAsia="Times New Roman" w:hAnsi="Times New Roman"/>
          <w:sz w:val="24"/>
          <w:szCs w:val="24"/>
          <w:rtl w:val="0"/>
        </w:rPr>
        <w:t xml:space="preserve">. Springer. https://books.google.com/books?hl=en&amp;lr=&amp;id=9tOhDwAAQBAJ&amp;oi=fnd&amp;pg=PR5&amp;dq=Mean+and+median+in+Excel&amp;ots=O_hFtmeWB3&amp;sig=_Th-j8MoR5EIDeKSRQVPEJvlKek</w:t>
      </w:r>
    </w:p>
    <w:p w:rsidR="00000000" w:rsidDel="00000000" w:rsidP="00000000" w:rsidRDefault="00000000" w:rsidRPr="00000000" w14:paraId="000000B2">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Cook, R.M., 2021. Addressing missing data in quantitative counseling research. </w:t>
      </w:r>
      <w:r w:rsidDel="00000000" w:rsidR="00000000" w:rsidRPr="00000000">
        <w:rPr>
          <w:rFonts w:ascii="Times New Roman" w:cs="Times New Roman" w:eastAsia="Times New Roman" w:hAnsi="Times New Roman"/>
          <w:i w:val="1"/>
          <w:sz w:val="24"/>
          <w:szCs w:val="24"/>
          <w:rtl w:val="0"/>
        </w:rPr>
        <w:t xml:space="preserve">Counseling Outcome Research and Evaluation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(1), pp.43-53.</w:t>
      </w:r>
      <w:hyperlink r:id="rId24">
        <w:r w:rsidDel="00000000" w:rsidR="00000000" w:rsidRPr="00000000">
          <w:rPr>
            <w:rFonts w:ascii="Times New Roman" w:cs="Times New Roman" w:eastAsia="Times New Roman" w:hAnsi="Times New Roman"/>
            <w:sz w:val="24"/>
            <w:szCs w:val="24"/>
            <w:rtl w:val="0"/>
          </w:rPr>
          <w:t xml:space="preserve"> </w:t>
        </w:r>
      </w:hyperlink>
      <w:hyperlink r:id="rId25">
        <w:r w:rsidDel="00000000" w:rsidR="00000000" w:rsidRPr="00000000">
          <w:rPr>
            <w:rFonts w:ascii="Times New Roman" w:cs="Times New Roman" w:eastAsia="Times New Roman" w:hAnsi="Times New Roman"/>
            <w:color w:val="1155cc"/>
            <w:sz w:val="24"/>
            <w:szCs w:val="24"/>
            <w:u w:val="single"/>
            <w:rtl w:val="0"/>
          </w:rPr>
          <w:t xml:space="preserve">https://www.tandfonline.com/doi/abs/10.1080/21501378.2019.1711037</w:t>
        </w:r>
      </w:hyperlink>
      <w:r w:rsidDel="00000000" w:rsidR="00000000" w:rsidRPr="00000000">
        <w:rPr>
          <w:rtl w:val="0"/>
        </w:rPr>
      </w:r>
    </w:p>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Domino, M.A., Schrag, D., Webinger, M. and Troy, C., 2021. Linking data analytics to real-world business issues: The power of the pivot table. </w:t>
      </w:r>
      <w:r w:rsidDel="00000000" w:rsidR="00000000" w:rsidRPr="00000000">
        <w:rPr>
          <w:rFonts w:ascii="Times New Roman" w:cs="Times New Roman" w:eastAsia="Times New Roman" w:hAnsi="Times New Roman"/>
          <w:i w:val="1"/>
          <w:sz w:val="24"/>
          <w:szCs w:val="24"/>
          <w:rtl w:val="0"/>
        </w:rPr>
        <w:t xml:space="preserve">Journal of Accounting Education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57</w:t>
      </w:r>
      <w:r w:rsidDel="00000000" w:rsidR="00000000" w:rsidRPr="00000000">
        <w:rPr>
          <w:rFonts w:ascii="Times New Roman" w:cs="Times New Roman" w:eastAsia="Times New Roman" w:hAnsi="Times New Roman"/>
          <w:sz w:val="24"/>
          <w:szCs w:val="24"/>
          <w:rtl w:val="0"/>
        </w:rPr>
        <w:t xml:space="preserve">, p.100744. https://www.sciencedirect.com/science/article/pii/S0748575121000312</w:t>
      </w:r>
    </w:p>
    <w:p w:rsidR="00000000" w:rsidDel="00000000" w:rsidP="00000000" w:rsidRDefault="00000000" w:rsidRPr="00000000" w14:paraId="000000B4">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Ertug, G., Gruber, M., Nyberg, A. and Steensma, H.K., 2018. From the editors—A brief primer on data visualization opportunities in management research. </w:t>
      </w:r>
      <w:r w:rsidDel="00000000" w:rsidR="00000000" w:rsidRPr="00000000">
        <w:rPr>
          <w:rFonts w:ascii="Times New Roman" w:cs="Times New Roman" w:eastAsia="Times New Roman" w:hAnsi="Times New Roman"/>
          <w:i w:val="1"/>
          <w:sz w:val="24"/>
          <w:szCs w:val="24"/>
          <w:rtl w:val="0"/>
        </w:rPr>
        <w:t xml:space="preserve">Academy of Management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61</w:t>
      </w:r>
      <w:r w:rsidDel="00000000" w:rsidR="00000000" w:rsidRPr="00000000">
        <w:rPr>
          <w:rFonts w:ascii="Times New Roman" w:cs="Times New Roman" w:eastAsia="Times New Roman" w:hAnsi="Times New Roman"/>
          <w:sz w:val="24"/>
          <w:szCs w:val="24"/>
          <w:rtl w:val="0"/>
        </w:rPr>
        <w:t xml:space="preserve">(5), pp.1613-1625.</w:t>
      </w:r>
      <w:hyperlink r:id="rId26">
        <w:r w:rsidDel="00000000" w:rsidR="00000000" w:rsidRPr="00000000">
          <w:rPr>
            <w:rFonts w:ascii="Times New Roman" w:cs="Times New Roman" w:eastAsia="Times New Roman" w:hAnsi="Times New Roman"/>
            <w:sz w:val="24"/>
            <w:szCs w:val="24"/>
            <w:rtl w:val="0"/>
          </w:rPr>
          <w:t xml:space="preserve"> </w:t>
        </w:r>
      </w:hyperlink>
      <w:hyperlink r:id="rId27">
        <w:r w:rsidDel="00000000" w:rsidR="00000000" w:rsidRPr="00000000">
          <w:rPr>
            <w:rFonts w:ascii="Times New Roman" w:cs="Times New Roman" w:eastAsia="Times New Roman" w:hAnsi="Times New Roman"/>
            <w:color w:val="1155cc"/>
            <w:sz w:val="24"/>
            <w:szCs w:val="24"/>
            <w:u w:val="single"/>
            <w:rtl w:val="0"/>
          </w:rPr>
          <w:t xml:space="preserve">https://journals.aom.org/doi/full/10.5465/amj.2018.4005</w:t>
        </w:r>
      </w:hyperlink>
      <w:r w:rsidDel="00000000" w:rsidR="00000000" w:rsidRPr="00000000">
        <w:rPr>
          <w:rtl w:val="0"/>
        </w:rPr>
      </w:r>
    </w:p>
    <w:p w:rsidR="00000000" w:rsidDel="00000000" w:rsidP="00000000" w:rsidRDefault="00000000" w:rsidRPr="00000000" w14:paraId="000000B5">
      <w:pPr>
        <w:spacing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Evergreen, S.D., 2019. </w:t>
      </w:r>
      <w:r w:rsidDel="00000000" w:rsidR="00000000" w:rsidRPr="00000000">
        <w:rPr>
          <w:rFonts w:ascii="Times New Roman" w:cs="Times New Roman" w:eastAsia="Times New Roman" w:hAnsi="Times New Roman"/>
          <w:i w:val="1"/>
          <w:sz w:val="24"/>
          <w:szCs w:val="24"/>
          <w:rtl w:val="0"/>
        </w:rPr>
        <w:t xml:space="preserve">Effective data visualization: The right chart for the right data</w:t>
      </w:r>
      <w:r w:rsidDel="00000000" w:rsidR="00000000" w:rsidRPr="00000000">
        <w:rPr>
          <w:rFonts w:ascii="Times New Roman" w:cs="Times New Roman" w:eastAsia="Times New Roman" w:hAnsi="Times New Roman"/>
          <w:sz w:val="24"/>
          <w:szCs w:val="24"/>
          <w:rtl w:val="0"/>
        </w:rPr>
        <w:t xml:space="preserve">. Sage Publications.</w:t>
      </w:r>
      <w:hyperlink r:id="rId28">
        <w:r w:rsidDel="00000000" w:rsidR="00000000" w:rsidRPr="00000000">
          <w:rPr>
            <w:rFonts w:ascii="Times New Roman" w:cs="Times New Roman" w:eastAsia="Times New Roman" w:hAnsi="Times New Roman"/>
            <w:sz w:val="24"/>
            <w:szCs w:val="24"/>
            <w:rtl w:val="0"/>
          </w:rPr>
          <w:t xml:space="preserve"> </w:t>
        </w:r>
      </w:hyperlink>
      <w:hyperlink r:id="rId29">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https://books.google.com/books?hl=en&amp;lr=&amp;id=ilWKDwAAQBAJ&amp;oi=fnd&amp;pg=PP14&amp;dq=data+visualization+in+Excel&amp;ots=Dun8Z16hl7&amp;sig=JV8zkQTtlqXRpEwUPuDssDTij3Q</w:t>
        </w:r>
      </w:hyperlink>
      <w:r w:rsidDel="00000000" w:rsidR="00000000" w:rsidRPr="00000000">
        <w:rPr>
          <w:rtl w:val="0"/>
        </w:rPr>
      </w:r>
    </w:p>
    <w:p w:rsidR="00000000" w:rsidDel="00000000" w:rsidP="00000000" w:rsidRDefault="00000000" w:rsidRPr="00000000" w14:paraId="000000B6">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Fuller, T.C. and Dubuque, E.M., 2019. Integrating phase change lines and labels into graphs in Microsoft Excel®. </w:t>
      </w:r>
      <w:r w:rsidDel="00000000" w:rsidR="00000000" w:rsidRPr="00000000">
        <w:rPr>
          <w:rFonts w:ascii="Times New Roman" w:cs="Times New Roman" w:eastAsia="Times New Roman" w:hAnsi="Times New Roman"/>
          <w:i w:val="1"/>
          <w:sz w:val="24"/>
          <w:szCs w:val="24"/>
          <w:rtl w:val="0"/>
        </w:rPr>
        <w:t xml:space="preserve">Behavior Analysis in Practice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(1), pp.293-299.</w:t>
      </w:r>
      <w:hyperlink r:id="rId30">
        <w:r w:rsidDel="00000000" w:rsidR="00000000" w:rsidRPr="00000000">
          <w:rPr>
            <w:rFonts w:ascii="Times New Roman" w:cs="Times New Roman" w:eastAsia="Times New Roman" w:hAnsi="Times New Roman"/>
            <w:sz w:val="24"/>
            <w:szCs w:val="24"/>
            <w:rtl w:val="0"/>
          </w:rPr>
          <w:t xml:space="preserve"> </w:t>
        </w:r>
      </w:hyperlink>
      <w:hyperlink r:id="rId31">
        <w:r w:rsidDel="00000000" w:rsidR="00000000" w:rsidRPr="00000000">
          <w:rPr>
            <w:rFonts w:ascii="Times New Roman" w:cs="Times New Roman" w:eastAsia="Times New Roman" w:hAnsi="Times New Roman"/>
            <w:color w:val="1155cc"/>
            <w:sz w:val="24"/>
            <w:szCs w:val="24"/>
            <w:u w:val="single"/>
            <w:rtl w:val="0"/>
          </w:rPr>
          <w:t xml:space="preserve">https://link.springer.com/article/10.1007/s40617-018-0248-6</w:t>
        </w:r>
      </w:hyperlink>
      <w:r w:rsidDel="00000000" w:rsidR="00000000" w:rsidRPr="00000000">
        <w:rPr>
          <w:rtl w:val="0"/>
        </w:rPr>
      </w:r>
    </w:p>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Geeks for Geeks, 2022. </w:t>
      </w:r>
      <w:r w:rsidDel="00000000" w:rsidR="00000000" w:rsidRPr="00000000">
        <w:rPr>
          <w:rFonts w:ascii="Times New Roman" w:cs="Times New Roman" w:eastAsia="Times New Roman" w:hAnsi="Times New Roman"/>
          <w:i w:val="1"/>
          <w:sz w:val="24"/>
          <w:szCs w:val="24"/>
          <w:rtl w:val="0"/>
        </w:rPr>
        <w:t xml:space="preserve">How Amazon Uses Machine Learning?.</w:t>
      </w:r>
      <w:r w:rsidDel="00000000" w:rsidR="00000000" w:rsidRPr="00000000">
        <w:rPr>
          <w:rFonts w:ascii="Times New Roman" w:cs="Times New Roman" w:eastAsia="Times New Roman" w:hAnsi="Times New Roman"/>
          <w:sz w:val="24"/>
          <w:szCs w:val="24"/>
          <w:rtl w:val="0"/>
        </w:rPr>
        <w:t xml:space="preserve"> [Online]. Available at:</w:t>
      </w:r>
      <w:hyperlink r:id="rId32">
        <w:r w:rsidDel="00000000" w:rsidR="00000000" w:rsidRPr="00000000">
          <w:rPr>
            <w:rFonts w:ascii="Times New Roman" w:cs="Times New Roman" w:eastAsia="Times New Roman" w:hAnsi="Times New Roman"/>
            <w:sz w:val="24"/>
            <w:szCs w:val="24"/>
            <w:rtl w:val="0"/>
          </w:rPr>
          <w:t xml:space="preserve"> </w:t>
        </w:r>
      </w:hyperlink>
      <w:hyperlink r:id="rId33">
        <w:r w:rsidDel="00000000" w:rsidR="00000000" w:rsidRPr="00000000">
          <w:rPr>
            <w:rFonts w:ascii="Times New Roman" w:cs="Times New Roman" w:eastAsia="Times New Roman" w:hAnsi="Times New Roman"/>
            <w:color w:val="1155cc"/>
            <w:sz w:val="24"/>
            <w:szCs w:val="24"/>
            <w:u w:val="single"/>
            <w:rtl w:val="0"/>
          </w:rPr>
          <w:t xml:space="preserve">https://www.geeksforgeeks.org/how-amazon-uses-machine-learning/</w:t>
        </w:r>
      </w:hyperlink>
      <w:r w:rsidDel="00000000" w:rsidR="00000000" w:rsidRPr="00000000">
        <w:rPr>
          <w:rFonts w:ascii="Times New Roman" w:cs="Times New Roman" w:eastAsia="Times New Roman" w:hAnsi="Times New Roman"/>
          <w:sz w:val="24"/>
          <w:szCs w:val="24"/>
          <w:rtl w:val="0"/>
        </w:rPr>
        <w:t xml:space="preserve"> [Accessed on: 15 November, 2022]</w:t>
      </w:r>
    </w:p>
    <w:p w:rsidR="00000000" w:rsidDel="00000000" w:rsidP="00000000" w:rsidRDefault="00000000" w:rsidRPr="00000000" w14:paraId="000000B8">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Guerrero, H., 2018. </w:t>
      </w:r>
      <w:r w:rsidDel="00000000" w:rsidR="00000000" w:rsidRPr="00000000">
        <w:rPr>
          <w:rFonts w:ascii="Times New Roman" w:cs="Times New Roman" w:eastAsia="Times New Roman" w:hAnsi="Times New Roman"/>
          <w:i w:val="1"/>
          <w:sz w:val="24"/>
          <w:szCs w:val="24"/>
          <w:rtl w:val="0"/>
        </w:rPr>
        <w:t xml:space="preserve">Excel data analysis: Modeling and simulation</w:t>
      </w:r>
      <w:r w:rsidDel="00000000" w:rsidR="00000000" w:rsidRPr="00000000">
        <w:rPr>
          <w:rFonts w:ascii="Times New Roman" w:cs="Times New Roman" w:eastAsia="Times New Roman" w:hAnsi="Times New Roman"/>
          <w:sz w:val="24"/>
          <w:szCs w:val="24"/>
          <w:rtl w:val="0"/>
        </w:rPr>
        <w:t xml:space="preserve">. Springer.</w:t>
      </w:r>
      <w:hyperlink r:id="rId34">
        <w:r w:rsidDel="00000000" w:rsidR="00000000" w:rsidRPr="00000000">
          <w:rPr>
            <w:rFonts w:ascii="Times New Roman" w:cs="Times New Roman" w:eastAsia="Times New Roman" w:hAnsi="Times New Roman"/>
            <w:sz w:val="24"/>
            <w:szCs w:val="24"/>
            <w:rtl w:val="0"/>
          </w:rPr>
          <w:t xml:space="preserve"> </w:t>
        </w:r>
      </w:hyperlink>
      <w:hyperlink r:id="rId35">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https://books.google.com/books?hl=en&amp;lr=&amp;id=V3B_DwAAQBAJ&amp;oi=fnd&amp;pg=PR9&amp;dq=data+visualization+in+Excel&amp;ots=Z5UbxWHiIz&amp;sig=BETgyvb9u91hBOCe68fAciYr8q4</w:t>
        </w:r>
      </w:hyperlink>
      <w:r w:rsidDel="00000000" w:rsidR="00000000" w:rsidRPr="00000000">
        <w:rPr>
          <w:rtl w:val="0"/>
        </w:rPr>
      </w:r>
    </w:p>
    <w:p w:rsidR="00000000" w:rsidDel="00000000" w:rsidP="00000000" w:rsidRDefault="00000000" w:rsidRPr="00000000" w14:paraId="000000B9">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Indraputra, R.A. and Fitriana, R., 2020. K-Means Clustering Data COVID-19. </w:t>
      </w:r>
      <w:r w:rsidDel="00000000" w:rsidR="00000000" w:rsidRPr="00000000">
        <w:rPr>
          <w:rFonts w:ascii="Times New Roman" w:cs="Times New Roman" w:eastAsia="Times New Roman" w:hAnsi="Times New Roman"/>
          <w:i w:val="1"/>
          <w:sz w:val="24"/>
          <w:szCs w:val="24"/>
          <w:rtl w:val="0"/>
        </w:rPr>
        <w:t xml:space="preserve">Jurnal Teknik Industri</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(3), pp.275-282.</w:t>
      </w:r>
      <w:hyperlink r:id="rId36">
        <w:r w:rsidDel="00000000" w:rsidR="00000000" w:rsidRPr="00000000">
          <w:rPr>
            <w:rFonts w:ascii="Times New Roman" w:cs="Times New Roman" w:eastAsia="Times New Roman" w:hAnsi="Times New Roman"/>
            <w:sz w:val="24"/>
            <w:szCs w:val="24"/>
            <w:rtl w:val="0"/>
          </w:rPr>
          <w:t xml:space="preserve"> </w:t>
        </w:r>
      </w:hyperlink>
      <w:hyperlink r:id="rId37">
        <w:r w:rsidDel="00000000" w:rsidR="00000000" w:rsidRPr="00000000">
          <w:rPr>
            <w:rFonts w:ascii="Times New Roman" w:cs="Times New Roman" w:eastAsia="Times New Roman" w:hAnsi="Times New Roman"/>
            <w:color w:val="1155cc"/>
            <w:sz w:val="24"/>
            <w:szCs w:val="24"/>
            <w:u w:val="single"/>
            <w:rtl w:val="0"/>
          </w:rPr>
          <w:t xml:space="preserve">http://www.trijurnal.lemlit.trisakti.ac.id/index.php/tekin/article/view/8428</w:t>
        </w:r>
      </w:hyperlink>
      <w:r w:rsidDel="00000000" w:rsidR="00000000" w:rsidRPr="00000000">
        <w:rPr>
          <w:rtl w:val="0"/>
        </w:rPr>
      </w:r>
    </w:p>
    <w:p w:rsidR="00000000" w:rsidDel="00000000" w:rsidP="00000000" w:rsidRDefault="00000000" w:rsidRPr="00000000" w14:paraId="000000BA">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Jelen, B. and Alexander, M., 2018. </w:t>
      </w:r>
      <w:r w:rsidDel="00000000" w:rsidR="00000000" w:rsidRPr="00000000">
        <w:rPr>
          <w:rFonts w:ascii="Times New Roman" w:cs="Times New Roman" w:eastAsia="Times New Roman" w:hAnsi="Times New Roman"/>
          <w:i w:val="1"/>
          <w:sz w:val="24"/>
          <w:szCs w:val="24"/>
          <w:rtl w:val="0"/>
        </w:rPr>
        <w:t xml:space="preserve">Microsoft Excel 2019 Pivot Table Data Crunching</w:t>
      </w:r>
      <w:r w:rsidDel="00000000" w:rsidR="00000000" w:rsidRPr="00000000">
        <w:rPr>
          <w:rFonts w:ascii="Times New Roman" w:cs="Times New Roman" w:eastAsia="Times New Roman" w:hAnsi="Times New Roman"/>
          <w:sz w:val="24"/>
          <w:szCs w:val="24"/>
          <w:rtl w:val="0"/>
        </w:rPr>
        <w:t xml:space="preserve">. Microsoft Press.</w:t>
      </w:r>
      <w:hyperlink r:id="rId38">
        <w:r w:rsidDel="00000000" w:rsidR="00000000" w:rsidRPr="00000000">
          <w:rPr>
            <w:rFonts w:ascii="Times New Roman" w:cs="Times New Roman" w:eastAsia="Times New Roman" w:hAnsi="Times New Roman"/>
            <w:sz w:val="24"/>
            <w:szCs w:val="24"/>
            <w:rtl w:val="0"/>
          </w:rPr>
          <w:t xml:space="preserve"> </w:t>
        </w:r>
      </w:hyperlink>
      <w:hyperlink r:id="rId39">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https://books.google.com/books?hl=en&amp;lr=&amp;id=TmyBDwAAQBAJ&amp;oi=fnd&amp;pg=PP26&amp;dq=Pivot+table+in+Excel&amp;ots=0x1Mazcx0b&amp;sig=rEsbrZTi_XVosmbysZZyHwBj90I</w:t>
        </w:r>
      </w:hyperlink>
      <w:r w:rsidDel="00000000" w:rsidR="00000000" w:rsidRPr="00000000">
        <w:rPr>
          <w:rtl w:val="0"/>
        </w:rPr>
      </w:r>
    </w:p>
    <w:p w:rsidR="00000000" w:rsidDel="00000000" w:rsidP="00000000" w:rsidRDefault="00000000" w:rsidRPr="00000000" w14:paraId="000000BB">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Jelen, B., 2019. Excel: THE NEW XLOOKUP FUNCTION. Strategic Finance, 101(4), pp.56-57.</w:t>
      </w:r>
      <w:hyperlink r:id="rId40">
        <w:r w:rsidDel="00000000" w:rsidR="00000000" w:rsidRPr="00000000">
          <w:rPr>
            <w:rFonts w:ascii="Times New Roman" w:cs="Times New Roman" w:eastAsia="Times New Roman" w:hAnsi="Times New Roman"/>
            <w:sz w:val="24"/>
            <w:szCs w:val="24"/>
            <w:rtl w:val="0"/>
          </w:rPr>
          <w:t xml:space="preserve"> </w:t>
        </w:r>
      </w:hyperlink>
      <w:hyperlink r:id="rId41">
        <w:r w:rsidDel="00000000" w:rsidR="00000000" w:rsidRPr="00000000">
          <w:rPr>
            <w:rFonts w:ascii="Times New Roman" w:cs="Times New Roman" w:eastAsia="Times New Roman" w:hAnsi="Times New Roman"/>
            <w:color w:val="1155cc"/>
            <w:sz w:val="24"/>
            <w:szCs w:val="24"/>
            <w:u w:val="single"/>
            <w:rtl w:val="0"/>
          </w:rPr>
          <w:t xml:space="preserve">https://search.proquest.com/openview/6d5ab787e8a7f597fefca589d64bba4d/1?pq-origsite=gscholar&amp;cbl=48426</w:t>
        </w:r>
      </w:hyperlink>
      <w:r w:rsidDel="00000000" w:rsidR="00000000" w:rsidRPr="00000000">
        <w:rPr>
          <w:rtl w:val="0"/>
        </w:rPr>
      </w:r>
    </w:p>
    <w:p w:rsidR="00000000" w:rsidDel="00000000" w:rsidP="00000000" w:rsidRDefault="00000000" w:rsidRPr="00000000" w14:paraId="000000BC">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Jelen, B., 2020. Excel: A PIVOT TABLE WITH DATA FROM DIFFERENT WORKSHEETS. </w:t>
      </w:r>
      <w:r w:rsidDel="00000000" w:rsidR="00000000" w:rsidRPr="00000000">
        <w:rPr>
          <w:rFonts w:ascii="Times New Roman" w:cs="Times New Roman" w:eastAsia="Times New Roman" w:hAnsi="Times New Roman"/>
          <w:i w:val="1"/>
          <w:sz w:val="24"/>
          <w:szCs w:val="24"/>
          <w:rtl w:val="0"/>
        </w:rPr>
        <w:t xml:space="preserve">Strategic Finance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101</w:t>
      </w:r>
      <w:r w:rsidDel="00000000" w:rsidR="00000000" w:rsidRPr="00000000">
        <w:rPr>
          <w:rFonts w:ascii="Times New Roman" w:cs="Times New Roman" w:eastAsia="Times New Roman" w:hAnsi="Times New Roman"/>
          <w:sz w:val="24"/>
          <w:szCs w:val="24"/>
          <w:rtl w:val="0"/>
        </w:rPr>
        <w:t xml:space="preserve">(8), pp.56-57.</w:t>
      </w:r>
      <w:hyperlink r:id="rId42">
        <w:r w:rsidDel="00000000" w:rsidR="00000000" w:rsidRPr="00000000">
          <w:rPr>
            <w:rFonts w:ascii="Times New Roman" w:cs="Times New Roman" w:eastAsia="Times New Roman" w:hAnsi="Times New Roman"/>
            <w:sz w:val="24"/>
            <w:szCs w:val="24"/>
            <w:rtl w:val="0"/>
          </w:rPr>
          <w:t xml:space="preserve"> </w:t>
        </w:r>
      </w:hyperlink>
      <w:hyperlink r:id="rId43">
        <w:r w:rsidDel="00000000" w:rsidR="00000000" w:rsidRPr="00000000">
          <w:rPr>
            <w:rFonts w:ascii="Times New Roman" w:cs="Times New Roman" w:eastAsia="Times New Roman" w:hAnsi="Times New Roman"/>
            <w:color w:val="1155cc"/>
            <w:sz w:val="24"/>
            <w:szCs w:val="24"/>
            <w:u w:val="single"/>
            <w:rtl w:val="0"/>
          </w:rPr>
          <w:t xml:space="preserve">https://search.proquest.com/openview/bfaad505cd10cfbc2a840c4d08ffd17b/1?pq-origsite=gscholar&amp;cbl=48426</w:t>
        </w:r>
      </w:hyperlink>
      <w:r w:rsidDel="00000000" w:rsidR="00000000" w:rsidRPr="00000000">
        <w:rPr>
          <w:rtl w:val="0"/>
        </w:rPr>
      </w:r>
    </w:p>
    <w:p w:rsidR="00000000" w:rsidDel="00000000" w:rsidP="00000000" w:rsidRDefault="00000000" w:rsidRPr="00000000" w14:paraId="000000BD">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Mace, J., Roelke, R. and Fonseca, R., 2018. Pivot tracing: Dynamic causal monitoring for distributed systems. </w:t>
      </w:r>
      <w:r w:rsidDel="00000000" w:rsidR="00000000" w:rsidRPr="00000000">
        <w:rPr>
          <w:rFonts w:ascii="Times New Roman" w:cs="Times New Roman" w:eastAsia="Times New Roman" w:hAnsi="Times New Roman"/>
          <w:i w:val="1"/>
          <w:sz w:val="24"/>
          <w:szCs w:val="24"/>
          <w:rtl w:val="0"/>
        </w:rPr>
        <w:t xml:space="preserve">ACM Transactions on Computer Systems (TOCS)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35</w:t>
      </w:r>
      <w:r w:rsidDel="00000000" w:rsidR="00000000" w:rsidRPr="00000000">
        <w:rPr>
          <w:rFonts w:ascii="Times New Roman" w:cs="Times New Roman" w:eastAsia="Times New Roman" w:hAnsi="Times New Roman"/>
          <w:sz w:val="24"/>
          <w:szCs w:val="24"/>
          <w:rtl w:val="0"/>
        </w:rPr>
        <w:t xml:space="preserve">(4), pp.1-28.</w:t>
      </w:r>
      <w:hyperlink r:id="rId44">
        <w:r w:rsidDel="00000000" w:rsidR="00000000" w:rsidRPr="00000000">
          <w:rPr>
            <w:rFonts w:ascii="Times New Roman" w:cs="Times New Roman" w:eastAsia="Times New Roman" w:hAnsi="Times New Roman"/>
            <w:sz w:val="24"/>
            <w:szCs w:val="24"/>
            <w:rtl w:val="0"/>
          </w:rPr>
          <w:t xml:space="preserve"> </w:t>
        </w:r>
      </w:hyperlink>
      <w:hyperlink r:id="rId45">
        <w:r w:rsidDel="00000000" w:rsidR="00000000" w:rsidRPr="00000000">
          <w:rPr>
            <w:rFonts w:ascii="Times New Roman" w:cs="Times New Roman" w:eastAsia="Times New Roman" w:hAnsi="Times New Roman"/>
            <w:color w:val="1155cc"/>
            <w:sz w:val="24"/>
            <w:szCs w:val="24"/>
            <w:u w:val="single"/>
            <w:rtl w:val="0"/>
          </w:rPr>
          <w:t xml:space="preserve">https://dl.acm.org/doi/abs/10.1145/3208104</w:t>
        </w:r>
      </w:hyperlink>
      <w:r w:rsidDel="00000000" w:rsidR="00000000" w:rsidRPr="00000000">
        <w:rPr>
          <w:rtl w:val="0"/>
        </w:rPr>
      </w:r>
    </w:p>
    <w:p w:rsidR="00000000" w:rsidDel="00000000" w:rsidP="00000000" w:rsidRDefault="00000000" w:rsidRPr="00000000" w14:paraId="000000BE">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McFedries, P., 2019. </w:t>
      </w:r>
      <w:r w:rsidDel="00000000" w:rsidR="00000000" w:rsidRPr="00000000">
        <w:rPr>
          <w:rFonts w:ascii="Times New Roman" w:cs="Times New Roman" w:eastAsia="Times New Roman" w:hAnsi="Times New Roman"/>
          <w:i w:val="1"/>
          <w:sz w:val="24"/>
          <w:szCs w:val="24"/>
          <w:rtl w:val="0"/>
        </w:rPr>
        <w:t xml:space="preserve">Microsoft Excel 2019 Formulas and Functions</w:t>
      </w:r>
      <w:r w:rsidDel="00000000" w:rsidR="00000000" w:rsidRPr="00000000">
        <w:rPr>
          <w:rFonts w:ascii="Times New Roman" w:cs="Times New Roman" w:eastAsia="Times New Roman" w:hAnsi="Times New Roman"/>
          <w:sz w:val="24"/>
          <w:szCs w:val="24"/>
          <w:rtl w:val="0"/>
        </w:rPr>
        <w:t xml:space="preserve">. Microsoft Press.</w:t>
      </w:r>
      <w:hyperlink r:id="rId46">
        <w:r w:rsidDel="00000000" w:rsidR="00000000" w:rsidRPr="00000000">
          <w:rPr>
            <w:rFonts w:ascii="Times New Roman" w:cs="Times New Roman" w:eastAsia="Times New Roman" w:hAnsi="Times New Roman"/>
            <w:sz w:val="24"/>
            <w:szCs w:val="24"/>
            <w:rtl w:val="0"/>
          </w:rPr>
          <w:t xml:space="preserve"> </w:t>
        </w:r>
      </w:hyperlink>
      <w:hyperlink r:id="rId47">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https://books.google.com/books?hl=en&amp;lr=&amp;id=ZZ6HDwAAQBAJ&amp;oi=fnd&amp;pg=PT23&amp;dq=+Excel+for+analyzing+the+data+such+as+COUNTBLANK,+XLOOKUP,&amp;ots=-EKy4y--px&amp;sig=OTH63x1jsgoCd_oXr0VfgTZnW8E</w:t>
        </w:r>
      </w:hyperlink>
      <w:r w:rsidDel="00000000" w:rsidR="00000000" w:rsidRPr="00000000">
        <w:rPr>
          <w:rtl w:val="0"/>
        </w:rPr>
      </w:r>
    </w:p>
    <w:p w:rsidR="00000000" w:rsidDel="00000000" w:rsidP="00000000" w:rsidRDefault="00000000" w:rsidRPr="00000000" w14:paraId="000000BF">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Shao, S., Xu, G. and Li, M., 2019. The design of an IoT-based route optimization system: A smart product-service system (SPSS) approach. </w:t>
      </w:r>
      <w:r w:rsidDel="00000000" w:rsidR="00000000" w:rsidRPr="00000000">
        <w:rPr>
          <w:rFonts w:ascii="Times New Roman" w:cs="Times New Roman" w:eastAsia="Times New Roman" w:hAnsi="Times New Roman"/>
          <w:i w:val="1"/>
          <w:sz w:val="24"/>
          <w:szCs w:val="24"/>
          <w:rtl w:val="0"/>
        </w:rPr>
        <w:t xml:space="preserve">Advanced engineering informatics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42</w:t>
      </w:r>
      <w:r w:rsidDel="00000000" w:rsidR="00000000" w:rsidRPr="00000000">
        <w:rPr>
          <w:rFonts w:ascii="Times New Roman" w:cs="Times New Roman" w:eastAsia="Times New Roman" w:hAnsi="Times New Roman"/>
          <w:sz w:val="24"/>
          <w:szCs w:val="24"/>
          <w:rtl w:val="0"/>
        </w:rPr>
        <w:t xml:space="preserve">, p.101006.</w:t>
      </w:r>
      <w:hyperlink r:id="rId48">
        <w:r w:rsidDel="00000000" w:rsidR="00000000" w:rsidRPr="00000000">
          <w:rPr>
            <w:rFonts w:ascii="Times New Roman" w:cs="Times New Roman" w:eastAsia="Times New Roman" w:hAnsi="Times New Roman"/>
            <w:sz w:val="24"/>
            <w:szCs w:val="24"/>
            <w:rtl w:val="0"/>
          </w:rPr>
          <w:t xml:space="preserve"> </w:t>
        </w:r>
      </w:hyperlink>
      <w:hyperlink r:id="rId49">
        <w:r w:rsidDel="00000000" w:rsidR="00000000" w:rsidRPr="00000000">
          <w:rPr>
            <w:rFonts w:ascii="Times New Roman" w:cs="Times New Roman" w:eastAsia="Times New Roman" w:hAnsi="Times New Roman"/>
            <w:color w:val="1155cc"/>
            <w:sz w:val="24"/>
            <w:szCs w:val="24"/>
            <w:u w:val="single"/>
            <w:rtl w:val="0"/>
          </w:rPr>
          <w:t xml:space="preserve">https://www.sciencedirect.com/science/article/pii/S1474034619305798</w:t>
        </w:r>
      </w:hyperlink>
      <w:r w:rsidDel="00000000" w:rsidR="00000000" w:rsidRPr="00000000">
        <w:rPr>
          <w:rtl w:val="0"/>
        </w:rPr>
      </w:r>
    </w:p>
    <w:p w:rsidR="00000000" w:rsidDel="00000000" w:rsidP="00000000" w:rsidRDefault="00000000" w:rsidRPr="00000000" w14:paraId="000000C0">
      <w:pPr>
        <w:spacing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Zhang, S., Pauwels, K. and Peng, C., 2019. The impact of adding online-to-offline service platform channels on firms' offline and total sales and profits. </w:t>
      </w:r>
      <w:r w:rsidDel="00000000" w:rsidR="00000000" w:rsidRPr="00000000">
        <w:rPr>
          <w:rFonts w:ascii="Times New Roman" w:cs="Times New Roman" w:eastAsia="Times New Roman" w:hAnsi="Times New Roman"/>
          <w:i w:val="1"/>
          <w:sz w:val="24"/>
          <w:szCs w:val="24"/>
          <w:rtl w:val="0"/>
        </w:rPr>
        <w:t xml:space="preserve">Journal of Interactive Marketing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47</w:t>
      </w:r>
      <w:r w:rsidDel="00000000" w:rsidR="00000000" w:rsidRPr="00000000">
        <w:rPr>
          <w:rFonts w:ascii="Times New Roman" w:cs="Times New Roman" w:eastAsia="Times New Roman" w:hAnsi="Times New Roman"/>
          <w:sz w:val="24"/>
          <w:szCs w:val="24"/>
          <w:rtl w:val="0"/>
        </w:rPr>
        <w:t xml:space="preserve">, pp.115-128.</w:t>
      </w:r>
      <w:hyperlink r:id="rId50">
        <w:r w:rsidDel="00000000" w:rsidR="00000000" w:rsidRPr="00000000">
          <w:rPr>
            <w:rFonts w:ascii="Times New Roman" w:cs="Times New Roman" w:eastAsia="Times New Roman" w:hAnsi="Times New Roman"/>
            <w:sz w:val="24"/>
            <w:szCs w:val="24"/>
            <w:rtl w:val="0"/>
          </w:rPr>
          <w:t xml:space="preserve"> </w:t>
        </w:r>
      </w:hyperlink>
      <w:hyperlink r:id="rId51">
        <w:r w:rsidDel="00000000" w:rsidR="00000000" w:rsidRPr="00000000">
          <w:rPr>
            <w:rFonts w:ascii="Times New Roman" w:cs="Times New Roman" w:eastAsia="Times New Roman" w:hAnsi="Times New Roman"/>
            <w:color w:val="1155cc"/>
            <w:sz w:val="24"/>
            <w:szCs w:val="24"/>
            <w:u w:val="single"/>
            <w:rtl w:val="0"/>
          </w:rPr>
          <w:t xml:space="preserve">https://www.sciencedirect.com/science/article/pii/S1094996819300532</w:t>
        </w:r>
      </w:hyperlink>
      <w:r w:rsidDel="00000000" w:rsidR="00000000" w:rsidRPr="00000000">
        <w:rPr>
          <w:rtl w:val="0"/>
        </w:rPr>
      </w:r>
    </w:p>
    <w:p w:rsidR="00000000" w:rsidDel="00000000" w:rsidP="00000000" w:rsidRDefault="00000000" w:rsidRPr="00000000" w14:paraId="000000C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2">
      <w:pPr>
        <w:spacing w:line="360" w:lineRule="auto"/>
        <w:jc w:val="center"/>
        <w:rPr>
          <w:rFonts w:ascii="Times New Roman" w:cs="Times New Roman" w:eastAsia="Times New Roman" w:hAnsi="Times New Roman"/>
          <w:sz w:val="24"/>
          <w:szCs w:val="24"/>
        </w:rPr>
      </w:pPr>
      <w:r w:rsidDel="00000000" w:rsidR="00000000" w:rsidRPr="00000000">
        <w:rPr>
          <w:rtl w:val="0"/>
        </w:rPr>
      </w:r>
    </w:p>
    <w:sectPr>
      <w:footerReference r:id="rId52"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4">
    <w:pPr>
      <w:spacing w:line="276" w:lineRule="auto"/>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b w:val="1"/>
        <w:sz w:val="24"/>
        <w:szCs w:val="24"/>
      </w:rPr>
      <w:drawing>
        <wp:inline distB="114300" distT="114300" distL="114300" distR="114300">
          <wp:extent cx="1000125" cy="727230"/>
          <wp:effectExtent b="0" l="0" r="0" t="0"/>
          <wp:docPr id="11" name="image8.png"/>
          <a:graphic>
            <a:graphicData uri="http://schemas.openxmlformats.org/drawingml/2006/picture">
              <pic:pic>
                <pic:nvPicPr>
                  <pic:cNvPr id="0" name="image8.png"/>
                  <pic:cNvPicPr preferRelativeResize="0"/>
                </pic:nvPicPr>
                <pic:blipFill>
                  <a:blip r:embed="rId1"/>
                  <a:srcRect b="0" l="0" r="0" t="0"/>
                  <a:stretch>
                    <a:fillRect/>
                  </a:stretch>
                </pic:blipFill>
                <pic:spPr>
                  <a:xfrm>
                    <a:off x="0" y="0"/>
                    <a:ext cx="1000125" cy="727230"/>
                  </a:xfrm>
                  <a:prstGeom prst="rect"/>
                  <a:ln/>
                </pic:spPr>
              </pic:pic>
            </a:graphicData>
          </a:graphic>
        </wp:inline>
      </w:drawing>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240" w:before="240" w:line="360" w:lineRule="auto"/>
      <w:jc w:val="both"/>
    </w:pPr>
    <w:rPr>
      <w:rFonts w:ascii="Times New Roman" w:cs="Times New Roman" w:eastAsia="Times New Roman" w:hAnsi="Times New Roman"/>
      <w:b w:val="1"/>
      <w:color w:val="222222"/>
      <w:sz w:val="28"/>
      <w:szCs w:val="28"/>
    </w:rPr>
  </w:style>
  <w:style w:type="paragraph" w:styleId="Heading2">
    <w:name w:val="heading 2"/>
    <w:basedOn w:val="Normal"/>
    <w:next w:val="Normal"/>
    <w:pPr>
      <w:spacing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rsid w:val="00E64398"/>
    <w:pPr>
      <w:spacing w:after="240" w:before="240" w:line="360" w:lineRule="auto"/>
      <w:jc w:val="both"/>
      <w:outlineLvl w:val="0"/>
    </w:pPr>
    <w:rPr>
      <w:rFonts w:ascii="Times New Roman" w:cs="Times New Roman" w:eastAsia="Times New Roman" w:hAnsi="Times New Roman"/>
      <w:b w:val="1"/>
      <w:color w:val="222222"/>
      <w:sz w:val="28"/>
      <w:szCs w:val="28"/>
    </w:rPr>
  </w:style>
  <w:style w:type="paragraph" w:styleId="Heading2">
    <w:name w:val="heading 2"/>
    <w:basedOn w:val="Normal"/>
    <w:next w:val="Normal"/>
    <w:uiPriority w:val="9"/>
    <w:unhideWhenUsed w:val="1"/>
    <w:qFormat w:val="1"/>
    <w:rsid w:val="00E64398"/>
    <w:pPr>
      <w:spacing w:line="360" w:lineRule="auto"/>
      <w:jc w:val="both"/>
      <w:outlineLvl w:val="1"/>
    </w:pPr>
    <w:rPr>
      <w:rFonts w:ascii="Times New Roman" w:cs="Times New Roman" w:eastAsia="Times New Roman" w:hAnsi="Times New Roman"/>
      <w:b w:val="1"/>
      <w:sz w:val="24"/>
      <w:szCs w:val="24"/>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tblPr>
      <w:tblStyleRowBandSize w:val="1"/>
      <w:tblStyleColBandSize w:val="1"/>
      <w:tblCellMar>
        <w:top w:w="100.0" w:type="dxa"/>
        <w:left w:w="100.0" w:type="dxa"/>
        <w:bottom w:w="100.0" w:type="dxa"/>
        <w:right w:w="100.0" w:type="dxa"/>
      </w:tblCellMar>
    </w:tblPr>
  </w:style>
  <w:style w:type="table" w:styleId="a0" w:customStyle="1">
    <w:basedOn w:val="TableNormal"/>
    <w:tblPr>
      <w:tblStyleRowBandSize w:val="1"/>
      <w:tblStyleColBandSize w:val="1"/>
      <w:tblCellMar>
        <w:top w:w="100.0" w:type="dxa"/>
        <w:left w:w="100.0" w:type="dxa"/>
        <w:bottom w:w="100.0" w:type="dxa"/>
        <w:right w:w="100.0" w:type="dxa"/>
      </w:tblCellMar>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paragraph" w:styleId="CommentText">
    <w:name w:val="annotation text"/>
    <w:basedOn w:val="Normal"/>
    <w:link w:val="CommentTextChar"/>
    <w:uiPriority w:val="99"/>
    <w:semiHidden w:val="1"/>
    <w:unhideWhenUsed w:val="1"/>
    <w:pPr>
      <w:spacing w:line="240" w:lineRule="auto"/>
    </w:pPr>
    <w:rPr>
      <w:sz w:val="20"/>
      <w:szCs w:val="20"/>
    </w:rPr>
  </w:style>
  <w:style w:type="character" w:styleId="CommentTextChar" w:customStyle="1">
    <w:name w:val="Comment Text Char"/>
    <w:basedOn w:val="DefaultParagraphFont"/>
    <w:link w:val="CommentText"/>
    <w:uiPriority w:val="99"/>
    <w:semiHidden w:val="1"/>
    <w:rPr>
      <w:sz w:val="20"/>
      <w:szCs w:val="20"/>
    </w:rPr>
  </w:style>
  <w:style w:type="character" w:styleId="CommentReference">
    <w:name w:val="annotation reference"/>
    <w:basedOn w:val="DefaultParagraphFont"/>
    <w:uiPriority w:val="99"/>
    <w:semiHidden w:val="1"/>
    <w:unhideWhenUsed w:val="1"/>
    <w:rPr>
      <w:sz w:val="16"/>
      <w:szCs w:val="16"/>
    </w:rPr>
  </w:style>
  <w:style w:type="paragraph" w:styleId="Header">
    <w:name w:val="header"/>
    <w:basedOn w:val="Normal"/>
    <w:link w:val="HeaderChar"/>
    <w:uiPriority w:val="99"/>
    <w:unhideWhenUsed w:val="1"/>
    <w:rsid w:val="006D796B"/>
    <w:pPr>
      <w:tabs>
        <w:tab w:val="center" w:pos="4680"/>
        <w:tab w:val="right" w:pos="9360"/>
      </w:tabs>
      <w:spacing w:line="240" w:lineRule="auto"/>
    </w:pPr>
  </w:style>
  <w:style w:type="character" w:styleId="HeaderChar" w:customStyle="1">
    <w:name w:val="Header Char"/>
    <w:basedOn w:val="DefaultParagraphFont"/>
    <w:link w:val="Header"/>
    <w:uiPriority w:val="99"/>
    <w:rsid w:val="006D796B"/>
  </w:style>
  <w:style w:type="paragraph" w:styleId="Footer">
    <w:name w:val="footer"/>
    <w:basedOn w:val="Normal"/>
    <w:link w:val="FooterChar"/>
    <w:uiPriority w:val="99"/>
    <w:unhideWhenUsed w:val="1"/>
    <w:rsid w:val="006D796B"/>
    <w:pPr>
      <w:tabs>
        <w:tab w:val="center" w:pos="4680"/>
        <w:tab w:val="right" w:pos="9360"/>
      </w:tabs>
      <w:spacing w:line="240" w:lineRule="auto"/>
    </w:pPr>
  </w:style>
  <w:style w:type="character" w:styleId="FooterChar" w:customStyle="1">
    <w:name w:val="Footer Char"/>
    <w:basedOn w:val="DefaultParagraphFont"/>
    <w:link w:val="Footer"/>
    <w:uiPriority w:val="99"/>
    <w:rsid w:val="006D796B"/>
  </w:style>
  <w:style w:type="paragraph" w:styleId="TOCHeading">
    <w:name w:val="TOC Heading"/>
    <w:basedOn w:val="Heading1"/>
    <w:next w:val="Normal"/>
    <w:uiPriority w:val="39"/>
    <w:unhideWhenUsed w:val="1"/>
    <w:qFormat w:val="1"/>
    <w:rsid w:val="00744D4F"/>
    <w:pPr>
      <w:keepNext w:val="1"/>
      <w:keepLines w:val="1"/>
      <w:spacing w:after="0" w:line="259" w:lineRule="auto"/>
      <w:jc w:val="left"/>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744D4F"/>
    <w:pPr>
      <w:spacing w:after="100"/>
    </w:pPr>
  </w:style>
  <w:style w:type="paragraph" w:styleId="TOC2">
    <w:name w:val="toc 2"/>
    <w:basedOn w:val="Normal"/>
    <w:next w:val="Normal"/>
    <w:autoRedefine w:val="1"/>
    <w:uiPriority w:val="39"/>
    <w:unhideWhenUsed w:val="1"/>
    <w:rsid w:val="00744D4F"/>
    <w:pPr>
      <w:spacing w:after="100"/>
      <w:ind w:left="220"/>
    </w:pPr>
  </w:style>
  <w:style w:type="character" w:styleId="Hyperlink">
    <w:name w:val="Hyperlink"/>
    <w:basedOn w:val="DefaultParagraphFont"/>
    <w:uiPriority w:val="99"/>
    <w:unhideWhenUsed w:val="1"/>
    <w:rsid w:val="00744D4F"/>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search.proquest.com/openview/6d5ab787e8a7f597fefca589d64bba4d/1?pq-origsite=gscholar&amp;cbl=48426" TargetMode="External"/><Relationship Id="rId42" Type="http://schemas.openxmlformats.org/officeDocument/2006/relationships/hyperlink" Target="https://search.proquest.com/openview/bfaad505cd10cfbc2a840c4d08ffd17b/1?pq-origsite=gscholar&amp;cbl=48426" TargetMode="External"/><Relationship Id="rId41" Type="http://schemas.openxmlformats.org/officeDocument/2006/relationships/hyperlink" Target="https://search.proquest.com/openview/6d5ab787e8a7f597fefca589d64bba4d/1?pq-origsite=gscholar&amp;cbl=48426" TargetMode="External"/><Relationship Id="rId44" Type="http://schemas.openxmlformats.org/officeDocument/2006/relationships/hyperlink" Target="https://dl.acm.org/doi/abs/10.1145/3208104" TargetMode="External"/><Relationship Id="rId43" Type="http://schemas.openxmlformats.org/officeDocument/2006/relationships/hyperlink" Target="https://search.proquest.com/openview/bfaad505cd10cfbc2a840c4d08ffd17b/1?pq-origsite=gscholar&amp;cbl=48426" TargetMode="External"/><Relationship Id="rId46" Type="http://schemas.openxmlformats.org/officeDocument/2006/relationships/hyperlink" Target="https://books.google.com/books?hl=en&amp;lr=&amp;id=ZZ6HDwAAQBAJ&amp;oi=fnd&amp;pg=PT23&amp;dq=+Excel+for+analyzing+the+data+such+as+COUNTBLANK,+XLOOKUP,&amp;ots=-EKy4y--px&amp;sig=OTH63x1jsgoCd_oXr0VfgTZnW8E" TargetMode="External"/><Relationship Id="rId45" Type="http://schemas.openxmlformats.org/officeDocument/2006/relationships/hyperlink" Target="https://dl.acm.org/doi/abs/10.1145/320810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48" Type="http://schemas.openxmlformats.org/officeDocument/2006/relationships/hyperlink" Target="https://www.sciencedirect.com/science/article/pii/S1474034619305798" TargetMode="External"/><Relationship Id="rId47" Type="http://schemas.openxmlformats.org/officeDocument/2006/relationships/hyperlink" Target="https://books.google.com/books?hl=en&amp;lr=&amp;id=ZZ6HDwAAQBAJ&amp;oi=fnd&amp;pg=PT23&amp;dq=+Excel+for+analyzing+the+data+such+as+COUNTBLANK,+XLOOKUP,&amp;ots=-EKy4y--px&amp;sig=OTH63x1jsgoCd_oXr0VfgTZnW8E" TargetMode="External"/><Relationship Id="rId49" Type="http://schemas.openxmlformats.org/officeDocument/2006/relationships/hyperlink" Target="https://www.sciencedirect.com/science/article/pii/S1474034619305798"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8.png"/><Relationship Id="rId8" Type="http://schemas.openxmlformats.org/officeDocument/2006/relationships/image" Target="media/image5.png"/><Relationship Id="rId31" Type="http://schemas.openxmlformats.org/officeDocument/2006/relationships/hyperlink" Target="https://link.springer.com/article/10.1007/s40617-018-0248-6" TargetMode="External"/><Relationship Id="rId30" Type="http://schemas.openxmlformats.org/officeDocument/2006/relationships/hyperlink" Target="https://link.springer.com/article/10.1007/s40617-018-0248-6" TargetMode="External"/><Relationship Id="rId33" Type="http://schemas.openxmlformats.org/officeDocument/2006/relationships/hyperlink" Target="https://www.geeksforgeeks.org/how-amazon-uses-machine-learning/" TargetMode="External"/><Relationship Id="rId32" Type="http://schemas.openxmlformats.org/officeDocument/2006/relationships/hyperlink" Target="https://www.geeksforgeeks.org/how-amazon-uses-machine-learning/" TargetMode="External"/><Relationship Id="rId35" Type="http://schemas.openxmlformats.org/officeDocument/2006/relationships/hyperlink" Target="https://books.google.com/books?hl=en&amp;lr=&amp;id=V3B_DwAAQBAJ&amp;oi=fnd&amp;pg=PR9&amp;dq=data+visualization+in+Excel&amp;ots=Z5UbxWHiIz&amp;sig=BETgyvb9u91hBOCe68fAciYr8q4" TargetMode="External"/><Relationship Id="rId34" Type="http://schemas.openxmlformats.org/officeDocument/2006/relationships/hyperlink" Target="https://books.google.com/books?hl=en&amp;lr=&amp;id=V3B_DwAAQBAJ&amp;oi=fnd&amp;pg=PR9&amp;dq=data+visualization+in+Excel&amp;ots=Z5UbxWHiIz&amp;sig=BETgyvb9u91hBOCe68fAciYr8q4" TargetMode="External"/><Relationship Id="rId37" Type="http://schemas.openxmlformats.org/officeDocument/2006/relationships/hyperlink" Target="http://www.trijurnal.lemlit.trisakti.ac.id/index.php/tekin/article/view/8428" TargetMode="External"/><Relationship Id="rId36" Type="http://schemas.openxmlformats.org/officeDocument/2006/relationships/hyperlink" Target="http://www.trijurnal.lemlit.trisakti.ac.id/index.php/tekin/article/view/8428" TargetMode="External"/><Relationship Id="rId39" Type="http://schemas.openxmlformats.org/officeDocument/2006/relationships/hyperlink" Target="https://books.google.com/books?hl=en&amp;lr=&amp;id=TmyBDwAAQBAJ&amp;oi=fnd&amp;pg=PP26&amp;dq=Pivot+table+in+Excel&amp;ots=0x1Mazcx0b&amp;sig=rEsbrZTi_XVosmbysZZyHwBj90I" TargetMode="External"/><Relationship Id="rId38" Type="http://schemas.openxmlformats.org/officeDocument/2006/relationships/hyperlink" Target="https://books.google.com/books?hl=en&amp;lr=&amp;id=TmyBDwAAQBAJ&amp;oi=fnd&amp;pg=PP26&amp;dq=Pivot+table+in+Excel&amp;ots=0x1Mazcx0b&amp;sig=rEsbrZTi_XVosmbysZZyHwBj90I" TargetMode="External"/><Relationship Id="rId20" Type="http://schemas.openxmlformats.org/officeDocument/2006/relationships/hyperlink" Target="https://www.tandfonline.com/doi/abs/10.1080/00987913.2019.1644891" TargetMode="External"/><Relationship Id="rId22" Type="http://schemas.openxmlformats.org/officeDocument/2006/relationships/hyperlink" Target="https://www.theverge.com/2020/10/5/21502141/uk-missing-coronavirus-cases-excel-spreadsheet-error" TargetMode="External"/><Relationship Id="rId21" Type="http://schemas.openxmlformats.org/officeDocument/2006/relationships/hyperlink" Target="https://www.tandfonline.com/doi/abs/10.1080/00987913.2019.1644891" TargetMode="External"/><Relationship Id="rId24" Type="http://schemas.openxmlformats.org/officeDocument/2006/relationships/hyperlink" Target="https://www.tandfonline.com/doi/abs/10.1080/21501378.2019.1711037" TargetMode="External"/><Relationship Id="rId23" Type="http://schemas.openxmlformats.org/officeDocument/2006/relationships/hyperlink" Target="https://www.theverge.com/2020/10/5/21502141/uk-missing-coronavirus-cases-excel-spreadsheet-error" TargetMode="External"/><Relationship Id="rId26" Type="http://schemas.openxmlformats.org/officeDocument/2006/relationships/hyperlink" Target="https://journals.aom.org/doi/full/10.5465/amj.2018.4005" TargetMode="External"/><Relationship Id="rId25" Type="http://schemas.openxmlformats.org/officeDocument/2006/relationships/hyperlink" Target="https://www.tandfonline.com/doi/abs/10.1080/21501378.2019.1711037" TargetMode="External"/><Relationship Id="rId28" Type="http://schemas.openxmlformats.org/officeDocument/2006/relationships/hyperlink" Target="https://books.google.com/books?hl=en&amp;lr=&amp;id=ilWKDwAAQBAJ&amp;oi=fnd&amp;pg=PP14&amp;dq=data+visualization+in+Excel&amp;ots=Dun8Z16hl7&amp;sig=JV8zkQTtlqXRpEwUPuDssDTij3Q" TargetMode="External"/><Relationship Id="rId27" Type="http://schemas.openxmlformats.org/officeDocument/2006/relationships/hyperlink" Target="https://journals.aom.org/doi/full/10.5465/amj.2018.4005" TargetMode="External"/><Relationship Id="rId29" Type="http://schemas.openxmlformats.org/officeDocument/2006/relationships/hyperlink" Target="https://books.google.com/books?hl=en&amp;lr=&amp;id=ilWKDwAAQBAJ&amp;oi=fnd&amp;pg=PP14&amp;dq=data+visualization+in+Excel&amp;ots=Dun8Z16hl7&amp;sig=JV8zkQTtlqXRpEwUPuDssDTij3Q" TargetMode="External"/><Relationship Id="rId51" Type="http://schemas.openxmlformats.org/officeDocument/2006/relationships/hyperlink" Target="https://www.sciencedirect.com/science/article/pii/S1094996819300532" TargetMode="External"/><Relationship Id="rId50" Type="http://schemas.openxmlformats.org/officeDocument/2006/relationships/hyperlink" Target="https://www.sciencedirect.com/science/article/pii/S1094996819300532" TargetMode="External"/><Relationship Id="rId52" Type="http://schemas.openxmlformats.org/officeDocument/2006/relationships/footer" Target="footer1.xml"/><Relationship Id="rId11" Type="http://schemas.openxmlformats.org/officeDocument/2006/relationships/image" Target="media/image10.png"/><Relationship Id="rId10" Type="http://schemas.openxmlformats.org/officeDocument/2006/relationships/image" Target="media/image7.png"/><Relationship Id="rId13" Type="http://schemas.openxmlformats.org/officeDocument/2006/relationships/image" Target="media/image2.png"/><Relationship Id="rId12" Type="http://schemas.openxmlformats.org/officeDocument/2006/relationships/image" Target="media/image4.png"/><Relationship Id="rId15" Type="http://schemas.openxmlformats.org/officeDocument/2006/relationships/image" Target="media/image3.png"/><Relationship Id="rId14" Type="http://schemas.openxmlformats.org/officeDocument/2006/relationships/image" Target="media/image1.png"/><Relationship Id="rId17" Type="http://schemas.openxmlformats.org/officeDocument/2006/relationships/image" Target="media/image11.png"/><Relationship Id="rId16" Type="http://schemas.openxmlformats.org/officeDocument/2006/relationships/image" Target="media/image9.png"/><Relationship Id="rId19" Type="http://schemas.openxmlformats.org/officeDocument/2006/relationships/hyperlink" Target="https://academic.oup.com/rfs/article-abstract/33/3/1331/5735303" TargetMode="External"/><Relationship Id="rId18" Type="http://schemas.openxmlformats.org/officeDocument/2006/relationships/hyperlink" Target="https://academic.oup.com/rfs/article-abstract/33/3/1331/5735303"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0J2//S/MLxHZJq4Tq09sPHW77KQ==">AMUW2mW69CWSGjypbromZBxyoLAxkKdJJUjZabjXLGHnDqaMZYrSuQK0xi3JAu7NG3vv3qaG5iqzuc4CSyBG9efSZlcWbV9vxL1Sqc6VNMhzD+4jmIONiNqSsXC++SM+p1oYkJm5wWaxF1PkA4lLRMt03nsQTjRZ19b4geDotQwanNXD2i9e7hc6QwWxXNYq66k1wF5VnUzK+1IbNEcNu/ELKZ68hi+QwOtvqoFUkaP5x74lcnxpQvLLjp2FCTugyras+PGZ7z4OQbtazxqpThAalruqU1W+j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2022-11-20T08:45:00Z</dcterms:created>
  <dc:creator>Rumki</dc:creator>
</cp:coreProperties>
</file>