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5EC56A" w14:textId="2FA6EB90" w:rsidR="003C0ED8" w:rsidRDefault="00147C76">
      <w:pPr>
        <w:spacing w:line="360" w:lineRule="auto"/>
        <w:rPr>
          <w:rFonts w:ascii="Arial" w:hAnsi="Arial" w:cs="Arial"/>
        </w:rPr>
      </w:pPr>
      <w:r>
        <w:rPr>
          <w:rFonts w:ascii="Arial" w:hAnsi="Arial" w:cs="Arial"/>
          <w:noProof/>
        </w:rPr>
        <w:drawing>
          <wp:inline distT="0" distB="0" distL="0" distR="0" wp14:anchorId="31A7B613" wp14:editId="0A00CAAD">
            <wp:extent cx="3429479" cy="1714739"/>
            <wp:effectExtent l="0" t="0" r="0" b="0"/>
            <wp:docPr id="3696378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637848" name="Picture 369637848"/>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3429479" cy="1714739"/>
                    </a:xfrm>
                    <a:prstGeom prst="rect">
                      <a:avLst/>
                    </a:prstGeom>
                  </pic:spPr>
                </pic:pic>
              </a:graphicData>
            </a:graphic>
          </wp:inline>
        </w:drawing>
      </w:r>
    </w:p>
    <w:p w14:paraId="245EC56B" w14:textId="77777777" w:rsidR="003C0ED8" w:rsidRDefault="003C0ED8">
      <w:pPr>
        <w:spacing w:line="360" w:lineRule="auto"/>
        <w:rPr>
          <w:rFonts w:ascii="Arial" w:hAnsi="Arial" w:cs="Arial"/>
        </w:rPr>
      </w:pPr>
    </w:p>
    <w:p w14:paraId="245EC56C" w14:textId="77777777" w:rsidR="003C0ED8" w:rsidRDefault="003C0ED8">
      <w:pPr>
        <w:spacing w:line="360" w:lineRule="auto"/>
        <w:rPr>
          <w:rFonts w:ascii="Arial" w:hAnsi="Arial" w:cs="Arial"/>
        </w:rPr>
      </w:pPr>
    </w:p>
    <w:p w14:paraId="245EC56D" w14:textId="6277AF97" w:rsidR="003C0ED8" w:rsidRDefault="003C0ED8">
      <w:pPr>
        <w:spacing w:line="360" w:lineRule="auto"/>
        <w:rPr>
          <w:rFonts w:ascii="Arial" w:hAnsi="Arial" w:cs="Arial"/>
        </w:rPr>
      </w:pPr>
    </w:p>
    <w:p w14:paraId="245EC571" w14:textId="77777777" w:rsidR="003C0ED8" w:rsidRDefault="003C0ED8">
      <w:pPr>
        <w:spacing w:line="360" w:lineRule="auto"/>
        <w:rPr>
          <w:rFonts w:ascii="Arial" w:hAnsi="Arial" w:cs="Arial"/>
        </w:rPr>
      </w:pPr>
    </w:p>
    <w:p w14:paraId="245EC572" w14:textId="77777777" w:rsidR="003C0ED8" w:rsidRDefault="003C0ED8">
      <w:pPr>
        <w:spacing w:line="360" w:lineRule="auto"/>
        <w:rPr>
          <w:rFonts w:ascii="Arial" w:hAnsi="Arial" w:cs="Arial"/>
        </w:rPr>
      </w:pPr>
    </w:p>
    <w:p w14:paraId="245EC575" w14:textId="176F34B5" w:rsidR="003C0ED8" w:rsidRPr="00147C76" w:rsidRDefault="008236C0">
      <w:pPr>
        <w:spacing w:line="360" w:lineRule="auto"/>
        <w:rPr>
          <w:rFonts w:ascii="Arial" w:hAnsi="Arial" w:cs="Arial"/>
          <w:b/>
          <w:bCs/>
          <w:sz w:val="32"/>
          <w:szCs w:val="32"/>
        </w:rPr>
      </w:pPr>
      <w:r>
        <w:rPr>
          <w:rFonts w:ascii="Arial" w:hAnsi="Arial" w:cs="Arial"/>
          <w:b/>
          <w:bCs/>
          <w:sz w:val="32"/>
          <w:szCs w:val="32"/>
        </w:rPr>
        <w:t xml:space="preserve">Module title: Health Care System, Organisation and Leadership   </w:t>
      </w:r>
    </w:p>
    <w:p w14:paraId="245EC576" w14:textId="3A3B7E75" w:rsidR="003C0ED8" w:rsidRPr="00F17CD2" w:rsidRDefault="008236C0">
      <w:pPr>
        <w:spacing w:line="360" w:lineRule="auto"/>
        <w:rPr>
          <w:rFonts w:ascii="Arial" w:hAnsi="Arial" w:cs="Arial"/>
          <w:b/>
          <w:bCs/>
          <w:sz w:val="28"/>
          <w:szCs w:val="28"/>
          <w:lang w:val="nl-NL"/>
        </w:rPr>
      </w:pPr>
      <w:r w:rsidRPr="00F17CD2">
        <w:rPr>
          <w:rFonts w:ascii="Arial" w:hAnsi="Arial" w:cs="Arial"/>
          <w:b/>
          <w:bCs/>
          <w:sz w:val="28"/>
          <w:szCs w:val="28"/>
          <w:lang w:val="nl-NL"/>
        </w:rPr>
        <w:t>Module code: LCHS7002</w:t>
      </w:r>
    </w:p>
    <w:p w14:paraId="245EC579" w14:textId="05A818D7" w:rsidR="003C0ED8" w:rsidRPr="00F17CD2" w:rsidRDefault="00585F3B">
      <w:pPr>
        <w:spacing w:line="360" w:lineRule="auto"/>
        <w:rPr>
          <w:rFonts w:ascii="Arial" w:hAnsi="Arial" w:cs="Arial"/>
          <w:b/>
          <w:bCs/>
          <w:sz w:val="28"/>
          <w:szCs w:val="28"/>
          <w:lang w:val="nl-NL"/>
        </w:rPr>
      </w:pPr>
      <w:r w:rsidRPr="00F17CD2">
        <w:rPr>
          <w:rFonts w:ascii="Arial" w:hAnsi="Arial" w:cs="Arial"/>
          <w:b/>
          <w:bCs/>
          <w:sz w:val="28"/>
          <w:szCs w:val="28"/>
          <w:lang w:val="nl-NL"/>
        </w:rPr>
        <w:t>Student name: Elena Draghici</w:t>
      </w:r>
    </w:p>
    <w:p w14:paraId="5D57D644" w14:textId="34280A57" w:rsidR="00585F3B" w:rsidRPr="007E15DD" w:rsidRDefault="00585F3B">
      <w:pPr>
        <w:spacing w:line="360" w:lineRule="auto"/>
        <w:rPr>
          <w:rFonts w:ascii="Arial" w:hAnsi="Arial" w:cs="Arial"/>
          <w:b/>
          <w:bCs/>
          <w:sz w:val="28"/>
          <w:szCs w:val="28"/>
        </w:rPr>
      </w:pPr>
      <w:r w:rsidRPr="007E15DD">
        <w:rPr>
          <w:rFonts w:ascii="Arial" w:hAnsi="Arial" w:cs="Arial"/>
          <w:b/>
          <w:bCs/>
          <w:sz w:val="28"/>
          <w:szCs w:val="28"/>
        </w:rPr>
        <w:t>Student ID:</w:t>
      </w:r>
      <w:r w:rsidR="007E15DD" w:rsidRPr="007E15DD">
        <w:rPr>
          <w:rFonts w:ascii="Arial" w:hAnsi="Arial" w:cs="Arial"/>
          <w:b/>
          <w:bCs/>
          <w:sz w:val="28"/>
          <w:szCs w:val="28"/>
        </w:rPr>
        <w:t xml:space="preserve"> 2214911</w:t>
      </w:r>
    </w:p>
    <w:p w14:paraId="3FBF297D" w14:textId="69FD81C7" w:rsidR="007E15DD" w:rsidRDefault="007E15DD">
      <w:pPr>
        <w:spacing w:line="360" w:lineRule="auto"/>
        <w:rPr>
          <w:rFonts w:ascii="Arial" w:hAnsi="Arial" w:cs="Arial"/>
          <w:b/>
          <w:bCs/>
          <w:sz w:val="28"/>
          <w:szCs w:val="28"/>
        </w:rPr>
      </w:pPr>
      <w:r w:rsidRPr="007E15DD">
        <w:rPr>
          <w:rFonts w:ascii="Arial" w:hAnsi="Arial" w:cs="Arial"/>
          <w:b/>
          <w:bCs/>
          <w:sz w:val="28"/>
          <w:szCs w:val="28"/>
        </w:rPr>
        <w:t xml:space="preserve">Lecturer name: </w:t>
      </w:r>
      <w:r w:rsidR="00971333" w:rsidRPr="00971333">
        <w:rPr>
          <w:rFonts w:ascii="Arial" w:hAnsi="Arial" w:cs="Arial"/>
          <w:b/>
          <w:bCs/>
          <w:sz w:val="28"/>
          <w:szCs w:val="28"/>
        </w:rPr>
        <w:t>Shepherd Ziko</w:t>
      </w:r>
    </w:p>
    <w:p w14:paraId="5B20E59C" w14:textId="7D8904E5" w:rsidR="00AD0E01" w:rsidRPr="007E15DD" w:rsidRDefault="00AD0E01" w:rsidP="00B14403">
      <w:pPr>
        <w:spacing w:line="360" w:lineRule="auto"/>
        <w:rPr>
          <w:rFonts w:ascii="Arial" w:hAnsi="Arial" w:cs="Arial"/>
          <w:b/>
          <w:bCs/>
          <w:sz w:val="28"/>
          <w:szCs w:val="28"/>
        </w:rPr>
      </w:pPr>
      <w:r w:rsidRPr="00AD0E01">
        <w:rPr>
          <w:rFonts w:ascii="Arial" w:hAnsi="Arial" w:cs="Arial"/>
          <w:b/>
          <w:bCs/>
          <w:sz w:val="28"/>
          <w:szCs w:val="28"/>
        </w:rPr>
        <w:t>Assignment Title: Case Study Analysis Report:</w:t>
      </w:r>
      <w:r>
        <w:rPr>
          <w:rFonts w:ascii="Arial" w:hAnsi="Arial" w:cs="Arial"/>
          <w:b/>
          <w:bCs/>
          <w:sz w:val="28"/>
          <w:szCs w:val="28"/>
        </w:rPr>
        <w:t xml:space="preserve"> </w:t>
      </w:r>
      <w:r w:rsidRPr="00AD0E01">
        <w:rPr>
          <w:rFonts w:ascii="Arial" w:hAnsi="Arial" w:cs="Arial"/>
          <w:b/>
          <w:bCs/>
          <w:sz w:val="28"/>
          <w:szCs w:val="28"/>
        </w:rPr>
        <w:t xml:space="preserve">Comparative </w:t>
      </w:r>
      <w:r w:rsidR="000C6D89">
        <w:rPr>
          <w:rFonts w:ascii="Arial" w:hAnsi="Arial" w:cs="Arial"/>
          <w:b/>
          <w:bCs/>
          <w:sz w:val="28"/>
          <w:szCs w:val="28"/>
        </w:rPr>
        <w:t>Report</w:t>
      </w:r>
      <w:r w:rsidR="00705292">
        <w:rPr>
          <w:rFonts w:ascii="Arial" w:hAnsi="Arial" w:cs="Arial"/>
          <w:b/>
          <w:bCs/>
          <w:sz w:val="28"/>
          <w:szCs w:val="28"/>
        </w:rPr>
        <w:t xml:space="preserve"> </w:t>
      </w:r>
      <w:r w:rsidR="00B14403" w:rsidRPr="00B14403">
        <w:rPr>
          <w:rFonts w:ascii="Arial" w:hAnsi="Arial" w:cs="Arial"/>
          <w:b/>
          <w:bCs/>
          <w:sz w:val="28"/>
          <w:szCs w:val="28"/>
        </w:rPr>
        <w:t xml:space="preserve">on </w:t>
      </w:r>
      <w:r w:rsidR="00B14403">
        <w:rPr>
          <w:rFonts w:ascii="Arial" w:hAnsi="Arial" w:cs="Arial"/>
          <w:b/>
          <w:bCs/>
          <w:sz w:val="28"/>
          <w:szCs w:val="28"/>
        </w:rPr>
        <w:t>COVID-19</w:t>
      </w:r>
      <w:r w:rsidR="00B14403" w:rsidRPr="00B14403">
        <w:rPr>
          <w:rFonts w:ascii="Arial" w:hAnsi="Arial" w:cs="Arial"/>
          <w:b/>
          <w:bCs/>
          <w:sz w:val="28"/>
          <w:szCs w:val="28"/>
        </w:rPr>
        <w:t xml:space="preserve"> leadership responses  </w:t>
      </w:r>
    </w:p>
    <w:p w14:paraId="245EC57A" w14:textId="77777777" w:rsidR="003C0ED8" w:rsidRPr="007E15DD" w:rsidRDefault="00000000">
      <w:pPr>
        <w:spacing w:line="360" w:lineRule="auto"/>
        <w:rPr>
          <w:rFonts w:ascii="Arial" w:hAnsi="Arial" w:cs="Arial"/>
          <w:b/>
          <w:bCs/>
          <w:sz w:val="28"/>
          <w:szCs w:val="28"/>
        </w:rPr>
      </w:pPr>
      <w:r w:rsidRPr="007E15DD">
        <w:rPr>
          <w:rFonts w:ascii="Arial" w:hAnsi="Arial" w:cs="Arial"/>
          <w:b/>
          <w:bCs/>
          <w:sz w:val="28"/>
          <w:szCs w:val="28"/>
        </w:rPr>
        <w:t xml:space="preserve">Submission deadline: 16th December 2025 </w:t>
      </w:r>
    </w:p>
    <w:p w14:paraId="245EC57C" w14:textId="77777777" w:rsidR="003C0ED8" w:rsidRDefault="003C0ED8">
      <w:pPr>
        <w:spacing w:line="360" w:lineRule="auto"/>
        <w:rPr>
          <w:rFonts w:ascii="Arial" w:hAnsi="Arial" w:cs="Arial"/>
        </w:rPr>
      </w:pPr>
    </w:p>
    <w:p w14:paraId="156B9AF0" w14:textId="77777777" w:rsidR="00585F3B" w:rsidRDefault="00585F3B">
      <w:pPr>
        <w:spacing w:line="360" w:lineRule="auto"/>
        <w:rPr>
          <w:rFonts w:ascii="Arial" w:hAnsi="Arial" w:cs="Arial"/>
        </w:rPr>
      </w:pPr>
    </w:p>
    <w:p w14:paraId="245EC57D" w14:textId="77777777" w:rsidR="003C0ED8" w:rsidRDefault="003C0ED8">
      <w:pPr>
        <w:spacing w:line="360" w:lineRule="auto"/>
        <w:rPr>
          <w:rFonts w:ascii="Arial" w:hAnsi="Arial" w:cs="Arial"/>
        </w:rPr>
      </w:pPr>
    </w:p>
    <w:p w14:paraId="245EC57E" w14:textId="77777777" w:rsidR="003C0ED8" w:rsidRDefault="003C0ED8">
      <w:pPr>
        <w:spacing w:line="360" w:lineRule="auto"/>
        <w:rPr>
          <w:rFonts w:ascii="Arial" w:hAnsi="Arial" w:cs="Arial"/>
        </w:rPr>
      </w:pPr>
    </w:p>
    <w:p w14:paraId="0B842181" w14:textId="77777777" w:rsidR="001069C2" w:rsidRDefault="001069C2">
      <w:pPr>
        <w:spacing w:line="360" w:lineRule="auto"/>
        <w:rPr>
          <w:rFonts w:ascii="Arial" w:hAnsi="Arial" w:cs="Arial"/>
        </w:rPr>
      </w:pPr>
    </w:p>
    <w:p w14:paraId="2C484E1E" w14:textId="77777777" w:rsidR="001069C2" w:rsidRDefault="001069C2">
      <w:pPr>
        <w:spacing w:line="360" w:lineRule="auto"/>
        <w:rPr>
          <w:rFonts w:ascii="Arial" w:hAnsi="Arial" w:cs="Arial"/>
        </w:rPr>
      </w:pPr>
    </w:p>
    <w:p w14:paraId="5AAAE84C" w14:textId="77777777" w:rsidR="001069C2" w:rsidRDefault="001069C2">
      <w:pPr>
        <w:spacing w:line="360" w:lineRule="auto"/>
        <w:rPr>
          <w:rFonts w:ascii="Arial" w:hAnsi="Arial" w:cs="Arial"/>
        </w:rPr>
      </w:pPr>
    </w:p>
    <w:p w14:paraId="04DC3723" w14:textId="77777777" w:rsidR="001069C2" w:rsidRDefault="001069C2">
      <w:pPr>
        <w:spacing w:line="360" w:lineRule="auto"/>
        <w:rPr>
          <w:rFonts w:ascii="Arial" w:hAnsi="Arial" w:cs="Arial"/>
        </w:rPr>
      </w:pPr>
    </w:p>
    <w:p w14:paraId="0AEFEC7E" w14:textId="77777777" w:rsidR="001069C2" w:rsidRDefault="001069C2">
      <w:pPr>
        <w:spacing w:line="360" w:lineRule="auto"/>
        <w:rPr>
          <w:rFonts w:ascii="Arial" w:hAnsi="Arial" w:cs="Arial"/>
        </w:rPr>
      </w:pPr>
    </w:p>
    <w:sdt>
      <w:sdtPr>
        <w:rPr>
          <w:rFonts w:ascii="Calibri" w:eastAsia="Calibri" w:hAnsi="Calibri" w:cs="Times New Roman"/>
          <w:color w:val="auto"/>
          <w:kern w:val="3"/>
          <w:sz w:val="22"/>
          <w:szCs w:val="22"/>
          <w:lang w:eastAsia="en-US"/>
        </w:rPr>
        <w:id w:val="-1907595211"/>
        <w:docPartObj>
          <w:docPartGallery w:val="Table of Contents"/>
          <w:docPartUnique/>
        </w:docPartObj>
      </w:sdtPr>
      <w:sdtEndPr>
        <w:rPr>
          <w:b/>
          <w:bCs/>
        </w:rPr>
      </w:sdtEndPr>
      <w:sdtContent>
        <w:p w14:paraId="6E15551D" w14:textId="2D6CEF58" w:rsidR="005830DC" w:rsidRPr="00981F35" w:rsidRDefault="005830DC">
          <w:pPr>
            <w:pStyle w:val="TOCHeading"/>
            <w:rPr>
              <w:rFonts w:ascii="Arial" w:hAnsi="Arial" w:cs="Arial"/>
              <w:b/>
              <w:bCs/>
              <w:color w:val="auto"/>
            </w:rPr>
          </w:pPr>
          <w:r w:rsidRPr="00981F35">
            <w:rPr>
              <w:rFonts w:ascii="Arial" w:hAnsi="Arial" w:cs="Arial"/>
              <w:b/>
              <w:bCs/>
              <w:color w:val="auto"/>
            </w:rPr>
            <w:t>Contents</w:t>
          </w:r>
        </w:p>
        <w:p w14:paraId="3B9CF324" w14:textId="101AC650" w:rsidR="00614A27" w:rsidRDefault="005830DC">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216182380" w:history="1">
            <w:r w:rsidR="00614A27" w:rsidRPr="0065787D">
              <w:rPr>
                <w:rStyle w:val="Hyperlink"/>
                <w:rFonts w:ascii="Arial" w:hAnsi="Arial" w:cs="Arial"/>
                <w:b/>
                <w:bCs/>
                <w:noProof/>
              </w:rPr>
              <w:t>Executive Summary</w:t>
            </w:r>
            <w:r w:rsidR="00614A27">
              <w:rPr>
                <w:noProof/>
                <w:webHidden/>
              </w:rPr>
              <w:tab/>
            </w:r>
            <w:r w:rsidR="00614A27">
              <w:rPr>
                <w:noProof/>
                <w:webHidden/>
              </w:rPr>
              <w:fldChar w:fldCharType="begin"/>
            </w:r>
            <w:r w:rsidR="00614A27">
              <w:rPr>
                <w:noProof/>
                <w:webHidden/>
              </w:rPr>
              <w:instrText xml:space="preserve"> PAGEREF _Toc216182380 \h </w:instrText>
            </w:r>
            <w:r w:rsidR="00614A27">
              <w:rPr>
                <w:noProof/>
                <w:webHidden/>
              </w:rPr>
            </w:r>
            <w:r w:rsidR="00614A27">
              <w:rPr>
                <w:noProof/>
                <w:webHidden/>
              </w:rPr>
              <w:fldChar w:fldCharType="separate"/>
            </w:r>
            <w:r w:rsidR="00614A27">
              <w:rPr>
                <w:noProof/>
                <w:webHidden/>
              </w:rPr>
              <w:t>2</w:t>
            </w:r>
            <w:r w:rsidR="00614A27">
              <w:rPr>
                <w:noProof/>
                <w:webHidden/>
              </w:rPr>
              <w:fldChar w:fldCharType="end"/>
            </w:r>
          </w:hyperlink>
        </w:p>
        <w:p w14:paraId="0F288F70" w14:textId="442FDA7B" w:rsidR="00614A27" w:rsidRDefault="00614A27">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6182381" w:history="1">
            <w:r w:rsidRPr="0065787D">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_Toc216182381 \h </w:instrText>
            </w:r>
            <w:r>
              <w:rPr>
                <w:noProof/>
                <w:webHidden/>
              </w:rPr>
            </w:r>
            <w:r>
              <w:rPr>
                <w:noProof/>
                <w:webHidden/>
              </w:rPr>
              <w:fldChar w:fldCharType="separate"/>
            </w:r>
            <w:r>
              <w:rPr>
                <w:noProof/>
                <w:webHidden/>
              </w:rPr>
              <w:t>3</w:t>
            </w:r>
            <w:r>
              <w:rPr>
                <w:noProof/>
                <w:webHidden/>
              </w:rPr>
              <w:fldChar w:fldCharType="end"/>
            </w:r>
          </w:hyperlink>
        </w:p>
        <w:p w14:paraId="2213699F" w14:textId="1DB7F818" w:rsidR="00614A27" w:rsidRDefault="00614A27">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6182382" w:history="1">
            <w:r w:rsidRPr="0065787D">
              <w:rPr>
                <w:rStyle w:val="Hyperlink"/>
                <w:rFonts w:ascii="Arial" w:hAnsi="Arial" w:cs="Arial"/>
                <w:b/>
                <w:bCs/>
                <w:noProof/>
              </w:rPr>
              <w:t>Leadership Theories Used in This Report</w:t>
            </w:r>
            <w:r>
              <w:rPr>
                <w:noProof/>
                <w:webHidden/>
              </w:rPr>
              <w:tab/>
            </w:r>
            <w:r>
              <w:rPr>
                <w:noProof/>
                <w:webHidden/>
              </w:rPr>
              <w:fldChar w:fldCharType="begin"/>
            </w:r>
            <w:r>
              <w:rPr>
                <w:noProof/>
                <w:webHidden/>
              </w:rPr>
              <w:instrText xml:space="preserve"> PAGEREF _Toc216182382 \h </w:instrText>
            </w:r>
            <w:r>
              <w:rPr>
                <w:noProof/>
                <w:webHidden/>
              </w:rPr>
            </w:r>
            <w:r>
              <w:rPr>
                <w:noProof/>
                <w:webHidden/>
              </w:rPr>
              <w:fldChar w:fldCharType="separate"/>
            </w:r>
            <w:r>
              <w:rPr>
                <w:noProof/>
                <w:webHidden/>
              </w:rPr>
              <w:t>4</w:t>
            </w:r>
            <w:r>
              <w:rPr>
                <w:noProof/>
                <w:webHidden/>
              </w:rPr>
              <w:fldChar w:fldCharType="end"/>
            </w:r>
          </w:hyperlink>
        </w:p>
        <w:p w14:paraId="5DC7B980" w14:textId="0F43F0A0" w:rsidR="00614A27" w:rsidRDefault="00614A27">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6182383" w:history="1">
            <w:r w:rsidRPr="0065787D">
              <w:rPr>
                <w:rStyle w:val="Hyperlink"/>
                <w:rFonts w:ascii="Arial" w:hAnsi="Arial" w:cs="Arial"/>
                <w:b/>
                <w:bCs/>
                <w:noProof/>
              </w:rPr>
              <w:t>Transformational Leadership</w:t>
            </w:r>
            <w:r>
              <w:rPr>
                <w:noProof/>
                <w:webHidden/>
              </w:rPr>
              <w:tab/>
            </w:r>
            <w:r>
              <w:rPr>
                <w:noProof/>
                <w:webHidden/>
              </w:rPr>
              <w:fldChar w:fldCharType="begin"/>
            </w:r>
            <w:r>
              <w:rPr>
                <w:noProof/>
                <w:webHidden/>
              </w:rPr>
              <w:instrText xml:space="preserve"> PAGEREF _Toc216182383 \h </w:instrText>
            </w:r>
            <w:r>
              <w:rPr>
                <w:noProof/>
                <w:webHidden/>
              </w:rPr>
            </w:r>
            <w:r>
              <w:rPr>
                <w:noProof/>
                <w:webHidden/>
              </w:rPr>
              <w:fldChar w:fldCharType="separate"/>
            </w:r>
            <w:r>
              <w:rPr>
                <w:noProof/>
                <w:webHidden/>
              </w:rPr>
              <w:t>4</w:t>
            </w:r>
            <w:r>
              <w:rPr>
                <w:noProof/>
                <w:webHidden/>
              </w:rPr>
              <w:fldChar w:fldCharType="end"/>
            </w:r>
          </w:hyperlink>
        </w:p>
        <w:p w14:paraId="52243AF1" w14:textId="204150E0" w:rsidR="00614A27" w:rsidRDefault="00614A27">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6182384" w:history="1">
            <w:r w:rsidRPr="0065787D">
              <w:rPr>
                <w:rStyle w:val="Hyperlink"/>
                <w:rFonts w:ascii="Arial" w:hAnsi="Arial" w:cs="Arial"/>
                <w:b/>
                <w:bCs/>
                <w:noProof/>
              </w:rPr>
              <w:t>Transactional Leadership</w:t>
            </w:r>
            <w:r>
              <w:rPr>
                <w:noProof/>
                <w:webHidden/>
              </w:rPr>
              <w:tab/>
            </w:r>
            <w:r>
              <w:rPr>
                <w:noProof/>
                <w:webHidden/>
              </w:rPr>
              <w:fldChar w:fldCharType="begin"/>
            </w:r>
            <w:r>
              <w:rPr>
                <w:noProof/>
                <w:webHidden/>
              </w:rPr>
              <w:instrText xml:space="preserve"> PAGEREF _Toc216182384 \h </w:instrText>
            </w:r>
            <w:r>
              <w:rPr>
                <w:noProof/>
                <w:webHidden/>
              </w:rPr>
            </w:r>
            <w:r>
              <w:rPr>
                <w:noProof/>
                <w:webHidden/>
              </w:rPr>
              <w:fldChar w:fldCharType="separate"/>
            </w:r>
            <w:r>
              <w:rPr>
                <w:noProof/>
                <w:webHidden/>
              </w:rPr>
              <w:t>5</w:t>
            </w:r>
            <w:r>
              <w:rPr>
                <w:noProof/>
                <w:webHidden/>
              </w:rPr>
              <w:fldChar w:fldCharType="end"/>
            </w:r>
          </w:hyperlink>
        </w:p>
        <w:p w14:paraId="52F6086A" w14:textId="1609EE3F" w:rsidR="00614A27" w:rsidRDefault="00614A27">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6182385" w:history="1">
            <w:r w:rsidRPr="0065787D">
              <w:rPr>
                <w:rStyle w:val="Hyperlink"/>
                <w:rFonts w:ascii="Arial" w:hAnsi="Arial" w:cs="Arial"/>
                <w:b/>
                <w:bCs/>
                <w:noProof/>
              </w:rPr>
              <w:t>Adaptive Leadership</w:t>
            </w:r>
            <w:r>
              <w:rPr>
                <w:noProof/>
                <w:webHidden/>
              </w:rPr>
              <w:tab/>
            </w:r>
            <w:r>
              <w:rPr>
                <w:noProof/>
                <w:webHidden/>
              </w:rPr>
              <w:fldChar w:fldCharType="begin"/>
            </w:r>
            <w:r>
              <w:rPr>
                <w:noProof/>
                <w:webHidden/>
              </w:rPr>
              <w:instrText xml:space="preserve"> PAGEREF _Toc216182385 \h </w:instrText>
            </w:r>
            <w:r>
              <w:rPr>
                <w:noProof/>
                <w:webHidden/>
              </w:rPr>
            </w:r>
            <w:r>
              <w:rPr>
                <w:noProof/>
                <w:webHidden/>
              </w:rPr>
              <w:fldChar w:fldCharType="separate"/>
            </w:r>
            <w:r>
              <w:rPr>
                <w:noProof/>
                <w:webHidden/>
              </w:rPr>
              <w:t>5</w:t>
            </w:r>
            <w:r>
              <w:rPr>
                <w:noProof/>
                <w:webHidden/>
              </w:rPr>
              <w:fldChar w:fldCharType="end"/>
            </w:r>
          </w:hyperlink>
        </w:p>
        <w:p w14:paraId="43ADB4AE" w14:textId="72FC510E" w:rsidR="00614A27" w:rsidRDefault="00614A27">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6182386" w:history="1">
            <w:r w:rsidRPr="0065787D">
              <w:rPr>
                <w:rStyle w:val="Hyperlink"/>
                <w:rFonts w:ascii="Arial" w:hAnsi="Arial" w:cs="Arial"/>
                <w:b/>
                <w:bCs/>
                <w:noProof/>
              </w:rPr>
              <w:t>Collaborative Leadership</w:t>
            </w:r>
            <w:r>
              <w:rPr>
                <w:noProof/>
                <w:webHidden/>
              </w:rPr>
              <w:tab/>
            </w:r>
            <w:r>
              <w:rPr>
                <w:noProof/>
                <w:webHidden/>
              </w:rPr>
              <w:fldChar w:fldCharType="begin"/>
            </w:r>
            <w:r>
              <w:rPr>
                <w:noProof/>
                <w:webHidden/>
              </w:rPr>
              <w:instrText xml:space="preserve"> PAGEREF _Toc216182386 \h </w:instrText>
            </w:r>
            <w:r>
              <w:rPr>
                <w:noProof/>
                <w:webHidden/>
              </w:rPr>
            </w:r>
            <w:r>
              <w:rPr>
                <w:noProof/>
                <w:webHidden/>
              </w:rPr>
              <w:fldChar w:fldCharType="separate"/>
            </w:r>
            <w:r>
              <w:rPr>
                <w:noProof/>
                <w:webHidden/>
              </w:rPr>
              <w:t>5</w:t>
            </w:r>
            <w:r>
              <w:rPr>
                <w:noProof/>
                <w:webHidden/>
              </w:rPr>
              <w:fldChar w:fldCharType="end"/>
            </w:r>
          </w:hyperlink>
        </w:p>
        <w:p w14:paraId="79F95FCF" w14:textId="28D43D6E" w:rsidR="00614A27" w:rsidRDefault="00614A27">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6182387" w:history="1">
            <w:r w:rsidRPr="0065787D">
              <w:rPr>
                <w:rStyle w:val="Hyperlink"/>
                <w:rFonts w:ascii="Arial" w:hAnsi="Arial" w:cs="Arial"/>
                <w:b/>
                <w:bCs/>
                <w:noProof/>
              </w:rPr>
              <w:t>Spain’s Healthcare System and COVID-19 Response</w:t>
            </w:r>
            <w:r>
              <w:rPr>
                <w:noProof/>
                <w:webHidden/>
              </w:rPr>
              <w:tab/>
            </w:r>
            <w:r>
              <w:rPr>
                <w:noProof/>
                <w:webHidden/>
              </w:rPr>
              <w:fldChar w:fldCharType="begin"/>
            </w:r>
            <w:r>
              <w:rPr>
                <w:noProof/>
                <w:webHidden/>
              </w:rPr>
              <w:instrText xml:space="preserve"> PAGEREF _Toc216182387 \h </w:instrText>
            </w:r>
            <w:r>
              <w:rPr>
                <w:noProof/>
                <w:webHidden/>
              </w:rPr>
            </w:r>
            <w:r>
              <w:rPr>
                <w:noProof/>
                <w:webHidden/>
              </w:rPr>
              <w:fldChar w:fldCharType="separate"/>
            </w:r>
            <w:r>
              <w:rPr>
                <w:noProof/>
                <w:webHidden/>
              </w:rPr>
              <w:t>6</w:t>
            </w:r>
            <w:r>
              <w:rPr>
                <w:noProof/>
                <w:webHidden/>
              </w:rPr>
              <w:fldChar w:fldCharType="end"/>
            </w:r>
          </w:hyperlink>
        </w:p>
        <w:p w14:paraId="6EDD77EA" w14:textId="0EA6181C" w:rsidR="00614A27" w:rsidRDefault="00614A27">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6182388" w:history="1">
            <w:r w:rsidRPr="0065787D">
              <w:rPr>
                <w:rStyle w:val="Hyperlink"/>
                <w:rFonts w:ascii="Arial" w:hAnsi="Arial" w:cs="Arial"/>
                <w:b/>
                <w:bCs/>
                <w:noProof/>
              </w:rPr>
              <w:t>Leadership Styles in Spain: Salvador Illa</w:t>
            </w:r>
            <w:r>
              <w:rPr>
                <w:noProof/>
                <w:webHidden/>
              </w:rPr>
              <w:tab/>
            </w:r>
            <w:r>
              <w:rPr>
                <w:noProof/>
                <w:webHidden/>
              </w:rPr>
              <w:fldChar w:fldCharType="begin"/>
            </w:r>
            <w:r>
              <w:rPr>
                <w:noProof/>
                <w:webHidden/>
              </w:rPr>
              <w:instrText xml:space="preserve"> PAGEREF _Toc216182388 \h </w:instrText>
            </w:r>
            <w:r>
              <w:rPr>
                <w:noProof/>
                <w:webHidden/>
              </w:rPr>
            </w:r>
            <w:r>
              <w:rPr>
                <w:noProof/>
                <w:webHidden/>
              </w:rPr>
              <w:fldChar w:fldCharType="separate"/>
            </w:r>
            <w:r>
              <w:rPr>
                <w:noProof/>
                <w:webHidden/>
              </w:rPr>
              <w:t>8</w:t>
            </w:r>
            <w:r>
              <w:rPr>
                <w:noProof/>
                <w:webHidden/>
              </w:rPr>
              <w:fldChar w:fldCharType="end"/>
            </w:r>
          </w:hyperlink>
        </w:p>
        <w:p w14:paraId="414E459E" w14:textId="7B75EED1" w:rsidR="00614A27" w:rsidRDefault="00614A27">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6182389" w:history="1">
            <w:r w:rsidRPr="0065787D">
              <w:rPr>
                <w:rStyle w:val="Hyperlink"/>
                <w:rFonts w:ascii="Arial" w:hAnsi="Arial" w:cs="Arial"/>
                <w:b/>
                <w:bCs/>
                <w:noProof/>
              </w:rPr>
              <w:t>South Korea’s Healthcare System and COVID-19 Response</w:t>
            </w:r>
            <w:r>
              <w:rPr>
                <w:noProof/>
                <w:webHidden/>
              </w:rPr>
              <w:tab/>
            </w:r>
            <w:r>
              <w:rPr>
                <w:noProof/>
                <w:webHidden/>
              </w:rPr>
              <w:fldChar w:fldCharType="begin"/>
            </w:r>
            <w:r>
              <w:rPr>
                <w:noProof/>
                <w:webHidden/>
              </w:rPr>
              <w:instrText xml:space="preserve"> PAGEREF _Toc216182389 \h </w:instrText>
            </w:r>
            <w:r>
              <w:rPr>
                <w:noProof/>
                <w:webHidden/>
              </w:rPr>
            </w:r>
            <w:r>
              <w:rPr>
                <w:noProof/>
                <w:webHidden/>
              </w:rPr>
              <w:fldChar w:fldCharType="separate"/>
            </w:r>
            <w:r>
              <w:rPr>
                <w:noProof/>
                <w:webHidden/>
              </w:rPr>
              <w:t>9</w:t>
            </w:r>
            <w:r>
              <w:rPr>
                <w:noProof/>
                <w:webHidden/>
              </w:rPr>
              <w:fldChar w:fldCharType="end"/>
            </w:r>
          </w:hyperlink>
        </w:p>
        <w:p w14:paraId="72D190BE" w14:textId="200472FB" w:rsidR="00614A27" w:rsidRDefault="00614A27">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6182390" w:history="1">
            <w:r w:rsidRPr="0065787D">
              <w:rPr>
                <w:rStyle w:val="Hyperlink"/>
                <w:rFonts w:ascii="Arial" w:hAnsi="Arial" w:cs="Arial"/>
                <w:b/>
                <w:bCs/>
                <w:noProof/>
              </w:rPr>
              <w:t>Leadership Styles in South Korea: Prime Minister Chung Sye-kyun</w:t>
            </w:r>
            <w:r>
              <w:rPr>
                <w:noProof/>
                <w:webHidden/>
              </w:rPr>
              <w:tab/>
            </w:r>
            <w:r>
              <w:rPr>
                <w:noProof/>
                <w:webHidden/>
              </w:rPr>
              <w:fldChar w:fldCharType="begin"/>
            </w:r>
            <w:r>
              <w:rPr>
                <w:noProof/>
                <w:webHidden/>
              </w:rPr>
              <w:instrText xml:space="preserve"> PAGEREF _Toc216182390 \h </w:instrText>
            </w:r>
            <w:r>
              <w:rPr>
                <w:noProof/>
                <w:webHidden/>
              </w:rPr>
            </w:r>
            <w:r>
              <w:rPr>
                <w:noProof/>
                <w:webHidden/>
              </w:rPr>
              <w:fldChar w:fldCharType="separate"/>
            </w:r>
            <w:r>
              <w:rPr>
                <w:noProof/>
                <w:webHidden/>
              </w:rPr>
              <w:t>11</w:t>
            </w:r>
            <w:r>
              <w:rPr>
                <w:noProof/>
                <w:webHidden/>
              </w:rPr>
              <w:fldChar w:fldCharType="end"/>
            </w:r>
          </w:hyperlink>
        </w:p>
        <w:p w14:paraId="6CAABAC3" w14:textId="6F08AAA6" w:rsidR="00614A27" w:rsidRDefault="00614A27">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6182391" w:history="1">
            <w:r w:rsidRPr="0065787D">
              <w:rPr>
                <w:rStyle w:val="Hyperlink"/>
                <w:rFonts w:ascii="Arial" w:hAnsi="Arial" w:cs="Arial"/>
                <w:b/>
                <w:bCs/>
                <w:noProof/>
              </w:rPr>
              <w:t>Canada’s Healthcare System and COVID-19 Response</w:t>
            </w:r>
            <w:r>
              <w:rPr>
                <w:noProof/>
                <w:webHidden/>
              </w:rPr>
              <w:tab/>
            </w:r>
            <w:r>
              <w:rPr>
                <w:noProof/>
                <w:webHidden/>
              </w:rPr>
              <w:fldChar w:fldCharType="begin"/>
            </w:r>
            <w:r>
              <w:rPr>
                <w:noProof/>
                <w:webHidden/>
              </w:rPr>
              <w:instrText xml:space="preserve"> PAGEREF _Toc216182391 \h </w:instrText>
            </w:r>
            <w:r>
              <w:rPr>
                <w:noProof/>
                <w:webHidden/>
              </w:rPr>
            </w:r>
            <w:r>
              <w:rPr>
                <w:noProof/>
                <w:webHidden/>
              </w:rPr>
              <w:fldChar w:fldCharType="separate"/>
            </w:r>
            <w:r>
              <w:rPr>
                <w:noProof/>
                <w:webHidden/>
              </w:rPr>
              <w:t>13</w:t>
            </w:r>
            <w:r>
              <w:rPr>
                <w:noProof/>
                <w:webHidden/>
              </w:rPr>
              <w:fldChar w:fldCharType="end"/>
            </w:r>
          </w:hyperlink>
        </w:p>
        <w:p w14:paraId="6CCBC0D9" w14:textId="7E94FC70" w:rsidR="00614A27" w:rsidRDefault="00614A27">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6182392" w:history="1">
            <w:r w:rsidRPr="0065787D">
              <w:rPr>
                <w:rStyle w:val="Hyperlink"/>
                <w:rFonts w:ascii="Arial" w:hAnsi="Arial" w:cs="Arial"/>
                <w:b/>
                <w:bCs/>
                <w:noProof/>
              </w:rPr>
              <w:t>Leadership Styles in Canada: Prime Minister Justin Trudeau</w:t>
            </w:r>
            <w:r>
              <w:rPr>
                <w:noProof/>
                <w:webHidden/>
              </w:rPr>
              <w:tab/>
            </w:r>
            <w:r>
              <w:rPr>
                <w:noProof/>
                <w:webHidden/>
              </w:rPr>
              <w:fldChar w:fldCharType="begin"/>
            </w:r>
            <w:r>
              <w:rPr>
                <w:noProof/>
                <w:webHidden/>
              </w:rPr>
              <w:instrText xml:space="preserve"> PAGEREF _Toc216182392 \h </w:instrText>
            </w:r>
            <w:r>
              <w:rPr>
                <w:noProof/>
                <w:webHidden/>
              </w:rPr>
            </w:r>
            <w:r>
              <w:rPr>
                <w:noProof/>
                <w:webHidden/>
              </w:rPr>
              <w:fldChar w:fldCharType="separate"/>
            </w:r>
            <w:r>
              <w:rPr>
                <w:noProof/>
                <w:webHidden/>
              </w:rPr>
              <w:t>14</w:t>
            </w:r>
            <w:r>
              <w:rPr>
                <w:noProof/>
                <w:webHidden/>
              </w:rPr>
              <w:fldChar w:fldCharType="end"/>
            </w:r>
          </w:hyperlink>
        </w:p>
        <w:p w14:paraId="5FB24854" w14:textId="45B9605F" w:rsidR="00614A27" w:rsidRDefault="00614A27">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6182393" w:history="1">
            <w:r w:rsidRPr="0065787D">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_Toc216182393 \h </w:instrText>
            </w:r>
            <w:r>
              <w:rPr>
                <w:noProof/>
                <w:webHidden/>
              </w:rPr>
            </w:r>
            <w:r>
              <w:rPr>
                <w:noProof/>
                <w:webHidden/>
              </w:rPr>
              <w:fldChar w:fldCharType="separate"/>
            </w:r>
            <w:r>
              <w:rPr>
                <w:noProof/>
                <w:webHidden/>
              </w:rPr>
              <w:t>20</w:t>
            </w:r>
            <w:r>
              <w:rPr>
                <w:noProof/>
                <w:webHidden/>
              </w:rPr>
              <w:fldChar w:fldCharType="end"/>
            </w:r>
          </w:hyperlink>
        </w:p>
        <w:p w14:paraId="558DB653" w14:textId="32F25442" w:rsidR="00614A27" w:rsidRDefault="00614A27">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6182394" w:history="1">
            <w:r w:rsidRPr="0065787D">
              <w:rPr>
                <w:rStyle w:val="Hyperlink"/>
                <w:rFonts w:ascii="Arial" w:hAnsi="Arial" w:cs="Arial"/>
                <w:b/>
                <w:bCs/>
                <w:noProof/>
                <w:lang w:eastAsia="en-GB"/>
              </w:rPr>
              <w:t>5. References</w:t>
            </w:r>
            <w:r>
              <w:rPr>
                <w:noProof/>
                <w:webHidden/>
              </w:rPr>
              <w:tab/>
            </w:r>
            <w:r>
              <w:rPr>
                <w:noProof/>
                <w:webHidden/>
              </w:rPr>
              <w:fldChar w:fldCharType="begin"/>
            </w:r>
            <w:r>
              <w:rPr>
                <w:noProof/>
                <w:webHidden/>
              </w:rPr>
              <w:instrText xml:space="preserve"> PAGEREF _Toc216182394 \h </w:instrText>
            </w:r>
            <w:r>
              <w:rPr>
                <w:noProof/>
                <w:webHidden/>
              </w:rPr>
            </w:r>
            <w:r>
              <w:rPr>
                <w:noProof/>
                <w:webHidden/>
              </w:rPr>
              <w:fldChar w:fldCharType="separate"/>
            </w:r>
            <w:r>
              <w:rPr>
                <w:noProof/>
                <w:webHidden/>
              </w:rPr>
              <w:t>21</w:t>
            </w:r>
            <w:r>
              <w:rPr>
                <w:noProof/>
                <w:webHidden/>
              </w:rPr>
              <w:fldChar w:fldCharType="end"/>
            </w:r>
          </w:hyperlink>
        </w:p>
        <w:p w14:paraId="436F1A6B" w14:textId="38987900" w:rsidR="005830DC" w:rsidRDefault="005830DC">
          <w:r>
            <w:rPr>
              <w:b/>
              <w:bCs/>
            </w:rPr>
            <w:fldChar w:fldCharType="end"/>
          </w:r>
        </w:p>
      </w:sdtContent>
    </w:sdt>
    <w:p w14:paraId="245EC57F" w14:textId="77777777" w:rsidR="003C0ED8" w:rsidRDefault="003C0ED8">
      <w:pPr>
        <w:spacing w:line="360" w:lineRule="auto"/>
        <w:rPr>
          <w:rFonts w:ascii="Arial" w:hAnsi="Arial" w:cs="Arial"/>
        </w:rPr>
      </w:pPr>
    </w:p>
    <w:p w14:paraId="4DCA44A7" w14:textId="77777777" w:rsidR="00577C60" w:rsidRDefault="00577C60" w:rsidP="000A78D0">
      <w:pPr>
        <w:spacing w:line="360" w:lineRule="auto"/>
        <w:rPr>
          <w:rFonts w:ascii="Arial" w:hAnsi="Arial" w:cs="Arial"/>
        </w:rPr>
      </w:pPr>
    </w:p>
    <w:p w14:paraId="5EF6AF67" w14:textId="77777777" w:rsidR="001069C2" w:rsidRDefault="001069C2" w:rsidP="000A78D0">
      <w:pPr>
        <w:spacing w:line="360" w:lineRule="auto"/>
        <w:rPr>
          <w:rFonts w:ascii="Arial" w:hAnsi="Arial" w:cs="Arial"/>
        </w:rPr>
      </w:pPr>
    </w:p>
    <w:p w14:paraId="691B0A5E" w14:textId="77777777" w:rsidR="001069C2" w:rsidRDefault="001069C2" w:rsidP="000A78D0">
      <w:pPr>
        <w:spacing w:line="360" w:lineRule="auto"/>
        <w:rPr>
          <w:rFonts w:ascii="Arial" w:hAnsi="Arial" w:cs="Arial"/>
        </w:rPr>
      </w:pPr>
    </w:p>
    <w:p w14:paraId="3999D68D" w14:textId="77777777" w:rsidR="001069C2" w:rsidRDefault="001069C2" w:rsidP="000A78D0">
      <w:pPr>
        <w:spacing w:line="360" w:lineRule="auto"/>
        <w:rPr>
          <w:rFonts w:ascii="Arial" w:hAnsi="Arial" w:cs="Arial"/>
        </w:rPr>
      </w:pPr>
    </w:p>
    <w:p w14:paraId="65327272" w14:textId="77777777" w:rsidR="001069C2" w:rsidRDefault="001069C2" w:rsidP="000A78D0">
      <w:pPr>
        <w:spacing w:line="360" w:lineRule="auto"/>
        <w:rPr>
          <w:rFonts w:ascii="Arial" w:hAnsi="Arial" w:cs="Arial"/>
        </w:rPr>
      </w:pPr>
    </w:p>
    <w:p w14:paraId="44F803AC" w14:textId="77777777" w:rsidR="001069C2" w:rsidRDefault="001069C2" w:rsidP="000A78D0">
      <w:pPr>
        <w:spacing w:line="360" w:lineRule="auto"/>
        <w:rPr>
          <w:rFonts w:ascii="Arial" w:hAnsi="Arial" w:cs="Arial"/>
        </w:rPr>
      </w:pPr>
    </w:p>
    <w:p w14:paraId="76E54E22" w14:textId="77777777" w:rsidR="001069C2" w:rsidRDefault="001069C2" w:rsidP="000A78D0">
      <w:pPr>
        <w:spacing w:line="360" w:lineRule="auto"/>
        <w:rPr>
          <w:rFonts w:ascii="Arial" w:hAnsi="Arial" w:cs="Arial"/>
        </w:rPr>
      </w:pPr>
    </w:p>
    <w:p w14:paraId="7C64CD4D" w14:textId="77777777" w:rsidR="001069C2" w:rsidRDefault="001069C2" w:rsidP="000A78D0">
      <w:pPr>
        <w:spacing w:line="360" w:lineRule="auto"/>
        <w:rPr>
          <w:rFonts w:ascii="Arial" w:hAnsi="Arial" w:cs="Arial"/>
        </w:rPr>
      </w:pPr>
    </w:p>
    <w:p w14:paraId="7B3F65B4" w14:textId="77777777" w:rsidR="001069C2" w:rsidRDefault="001069C2" w:rsidP="000A78D0">
      <w:pPr>
        <w:spacing w:line="360" w:lineRule="auto"/>
        <w:rPr>
          <w:rFonts w:ascii="Arial" w:hAnsi="Arial" w:cs="Arial"/>
        </w:rPr>
      </w:pPr>
    </w:p>
    <w:p w14:paraId="2BD0F391" w14:textId="77777777" w:rsidR="001069C2" w:rsidRDefault="001069C2" w:rsidP="000A78D0">
      <w:pPr>
        <w:spacing w:line="360" w:lineRule="auto"/>
        <w:rPr>
          <w:rFonts w:ascii="Arial" w:hAnsi="Arial" w:cs="Arial"/>
        </w:rPr>
      </w:pPr>
    </w:p>
    <w:p w14:paraId="549DE513" w14:textId="77777777" w:rsidR="001069C2" w:rsidRDefault="001069C2" w:rsidP="000A78D0">
      <w:pPr>
        <w:spacing w:line="360" w:lineRule="auto"/>
        <w:rPr>
          <w:rFonts w:ascii="Arial" w:hAnsi="Arial" w:cs="Arial"/>
        </w:rPr>
      </w:pPr>
    </w:p>
    <w:p w14:paraId="0D7A41B2" w14:textId="77777777" w:rsidR="001069C2" w:rsidRDefault="001069C2" w:rsidP="000A78D0">
      <w:pPr>
        <w:spacing w:line="360" w:lineRule="auto"/>
        <w:rPr>
          <w:rFonts w:ascii="Arial" w:hAnsi="Arial" w:cs="Arial"/>
        </w:rPr>
      </w:pPr>
    </w:p>
    <w:p w14:paraId="7C6E3E40" w14:textId="77777777" w:rsidR="001069C2" w:rsidRDefault="001069C2" w:rsidP="000A78D0">
      <w:pPr>
        <w:spacing w:line="360" w:lineRule="auto"/>
        <w:rPr>
          <w:rFonts w:ascii="Arial" w:hAnsi="Arial" w:cs="Arial"/>
        </w:rPr>
      </w:pPr>
    </w:p>
    <w:p w14:paraId="4F78F2C6" w14:textId="77777777" w:rsidR="001069C2" w:rsidRDefault="001069C2" w:rsidP="000A78D0">
      <w:pPr>
        <w:spacing w:line="360" w:lineRule="auto"/>
        <w:rPr>
          <w:rFonts w:ascii="Arial" w:hAnsi="Arial" w:cs="Arial"/>
        </w:rPr>
      </w:pPr>
    </w:p>
    <w:p w14:paraId="6CEDB2B5" w14:textId="636DCBE5" w:rsidR="00CD361E" w:rsidRDefault="00CD361E" w:rsidP="005C577C">
      <w:pPr>
        <w:pStyle w:val="Heading1"/>
        <w:rPr>
          <w:rFonts w:ascii="Arial" w:hAnsi="Arial" w:cs="Arial"/>
          <w:b/>
          <w:bCs/>
          <w:color w:val="auto"/>
          <w:sz w:val="32"/>
          <w:szCs w:val="32"/>
        </w:rPr>
      </w:pPr>
      <w:bookmarkStart w:id="0" w:name="_Toc216182380"/>
      <w:r w:rsidRPr="005C577C">
        <w:rPr>
          <w:rFonts w:ascii="Arial" w:hAnsi="Arial" w:cs="Arial"/>
          <w:b/>
          <w:bCs/>
          <w:color w:val="auto"/>
          <w:sz w:val="32"/>
          <w:szCs w:val="32"/>
        </w:rPr>
        <w:t>Executive Summary</w:t>
      </w:r>
      <w:bookmarkEnd w:id="0"/>
      <w:r w:rsidRPr="005C577C">
        <w:rPr>
          <w:rFonts w:ascii="Arial" w:hAnsi="Arial" w:cs="Arial"/>
          <w:b/>
          <w:bCs/>
          <w:color w:val="auto"/>
          <w:sz w:val="32"/>
          <w:szCs w:val="32"/>
        </w:rPr>
        <w:t xml:space="preserve"> </w:t>
      </w:r>
    </w:p>
    <w:p w14:paraId="405738C3" w14:textId="7DCB4B1B" w:rsidR="005A15E2" w:rsidRPr="00B257AD" w:rsidRDefault="005A15E2" w:rsidP="00B257AD">
      <w:pPr>
        <w:spacing w:line="360" w:lineRule="auto"/>
        <w:rPr>
          <w:rFonts w:ascii="Arial" w:hAnsi="Arial" w:cs="Arial"/>
        </w:rPr>
      </w:pPr>
    </w:p>
    <w:p w14:paraId="6CA0EE43" w14:textId="47F14FF9" w:rsidR="001E3982" w:rsidRPr="00B257AD" w:rsidRDefault="005A15E2" w:rsidP="00B257AD">
      <w:pPr>
        <w:spacing w:line="360" w:lineRule="auto"/>
        <w:rPr>
          <w:rFonts w:ascii="Arial" w:hAnsi="Arial" w:cs="Arial"/>
        </w:rPr>
      </w:pPr>
      <w:r w:rsidRPr="00B257AD">
        <w:rPr>
          <w:rFonts w:ascii="Arial" w:hAnsi="Arial" w:cs="Arial"/>
        </w:rPr>
        <w:t xml:space="preserve">This report examines how Spain, South Korea, and Canada responded to the COVID-19 pandemic by analysing both their healthcare system structures and the leadership styles of key political figures. These countries adopted different strategies depending on </w:t>
      </w:r>
      <w:r w:rsidR="002E2EC2">
        <w:rPr>
          <w:rFonts w:ascii="Arial" w:hAnsi="Arial" w:cs="Arial"/>
        </w:rPr>
        <w:t>the degree of centralisation or decentralisation of their health systems</w:t>
      </w:r>
      <w:r w:rsidRPr="00B257AD">
        <w:rPr>
          <w:rFonts w:ascii="Arial" w:hAnsi="Arial" w:cs="Arial"/>
        </w:rPr>
        <w:t>. Spain’s decentralised model initially struggled with coordination, while South Korea’s highly centralised and well-prepared system enabled rapid testing, tracing, and public communication. Canada’s decentralised federation led to uneven provincial responses, although national leadership helped secure vaccines and financial support. The report also evaluates the leadership behaviours of Salvador Illa, Chung Sye-kyun, and Justin Trudeau using theories such as transformational, transactional, adaptive, and collaborative leadership. By comparing the three cases, the report highlights how leadership and system design shape national preparedness, public trust, and crisis outcomes. These insights suggest that effective pandemic responses depend on both resilient governance structures and leaders who communicate clearly, act decisively, and inspire public cooperation.</w:t>
      </w:r>
    </w:p>
    <w:p w14:paraId="19613BD9" w14:textId="77777777" w:rsidR="001E3982" w:rsidRPr="00B257AD" w:rsidRDefault="001E3982" w:rsidP="00B257AD">
      <w:pPr>
        <w:spacing w:line="360" w:lineRule="auto"/>
        <w:rPr>
          <w:rFonts w:ascii="Arial" w:hAnsi="Arial" w:cs="Arial"/>
        </w:rPr>
      </w:pPr>
    </w:p>
    <w:p w14:paraId="42C631CC" w14:textId="37E095CA" w:rsidR="00343ECA" w:rsidRPr="00131B72" w:rsidRDefault="00343ECA" w:rsidP="00131B72">
      <w:pPr>
        <w:pStyle w:val="Heading1"/>
        <w:rPr>
          <w:rFonts w:ascii="Arial" w:hAnsi="Arial" w:cs="Arial"/>
          <w:b/>
          <w:bCs/>
          <w:color w:val="auto"/>
          <w:sz w:val="32"/>
          <w:szCs w:val="32"/>
        </w:rPr>
      </w:pPr>
      <w:bookmarkStart w:id="1" w:name="_Toc216182381"/>
      <w:r w:rsidRPr="006F4956">
        <w:rPr>
          <w:rFonts w:ascii="Arial" w:hAnsi="Arial" w:cs="Arial"/>
          <w:b/>
          <w:bCs/>
          <w:color w:val="auto"/>
          <w:sz w:val="32"/>
          <w:szCs w:val="32"/>
        </w:rPr>
        <w:t>Introduction</w:t>
      </w:r>
      <w:bookmarkEnd w:id="1"/>
      <w:r w:rsidRPr="006F4956">
        <w:rPr>
          <w:rFonts w:ascii="Arial" w:hAnsi="Arial" w:cs="Arial"/>
          <w:b/>
          <w:bCs/>
          <w:color w:val="auto"/>
          <w:sz w:val="32"/>
          <w:szCs w:val="32"/>
        </w:rPr>
        <w:t xml:space="preserve"> </w:t>
      </w:r>
    </w:p>
    <w:p w14:paraId="3A6636AA" w14:textId="7D837CA8" w:rsidR="00343ECA" w:rsidRPr="00B257AD" w:rsidRDefault="00343ECA" w:rsidP="00B257AD">
      <w:pPr>
        <w:spacing w:line="360" w:lineRule="auto"/>
        <w:rPr>
          <w:rFonts w:ascii="Arial" w:hAnsi="Arial" w:cs="Arial"/>
        </w:rPr>
      </w:pPr>
      <w:r w:rsidRPr="00B257AD">
        <w:rPr>
          <w:rFonts w:ascii="Arial" w:hAnsi="Arial" w:cs="Arial"/>
        </w:rPr>
        <w:t xml:space="preserve">The COVID-19 pandemic exposed major differences in how countries organise their healthcare systems and how leaders guide their populations through crisis. When the World Health </w:t>
      </w:r>
      <w:r w:rsidR="00E00D99">
        <w:rPr>
          <w:rFonts w:ascii="Arial" w:hAnsi="Arial" w:cs="Arial"/>
        </w:rPr>
        <w:t>Organisation</w:t>
      </w:r>
      <w:r w:rsidRPr="00B257AD">
        <w:rPr>
          <w:rFonts w:ascii="Arial" w:hAnsi="Arial" w:cs="Arial"/>
        </w:rPr>
        <w:t xml:space="preserve"> declared COVID-19 a global pandemic in March 2020 (Cucinotta &amp; Vanelli, 2020), governments were forced to respond quickly despite scientific uncertainty, limited resources, and intense public pressure. This report compares the experiences of Spain, South Korea, and Canada to explore how both health system structures and leadership styles shaped their national outcomes.</w:t>
      </w:r>
    </w:p>
    <w:p w14:paraId="43E79C17" w14:textId="247489E6" w:rsidR="00343ECA" w:rsidRPr="00B257AD" w:rsidRDefault="00343ECA" w:rsidP="00B257AD">
      <w:pPr>
        <w:spacing w:line="360" w:lineRule="auto"/>
        <w:rPr>
          <w:rFonts w:ascii="Arial" w:hAnsi="Arial" w:cs="Arial"/>
        </w:rPr>
      </w:pPr>
      <w:r w:rsidRPr="00B257AD">
        <w:rPr>
          <w:rFonts w:ascii="Arial" w:hAnsi="Arial" w:cs="Arial"/>
        </w:rPr>
        <w:lastRenderedPageBreak/>
        <w:t>A key focus of this comparison is the role of centralisation versus decentralisation. In centralised systems, national governments can make rapid decisions and apply them consistently across the country. In decentralised systems, power is shared with regional or provincial authorities, which allows policies to be tailored to local needs but can also lead to fragmented responses and uneven results (Smith et al., 2022; OECD, 2021). Understanding these structural differences is essential when analysing how each country managed the uncertainty of COVID-19.</w:t>
      </w:r>
    </w:p>
    <w:p w14:paraId="0BC984CF" w14:textId="5A916925" w:rsidR="00343ECA" w:rsidRPr="00B257AD" w:rsidRDefault="00343ECA" w:rsidP="00B257AD">
      <w:pPr>
        <w:spacing w:line="360" w:lineRule="auto"/>
        <w:rPr>
          <w:rFonts w:ascii="Arial" w:hAnsi="Arial" w:cs="Arial"/>
        </w:rPr>
      </w:pPr>
      <w:r w:rsidRPr="00B257AD">
        <w:rPr>
          <w:rFonts w:ascii="Arial" w:hAnsi="Arial" w:cs="Arial"/>
        </w:rPr>
        <w:t>Leadership also plays a crucial role in crisis response. Effective crisis leadership requires clear communication, adaptability, empathy, and the ability to coordinate across multiple institutions (Heifetz et al., 2009; Dubrin, 2022). This report</w:t>
      </w:r>
      <w:r w:rsidR="00E00D99">
        <w:rPr>
          <w:rFonts w:ascii="Arial" w:hAnsi="Arial" w:cs="Arial"/>
        </w:rPr>
        <w:t>,</w:t>
      </w:r>
      <w:r w:rsidRPr="00B257AD">
        <w:rPr>
          <w:rFonts w:ascii="Arial" w:hAnsi="Arial" w:cs="Arial"/>
        </w:rPr>
        <w:t xml:space="preserve"> therefore</w:t>
      </w:r>
      <w:r w:rsidR="00E00D99">
        <w:rPr>
          <w:rFonts w:ascii="Arial" w:hAnsi="Arial" w:cs="Arial"/>
        </w:rPr>
        <w:t>,</w:t>
      </w:r>
      <w:r w:rsidRPr="00B257AD">
        <w:rPr>
          <w:rFonts w:ascii="Arial" w:hAnsi="Arial" w:cs="Arial"/>
        </w:rPr>
        <w:t xml:space="preserve"> examines the</w:t>
      </w:r>
      <w:r w:rsidR="008B2DE8">
        <w:rPr>
          <w:rFonts w:ascii="Arial" w:hAnsi="Arial" w:cs="Arial"/>
        </w:rPr>
        <w:t xml:space="preserve"> </w:t>
      </w:r>
      <w:r w:rsidRPr="00B257AD">
        <w:rPr>
          <w:rFonts w:ascii="Arial" w:hAnsi="Arial" w:cs="Arial"/>
        </w:rPr>
        <w:t>leadership approaches of three key figures:</w:t>
      </w:r>
    </w:p>
    <w:p w14:paraId="7B4FF727" w14:textId="5FFA218A" w:rsidR="00343ECA" w:rsidRPr="008B2DE8" w:rsidRDefault="00343ECA" w:rsidP="00B257AD">
      <w:pPr>
        <w:spacing w:line="360" w:lineRule="auto"/>
        <w:rPr>
          <w:rFonts w:ascii="Arial" w:hAnsi="Arial" w:cs="Arial"/>
          <w:b/>
          <w:bCs/>
        </w:rPr>
      </w:pPr>
      <w:r w:rsidRPr="008B2DE8">
        <w:rPr>
          <w:rFonts w:ascii="Arial" w:hAnsi="Arial" w:cs="Arial"/>
          <w:b/>
          <w:bCs/>
        </w:rPr>
        <w:t>Salvador Illa, Spain’s Minister of Health,</w:t>
      </w:r>
    </w:p>
    <w:p w14:paraId="6246E853" w14:textId="2A8D6E8C" w:rsidR="00343ECA" w:rsidRPr="008B2DE8" w:rsidRDefault="00343ECA" w:rsidP="00B257AD">
      <w:pPr>
        <w:spacing w:line="360" w:lineRule="auto"/>
        <w:rPr>
          <w:rFonts w:ascii="Arial" w:hAnsi="Arial" w:cs="Arial"/>
          <w:b/>
          <w:bCs/>
        </w:rPr>
      </w:pPr>
      <w:r w:rsidRPr="008B2DE8">
        <w:rPr>
          <w:rFonts w:ascii="Arial" w:hAnsi="Arial" w:cs="Arial"/>
          <w:b/>
          <w:bCs/>
        </w:rPr>
        <w:t>Chung Sye-kyun, Prime Minister of South Korea, and</w:t>
      </w:r>
    </w:p>
    <w:p w14:paraId="51A2129F" w14:textId="3F629F24" w:rsidR="00343ECA" w:rsidRPr="008B2DE8" w:rsidRDefault="00343ECA" w:rsidP="00B257AD">
      <w:pPr>
        <w:spacing w:line="360" w:lineRule="auto"/>
        <w:rPr>
          <w:rFonts w:ascii="Arial" w:hAnsi="Arial" w:cs="Arial"/>
          <w:b/>
          <w:bCs/>
        </w:rPr>
      </w:pPr>
      <w:r w:rsidRPr="008B2DE8">
        <w:rPr>
          <w:rFonts w:ascii="Arial" w:hAnsi="Arial" w:cs="Arial"/>
          <w:b/>
          <w:bCs/>
        </w:rPr>
        <w:t>Justin Trudeau, Prime Minister of Canada.</w:t>
      </w:r>
    </w:p>
    <w:p w14:paraId="195821F8" w14:textId="7A673BB2" w:rsidR="00343ECA" w:rsidRPr="00B257AD" w:rsidRDefault="00343ECA" w:rsidP="00B257AD">
      <w:pPr>
        <w:spacing w:line="360" w:lineRule="auto"/>
        <w:rPr>
          <w:rFonts w:ascii="Arial" w:hAnsi="Arial" w:cs="Arial"/>
        </w:rPr>
      </w:pPr>
      <w:r w:rsidRPr="00B257AD">
        <w:rPr>
          <w:rFonts w:ascii="Arial" w:hAnsi="Arial" w:cs="Arial"/>
        </w:rPr>
        <w:t>Although each leader worked within a different political context, their communication styles, decision-making approaches, and levels of transparency had a major impact on public trust and policy implementation.</w:t>
      </w:r>
    </w:p>
    <w:p w14:paraId="7BA7E1A9" w14:textId="0B58EE4B" w:rsidR="00343ECA" w:rsidRPr="00B257AD" w:rsidRDefault="00343ECA" w:rsidP="00B257AD">
      <w:pPr>
        <w:spacing w:line="360" w:lineRule="auto"/>
        <w:rPr>
          <w:rFonts w:ascii="Arial" w:hAnsi="Arial" w:cs="Arial"/>
        </w:rPr>
      </w:pPr>
      <w:r w:rsidRPr="00B257AD">
        <w:rPr>
          <w:rFonts w:ascii="Arial" w:hAnsi="Arial" w:cs="Arial"/>
        </w:rPr>
        <w:t>The report is organised into parts</w:t>
      </w:r>
      <w:r w:rsidR="009165AB">
        <w:rPr>
          <w:rFonts w:ascii="Arial" w:hAnsi="Arial" w:cs="Arial"/>
        </w:rPr>
        <w:t>. First</w:t>
      </w:r>
      <w:r w:rsidRPr="00B257AD">
        <w:rPr>
          <w:rFonts w:ascii="Arial" w:hAnsi="Arial" w:cs="Arial"/>
        </w:rPr>
        <w:t>, it provides an overview of leadership theories that will be used to analyse the three leaders. It then examines each country’s healthcare system and COVID-19 response, followed by a detailed evaluation of each leader’s behaviour through the lens of transformational, transactional, adaptive, and collaborative leadership theories. Finally, the report compares the three countries to highlight lessons for future public health emergencies.</w:t>
      </w:r>
    </w:p>
    <w:p w14:paraId="3F80812F" w14:textId="3385823B" w:rsidR="00C864A7" w:rsidRPr="00B257AD" w:rsidRDefault="00343ECA" w:rsidP="00B257AD">
      <w:pPr>
        <w:spacing w:line="360" w:lineRule="auto"/>
        <w:rPr>
          <w:rFonts w:ascii="Arial" w:hAnsi="Arial" w:cs="Arial"/>
        </w:rPr>
      </w:pPr>
      <w:r w:rsidRPr="00B257AD">
        <w:rPr>
          <w:rFonts w:ascii="Arial" w:hAnsi="Arial" w:cs="Arial"/>
        </w:rPr>
        <w:t xml:space="preserve">Overall, this report argues that the combination of strong governance structures and effective leadership behaviours is essential for a resilient pandemic response. Countries that </w:t>
      </w:r>
      <w:r w:rsidR="00AF122E">
        <w:rPr>
          <w:rFonts w:ascii="Arial" w:hAnsi="Arial" w:cs="Arial"/>
        </w:rPr>
        <w:t xml:space="preserve">acted quickly, communicated openly, and coordinated across </w:t>
      </w:r>
      <w:r w:rsidR="00FE20BC" w:rsidRPr="00B257AD">
        <w:rPr>
          <w:rFonts w:ascii="Arial" w:hAnsi="Arial" w:cs="Arial"/>
        </w:rPr>
        <w:t>levels</w:t>
      </w:r>
      <w:r w:rsidRPr="00B257AD">
        <w:rPr>
          <w:rFonts w:ascii="Arial" w:hAnsi="Arial" w:cs="Arial"/>
        </w:rPr>
        <w:t xml:space="preserve"> of government were </w:t>
      </w:r>
      <w:r w:rsidR="00053557" w:rsidRPr="00B257AD">
        <w:rPr>
          <w:rFonts w:ascii="Arial" w:hAnsi="Arial" w:cs="Arial"/>
        </w:rPr>
        <w:t>more</w:t>
      </w:r>
      <w:r w:rsidRPr="00B257AD">
        <w:rPr>
          <w:rFonts w:ascii="Arial" w:hAnsi="Arial" w:cs="Arial"/>
        </w:rPr>
        <w:t xml:space="preserve"> successful in protecting their populations and maintaining public trust.</w:t>
      </w:r>
    </w:p>
    <w:p w14:paraId="7EA73C0C" w14:textId="77777777" w:rsidR="00343ECA" w:rsidRPr="00B257AD" w:rsidRDefault="00343ECA" w:rsidP="00B257AD">
      <w:pPr>
        <w:spacing w:line="360" w:lineRule="auto"/>
        <w:rPr>
          <w:rFonts w:ascii="Arial" w:hAnsi="Arial" w:cs="Arial"/>
        </w:rPr>
      </w:pPr>
    </w:p>
    <w:p w14:paraId="18A7C939" w14:textId="366C4FCE" w:rsidR="00DA5C12" w:rsidRPr="003A5D93" w:rsidRDefault="00DA5C12" w:rsidP="003A5D93">
      <w:pPr>
        <w:pStyle w:val="Heading1"/>
        <w:rPr>
          <w:rFonts w:ascii="Arial" w:hAnsi="Arial" w:cs="Arial"/>
          <w:b/>
          <w:bCs/>
          <w:color w:val="auto"/>
          <w:sz w:val="32"/>
          <w:szCs w:val="32"/>
        </w:rPr>
      </w:pPr>
      <w:bookmarkStart w:id="2" w:name="_Toc216182382"/>
      <w:r w:rsidRPr="003A5D93">
        <w:rPr>
          <w:rFonts w:ascii="Arial" w:hAnsi="Arial" w:cs="Arial"/>
          <w:b/>
          <w:bCs/>
          <w:color w:val="auto"/>
          <w:sz w:val="32"/>
          <w:szCs w:val="32"/>
        </w:rPr>
        <w:t>Leadership Theories Used in This Report</w:t>
      </w:r>
      <w:bookmarkEnd w:id="2"/>
      <w:r w:rsidRPr="003A5D93">
        <w:rPr>
          <w:rFonts w:ascii="Arial" w:hAnsi="Arial" w:cs="Arial"/>
          <w:b/>
          <w:bCs/>
          <w:color w:val="auto"/>
          <w:sz w:val="32"/>
          <w:szCs w:val="32"/>
        </w:rPr>
        <w:t xml:space="preserve"> </w:t>
      </w:r>
    </w:p>
    <w:p w14:paraId="4CE47F71" w14:textId="53763444" w:rsidR="00DA5C12" w:rsidRPr="00B257AD" w:rsidRDefault="00DA5C12" w:rsidP="00B257AD">
      <w:pPr>
        <w:spacing w:line="360" w:lineRule="auto"/>
        <w:rPr>
          <w:rFonts w:ascii="Arial" w:hAnsi="Arial" w:cs="Arial"/>
        </w:rPr>
      </w:pPr>
      <w:r w:rsidRPr="00B257AD">
        <w:rPr>
          <w:rFonts w:ascii="Arial" w:hAnsi="Arial" w:cs="Arial"/>
        </w:rPr>
        <w:t xml:space="preserve">Understanding how political leaders acted during the COVID-19 pandemic requires a clear explanation of the leadership theories used in this report. Leadership during a crisis is </w:t>
      </w:r>
      <w:r w:rsidR="00FE20BC" w:rsidRPr="00B257AD">
        <w:rPr>
          <w:rFonts w:ascii="Arial" w:hAnsi="Arial" w:cs="Arial"/>
        </w:rPr>
        <w:t>quite different</w:t>
      </w:r>
      <w:r w:rsidRPr="00B257AD">
        <w:rPr>
          <w:rFonts w:ascii="Arial" w:hAnsi="Arial" w:cs="Arial"/>
        </w:rPr>
        <w:t xml:space="preserve"> from everyday leadership because decisions must be made quickly, information is </w:t>
      </w:r>
      <w:r w:rsidRPr="00B257AD">
        <w:rPr>
          <w:rFonts w:ascii="Arial" w:hAnsi="Arial" w:cs="Arial"/>
        </w:rPr>
        <w:lastRenderedPageBreak/>
        <w:t>constantly changing, and public fear and uncertainty are high. The following theories—transformational, transactional, adaptive, and collaborative leadership—provide a framework for understanding the behaviours of Salvador Illa, Chung Sye-kyun, and Justin Trudeau.</w:t>
      </w:r>
    </w:p>
    <w:p w14:paraId="33935339" w14:textId="019918FE" w:rsidR="00DA5C12" w:rsidRPr="003A5D93" w:rsidRDefault="00DA5C12" w:rsidP="003A5D93">
      <w:pPr>
        <w:pStyle w:val="Heading2"/>
        <w:rPr>
          <w:rFonts w:ascii="Arial" w:hAnsi="Arial" w:cs="Arial"/>
          <w:b/>
          <w:bCs/>
          <w:color w:val="auto"/>
          <w:sz w:val="28"/>
          <w:szCs w:val="28"/>
        </w:rPr>
      </w:pPr>
      <w:bookmarkStart w:id="3" w:name="_Toc216182383"/>
      <w:r w:rsidRPr="003A5D93">
        <w:rPr>
          <w:rFonts w:ascii="Arial" w:hAnsi="Arial" w:cs="Arial"/>
          <w:b/>
          <w:bCs/>
          <w:color w:val="auto"/>
          <w:sz w:val="28"/>
          <w:szCs w:val="28"/>
        </w:rPr>
        <w:t>Transformational Leadership</w:t>
      </w:r>
      <w:bookmarkEnd w:id="3"/>
    </w:p>
    <w:p w14:paraId="35EC900B" w14:textId="18F81F4F" w:rsidR="00DA5C12" w:rsidRPr="00B257AD" w:rsidRDefault="00DA5C12" w:rsidP="00B257AD">
      <w:pPr>
        <w:spacing w:line="360" w:lineRule="auto"/>
        <w:rPr>
          <w:rFonts w:ascii="Arial" w:hAnsi="Arial" w:cs="Arial"/>
        </w:rPr>
      </w:pPr>
      <w:r w:rsidRPr="00B257AD">
        <w:rPr>
          <w:rFonts w:ascii="Arial" w:hAnsi="Arial" w:cs="Arial"/>
        </w:rPr>
        <w:t xml:space="preserve">Transformational leadership focuses on inspiring and motivating people, especially during challenging times. According to Bass and Riggio (2006), transformational leaders try to build trust, communicate </w:t>
      </w:r>
      <w:r w:rsidR="00FE20BC" w:rsidRPr="00B257AD">
        <w:rPr>
          <w:rFonts w:ascii="Arial" w:hAnsi="Arial" w:cs="Arial"/>
        </w:rPr>
        <w:t>an unobstructed vision</w:t>
      </w:r>
      <w:r w:rsidRPr="00B257AD">
        <w:rPr>
          <w:rFonts w:ascii="Arial" w:hAnsi="Arial" w:cs="Arial"/>
        </w:rPr>
        <w:t>, and appeal to shared values. They also aim to encourage people to act not just because they are told to, but because they believe in the purpose of the action.</w:t>
      </w:r>
    </w:p>
    <w:p w14:paraId="0B182181" w14:textId="7F32E433" w:rsidR="00DA5C12" w:rsidRPr="00B257AD" w:rsidRDefault="00DA5C12" w:rsidP="00B257AD">
      <w:pPr>
        <w:spacing w:line="360" w:lineRule="auto"/>
        <w:rPr>
          <w:rFonts w:ascii="Arial" w:hAnsi="Arial" w:cs="Arial"/>
        </w:rPr>
      </w:pPr>
      <w:r w:rsidRPr="00B257AD">
        <w:rPr>
          <w:rFonts w:ascii="Arial" w:hAnsi="Arial" w:cs="Arial"/>
        </w:rPr>
        <w:t>During a crisis such as COVID-19, transformational leadership can be extremely valuable. People look to leaders for reassurance, honesty, and direction. Clear communication and unity-building messages help reduce fear and increase public cooperation with health measures. In this report, transformational leadership is especially relevant when analysing Justin Trudeau’s daily public briefings and Chung Sye-kyun’s transparent communication style. It is also useful for understanding how Salvador Illa attempted to rebuild trust after Spain struggled during the first wave.</w:t>
      </w:r>
    </w:p>
    <w:p w14:paraId="37256D9A" w14:textId="77777777" w:rsidR="00A476F7" w:rsidRPr="003A5D93" w:rsidRDefault="00DA5C12" w:rsidP="003A5D93">
      <w:pPr>
        <w:pStyle w:val="Heading2"/>
        <w:rPr>
          <w:rFonts w:ascii="Arial" w:hAnsi="Arial" w:cs="Arial"/>
          <w:b/>
          <w:bCs/>
          <w:color w:val="auto"/>
          <w:sz w:val="28"/>
          <w:szCs w:val="28"/>
        </w:rPr>
      </w:pPr>
      <w:bookmarkStart w:id="4" w:name="_Toc216182384"/>
      <w:r w:rsidRPr="003A5D93">
        <w:rPr>
          <w:rFonts w:ascii="Arial" w:hAnsi="Arial" w:cs="Arial"/>
          <w:b/>
          <w:bCs/>
          <w:color w:val="auto"/>
          <w:sz w:val="28"/>
          <w:szCs w:val="28"/>
        </w:rPr>
        <w:t>Transactional Leadership</w:t>
      </w:r>
      <w:bookmarkEnd w:id="4"/>
    </w:p>
    <w:p w14:paraId="2E4B698F" w14:textId="043319E7" w:rsidR="00DA5C12" w:rsidRPr="00B2661D" w:rsidRDefault="00DA5C12" w:rsidP="00B257AD">
      <w:pPr>
        <w:spacing w:line="360" w:lineRule="auto"/>
        <w:rPr>
          <w:rFonts w:ascii="Arial" w:hAnsi="Arial" w:cs="Arial"/>
          <w:b/>
          <w:bCs/>
        </w:rPr>
      </w:pPr>
      <w:r w:rsidRPr="00B257AD">
        <w:rPr>
          <w:rFonts w:ascii="Arial" w:hAnsi="Arial" w:cs="Arial"/>
        </w:rPr>
        <w:t xml:space="preserve">Transactional leadership is </w:t>
      </w:r>
      <w:r w:rsidR="00053557" w:rsidRPr="00B257AD">
        <w:rPr>
          <w:rFonts w:ascii="Arial" w:hAnsi="Arial" w:cs="Arial"/>
        </w:rPr>
        <w:t>the</w:t>
      </w:r>
      <w:r w:rsidRPr="00B257AD">
        <w:rPr>
          <w:rFonts w:ascii="Arial" w:hAnsi="Arial" w:cs="Arial"/>
        </w:rPr>
        <w:t xml:space="preserve"> opposite of transformational leadership. It emphasises rules, authority, monitoring, and accountability (Dubrin, 2022). Transactional leaders typically rely on clear instructions, enforcement mechanisms, and consequences for non-compliance.</w:t>
      </w:r>
    </w:p>
    <w:p w14:paraId="68CC7F99" w14:textId="6A2DBC37" w:rsidR="00DA5C12" w:rsidRPr="00B257AD" w:rsidRDefault="00DA5C12" w:rsidP="00B257AD">
      <w:pPr>
        <w:spacing w:line="360" w:lineRule="auto"/>
        <w:rPr>
          <w:rFonts w:ascii="Arial" w:hAnsi="Arial" w:cs="Arial"/>
        </w:rPr>
      </w:pPr>
      <w:r w:rsidRPr="00B257AD">
        <w:rPr>
          <w:rFonts w:ascii="Arial" w:hAnsi="Arial" w:cs="Arial"/>
        </w:rPr>
        <w:t>This style becomes visible in public health when governments impose lockdowns, enforce testing or quarantine rules, or introduce legal restrictions. Transactional leadership is not necessarily negative; during emergencies, strict rules may be necessary to keep people safe. In Spain, for example, the national government under Salvador Illa temporarily centralised power and issued nationwide restrictions during the first wave. This shift reflects transactional leadership because it relied on clear national mandates and legal authority rather than persuasion.</w:t>
      </w:r>
    </w:p>
    <w:p w14:paraId="0847FA16" w14:textId="77777777" w:rsidR="00DA5C12" w:rsidRPr="003A5D93" w:rsidRDefault="00DA5C12" w:rsidP="003A5D93">
      <w:pPr>
        <w:pStyle w:val="Heading2"/>
        <w:rPr>
          <w:rFonts w:ascii="Arial" w:hAnsi="Arial" w:cs="Arial"/>
          <w:b/>
          <w:bCs/>
          <w:color w:val="auto"/>
          <w:sz w:val="28"/>
          <w:szCs w:val="28"/>
        </w:rPr>
      </w:pPr>
      <w:bookmarkStart w:id="5" w:name="_Toc216182385"/>
      <w:r w:rsidRPr="003A5D93">
        <w:rPr>
          <w:rFonts w:ascii="Arial" w:hAnsi="Arial" w:cs="Arial"/>
          <w:b/>
          <w:bCs/>
          <w:color w:val="auto"/>
          <w:sz w:val="28"/>
          <w:szCs w:val="28"/>
        </w:rPr>
        <w:t>Adaptive Leadership</w:t>
      </w:r>
      <w:bookmarkEnd w:id="5"/>
    </w:p>
    <w:p w14:paraId="270AAA17" w14:textId="400B391C" w:rsidR="00DA5C12" w:rsidRPr="00B257AD" w:rsidRDefault="00DA5C12" w:rsidP="00B257AD">
      <w:pPr>
        <w:spacing w:line="360" w:lineRule="auto"/>
        <w:rPr>
          <w:rFonts w:ascii="Arial" w:hAnsi="Arial" w:cs="Arial"/>
        </w:rPr>
      </w:pPr>
      <w:r w:rsidRPr="00B257AD">
        <w:rPr>
          <w:rFonts w:ascii="Arial" w:hAnsi="Arial" w:cs="Arial"/>
        </w:rPr>
        <w:t xml:space="preserve">Adaptive leadership, described by Heifetz, Grashow, and Linsky (2009), is about navigating uncertainty and adjusting strategies as situations evolve. Instead of relying only on fixed plans, adaptive leaders respond to </w:t>
      </w:r>
      <w:r w:rsidR="00E00D99" w:rsidRPr="00B257AD">
        <w:rPr>
          <w:rFonts w:ascii="Arial" w:hAnsi="Arial" w:cs="Arial"/>
        </w:rPr>
        <w:t>current information</w:t>
      </w:r>
      <w:r w:rsidRPr="00B257AD">
        <w:rPr>
          <w:rFonts w:ascii="Arial" w:hAnsi="Arial" w:cs="Arial"/>
        </w:rPr>
        <w:t>, listen to experts, and make changes when needed. They recognise that crises like pandemics require experimentation and continuous learning.</w:t>
      </w:r>
    </w:p>
    <w:p w14:paraId="34FECA4F" w14:textId="2B1F68D3" w:rsidR="00DA5C12" w:rsidRPr="00B257AD" w:rsidRDefault="00DA5C12" w:rsidP="00B257AD">
      <w:pPr>
        <w:spacing w:line="360" w:lineRule="auto"/>
        <w:rPr>
          <w:rFonts w:ascii="Arial" w:hAnsi="Arial" w:cs="Arial"/>
        </w:rPr>
      </w:pPr>
      <w:r w:rsidRPr="00B257AD">
        <w:rPr>
          <w:rFonts w:ascii="Arial" w:hAnsi="Arial" w:cs="Arial"/>
        </w:rPr>
        <w:lastRenderedPageBreak/>
        <w:t>COVID-19 required adaptive leadership because no country had a perfect plan, and scientific knowledge evolved quickly. Leaders had to decide when to tighten or relax measures, how to respond to new variants, and how to correct earlier mistakes.</w:t>
      </w:r>
    </w:p>
    <w:p w14:paraId="06463967" w14:textId="133298CD" w:rsidR="00DA5C12" w:rsidRPr="00B257AD" w:rsidRDefault="00DA5C12" w:rsidP="00B257AD">
      <w:pPr>
        <w:spacing w:line="360" w:lineRule="auto"/>
        <w:rPr>
          <w:rFonts w:ascii="Arial" w:hAnsi="Arial" w:cs="Arial"/>
        </w:rPr>
      </w:pPr>
      <w:r w:rsidRPr="00B257AD">
        <w:rPr>
          <w:rFonts w:ascii="Arial" w:hAnsi="Arial" w:cs="Arial"/>
        </w:rPr>
        <w:t>In this report, adaptive leadership helps explain Chung Sye-kyun’s approach in South Korea, where policies were constantly adjusted based on real-time data. It is also useful for interpreting Trudeau’s changes to border rules, economic support programmes, and vaccine strategies as the situation evolved. Even in Spain, the decision to shift from decentralisation to emergency centralisation demonstrates an adaptive response after initial difficulties.</w:t>
      </w:r>
    </w:p>
    <w:p w14:paraId="6AE81DAD" w14:textId="1D8BBF12" w:rsidR="00DA5C12" w:rsidRPr="003A5D93" w:rsidRDefault="00DA5C12" w:rsidP="003A5D93">
      <w:pPr>
        <w:pStyle w:val="Heading2"/>
        <w:rPr>
          <w:rFonts w:ascii="Arial" w:hAnsi="Arial" w:cs="Arial"/>
          <w:b/>
          <w:bCs/>
          <w:color w:val="auto"/>
          <w:sz w:val="28"/>
          <w:szCs w:val="28"/>
        </w:rPr>
      </w:pPr>
      <w:bookmarkStart w:id="6" w:name="_Toc216182386"/>
      <w:r w:rsidRPr="003A5D93">
        <w:rPr>
          <w:rFonts w:ascii="Arial" w:hAnsi="Arial" w:cs="Arial"/>
          <w:b/>
          <w:bCs/>
          <w:color w:val="auto"/>
          <w:sz w:val="28"/>
          <w:szCs w:val="28"/>
        </w:rPr>
        <w:t>Collaborative Leadership</w:t>
      </w:r>
      <w:bookmarkEnd w:id="6"/>
    </w:p>
    <w:p w14:paraId="2CAA4945" w14:textId="6AB9533D" w:rsidR="00DA5C12" w:rsidRPr="00B257AD" w:rsidRDefault="00DA5C12" w:rsidP="00B257AD">
      <w:pPr>
        <w:spacing w:line="360" w:lineRule="auto"/>
        <w:rPr>
          <w:rFonts w:ascii="Arial" w:hAnsi="Arial" w:cs="Arial"/>
        </w:rPr>
      </w:pPr>
      <w:r w:rsidRPr="00B257AD">
        <w:rPr>
          <w:rFonts w:ascii="Arial" w:hAnsi="Arial" w:cs="Arial"/>
        </w:rPr>
        <w:t>Collaborative leadership emphasises cooperation, shared decision-making, and coordination across multiple agencies or governments. Ansell and colleagues (2020) explain that collaborative leadership works best in complex situations where no single actor has all the power or knowledge required to solve a problem. During a pandemic, governments must work with hospitals, scientific institutions, regional authorities, and the public. This requires open communication, trust, and willingness to coordinate.</w:t>
      </w:r>
    </w:p>
    <w:p w14:paraId="20DC1EEB" w14:textId="0F903428" w:rsidR="00DA5C12" w:rsidRPr="00B257AD" w:rsidRDefault="00DA5C12" w:rsidP="00B257AD">
      <w:pPr>
        <w:spacing w:line="360" w:lineRule="auto"/>
        <w:rPr>
          <w:rFonts w:ascii="Arial" w:hAnsi="Arial" w:cs="Arial"/>
        </w:rPr>
      </w:pPr>
      <w:r w:rsidRPr="00B257AD">
        <w:rPr>
          <w:rFonts w:ascii="Arial" w:hAnsi="Arial" w:cs="Arial"/>
        </w:rPr>
        <w:t>This theory is especially relevant in countries with decentralised systems, like Canada and Spain. Justin Trudeau relied heavily on collaboration because he did not have the authority to impose national public health measures. Instead, he had to negotiate and coordinate with provincial leaders. In Spain, collaboration between the central and regional governments was essential once the first lockdown ended and decentralisation resumed, although tensions remained high. South Korea also offers an example of collaborative leadership, where national and local authorities worked closely with public health agencies to keep the virus under control.</w:t>
      </w:r>
    </w:p>
    <w:p w14:paraId="4A563A7A" w14:textId="6B27CFE8" w:rsidR="00DA5C12" w:rsidRPr="00221C07" w:rsidRDefault="00DA5C12" w:rsidP="00221C07">
      <w:pPr>
        <w:rPr>
          <w:rFonts w:ascii="Arial" w:hAnsi="Arial" w:cs="Arial"/>
          <w:b/>
          <w:bCs/>
        </w:rPr>
      </w:pPr>
      <w:r w:rsidRPr="00221C07">
        <w:rPr>
          <w:rFonts w:ascii="Arial" w:hAnsi="Arial" w:cs="Arial"/>
          <w:b/>
          <w:bCs/>
        </w:rPr>
        <w:t>Why These Theories Matter in a Crisis</w:t>
      </w:r>
    </w:p>
    <w:p w14:paraId="3A2DEB2E" w14:textId="639E904F" w:rsidR="00131B72" w:rsidRPr="00B257AD" w:rsidRDefault="00DA5C12" w:rsidP="00B257AD">
      <w:pPr>
        <w:spacing w:line="360" w:lineRule="auto"/>
        <w:rPr>
          <w:rFonts w:ascii="Arial" w:hAnsi="Arial" w:cs="Arial"/>
        </w:rPr>
      </w:pPr>
      <w:r w:rsidRPr="00B257AD">
        <w:rPr>
          <w:rFonts w:ascii="Arial" w:hAnsi="Arial" w:cs="Arial"/>
        </w:rPr>
        <w:t>COVID-19 showed that no single leadership style is perfect. Effective crisis leaders often combine styles depending on the situation. For example, a leader might use transformational leadership to motivate the public, adaptive leadership to adjust policies, and transactional leadership to enforce restrictions. The balance between these styles can determine how well a country manages uncertainty, gains public cooperation, and coordinates its institutions.</w:t>
      </w:r>
    </w:p>
    <w:p w14:paraId="24E58B67" w14:textId="6771A867" w:rsidR="00343ECA" w:rsidRPr="00B257AD" w:rsidRDefault="00DA5C12" w:rsidP="00B257AD">
      <w:pPr>
        <w:spacing w:line="360" w:lineRule="auto"/>
        <w:rPr>
          <w:rFonts w:ascii="Arial" w:hAnsi="Arial" w:cs="Arial"/>
        </w:rPr>
      </w:pPr>
      <w:r w:rsidRPr="00B257AD">
        <w:rPr>
          <w:rFonts w:ascii="Arial" w:hAnsi="Arial" w:cs="Arial"/>
        </w:rPr>
        <w:t>By using the same theoretical framework across all three leaders, it becomes possible to compare their strengths, weaknesses, communication strategies, and decision-making. This also helps highlight how different governance structures</w:t>
      </w:r>
      <w:r w:rsidR="00060318">
        <w:rPr>
          <w:rFonts w:ascii="Arial" w:hAnsi="Arial" w:cs="Arial"/>
        </w:rPr>
        <w:t xml:space="preserve">, </w:t>
      </w:r>
      <w:r w:rsidRPr="00B257AD">
        <w:rPr>
          <w:rFonts w:ascii="Arial" w:hAnsi="Arial" w:cs="Arial"/>
        </w:rPr>
        <w:t>centralised vs. decentralised systems</w:t>
      </w:r>
      <w:r w:rsidR="00060318">
        <w:rPr>
          <w:rFonts w:ascii="Arial" w:hAnsi="Arial" w:cs="Arial"/>
        </w:rPr>
        <w:t xml:space="preserve">, </w:t>
      </w:r>
      <w:r w:rsidRPr="00B257AD">
        <w:rPr>
          <w:rFonts w:ascii="Arial" w:hAnsi="Arial" w:cs="Arial"/>
        </w:rPr>
        <w:t xml:space="preserve">shape what leaders </w:t>
      </w:r>
      <w:r w:rsidR="00053557" w:rsidRPr="00B257AD">
        <w:rPr>
          <w:rFonts w:ascii="Arial" w:hAnsi="Arial" w:cs="Arial"/>
        </w:rPr>
        <w:t>can</w:t>
      </w:r>
      <w:r w:rsidRPr="00B257AD">
        <w:rPr>
          <w:rFonts w:ascii="Arial" w:hAnsi="Arial" w:cs="Arial"/>
        </w:rPr>
        <w:t xml:space="preserve"> do during a crisis.</w:t>
      </w:r>
    </w:p>
    <w:p w14:paraId="10CF9238" w14:textId="4F61541C" w:rsidR="002B03B6" w:rsidRPr="003D72AD" w:rsidRDefault="002B03B6" w:rsidP="003D72AD">
      <w:pPr>
        <w:pStyle w:val="Heading1"/>
        <w:rPr>
          <w:rFonts w:ascii="Arial" w:hAnsi="Arial" w:cs="Arial"/>
          <w:b/>
          <w:bCs/>
          <w:color w:val="auto"/>
          <w:sz w:val="28"/>
          <w:szCs w:val="28"/>
        </w:rPr>
      </w:pPr>
      <w:bookmarkStart w:id="7" w:name="_Toc216182387"/>
      <w:r w:rsidRPr="003D72AD">
        <w:rPr>
          <w:rFonts w:ascii="Arial" w:hAnsi="Arial" w:cs="Arial"/>
          <w:b/>
          <w:bCs/>
          <w:color w:val="auto"/>
          <w:sz w:val="28"/>
          <w:szCs w:val="28"/>
        </w:rPr>
        <w:lastRenderedPageBreak/>
        <w:t>Spain’s Healthcare System and COVID-19 Response</w:t>
      </w:r>
      <w:bookmarkEnd w:id="7"/>
      <w:r w:rsidRPr="003D72AD">
        <w:rPr>
          <w:rFonts w:ascii="Arial" w:hAnsi="Arial" w:cs="Arial"/>
          <w:b/>
          <w:bCs/>
          <w:color w:val="auto"/>
          <w:sz w:val="28"/>
          <w:szCs w:val="28"/>
        </w:rPr>
        <w:t xml:space="preserve"> </w:t>
      </w:r>
    </w:p>
    <w:p w14:paraId="06293215" w14:textId="77777777" w:rsidR="002B03B6" w:rsidRPr="002B03B6" w:rsidRDefault="002B03B6" w:rsidP="00B257AD">
      <w:pPr>
        <w:spacing w:line="360" w:lineRule="auto"/>
        <w:rPr>
          <w:rFonts w:ascii="Arial" w:hAnsi="Arial" w:cs="Arial"/>
        </w:rPr>
      </w:pPr>
      <w:r w:rsidRPr="002B03B6">
        <w:rPr>
          <w:rFonts w:ascii="Arial" w:hAnsi="Arial" w:cs="Arial"/>
        </w:rPr>
        <w:t>Spain entered the COVID-19 pandemic with a highly decentralised healthcare system. Its National Health System (Sistema Nacional de Salud, SNS) provides universal coverage, but responsibility for delivering services sits with 17 autonomous communities. In theory, this model allows regions to respond to local needs. In practice, it can create uneven capacity and challenges in national coordination, especially during fast-moving emergencies (OECD, 2021).</w:t>
      </w:r>
    </w:p>
    <w:p w14:paraId="75730AE5" w14:textId="5D47FABC" w:rsidR="002B03B6" w:rsidRPr="002B03B6" w:rsidRDefault="002B03B6" w:rsidP="00B257AD">
      <w:pPr>
        <w:spacing w:line="360" w:lineRule="auto"/>
        <w:rPr>
          <w:rFonts w:ascii="Arial" w:hAnsi="Arial" w:cs="Arial"/>
        </w:rPr>
      </w:pPr>
      <w:r w:rsidRPr="002B03B6">
        <w:rPr>
          <w:rFonts w:ascii="Arial" w:hAnsi="Arial" w:cs="Arial"/>
        </w:rPr>
        <w:t>When the virus arrived in early 2020, Spain quickly became one of the worst-affected countries in Europe. The early spread in Madrid and Catalonia overwhelmed hospitals, and Spain soon reported the continent’s highest infection and mortality rates (ECDC, 2020). Structural weaknesses contributed to this situation: shortages of epidemiological staff, limited surveillance systems, gaps in laboratory capacity, and significant regional variation in hospital resources (García-Basteiro et al., 2020). These issues made early detection and containment extremely difficult.</w:t>
      </w:r>
    </w:p>
    <w:p w14:paraId="5975E708" w14:textId="77777777" w:rsidR="002B03B6" w:rsidRPr="002B03B6" w:rsidRDefault="002B03B6" w:rsidP="00B257AD">
      <w:pPr>
        <w:spacing w:line="360" w:lineRule="auto"/>
        <w:rPr>
          <w:rFonts w:ascii="Arial" w:hAnsi="Arial" w:cs="Arial"/>
        </w:rPr>
      </w:pPr>
      <w:r w:rsidRPr="002B03B6">
        <w:rPr>
          <w:rFonts w:ascii="Arial" w:hAnsi="Arial" w:cs="Arial"/>
        </w:rPr>
        <w:t>The national government initially underestimated the severity of the situation. On 30 January 2020, Minister of Health Salvador Illa stated, “We do not minimise anything… The system is prepared,” yet events soon proved otherwise. Delayed restrictions and fragmented regional data made it hard to understand the real scale of transmission.</w:t>
      </w:r>
    </w:p>
    <w:p w14:paraId="1B2CF0DB" w14:textId="77777777" w:rsidR="002B03B6" w:rsidRPr="002B03B6" w:rsidRDefault="002B03B6" w:rsidP="00B257AD">
      <w:pPr>
        <w:spacing w:line="360" w:lineRule="auto"/>
        <w:rPr>
          <w:rFonts w:ascii="Arial" w:hAnsi="Arial" w:cs="Arial"/>
        </w:rPr>
      </w:pPr>
      <w:r w:rsidRPr="002B03B6">
        <w:rPr>
          <w:rFonts w:ascii="Arial" w:hAnsi="Arial" w:cs="Arial"/>
        </w:rPr>
        <w:t>As cases surged, the government introduced an emergency centralisation strategy. On 14 March 2020, Spain declared a national state of alarm, giving the Ministry of Health the authority to coordinate regional actions, manage resources nationally, and implement strict lockdown measures (IMF, 2021). This shift dramatically changed the country’s trajectory. Spain introduced one of Europe’s strictest lockdowns, and national coordination helped stabilise hospital capacity and reduce transmission.</w:t>
      </w:r>
    </w:p>
    <w:p w14:paraId="2620B7F5" w14:textId="303EDE49" w:rsidR="002B03B6" w:rsidRPr="002B03B6" w:rsidRDefault="002B03B6" w:rsidP="00B257AD">
      <w:pPr>
        <w:spacing w:line="360" w:lineRule="auto"/>
        <w:rPr>
          <w:rFonts w:ascii="Arial" w:hAnsi="Arial" w:cs="Arial"/>
        </w:rPr>
      </w:pPr>
      <w:r w:rsidRPr="002B03B6">
        <w:rPr>
          <w:rFonts w:ascii="Arial" w:hAnsi="Arial" w:cs="Arial"/>
        </w:rPr>
        <w:t>However, centralisation came with political tensions.</w:t>
      </w:r>
      <w:r w:rsidR="009165AB">
        <w:rPr>
          <w:rFonts w:ascii="Arial" w:hAnsi="Arial" w:cs="Arial"/>
        </w:rPr>
        <w:t xml:space="preserve"> R</w:t>
      </w:r>
      <w:r w:rsidRPr="002B03B6">
        <w:rPr>
          <w:rFonts w:ascii="Arial" w:hAnsi="Arial" w:cs="Arial"/>
        </w:rPr>
        <w:t>egions criticised the government for acting too slowly, failing to distribute protective equipment quickly enough, or communicating inconsistently (Peña-Ramos et al., 2021). Because each region used different data systems before the pandemic, information was fragmented, making national situational awareness difficult.</w:t>
      </w:r>
    </w:p>
    <w:p w14:paraId="503E06E6" w14:textId="77777777" w:rsidR="002B03B6" w:rsidRPr="002B03B6" w:rsidRDefault="002B03B6" w:rsidP="00B257AD">
      <w:pPr>
        <w:spacing w:line="360" w:lineRule="auto"/>
        <w:rPr>
          <w:rFonts w:ascii="Arial" w:hAnsi="Arial" w:cs="Arial"/>
        </w:rPr>
      </w:pPr>
      <w:r w:rsidRPr="002B03B6">
        <w:rPr>
          <w:rFonts w:ascii="Arial" w:hAnsi="Arial" w:cs="Arial"/>
        </w:rPr>
        <w:t>Once the first wave passed, Spain returned to a more decentralised approach. Regional governments regained control over testing, contact tracing, and local restrictions. This allowed for flexibility and innovation, but it also produced uneven policies and health outcomes (Legido-Quigley et al., 2020).</w:t>
      </w:r>
    </w:p>
    <w:p w14:paraId="769B77AC" w14:textId="680E8A51" w:rsidR="002B03B6" w:rsidRPr="002B03B6" w:rsidRDefault="002B03B6" w:rsidP="00B257AD">
      <w:pPr>
        <w:spacing w:line="360" w:lineRule="auto"/>
        <w:rPr>
          <w:rFonts w:ascii="Arial" w:hAnsi="Arial" w:cs="Arial"/>
        </w:rPr>
      </w:pPr>
      <w:r w:rsidRPr="002B03B6">
        <w:rPr>
          <w:rFonts w:ascii="Arial" w:hAnsi="Arial" w:cs="Arial"/>
        </w:rPr>
        <w:lastRenderedPageBreak/>
        <w:t xml:space="preserve">Spain’s vaccination campaign provides a contrasting success story. Vaccine procurement, prioritisation, and distribution were centrally planned through the Ministry of Health (Ministerio de Sanidad, 2022). Regions </w:t>
      </w:r>
      <w:r w:rsidR="009165AB" w:rsidRPr="002B03B6">
        <w:rPr>
          <w:rFonts w:ascii="Arial" w:hAnsi="Arial" w:cs="Arial"/>
        </w:rPr>
        <w:t>managed</w:t>
      </w:r>
      <w:r w:rsidRPr="002B03B6">
        <w:rPr>
          <w:rFonts w:ascii="Arial" w:hAnsi="Arial" w:cs="Arial"/>
        </w:rPr>
        <w:t xml:space="preserve"> the delivery, but national coordination ensured consistency, fairness, and clarity. By mid-2021, Spain achieved one of the highest vaccination rates in Europe, earning recognition as a “vaccination champion.”</w:t>
      </w:r>
    </w:p>
    <w:p w14:paraId="454B04AF" w14:textId="4CECCF12" w:rsidR="002B03B6" w:rsidRPr="002B03B6" w:rsidRDefault="002B03B6" w:rsidP="00B257AD">
      <w:pPr>
        <w:spacing w:line="360" w:lineRule="auto"/>
        <w:rPr>
          <w:rFonts w:ascii="Arial" w:hAnsi="Arial" w:cs="Arial"/>
        </w:rPr>
      </w:pPr>
      <w:r w:rsidRPr="002B03B6">
        <w:rPr>
          <w:rFonts w:ascii="Arial" w:hAnsi="Arial" w:cs="Arial"/>
        </w:rPr>
        <w:t xml:space="preserve">Overall, Spain’s experience shows how decentralisation can both help and hinder pandemic response. Decentralisation supports local decision-making, but during a fast-moving crisis, it can delay collective action. Spain demonstrated that temporary emergency centralisation—combined with </w:t>
      </w:r>
      <w:r w:rsidR="00E00D99" w:rsidRPr="002B03B6">
        <w:rPr>
          <w:rFonts w:ascii="Arial" w:hAnsi="Arial" w:cs="Arial"/>
        </w:rPr>
        <w:t>effective communication</w:t>
      </w:r>
      <w:r w:rsidRPr="002B03B6">
        <w:rPr>
          <w:rFonts w:ascii="Arial" w:hAnsi="Arial" w:cs="Arial"/>
        </w:rPr>
        <w:t>, reliable data, and timely leadership—can help reset the system and restore control.</w:t>
      </w:r>
    </w:p>
    <w:p w14:paraId="69FF8982" w14:textId="1AD87207" w:rsidR="002B03B6" w:rsidRPr="002B03B6" w:rsidRDefault="002B03B6" w:rsidP="00B257AD">
      <w:pPr>
        <w:spacing w:line="360" w:lineRule="auto"/>
        <w:rPr>
          <w:rFonts w:ascii="Arial" w:hAnsi="Arial" w:cs="Arial"/>
        </w:rPr>
      </w:pPr>
    </w:p>
    <w:p w14:paraId="0B4B3B90" w14:textId="268E2262" w:rsidR="002B03B6" w:rsidRPr="00E061BA" w:rsidRDefault="002B03B6" w:rsidP="00E061BA">
      <w:pPr>
        <w:pStyle w:val="Heading2"/>
        <w:rPr>
          <w:rFonts w:ascii="Arial" w:hAnsi="Arial" w:cs="Arial"/>
          <w:b/>
          <w:bCs/>
          <w:color w:val="auto"/>
          <w:sz w:val="28"/>
          <w:szCs w:val="28"/>
        </w:rPr>
      </w:pPr>
      <w:r w:rsidRPr="002B03B6">
        <w:rPr>
          <w:sz w:val="22"/>
          <w:szCs w:val="22"/>
        </w:rPr>
        <w:t xml:space="preserve"> </w:t>
      </w:r>
      <w:bookmarkStart w:id="8" w:name="_Toc216182388"/>
      <w:r w:rsidRPr="00E061BA">
        <w:rPr>
          <w:rFonts w:ascii="Arial" w:hAnsi="Arial" w:cs="Arial"/>
          <w:b/>
          <w:bCs/>
          <w:color w:val="auto"/>
          <w:sz w:val="28"/>
          <w:szCs w:val="28"/>
        </w:rPr>
        <w:t>Leadership Styles in Spain: Salvador Illa</w:t>
      </w:r>
      <w:bookmarkEnd w:id="8"/>
      <w:r w:rsidRPr="00E061BA">
        <w:rPr>
          <w:rFonts w:ascii="Arial" w:hAnsi="Arial" w:cs="Arial"/>
          <w:b/>
          <w:bCs/>
          <w:color w:val="auto"/>
          <w:sz w:val="28"/>
          <w:szCs w:val="28"/>
        </w:rPr>
        <w:t xml:space="preserve"> </w:t>
      </w:r>
    </w:p>
    <w:p w14:paraId="6038B60A" w14:textId="2E6D2F80" w:rsidR="002B03B6" w:rsidRPr="002B03B6" w:rsidRDefault="002B03B6" w:rsidP="00B257AD">
      <w:pPr>
        <w:spacing w:line="360" w:lineRule="auto"/>
        <w:rPr>
          <w:rFonts w:ascii="Arial" w:hAnsi="Arial" w:cs="Arial"/>
        </w:rPr>
      </w:pPr>
      <w:r w:rsidRPr="002B03B6">
        <w:rPr>
          <w:rFonts w:ascii="Arial" w:hAnsi="Arial" w:cs="Arial"/>
        </w:rPr>
        <w:t>Salvador Illa played a crucial role during Spain’s COVID-19 response. His leadership journey shifted significantly across the pandemic, reflecting the pressures of Spain’s decentralised health system, political tensions, and the rapid escalation of cases. Analysing Illa through leadership theories helps explain why actions were effective while others were criticised.</w:t>
      </w:r>
    </w:p>
    <w:p w14:paraId="45451092" w14:textId="0B104ABD" w:rsidR="002B03B6" w:rsidRPr="002B03B6" w:rsidRDefault="002B03B6" w:rsidP="00B257AD">
      <w:pPr>
        <w:spacing w:line="360" w:lineRule="auto"/>
        <w:rPr>
          <w:rFonts w:ascii="Arial" w:hAnsi="Arial" w:cs="Arial"/>
        </w:rPr>
      </w:pPr>
      <w:r w:rsidRPr="002B03B6">
        <w:rPr>
          <w:rFonts w:ascii="Arial" w:hAnsi="Arial" w:cs="Arial"/>
          <w:b/>
          <w:bCs/>
        </w:rPr>
        <w:t>Early Phase</w:t>
      </w:r>
      <w:r w:rsidR="00FA628D">
        <w:rPr>
          <w:rFonts w:ascii="Arial" w:hAnsi="Arial" w:cs="Arial"/>
          <w:b/>
          <w:bCs/>
        </w:rPr>
        <w:t xml:space="preserve">: </w:t>
      </w:r>
      <w:r w:rsidRPr="002B03B6">
        <w:rPr>
          <w:rFonts w:ascii="Arial" w:hAnsi="Arial" w:cs="Arial"/>
        </w:rPr>
        <w:t xml:space="preserve">At the start of the pandemic, Illa’s response was widely criticised as slow and overly cautious. His 30 January statement claiming the system was “prepared” suggested a misjudgement of the risk. Research later showed that delays in implementing restrictions contributed to Spain’s severe first wave (García-Basteiro et al., 2020). From a leadership perspective, this reflects weaknesses in </w:t>
      </w:r>
      <w:r w:rsidRPr="00FA628D">
        <w:rPr>
          <w:rFonts w:ascii="Arial" w:hAnsi="Arial" w:cs="Arial"/>
        </w:rPr>
        <w:t>crisis leadership and adaptive leadership</w:t>
      </w:r>
      <w:r w:rsidRPr="002B03B6">
        <w:rPr>
          <w:rFonts w:ascii="Arial" w:hAnsi="Arial" w:cs="Arial"/>
        </w:rPr>
        <w:t xml:space="preserve">, which require anticipating risk, responding quickly, and adjusting strategies as </w:t>
      </w:r>
      <w:r w:rsidR="00E00D99" w:rsidRPr="002B03B6">
        <w:rPr>
          <w:rFonts w:ascii="Arial" w:hAnsi="Arial" w:cs="Arial"/>
        </w:rPr>
        <w:t>current information</w:t>
      </w:r>
      <w:r w:rsidRPr="002B03B6">
        <w:rPr>
          <w:rFonts w:ascii="Arial" w:hAnsi="Arial" w:cs="Arial"/>
        </w:rPr>
        <w:t xml:space="preserve"> emerges (Heifetz et al., 2009).</w:t>
      </w:r>
    </w:p>
    <w:p w14:paraId="6C2745CA" w14:textId="3DAE7F85" w:rsidR="002B03B6" w:rsidRPr="00432B08" w:rsidRDefault="002B03B6" w:rsidP="00B257AD">
      <w:pPr>
        <w:spacing w:line="360" w:lineRule="auto"/>
        <w:rPr>
          <w:rFonts w:ascii="Arial" w:hAnsi="Arial" w:cs="Arial"/>
          <w:b/>
          <w:bCs/>
        </w:rPr>
      </w:pPr>
      <w:r w:rsidRPr="002B03B6">
        <w:rPr>
          <w:rFonts w:ascii="Arial" w:hAnsi="Arial" w:cs="Arial"/>
          <w:b/>
          <w:bCs/>
        </w:rPr>
        <w:t xml:space="preserve">Centralisation Phase: </w:t>
      </w:r>
      <w:r w:rsidRPr="002B03B6">
        <w:rPr>
          <w:rFonts w:ascii="Arial" w:hAnsi="Arial" w:cs="Arial"/>
        </w:rPr>
        <w:t xml:space="preserve">Once the crisis intensified, Illa adopted a more decisive and assertive leadership style. Declaring a national state of alarm and centralising pandemic control were examples of </w:t>
      </w:r>
      <w:r w:rsidRPr="002B03B6">
        <w:rPr>
          <w:rFonts w:ascii="Arial" w:hAnsi="Arial" w:cs="Arial"/>
          <w:b/>
          <w:bCs/>
        </w:rPr>
        <w:t>transactional leadership</w:t>
      </w:r>
      <w:r w:rsidR="00432B08">
        <w:rPr>
          <w:rFonts w:ascii="Arial" w:hAnsi="Arial" w:cs="Arial"/>
        </w:rPr>
        <w:t xml:space="preserve"> </w:t>
      </w:r>
      <w:r w:rsidRPr="002B03B6">
        <w:rPr>
          <w:rFonts w:ascii="Arial" w:hAnsi="Arial" w:cs="Arial"/>
        </w:rPr>
        <w:t>using authority, rules, and national directives to achieve compliance (Dubrin, 2022). This was necessary in a fragmented system where regional disagreements slowed decision-making.</w:t>
      </w:r>
    </w:p>
    <w:p w14:paraId="39AD52D7" w14:textId="77777777" w:rsidR="002B03B6" w:rsidRPr="002B03B6" w:rsidRDefault="002B03B6" w:rsidP="00B257AD">
      <w:pPr>
        <w:spacing w:line="360" w:lineRule="auto"/>
        <w:rPr>
          <w:rFonts w:ascii="Arial" w:hAnsi="Arial" w:cs="Arial"/>
        </w:rPr>
      </w:pPr>
      <w:r w:rsidRPr="002B03B6">
        <w:rPr>
          <w:rFonts w:ascii="Arial" w:hAnsi="Arial" w:cs="Arial"/>
        </w:rPr>
        <w:t xml:space="preserve">At the same time, this shift showed </w:t>
      </w:r>
      <w:r w:rsidRPr="002B03B6">
        <w:rPr>
          <w:rFonts w:ascii="Arial" w:hAnsi="Arial" w:cs="Arial"/>
          <w:b/>
          <w:bCs/>
        </w:rPr>
        <w:t>adaptive leadership</w:t>
      </w:r>
      <w:r w:rsidRPr="002B03B6">
        <w:rPr>
          <w:rFonts w:ascii="Arial" w:hAnsi="Arial" w:cs="Arial"/>
        </w:rPr>
        <w:t>, because it represented a major change in strategy based on evolving circumstances. Illa recognised that decentralisation was hindering Spain’s response, and he took steps to unify the system.</w:t>
      </w:r>
    </w:p>
    <w:p w14:paraId="160677FD" w14:textId="5C38ED47" w:rsidR="002B03B6" w:rsidRPr="00432B08" w:rsidRDefault="002B03B6" w:rsidP="00B257AD">
      <w:pPr>
        <w:spacing w:line="360" w:lineRule="auto"/>
        <w:rPr>
          <w:rFonts w:ascii="Arial" w:hAnsi="Arial" w:cs="Arial"/>
          <w:b/>
          <w:bCs/>
        </w:rPr>
      </w:pPr>
      <w:r w:rsidRPr="002B03B6">
        <w:rPr>
          <w:rFonts w:ascii="Arial" w:hAnsi="Arial" w:cs="Arial"/>
          <w:b/>
          <w:bCs/>
        </w:rPr>
        <w:t xml:space="preserve">Communication and Public Trust: </w:t>
      </w:r>
      <w:r w:rsidRPr="002B03B6">
        <w:rPr>
          <w:rFonts w:ascii="Arial" w:hAnsi="Arial" w:cs="Arial"/>
        </w:rPr>
        <w:t xml:space="preserve">Illa’s communication style improved over time. Initially criticised for underestimating the crisis, he later provided regular briefings with scientists and adopted clearer messaging. This aligns with </w:t>
      </w:r>
      <w:r w:rsidRPr="002B03B6">
        <w:rPr>
          <w:rFonts w:ascii="Arial" w:hAnsi="Arial" w:cs="Arial"/>
          <w:b/>
          <w:bCs/>
        </w:rPr>
        <w:t>transformational leadership</w:t>
      </w:r>
      <w:r w:rsidRPr="002B03B6">
        <w:rPr>
          <w:rFonts w:ascii="Arial" w:hAnsi="Arial" w:cs="Arial"/>
        </w:rPr>
        <w:t xml:space="preserve">, which focuses </w:t>
      </w:r>
      <w:r w:rsidRPr="002B03B6">
        <w:rPr>
          <w:rFonts w:ascii="Arial" w:hAnsi="Arial" w:cs="Arial"/>
        </w:rPr>
        <w:lastRenderedPageBreak/>
        <w:t>on transparency, shared purpose, and guiding the public through uncertainty (Bass &amp; Riggio, 2006). By showing consistency and calmness, Illa helped rebuild public trust after a difficult first wave.</w:t>
      </w:r>
    </w:p>
    <w:p w14:paraId="1135DC49" w14:textId="77777777" w:rsidR="002B03B6" w:rsidRPr="002B03B6" w:rsidRDefault="002B03B6" w:rsidP="00B257AD">
      <w:pPr>
        <w:spacing w:line="360" w:lineRule="auto"/>
        <w:rPr>
          <w:rFonts w:ascii="Arial" w:hAnsi="Arial" w:cs="Arial"/>
        </w:rPr>
      </w:pPr>
      <w:r w:rsidRPr="002B03B6">
        <w:rPr>
          <w:rFonts w:ascii="Arial" w:hAnsi="Arial" w:cs="Arial"/>
        </w:rPr>
        <w:t>However, political polarisation in Spain made transformational leadership challenging. Regional leaders often criticised national decisions, limiting the collective unity needed for a fully collaborative response.</w:t>
      </w:r>
    </w:p>
    <w:p w14:paraId="5A5098E9" w14:textId="77777777" w:rsidR="002B03B6" w:rsidRPr="002B03B6" w:rsidRDefault="002B03B6" w:rsidP="00B257AD">
      <w:pPr>
        <w:spacing w:line="360" w:lineRule="auto"/>
        <w:rPr>
          <w:rFonts w:ascii="Arial" w:hAnsi="Arial" w:cs="Arial"/>
          <w:b/>
          <w:bCs/>
        </w:rPr>
      </w:pPr>
      <w:r w:rsidRPr="002B03B6">
        <w:rPr>
          <w:rFonts w:ascii="Arial" w:hAnsi="Arial" w:cs="Arial"/>
          <w:b/>
          <w:bCs/>
        </w:rPr>
        <w:t>Vaccination Campaign: Illa’s Strongest Leadership Achievement</w:t>
      </w:r>
    </w:p>
    <w:p w14:paraId="61070BEB" w14:textId="77777777" w:rsidR="002B03B6" w:rsidRPr="002B03B6" w:rsidRDefault="002B03B6" w:rsidP="00B257AD">
      <w:pPr>
        <w:spacing w:line="360" w:lineRule="auto"/>
        <w:rPr>
          <w:rFonts w:ascii="Arial" w:hAnsi="Arial" w:cs="Arial"/>
        </w:rPr>
      </w:pPr>
      <w:r w:rsidRPr="002B03B6">
        <w:rPr>
          <w:rFonts w:ascii="Arial" w:hAnsi="Arial" w:cs="Arial"/>
        </w:rPr>
        <w:t>Even though Illa resigned in early 2021 to run for office, he had already designed Spain’s centralised vaccination plan. This became one of Spain’s greatest successes: clear national priorities, consistent guidelines, and effective cooperation with regional health services (Ministerio de Sanidad, 2022).</w:t>
      </w:r>
    </w:p>
    <w:p w14:paraId="66611813" w14:textId="77777777" w:rsidR="002B03B6" w:rsidRPr="002B03B6" w:rsidRDefault="002B03B6" w:rsidP="00B257AD">
      <w:pPr>
        <w:spacing w:line="360" w:lineRule="auto"/>
        <w:rPr>
          <w:rFonts w:ascii="Arial" w:hAnsi="Arial" w:cs="Arial"/>
        </w:rPr>
      </w:pPr>
      <w:r w:rsidRPr="002B03B6">
        <w:rPr>
          <w:rFonts w:ascii="Arial" w:hAnsi="Arial" w:cs="Arial"/>
        </w:rPr>
        <w:t>This achievement combined:</w:t>
      </w:r>
    </w:p>
    <w:p w14:paraId="35E58BB6" w14:textId="13804E78" w:rsidR="002B03B6" w:rsidRPr="002B03B6" w:rsidRDefault="002B03B6" w:rsidP="00B257AD">
      <w:pPr>
        <w:numPr>
          <w:ilvl w:val="0"/>
          <w:numId w:val="9"/>
        </w:numPr>
        <w:spacing w:line="360" w:lineRule="auto"/>
        <w:rPr>
          <w:rFonts w:ascii="Arial" w:hAnsi="Arial" w:cs="Arial"/>
        </w:rPr>
      </w:pPr>
      <w:r w:rsidRPr="002B03B6">
        <w:rPr>
          <w:rFonts w:ascii="Arial" w:hAnsi="Arial" w:cs="Arial"/>
          <w:b/>
          <w:bCs/>
        </w:rPr>
        <w:t>Collaborative leadership</w:t>
      </w:r>
      <w:r w:rsidRPr="002B03B6">
        <w:rPr>
          <w:rFonts w:ascii="Arial" w:hAnsi="Arial" w:cs="Arial"/>
        </w:rPr>
        <w:t xml:space="preserve"> — national and regional systems working </w:t>
      </w:r>
      <w:r w:rsidR="00B257AD" w:rsidRPr="002B03B6">
        <w:rPr>
          <w:rFonts w:ascii="Arial" w:hAnsi="Arial" w:cs="Arial"/>
        </w:rPr>
        <w:t>together.</w:t>
      </w:r>
    </w:p>
    <w:p w14:paraId="422D93CB" w14:textId="2AD398F7" w:rsidR="002B03B6" w:rsidRPr="002B03B6" w:rsidRDefault="002B03B6" w:rsidP="00B257AD">
      <w:pPr>
        <w:numPr>
          <w:ilvl w:val="0"/>
          <w:numId w:val="9"/>
        </w:numPr>
        <w:spacing w:line="360" w:lineRule="auto"/>
        <w:rPr>
          <w:rFonts w:ascii="Arial" w:hAnsi="Arial" w:cs="Arial"/>
        </w:rPr>
      </w:pPr>
      <w:r w:rsidRPr="002B03B6">
        <w:rPr>
          <w:rFonts w:ascii="Arial" w:hAnsi="Arial" w:cs="Arial"/>
          <w:b/>
          <w:bCs/>
        </w:rPr>
        <w:t>Transformational leadership</w:t>
      </w:r>
      <w:r w:rsidRPr="002B03B6">
        <w:rPr>
          <w:rFonts w:ascii="Arial" w:hAnsi="Arial" w:cs="Arial"/>
        </w:rPr>
        <w:t xml:space="preserve"> — motivating the public and maintaining </w:t>
      </w:r>
      <w:r w:rsidR="00B257AD" w:rsidRPr="002B03B6">
        <w:rPr>
          <w:rFonts w:ascii="Arial" w:hAnsi="Arial" w:cs="Arial"/>
        </w:rPr>
        <w:t>trust.</w:t>
      </w:r>
    </w:p>
    <w:p w14:paraId="698BA1F1" w14:textId="4ED14438" w:rsidR="002B03B6" w:rsidRPr="002B03B6" w:rsidRDefault="002B03B6" w:rsidP="00B257AD">
      <w:pPr>
        <w:numPr>
          <w:ilvl w:val="0"/>
          <w:numId w:val="9"/>
        </w:numPr>
        <w:spacing w:line="360" w:lineRule="auto"/>
        <w:rPr>
          <w:rFonts w:ascii="Arial" w:hAnsi="Arial" w:cs="Arial"/>
        </w:rPr>
      </w:pPr>
      <w:r w:rsidRPr="002B03B6">
        <w:rPr>
          <w:rFonts w:ascii="Arial" w:hAnsi="Arial" w:cs="Arial"/>
          <w:b/>
          <w:bCs/>
        </w:rPr>
        <w:t>Adaptive leadership</w:t>
      </w:r>
      <w:r w:rsidRPr="002B03B6">
        <w:rPr>
          <w:rFonts w:ascii="Arial" w:hAnsi="Arial" w:cs="Arial"/>
        </w:rPr>
        <w:t xml:space="preserve"> — adjusting strategies as vaccine supply and scientific advice </w:t>
      </w:r>
      <w:r w:rsidR="00B257AD" w:rsidRPr="002B03B6">
        <w:rPr>
          <w:rFonts w:ascii="Arial" w:hAnsi="Arial" w:cs="Arial"/>
        </w:rPr>
        <w:t>evolved.</w:t>
      </w:r>
    </w:p>
    <w:p w14:paraId="2CD09A88" w14:textId="77777777" w:rsidR="002B03B6" w:rsidRPr="002B03B6" w:rsidRDefault="002B03B6" w:rsidP="00B257AD">
      <w:pPr>
        <w:spacing w:line="360" w:lineRule="auto"/>
        <w:rPr>
          <w:rFonts w:ascii="Arial" w:hAnsi="Arial" w:cs="Arial"/>
          <w:b/>
          <w:bCs/>
        </w:rPr>
      </w:pPr>
      <w:r w:rsidRPr="002B03B6">
        <w:rPr>
          <w:rFonts w:ascii="Arial" w:hAnsi="Arial" w:cs="Arial"/>
          <w:b/>
          <w:bCs/>
        </w:rPr>
        <w:t>Leadership Limitations</w:t>
      </w:r>
    </w:p>
    <w:p w14:paraId="59C5102C" w14:textId="77777777" w:rsidR="002B03B6" w:rsidRPr="002B03B6" w:rsidRDefault="002B03B6" w:rsidP="00B257AD">
      <w:pPr>
        <w:spacing w:line="360" w:lineRule="auto"/>
        <w:rPr>
          <w:rFonts w:ascii="Arial" w:hAnsi="Arial" w:cs="Arial"/>
        </w:rPr>
      </w:pPr>
      <w:r w:rsidRPr="002B03B6">
        <w:rPr>
          <w:rFonts w:ascii="Arial" w:hAnsi="Arial" w:cs="Arial"/>
        </w:rPr>
        <w:t>Illa faced obstacles that limited his effectiveness:</w:t>
      </w:r>
    </w:p>
    <w:p w14:paraId="780A4DBC" w14:textId="77777777" w:rsidR="002B03B6" w:rsidRPr="002B03B6" w:rsidRDefault="002B03B6" w:rsidP="00B257AD">
      <w:pPr>
        <w:numPr>
          <w:ilvl w:val="0"/>
          <w:numId w:val="10"/>
        </w:numPr>
        <w:spacing w:line="360" w:lineRule="auto"/>
        <w:rPr>
          <w:rFonts w:ascii="Arial" w:hAnsi="Arial" w:cs="Arial"/>
        </w:rPr>
      </w:pPr>
      <w:r w:rsidRPr="002B03B6">
        <w:rPr>
          <w:rFonts w:ascii="Arial" w:hAnsi="Arial" w:cs="Arial"/>
        </w:rPr>
        <w:t>Fragmented public health data systems (Euro Surveill, 2020)</w:t>
      </w:r>
    </w:p>
    <w:p w14:paraId="3E5518C3" w14:textId="77777777" w:rsidR="002B03B6" w:rsidRPr="002B03B6" w:rsidRDefault="002B03B6" w:rsidP="00B257AD">
      <w:pPr>
        <w:numPr>
          <w:ilvl w:val="0"/>
          <w:numId w:val="10"/>
        </w:numPr>
        <w:spacing w:line="360" w:lineRule="auto"/>
        <w:rPr>
          <w:rFonts w:ascii="Arial" w:hAnsi="Arial" w:cs="Arial"/>
        </w:rPr>
      </w:pPr>
      <w:r w:rsidRPr="002B03B6">
        <w:rPr>
          <w:rFonts w:ascii="Arial" w:hAnsi="Arial" w:cs="Arial"/>
        </w:rPr>
        <w:t>Regional political conflicts</w:t>
      </w:r>
    </w:p>
    <w:p w14:paraId="61A3C73B" w14:textId="77777777" w:rsidR="002B03B6" w:rsidRPr="002B03B6" w:rsidRDefault="002B03B6" w:rsidP="00B257AD">
      <w:pPr>
        <w:numPr>
          <w:ilvl w:val="0"/>
          <w:numId w:val="10"/>
        </w:numPr>
        <w:spacing w:line="360" w:lineRule="auto"/>
        <w:rPr>
          <w:rFonts w:ascii="Arial" w:hAnsi="Arial" w:cs="Arial"/>
        </w:rPr>
      </w:pPr>
      <w:r w:rsidRPr="002B03B6">
        <w:rPr>
          <w:rFonts w:ascii="Arial" w:hAnsi="Arial" w:cs="Arial"/>
        </w:rPr>
        <w:t>Shortages of equipment and staff early on</w:t>
      </w:r>
    </w:p>
    <w:p w14:paraId="631F0CD4" w14:textId="77777777" w:rsidR="002B03B6" w:rsidRPr="002B03B6" w:rsidRDefault="002B03B6" w:rsidP="00B257AD">
      <w:pPr>
        <w:spacing w:line="360" w:lineRule="auto"/>
        <w:rPr>
          <w:rFonts w:ascii="Arial" w:hAnsi="Arial" w:cs="Arial"/>
        </w:rPr>
      </w:pPr>
      <w:r w:rsidRPr="002B03B6">
        <w:rPr>
          <w:rFonts w:ascii="Arial" w:hAnsi="Arial" w:cs="Arial"/>
        </w:rPr>
        <w:t>While not entirely his fault, these challenges shaped public perceptions of his leadership.</w:t>
      </w:r>
    </w:p>
    <w:p w14:paraId="393C1E85" w14:textId="77777777" w:rsidR="002B03B6" w:rsidRPr="002B03B6" w:rsidRDefault="002B03B6" w:rsidP="00B257AD">
      <w:pPr>
        <w:spacing w:line="360" w:lineRule="auto"/>
        <w:rPr>
          <w:rFonts w:ascii="Arial" w:hAnsi="Arial" w:cs="Arial"/>
          <w:b/>
          <w:bCs/>
        </w:rPr>
      </w:pPr>
      <w:r w:rsidRPr="002B03B6">
        <w:rPr>
          <w:rFonts w:ascii="Arial" w:hAnsi="Arial" w:cs="Arial"/>
          <w:b/>
          <w:bCs/>
        </w:rPr>
        <w:t>Overall Evaluation of Illa</w:t>
      </w:r>
    </w:p>
    <w:p w14:paraId="526BB7AC" w14:textId="3087D13C" w:rsidR="002B03B6" w:rsidRPr="002B03B6" w:rsidRDefault="002B03B6" w:rsidP="00B257AD">
      <w:pPr>
        <w:spacing w:line="360" w:lineRule="auto"/>
        <w:rPr>
          <w:rFonts w:ascii="Arial" w:hAnsi="Arial" w:cs="Arial"/>
        </w:rPr>
      </w:pPr>
      <w:r w:rsidRPr="002B03B6">
        <w:rPr>
          <w:rFonts w:ascii="Arial" w:hAnsi="Arial" w:cs="Arial"/>
        </w:rPr>
        <w:t>Salvador Illa’s leadership evolved from an initially slow and reactive approach to a more decisive and coordinated crisis strategy. His strongest contribution was spearheading Spain’s vaccination rollout, which showed clear leadership, organisation, and communication. His experience demonstrates how political context, system structure, and crisis pressures influence how leaders act</w:t>
      </w:r>
      <w:r w:rsidR="00643F58">
        <w:rPr>
          <w:rFonts w:ascii="Arial" w:hAnsi="Arial" w:cs="Arial"/>
        </w:rPr>
        <w:t xml:space="preserve"> </w:t>
      </w:r>
      <w:r w:rsidRPr="002B03B6">
        <w:rPr>
          <w:rFonts w:ascii="Arial" w:hAnsi="Arial" w:cs="Arial"/>
        </w:rPr>
        <w:t>and how quickly they must adapt.</w:t>
      </w:r>
    </w:p>
    <w:p w14:paraId="635DEF8F" w14:textId="77777777" w:rsidR="00343ECA" w:rsidRPr="00B257AD" w:rsidRDefault="00343ECA" w:rsidP="00B257AD">
      <w:pPr>
        <w:spacing w:line="360" w:lineRule="auto"/>
        <w:rPr>
          <w:rFonts w:ascii="Arial" w:hAnsi="Arial" w:cs="Arial"/>
        </w:rPr>
      </w:pPr>
    </w:p>
    <w:p w14:paraId="37281576" w14:textId="4CB75457" w:rsidR="00D957CA" w:rsidRPr="004F000C" w:rsidRDefault="00D957CA" w:rsidP="004F000C">
      <w:pPr>
        <w:pStyle w:val="Heading1"/>
        <w:rPr>
          <w:rFonts w:ascii="Arial" w:hAnsi="Arial" w:cs="Arial"/>
          <w:b/>
          <w:bCs/>
          <w:color w:val="auto"/>
          <w:sz w:val="28"/>
          <w:szCs w:val="28"/>
        </w:rPr>
      </w:pPr>
      <w:bookmarkStart w:id="9" w:name="_Toc216182389"/>
      <w:r w:rsidRPr="004F000C">
        <w:rPr>
          <w:rFonts w:ascii="Arial" w:hAnsi="Arial" w:cs="Arial"/>
          <w:b/>
          <w:bCs/>
          <w:color w:val="auto"/>
          <w:sz w:val="28"/>
          <w:szCs w:val="28"/>
        </w:rPr>
        <w:lastRenderedPageBreak/>
        <w:t>South Korea’s Healthcare System and COVID-19 Response</w:t>
      </w:r>
      <w:bookmarkEnd w:id="9"/>
      <w:r w:rsidRPr="004F000C">
        <w:rPr>
          <w:rFonts w:ascii="Arial" w:hAnsi="Arial" w:cs="Arial"/>
          <w:b/>
          <w:bCs/>
          <w:color w:val="auto"/>
          <w:sz w:val="28"/>
          <w:szCs w:val="28"/>
        </w:rPr>
        <w:t xml:space="preserve"> </w:t>
      </w:r>
    </w:p>
    <w:p w14:paraId="17CC2F67" w14:textId="725AAC91" w:rsidR="00D957CA" w:rsidRPr="00D957CA" w:rsidRDefault="00D957CA" w:rsidP="00B257AD">
      <w:pPr>
        <w:spacing w:line="360" w:lineRule="auto"/>
        <w:rPr>
          <w:rFonts w:ascii="Arial" w:hAnsi="Arial" w:cs="Arial"/>
        </w:rPr>
      </w:pPr>
      <w:r w:rsidRPr="00D957CA">
        <w:rPr>
          <w:rFonts w:ascii="Arial" w:hAnsi="Arial" w:cs="Arial"/>
        </w:rPr>
        <w:t xml:space="preserve">South Korea is widely recognised as one of the countries that managed COVID-19 most effectively during the </w:t>
      </w:r>
      <w:r w:rsidR="00E00D99" w:rsidRPr="00D957CA">
        <w:rPr>
          <w:rFonts w:ascii="Arial" w:hAnsi="Arial" w:cs="Arial"/>
        </w:rPr>
        <w:t>preliminary stages</w:t>
      </w:r>
      <w:r w:rsidRPr="00D957CA">
        <w:rPr>
          <w:rFonts w:ascii="Arial" w:hAnsi="Arial" w:cs="Arial"/>
        </w:rPr>
        <w:t xml:space="preserve"> of the pandemic. This success was not accidental</w:t>
      </w:r>
      <w:r w:rsidR="00734314">
        <w:rPr>
          <w:rFonts w:ascii="Arial" w:hAnsi="Arial" w:cs="Arial"/>
        </w:rPr>
        <w:t xml:space="preserve">; </w:t>
      </w:r>
      <w:r w:rsidRPr="00D957CA">
        <w:rPr>
          <w:rFonts w:ascii="Arial" w:hAnsi="Arial" w:cs="Arial"/>
        </w:rPr>
        <w:t>it was built on a strong, centralised public health system, previous experience with outbreaks, and rapid political action.</w:t>
      </w:r>
    </w:p>
    <w:p w14:paraId="0F434C9A" w14:textId="00DF6281" w:rsidR="00D957CA" w:rsidRPr="00D957CA" w:rsidRDefault="00D957CA" w:rsidP="00B257AD">
      <w:pPr>
        <w:spacing w:line="360" w:lineRule="auto"/>
        <w:rPr>
          <w:rFonts w:ascii="Arial" w:hAnsi="Arial" w:cs="Arial"/>
        </w:rPr>
      </w:pPr>
      <w:r w:rsidRPr="00D957CA">
        <w:rPr>
          <w:rFonts w:ascii="Arial" w:hAnsi="Arial" w:cs="Arial"/>
        </w:rPr>
        <w:t>South Korea operates a centralised National Health Insurance (NHI) system covering the entire population under a single payer (Kwon, 2008). Although most hospitals are privately run, public health governance</w:t>
      </w:r>
      <w:r w:rsidR="00734314">
        <w:rPr>
          <w:rFonts w:ascii="Arial" w:hAnsi="Arial" w:cs="Arial"/>
        </w:rPr>
        <w:t xml:space="preserve">, </w:t>
      </w:r>
      <w:r w:rsidRPr="00D957CA">
        <w:rPr>
          <w:rFonts w:ascii="Arial" w:hAnsi="Arial" w:cs="Arial"/>
        </w:rPr>
        <w:t>especially infectious disease control</w:t>
      </w:r>
      <w:r w:rsidR="00734314">
        <w:rPr>
          <w:rFonts w:ascii="Arial" w:hAnsi="Arial" w:cs="Arial"/>
        </w:rPr>
        <w:t xml:space="preserve">, </w:t>
      </w:r>
      <w:r w:rsidRPr="00D957CA">
        <w:rPr>
          <w:rFonts w:ascii="Arial" w:hAnsi="Arial" w:cs="Arial"/>
        </w:rPr>
        <w:t>is coordinated nationally through the Korea Disease Control and Prevention Agency (KDCA). This centralised model allowed the government to make swift decisions and apply them consistently across the country.</w:t>
      </w:r>
    </w:p>
    <w:p w14:paraId="23DE5CAE" w14:textId="77777777" w:rsidR="00D957CA" w:rsidRPr="00D957CA" w:rsidRDefault="00D957CA" w:rsidP="00B257AD">
      <w:pPr>
        <w:spacing w:line="360" w:lineRule="auto"/>
        <w:rPr>
          <w:rFonts w:ascii="Arial" w:hAnsi="Arial" w:cs="Arial"/>
        </w:rPr>
      </w:pPr>
      <w:r w:rsidRPr="00D957CA">
        <w:rPr>
          <w:rFonts w:ascii="Arial" w:hAnsi="Arial" w:cs="Arial"/>
        </w:rPr>
        <w:t>Crucially, South Korea’s experience with the 2015 MERS outbreak had already exposed weaknesses in transparency, data sharing, and infection control. As a result, the government made major investments in laboratory capacity, epidemiological surveillance, and emergency response legislation. These reforms later proved essential for COVID-19, giving authorities legal power to approve diagnostic tests quickly, require mandatory reporting, and integrate data across agencies (Kim, 2020; Kim et al., 2021).</w:t>
      </w:r>
    </w:p>
    <w:p w14:paraId="2496438C" w14:textId="77777777" w:rsidR="00D957CA" w:rsidRPr="00D957CA" w:rsidRDefault="00D957CA" w:rsidP="00B257AD">
      <w:pPr>
        <w:spacing w:line="360" w:lineRule="auto"/>
        <w:rPr>
          <w:rFonts w:ascii="Arial" w:hAnsi="Arial" w:cs="Arial"/>
        </w:rPr>
      </w:pPr>
      <w:r w:rsidRPr="00D957CA">
        <w:rPr>
          <w:rFonts w:ascii="Arial" w:hAnsi="Arial" w:cs="Arial"/>
        </w:rPr>
        <w:t>When COVID-19 first emerged, Prime Minister Chung Sye-kyun was placed in charge of the Central Disaster and Safety Countermeasures Headquarters, effectively becoming the leader of the national pandemic response. Under his guidance, South Korea adopted a strategy based on early detection, rapid testing, and aggressive contact tracing. The government introduced innovations such as drive-through and walk-in testing centres (Lee &amp; Lee, 2020), which reduced pressure on hospitals and allowed thousands of tests to be conducted each day.</w:t>
      </w:r>
    </w:p>
    <w:p w14:paraId="33AA1E83" w14:textId="77777777" w:rsidR="00D957CA" w:rsidRPr="00D957CA" w:rsidRDefault="00D957CA" w:rsidP="00B257AD">
      <w:pPr>
        <w:spacing w:line="360" w:lineRule="auto"/>
        <w:rPr>
          <w:rFonts w:ascii="Arial" w:hAnsi="Arial" w:cs="Arial"/>
        </w:rPr>
      </w:pPr>
      <w:r w:rsidRPr="00D957CA">
        <w:rPr>
          <w:rFonts w:ascii="Arial" w:hAnsi="Arial" w:cs="Arial"/>
        </w:rPr>
        <w:t>A major strength of South Korea’s response was its digital tracing system. Authorities used mobile phone GPS data, credit card transactions, and CCTV footage to reconstruct infection chains in real time (Ahn et al., 2020; Park et al., 2020). While this raised privacy concerns, strong public communication and legal safeguards helped maintain trust. Most South Koreans accepted the measures because they understood that transparent information was necessary to avoid nationwide lockdowns.</w:t>
      </w:r>
    </w:p>
    <w:p w14:paraId="20615A76" w14:textId="71CF15EE" w:rsidR="00D957CA" w:rsidRPr="00D957CA" w:rsidRDefault="00D957CA" w:rsidP="00B257AD">
      <w:pPr>
        <w:spacing w:line="360" w:lineRule="auto"/>
        <w:rPr>
          <w:rFonts w:ascii="Arial" w:hAnsi="Arial" w:cs="Arial"/>
        </w:rPr>
      </w:pPr>
      <w:r w:rsidRPr="00D957CA">
        <w:rPr>
          <w:rFonts w:ascii="Arial" w:hAnsi="Arial" w:cs="Arial"/>
        </w:rPr>
        <w:t xml:space="preserve">South Korea’s ability to coordinate centrally while still working closely with local governments was a key element of its success. National leaders set policies and standards, while municipal health teams </w:t>
      </w:r>
      <w:r w:rsidR="009165AB" w:rsidRPr="00D957CA">
        <w:rPr>
          <w:rFonts w:ascii="Arial" w:hAnsi="Arial" w:cs="Arial"/>
        </w:rPr>
        <w:t>conducted</w:t>
      </w:r>
      <w:r w:rsidRPr="00D957CA">
        <w:rPr>
          <w:rFonts w:ascii="Arial" w:hAnsi="Arial" w:cs="Arial"/>
        </w:rPr>
        <w:t xml:space="preserve"> local testing, tracing, and quarantine monitoring. This hybrid approach—centralised strategy with decentralised implementation</w:t>
      </w:r>
      <w:r w:rsidR="00734314">
        <w:rPr>
          <w:rFonts w:ascii="Arial" w:hAnsi="Arial" w:cs="Arial"/>
        </w:rPr>
        <w:t xml:space="preserve"> </w:t>
      </w:r>
      <w:r w:rsidRPr="00D957CA">
        <w:rPr>
          <w:rFonts w:ascii="Arial" w:hAnsi="Arial" w:cs="Arial"/>
        </w:rPr>
        <w:t xml:space="preserve">enabled quick </w:t>
      </w:r>
      <w:r w:rsidRPr="00D957CA">
        <w:rPr>
          <w:rFonts w:ascii="Arial" w:hAnsi="Arial" w:cs="Arial"/>
        </w:rPr>
        <w:lastRenderedPageBreak/>
        <w:t>adjustments when outbreaks occurred and allowed containment measures to be targeted rather than national.</w:t>
      </w:r>
    </w:p>
    <w:p w14:paraId="51D836A9" w14:textId="1E1A2B3B" w:rsidR="00D957CA" w:rsidRPr="00D957CA" w:rsidRDefault="00D957CA" w:rsidP="00B257AD">
      <w:pPr>
        <w:spacing w:line="360" w:lineRule="auto"/>
        <w:rPr>
          <w:rFonts w:ascii="Arial" w:hAnsi="Arial" w:cs="Arial"/>
        </w:rPr>
      </w:pPr>
      <w:r w:rsidRPr="00D957CA">
        <w:rPr>
          <w:rFonts w:ascii="Arial" w:hAnsi="Arial" w:cs="Arial"/>
        </w:rPr>
        <w:t xml:space="preserve">Despite its successes, South Korea’s response was not flawless. Concerns emerged about the level of surveillance and data collection. </w:t>
      </w:r>
      <w:r w:rsidR="009165AB">
        <w:rPr>
          <w:rFonts w:ascii="Arial" w:hAnsi="Arial" w:cs="Arial"/>
        </w:rPr>
        <w:t>G</w:t>
      </w:r>
      <w:r w:rsidRPr="00D957CA">
        <w:rPr>
          <w:rFonts w:ascii="Arial" w:hAnsi="Arial" w:cs="Arial"/>
        </w:rPr>
        <w:t xml:space="preserve">roups, especially migrants and vulnerable populations, felt pressured by the intense monitoring (Ryan, 2020). Local health workers also experienced burnout due to the heavy workload associated with continuous tracing and quarantine enforcement (Kim &amp; Jeong, 2022). In addition, South Korea faced delays in vaccine procurement. Although it maintained low infection levels </w:t>
      </w:r>
      <w:r w:rsidR="00734314">
        <w:rPr>
          <w:rFonts w:ascii="Arial" w:hAnsi="Arial" w:cs="Arial"/>
        </w:rPr>
        <w:t>in</w:t>
      </w:r>
      <w:r w:rsidRPr="00D957CA">
        <w:rPr>
          <w:rFonts w:ascii="Arial" w:hAnsi="Arial" w:cs="Arial"/>
        </w:rPr>
        <w:t xml:space="preserve"> 2020, this success may have led to slower negotiations for early vaccine supplies (Lee, 2025). However, once vaccines arrived, the government organised an efficient national rollout </w:t>
      </w:r>
      <w:r w:rsidR="00053557" w:rsidRPr="00D957CA">
        <w:rPr>
          <w:rFonts w:ascii="Arial" w:hAnsi="Arial" w:cs="Arial"/>
        </w:rPr>
        <w:t>like</w:t>
      </w:r>
      <w:r w:rsidRPr="00D957CA">
        <w:rPr>
          <w:rFonts w:ascii="Arial" w:hAnsi="Arial" w:cs="Arial"/>
        </w:rPr>
        <w:t xml:space="preserve"> its testing system.</w:t>
      </w:r>
    </w:p>
    <w:p w14:paraId="6EB5CA68" w14:textId="77777777" w:rsidR="00D957CA" w:rsidRPr="00D957CA" w:rsidRDefault="00D957CA" w:rsidP="00B257AD">
      <w:pPr>
        <w:spacing w:line="360" w:lineRule="auto"/>
        <w:rPr>
          <w:rFonts w:ascii="Arial" w:hAnsi="Arial" w:cs="Arial"/>
        </w:rPr>
      </w:pPr>
      <w:r w:rsidRPr="00D957CA">
        <w:rPr>
          <w:rFonts w:ascii="Arial" w:hAnsi="Arial" w:cs="Arial"/>
        </w:rPr>
        <w:t>Overall, South Korea’s response demonstrated the benefits of a well-prepared, centralised public health system combined with decisive national leadership, strong public communication, and technological capacity. Its ability to act quickly, use real-time data, and maintain public trust allowed the country to control the pandemic without implementing severe nationwide lockdowns.</w:t>
      </w:r>
    </w:p>
    <w:p w14:paraId="0A59DE44" w14:textId="4AE7BAF6" w:rsidR="00D957CA" w:rsidRPr="00E1722B" w:rsidRDefault="00D957CA" w:rsidP="00E1722B">
      <w:pPr>
        <w:pStyle w:val="Heading2"/>
        <w:rPr>
          <w:rFonts w:ascii="Arial" w:hAnsi="Arial" w:cs="Arial"/>
          <w:b/>
          <w:bCs/>
          <w:color w:val="auto"/>
          <w:sz w:val="28"/>
          <w:szCs w:val="28"/>
        </w:rPr>
      </w:pPr>
      <w:bookmarkStart w:id="10" w:name="_Toc216182390"/>
      <w:r w:rsidRPr="00E1722B">
        <w:rPr>
          <w:rFonts w:ascii="Arial" w:hAnsi="Arial" w:cs="Arial"/>
          <w:b/>
          <w:bCs/>
          <w:color w:val="auto"/>
          <w:sz w:val="28"/>
          <w:szCs w:val="28"/>
        </w:rPr>
        <w:t>Leadership Styles in South Korea: Prime Minister Chung Sye-kyun</w:t>
      </w:r>
      <w:bookmarkEnd w:id="10"/>
      <w:r w:rsidRPr="00E1722B">
        <w:rPr>
          <w:rFonts w:ascii="Arial" w:hAnsi="Arial" w:cs="Arial"/>
          <w:b/>
          <w:bCs/>
          <w:color w:val="auto"/>
          <w:sz w:val="28"/>
          <w:szCs w:val="28"/>
        </w:rPr>
        <w:t xml:space="preserve"> </w:t>
      </w:r>
    </w:p>
    <w:p w14:paraId="34B0816A" w14:textId="77777777" w:rsidR="00D957CA" w:rsidRPr="00D957CA" w:rsidRDefault="00D957CA" w:rsidP="00B257AD">
      <w:pPr>
        <w:spacing w:line="360" w:lineRule="auto"/>
        <w:rPr>
          <w:rFonts w:ascii="Arial" w:hAnsi="Arial" w:cs="Arial"/>
        </w:rPr>
      </w:pPr>
      <w:r w:rsidRPr="00D957CA">
        <w:rPr>
          <w:rFonts w:ascii="Arial" w:hAnsi="Arial" w:cs="Arial"/>
        </w:rPr>
        <w:t>Prime Minister Chung Sye-kyun became one of the central figures in South Korea’s highly praised COVID-19 response. His leadership style blended transparency, collaboration, and evidence-based decision-making, which helped maintain public trust and ensure rapid policy implementation.</w:t>
      </w:r>
    </w:p>
    <w:p w14:paraId="72618783" w14:textId="77777777" w:rsidR="00D957CA" w:rsidRPr="00D957CA" w:rsidRDefault="00D957CA" w:rsidP="00B257AD">
      <w:pPr>
        <w:spacing w:line="360" w:lineRule="auto"/>
        <w:rPr>
          <w:rFonts w:ascii="Arial" w:hAnsi="Arial" w:cs="Arial"/>
          <w:b/>
          <w:bCs/>
          <w:sz w:val="24"/>
          <w:szCs w:val="24"/>
        </w:rPr>
      </w:pPr>
      <w:r w:rsidRPr="00D957CA">
        <w:rPr>
          <w:rFonts w:ascii="Arial" w:hAnsi="Arial" w:cs="Arial"/>
          <w:b/>
          <w:bCs/>
          <w:sz w:val="24"/>
          <w:szCs w:val="24"/>
        </w:rPr>
        <w:t>Transparency and Transformational Leadership</w:t>
      </w:r>
    </w:p>
    <w:p w14:paraId="22989BC9" w14:textId="77777777" w:rsidR="00D957CA" w:rsidRPr="00D957CA" w:rsidRDefault="00D957CA" w:rsidP="00B257AD">
      <w:pPr>
        <w:spacing w:line="360" w:lineRule="auto"/>
        <w:rPr>
          <w:rFonts w:ascii="Arial" w:hAnsi="Arial" w:cs="Arial"/>
        </w:rPr>
      </w:pPr>
      <w:r w:rsidRPr="00D957CA">
        <w:rPr>
          <w:rFonts w:ascii="Arial" w:hAnsi="Arial" w:cs="Arial"/>
        </w:rPr>
        <w:t>One of Chung’s most defining leadership characteristics was transparency. He held frequent press briefings, openly shared information with the public, and explained the reasoning behind government decisions. Transformational leadership emphasises honesty, moral guidance, and inspiring trust (Bass &amp; Riggio, 2006). Chung demonstrated this by reassuring citizens while acknowledging the seriousness of the situation. His calm, respectful communication style encouraged public cooperation with testing, tracing, and isolation requirements.</w:t>
      </w:r>
    </w:p>
    <w:p w14:paraId="539D36C6" w14:textId="77777777" w:rsidR="00D957CA" w:rsidRPr="00D957CA" w:rsidRDefault="00D957CA" w:rsidP="00B257AD">
      <w:pPr>
        <w:spacing w:line="360" w:lineRule="auto"/>
        <w:rPr>
          <w:rFonts w:ascii="Arial" w:hAnsi="Arial" w:cs="Arial"/>
        </w:rPr>
      </w:pPr>
      <w:r w:rsidRPr="00D957CA">
        <w:rPr>
          <w:rFonts w:ascii="Arial" w:hAnsi="Arial" w:cs="Arial"/>
        </w:rPr>
        <w:t>Chung’s emphasis on openness also reflected South Korea’s cultural context, where citizens expect clear information and accountability from leaders. This alignment between cultural expectations and leadership behaviour strengthened the effectiveness of his approach.</w:t>
      </w:r>
    </w:p>
    <w:p w14:paraId="514B3214" w14:textId="77777777" w:rsidR="00D957CA" w:rsidRPr="00D957CA" w:rsidRDefault="00D957CA" w:rsidP="00B257AD">
      <w:pPr>
        <w:spacing w:line="360" w:lineRule="auto"/>
        <w:rPr>
          <w:rFonts w:ascii="Arial" w:hAnsi="Arial" w:cs="Arial"/>
          <w:b/>
          <w:bCs/>
          <w:sz w:val="24"/>
          <w:szCs w:val="24"/>
        </w:rPr>
      </w:pPr>
      <w:r w:rsidRPr="00D957CA">
        <w:rPr>
          <w:rFonts w:ascii="Arial" w:hAnsi="Arial" w:cs="Arial"/>
          <w:b/>
          <w:bCs/>
          <w:sz w:val="24"/>
          <w:szCs w:val="24"/>
        </w:rPr>
        <w:t>Collaborative Leadership Across Government Agencies</w:t>
      </w:r>
    </w:p>
    <w:p w14:paraId="4CCD1589" w14:textId="77777777" w:rsidR="00D957CA" w:rsidRPr="00D957CA" w:rsidRDefault="00D957CA" w:rsidP="00B257AD">
      <w:pPr>
        <w:spacing w:line="360" w:lineRule="auto"/>
        <w:rPr>
          <w:rFonts w:ascii="Arial" w:hAnsi="Arial" w:cs="Arial"/>
        </w:rPr>
      </w:pPr>
      <w:r w:rsidRPr="00D957CA">
        <w:rPr>
          <w:rFonts w:ascii="Arial" w:hAnsi="Arial" w:cs="Arial"/>
        </w:rPr>
        <w:lastRenderedPageBreak/>
        <w:t xml:space="preserve">South Korea’s pandemic response involved multiple ministries, scientific institutions, and regional authorities. Chung’s ability to coordinate these actors reflects </w:t>
      </w:r>
      <w:r w:rsidRPr="00D957CA">
        <w:rPr>
          <w:rFonts w:ascii="Arial" w:hAnsi="Arial" w:cs="Arial"/>
          <w:b/>
          <w:bCs/>
        </w:rPr>
        <w:t>collaborative leadership</w:t>
      </w:r>
      <w:r w:rsidRPr="00D957CA">
        <w:rPr>
          <w:rFonts w:ascii="Arial" w:hAnsi="Arial" w:cs="Arial"/>
        </w:rPr>
        <w:t>, which focuses on shared responsibility and joint problem-solving (Ansell et al., 2020). Key agencies, including the KDCA, Ministry of Health, Ministry of Education, and local governments, worked together to implement testing and tracing strategies.</w:t>
      </w:r>
    </w:p>
    <w:p w14:paraId="72C014AA" w14:textId="4ADED489" w:rsidR="00D957CA" w:rsidRPr="00D957CA" w:rsidRDefault="00D957CA" w:rsidP="00B257AD">
      <w:pPr>
        <w:spacing w:line="360" w:lineRule="auto"/>
        <w:rPr>
          <w:rFonts w:ascii="Arial" w:hAnsi="Arial" w:cs="Arial"/>
        </w:rPr>
      </w:pPr>
      <w:r w:rsidRPr="00D957CA">
        <w:rPr>
          <w:rFonts w:ascii="Arial" w:hAnsi="Arial" w:cs="Arial"/>
        </w:rPr>
        <w:t xml:space="preserve">Chung played </w:t>
      </w:r>
      <w:r w:rsidR="00E00D99" w:rsidRPr="00D957CA">
        <w:rPr>
          <w:rFonts w:ascii="Arial" w:hAnsi="Arial" w:cs="Arial"/>
        </w:rPr>
        <w:t>a significant role</w:t>
      </w:r>
      <w:r w:rsidRPr="00D957CA">
        <w:rPr>
          <w:rFonts w:ascii="Arial" w:hAnsi="Arial" w:cs="Arial"/>
        </w:rPr>
        <w:t xml:space="preserve"> in ensuring these organisations communicated effectively. He encouraged consensus-building, supported expert-led decision-making, and relied on technical specialists rather than political rhetoric. This collaboration helped avoid the fragmentation seen in more decentralised countries.</w:t>
      </w:r>
    </w:p>
    <w:p w14:paraId="4DE5AD2D" w14:textId="77777777" w:rsidR="00D957CA" w:rsidRPr="00D957CA" w:rsidRDefault="00D957CA" w:rsidP="00B257AD">
      <w:pPr>
        <w:spacing w:line="360" w:lineRule="auto"/>
        <w:rPr>
          <w:rFonts w:ascii="Arial" w:hAnsi="Arial" w:cs="Arial"/>
          <w:b/>
          <w:bCs/>
          <w:sz w:val="24"/>
          <w:szCs w:val="24"/>
        </w:rPr>
      </w:pPr>
      <w:r w:rsidRPr="00D957CA">
        <w:rPr>
          <w:rFonts w:ascii="Arial" w:hAnsi="Arial" w:cs="Arial"/>
          <w:b/>
          <w:bCs/>
          <w:sz w:val="24"/>
          <w:szCs w:val="24"/>
        </w:rPr>
        <w:t>Adaptive Leadership and Rapid Policy Adjustment</w:t>
      </w:r>
    </w:p>
    <w:p w14:paraId="7F317514" w14:textId="77777777" w:rsidR="00D957CA" w:rsidRPr="00D957CA" w:rsidRDefault="00D957CA" w:rsidP="00B257AD">
      <w:pPr>
        <w:spacing w:line="360" w:lineRule="auto"/>
        <w:rPr>
          <w:rFonts w:ascii="Arial" w:hAnsi="Arial" w:cs="Arial"/>
        </w:rPr>
      </w:pPr>
      <w:r w:rsidRPr="00D957CA">
        <w:rPr>
          <w:rFonts w:ascii="Arial" w:hAnsi="Arial" w:cs="Arial"/>
        </w:rPr>
        <w:t xml:space="preserve">South Korea’s approach required constant flexibility due to the unpredictable nature of COVID-19. When cluster outbreaks appeared, Chung quickly adjusted policies by expanding testing sites, approving new diagnostic kits under emergency authorisation, and deploying mobile testing units (Lee &amp; Lee, 2020). These actions demonstrate </w:t>
      </w:r>
      <w:r w:rsidRPr="00D957CA">
        <w:rPr>
          <w:rFonts w:ascii="Arial" w:hAnsi="Arial" w:cs="Arial"/>
          <w:b/>
          <w:bCs/>
        </w:rPr>
        <w:t>adaptive leadership</w:t>
      </w:r>
      <w:r w:rsidRPr="00D957CA">
        <w:rPr>
          <w:rFonts w:ascii="Arial" w:hAnsi="Arial" w:cs="Arial"/>
        </w:rPr>
        <w:t>, which focuses on responding to new challenges, learning from previous mistakes, and mobilising stakeholders in times of uncertainty (Heifetz et al., 2009).</w:t>
      </w:r>
    </w:p>
    <w:p w14:paraId="27658963" w14:textId="77777777" w:rsidR="00D957CA" w:rsidRPr="00D957CA" w:rsidRDefault="00D957CA" w:rsidP="00B257AD">
      <w:pPr>
        <w:spacing w:line="360" w:lineRule="auto"/>
        <w:rPr>
          <w:rFonts w:ascii="Arial" w:hAnsi="Arial" w:cs="Arial"/>
        </w:rPr>
      </w:pPr>
      <w:r w:rsidRPr="00D957CA">
        <w:rPr>
          <w:rFonts w:ascii="Arial" w:hAnsi="Arial" w:cs="Arial"/>
        </w:rPr>
        <w:t>Chung’s leadership during the early Daegu cluster outbreak is a strong example of this. Instead of imposing blanket restrictions, the government focused on targeted containment, showing confidence in its public health capacity and an ability to adapt strategies based on real-time data.</w:t>
      </w:r>
    </w:p>
    <w:p w14:paraId="7D545E06" w14:textId="77777777" w:rsidR="00D957CA" w:rsidRPr="00D957CA" w:rsidRDefault="00D957CA" w:rsidP="00B257AD">
      <w:pPr>
        <w:spacing w:line="360" w:lineRule="auto"/>
        <w:rPr>
          <w:rFonts w:ascii="Arial" w:hAnsi="Arial" w:cs="Arial"/>
          <w:b/>
          <w:bCs/>
          <w:sz w:val="24"/>
          <w:szCs w:val="24"/>
        </w:rPr>
      </w:pPr>
      <w:r w:rsidRPr="00D957CA">
        <w:rPr>
          <w:rFonts w:ascii="Arial" w:hAnsi="Arial" w:cs="Arial"/>
          <w:b/>
          <w:bCs/>
          <w:sz w:val="24"/>
          <w:szCs w:val="24"/>
        </w:rPr>
        <w:t>Technocratic and Evidence-Based Leadership</w:t>
      </w:r>
    </w:p>
    <w:p w14:paraId="28A7FBD3" w14:textId="77777777" w:rsidR="00D957CA" w:rsidRPr="00D957CA" w:rsidRDefault="00D957CA" w:rsidP="00B257AD">
      <w:pPr>
        <w:spacing w:line="360" w:lineRule="auto"/>
        <w:rPr>
          <w:rFonts w:ascii="Arial" w:hAnsi="Arial" w:cs="Arial"/>
        </w:rPr>
      </w:pPr>
      <w:r w:rsidRPr="00D957CA">
        <w:rPr>
          <w:rFonts w:ascii="Arial" w:hAnsi="Arial" w:cs="Arial"/>
        </w:rPr>
        <w:t xml:space="preserve">Chung also demonstrated elements of </w:t>
      </w:r>
      <w:r w:rsidRPr="00D957CA">
        <w:rPr>
          <w:rFonts w:ascii="Arial" w:hAnsi="Arial" w:cs="Arial"/>
          <w:b/>
          <w:bCs/>
        </w:rPr>
        <w:t>technocratic leadership</w:t>
      </w:r>
      <w:r w:rsidRPr="00D957CA">
        <w:rPr>
          <w:rFonts w:ascii="Arial" w:hAnsi="Arial" w:cs="Arial"/>
        </w:rPr>
        <w:t>, where decisions are guided by scientific expertise rather than political ideology. After the MERS outbreak, South Korea strengthened laws that prioritised transparency and scientific guidance (Kim, 2020). Chung supported these reforms by giving the KDCA more autonomy and ensuring that epidemiologists and infectious disease experts played leading roles in decision-making.</w:t>
      </w:r>
    </w:p>
    <w:p w14:paraId="4F749A01" w14:textId="77777777" w:rsidR="00D957CA" w:rsidRPr="00D957CA" w:rsidRDefault="00D957CA" w:rsidP="00B257AD">
      <w:pPr>
        <w:spacing w:line="360" w:lineRule="auto"/>
        <w:rPr>
          <w:rFonts w:ascii="Arial" w:hAnsi="Arial" w:cs="Arial"/>
        </w:rPr>
      </w:pPr>
      <w:r w:rsidRPr="00D957CA">
        <w:rPr>
          <w:rFonts w:ascii="Arial" w:hAnsi="Arial" w:cs="Arial"/>
        </w:rPr>
        <w:t>This evidence-based approach increased public confidence and contributed to the government’s credibility during the crisis.</w:t>
      </w:r>
    </w:p>
    <w:p w14:paraId="4744F5B9" w14:textId="77777777" w:rsidR="00D957CA" w:rsidRPr="00D957CA" w:rsidRDefault="00D957CA" w:rsidP="00B257AD">
      <w:pPr>
        <w:spacing w:line="360" w:lineRule="auto"/>
        <w:rPr>
          <w:rFonts w:ascii="Arial" w:hAnsi="Arial" w:cs="Arial"/>
          <w:b/>
          <w:bCs/>
          <w:sz w:val="24"/>
          <w:szCs w:val="24"/>
        </w:rPr>
      </w:pPr>
      <w:r w:rsidRPr="00D957CA">
        <w:rPr>
          <w:rFonts w:ascii="Arial" w:hAnsi="Arial" w:cs="Arial"/>
          <w:b/>
          <w:bCs/>
          <w:sz w:val="24"/>
          <w:szCs w:val="24"/>
        </w:rPr>
        <w:t>Challenges and Limitations</w:t>
      </w:r>
    </w:p>
    <w:p w14:paraId="3B93A07C" w14:textId="00AB8DE9" w:rsidR="00D957CA" w:rsidRPr="00D957CA" w:rsidRDefault="00D957CA" w:rsidP="00B257AD">
      <w:pPr>
        <w:spacing w:line="360" w:lineRule="auto"/>
        <w:rPr>
          <w:rFonts w:ascii="Arial" w:hAnsi="Arial" w:cs="Arial"/>
        </w:rPr>
      </w:pPr>
      <w:r w:rsidRPr="00D957CA">
        <w:rPr>
          <w:rFonts w:ascii="Arial" w:hAnsi="Arial" w:cs="Arial"/>
        </w:rPr>
        <w:t>Despite his strengths, Chung’s leadership was not without criticism. The use of digital surveillance raised privacy concerns among citizens (Ahn et al., 2020). Additionally, local governments</w:t>
      </w:r>
      <w:r w:rsidR="00FE20BC">
        <w:rPr>
          <w:rFonts w:ascii="Arial" w:hAnsi="Arial" w:cs="Arial"/>
        </w:rPr>
        <w:t xml:space="preserve"> </w:t>
      </w:r>
      <w:r w:rsidRPr="00D957CA">
        <w:rPr>
          <w:rFonts w:ascii="Arial" w:hAnsi="Arial" w:cs="Arial"/>
        </w:rPr>
        <w:t>responsible for the tracing and monitoring work</w:t>
      </w:r>
      <w:r w:rsidR="00FE20BC">
        <w:rPr>
          <w:rFonts w:ascii="Arial" w:hAnsi="Arial" w:cs="Arial"/>
        </w:rPr>
        <w:t xml:space="preserve"> </w:t>
      </w:r>
      <w:r w:rsidRPr="00D957CA">
        <w:rPr>
          <w:rFonts w:ascii="Arial" w:hAnsi="Arial" w:cs="Arial"/>
        </w:rPr>
        <w:t>reported significant stress and burnout as the pandemic continued (Kim &amp; Jeong, 2022).</w:t>
      </w:r>
    </w:p>
    <w:p w14:paraId="29808C91" w14:textId="04D1E42E" w:rsidR="00D957CA" w:rsidRPr="00D957CA" w:rsidRDefault="00D957CA" w:rsidP="00B257AD">
      <w:pPr>
        <w:spacing w:line="360" w:lineRule="auto"/>
        <w:rPr>
          <w:rFonts w:ascii="Arial" w:hAnsi="Arial" w:cs="Arial"/>
        </w:rPr>
      </w:pPr>
      <w:r w:rsidRPr="00D957CA">
        <w:rPr>
          <w:rFonts w:ascii="Arial" w:hAnsi="Arial" w:cs="Arial"/>
        </w:rPr>
        <w:lastRenderedPageBreak/>
        <w:t>Vaccine procurement delays also created temporary uncertainties, although these challenges were shared across agencies, not only Chung’s office (Lee, 2025).</w:t>
      </w:r>
    </w:p>
    <w:p w14:paraId="439D5025" w14:textId="77777777" w:rsidR="00D957CA" w:rsidRPr="00D957CA" w:rsidRDefault="00D957CA" w:rsidP="00B257AD">
      <w:pPr>
        <w:spacing w:line="360" w:lineRule="auto"/>
        <w:rPr>
          <w:rFonts w:ascii="Arial" w:hAnsi="Arial" w:cs="Arial"/>
          <w:b/>
          <w:bCs/>
          <w:sz w:val="24"/>
          <w:szCs w:val="24"/>
        </w:rPr>
      </w:pPr>
      <w:r w:rsidRPr="00D957CA">
        <w:rPr>
          <w:rFonts w:ascii="Arial" w:hAnsi="Arial" w:cs="Arial"/>
          <w:b/>
          <w:bCs/>
          <w:sz w:val="24"/>
          <w:szCs w:val="24"/>
        </w:rPr>
        <w:t>Overall Evaluation of Chung’s Leadership</w:t>
      </w:r>
    </w:p>
    <w:p w14:paraId="0518817F" w14:textId="18A058C5" w:rsidR="00D957CA" w:rsidRPr="00D957CA" w:rsidRDefault="00D957CA" w:rsidP="00B257AD">
      <w:pPr>
        <w:spacing w:line="360" w:lineRule="auto"/>
        <w:rPr>
          <w:rFonts w:ascii="Arial" w:hAnsi="Arial" w:cs="Arial"/>
        </w:rPr>
      </w:pPr>
      <w:r w:rsidRPr="00D957CA">
        <w:rPr>
          <w:rFonts w:ascii="Arial" w:hAnsi="Arial" w:cs="Arial"/>
        </w:rPr>
        <w:t xml:space="preserve">Chung Sye-kyun’s leadership is a strong example of how transparency, collaboration, and adaptive decision-making can contribute to an effective public health response. His ability to combine centralised national coordination with local implementation, while relying on scientific expertise, helped South Korea avoid nationwide lockdowns and maintain </w:t>
      </w:r>
      <w:r w:rsidR="00E00D99" w:rsidRPr="00D957CA">
        <w:rPr>
          <w:rFonts w:ascii="Arial" w:hAnsi="Arial" w:cs="Arial"/>
        </w:rPr>
        <w:t>elevated levels</w:t>
      </w:r>
      <w:r w:rsidRPr="00D957CA">
        <w:rPr>
          <w:rFonts w:ascii="Arial" w:hAnsi="Arial" w:cs="Arial"/>
        </w:rPr>
        <w:t xml:space="preserve"> of public trust. His leadership style demonstrates how well-prepared institutions and open communication can significantly strengthen a country’s resilience during a major crisis.</w:t>
      </w:r>
    </w:p>
    <w:p w14:paraId="30D30592" w14:textId="1C75B554" w:rsidR="0080026E" w:rsidRPr="00C82C97" w:rsidRDefault="0080026E" w:rsidP="00C82C97">
      <w:pPr>
        <w:pStyle w:val="Heading1"/>
        <w:rPr>
          <w:rFonts w:ascii="Arial" w:hAnsi="Arial" w:cs="Arial"/>
          <w:b/>
          <w:bCs/>
          <w:color w:val="auto"/>
          <w:sz w:val="28"/>
          <w:szCs w:val="28"/>
        </w:rPr>
      </w:pPr>
      <w:bookmarkStart w:id="11" w:name="_Toc216182391"/>
      <w:r w:rsidRPr="00C82C97">
        <w:rPr>
          <w:rFonts w:ascii="Arial" w:hAnsi="Arial" w:cs="Arial"/>
          <w:b/>
          <w:bCs/>
          <w:color w:val="auto"/>
          <w:sz w:val="28"/>
          <w:szCs w:val="28"/>
        </w:rPr>
        <w:t>Canada’s Healthcare System and COVID-19 Response</w:t>
      </w:r>
      <w:bookmarkEnd w:id="11"/>
      <w:r w:rsidRPr="00C82C97">
        <w:rPr>
          <w:rFonts w:ascii="Arial" w:hAnsi="Arial" w:cs="Arial"/>
          <w:b/>
          <w:bCs/>
          <w:color w:val="auto"/>
          <w:sz w:val="28"/>
          <w:szCs w:val="28"/>
        </w:rPr>
        <w:t xml:space="preserve"> </w:t>
      </w:r>
    </w:p>
    <w:p w14:paraId="2A896E82" w14:textId="77777777" w:rsidR="0080026E" w:rsidRPr="0080026E" w:rsidRDefault="0080026E" w:rsidP="00B257AD">
      <w:pPr>
        <w:spacing w:line="360" w:lineRule="auto"/>
        <w:rPr>
          <w:rFonts w:ascii="Arial" w:hAnsi="Arial" w:cs="Arial"/>
        </w:rPr>
      </w:pPr>
      <w:r w:rsidRPr="0080026E">
        <w:rPr>
          <w:rFonts w:ascii="Arial" w:hAnsi="Arial" w:cs="Arial"/>
        </w:rPr>
        <w:t>Canada’s healthcare system is one of the most decentralised in the world. While the federal government provides funding, oversees border control, and offers national guidance, the provinces and territories are responsible for delivering healthcare services, managing hospitals, and implementing most public health measures (Marchildon, Allin &amp; Merkur, 2020). This constitutional arrangement significantly shaped Canada’s COVID-19 response and often led to variation across the country.</w:t>
      </w:r>
    </w:p>
    <w:p w14:paraId="75613B1A" w14:textId="021330D8" w:rsidR="0080026E" w:rsidRPr="0080026E" w:rsidRDefault="0080026E" w:rsidP="00B257AD">
      <w:pPr>
        <w:spacing w:line="360" w:lineRule="auto"/>
        <w:rPr>
          <w:rFonts w:ascii="Arial" w:hAnsi="Arial" w:cs="Arial"/>
        </w:rPr>
      </w:pPr>
      <w:r w:rsidRPr="0080026E">
        <w:rPr>
          <w:rFonts w:ascii="Arial" w:hAnsi="Arial" w:cs="Arial"/>
        </w:rPr>
        <w:t xml:space="preserve">Decentralisation gave provinces the flexibility to tailor policies to their own situations, but it also resulted in fragmented and inconsistent decision-making. Each province made its own choices on restrictions, school closures, testing, contact tracing, and vaccination rollout (Flood &amp; Thomas, 2021). As a result, pandemic outcomes varied widely. </w:t>
      </w:r>
      <w:r w:rsidR="00FE20BC">
        <w:rPr>
          <w:rFonts w:ascii="Arial" w:hAnsi="Arial" w:cs="Arial"/>
        </w:rPr>
        <w:t>P</w:t>
      </w:r>
      <w:r w:rsidRPr="0080026E">
        <w:rPr>
          <w:rFonts w:ascii="Arial" w:hAnsi="Arial" w:cs="Arial"/>
        </w:rPr>
        <w:t xml:space="preserve">rovinces, like British Columbia, acted quickly and kept early transmission </w:t>
      </w:r>
      <w:r w:rsidR="00053557" w:rsidRPr="0080026E">
        <w:rPr>
          <w:rFonts w:ascii="Arial" w:hAnsi="Arial" w:cs="Arial"/>
        </w:rPr>
        <w:t>low</w:t>
      </w:r>
      <w:r w:rsidRPr="0080026E">
        <w:rPr>
          <w:rFonts w:ascii="Arial" w:hAnsi="Arial" w:cs="Arial"/>
        </w:rPr>
        <w:t>. Others, such as Ontario and Quebec, faced repeated waves, strained hospitals, and challenges in long-term care.</w:t>
      </w:r>
    </w:p>
    <w:p w14:paraId="2E255865" w14:textId="4553CE63" w:rsidR="0080026E" w:rsidRPr="0080026E" w:rsidRDefault="0080026E" w:rsidP="00B257AD">
      <w:pPr>
        <w:spacing w:line="360" w:lineRule="auto"/>
        <w:rPr>
          <w:rFonts w:ascii="Arial" w:hAnsi="Arial" w:cs="Arial"/>
        </w:rPr>
      </w:pPr>
      <w:r w:rsidRPr="0080026E">
        <w:rPr>
          <w:rFonts w:ascii="Arial" w:hAnsi="Arial" w:cs="Arial"/>
        </w:rPr>
        <w:t xml:space="preserve">One of the most serious issues exposed during the pandemic was the crisis in long-term care (LTC). Canada recorded the highest LTC-related mortality rates among OECD countries in the first waves (Stall et al., 2020). Because LTC homes fall under provincial </w:t>
      </w:r>
      <w:r w:rsidR="00B257AD" w:rsidRPr="0080026E">
        <w:rPr>
          <w:rFonts w:ascii="Arial" w:hAnsi="Arial" w:cs="Arial"/>
        </w:rPr>
        <w:t>authority</w:t>
      </w:r>
      <w:r w:rsidRPr="0080026E">
        <w:rPr>
          <w:rFonts w:ascii="Arial" w:hAnsi="Arial" w:cs="Arial"/>
        </w:rPr>
        <w:t>, national standards could not be imposed directly. Chronic problems</w:t>
      </w:r>
      <w:r w:rsidR="002C5B43">
        <w:rPr>
          <w:rFonts w:ascii="Arial" w:hAnsi="Arial" w:cs="Arial"/>
        </w:rPr>
        <w:t xml:space="preserve"> </w:t>
      </w:r>
      <w:r w:rsidRPr="0080026E">
        <w:rPr>
          <w:rFonts w:ascii="Arial" w:hAnsi="Arial" w:cs="Arial"/>
        </w:rPr>
        <w:t>such as understaffing, old infrastructure, and inadequate infection control</w:t>
      </w:r>
      <w:r w:rsidR="002C5B43">
        <w:rPr>
          <w:rFonts w:ascii="Arial" w:hAnsi="Arial" w:cs="Arial"/>
        </w:rPr>
        <w:t xml:space="preserve"> </w:t>
      </w:r>
      <w:r w:rsidRPr="0080026E">
        <w:rPr>
          <w:rFonts w:ascii="Arial" w:hAnsi="Arial" w:cs="Arial"/>
        </w:rPr>
        <w:t>became deadly under the pressure of COVID-19. In provinces, military assistance was required to stabilise LTC homes, showing how vulnerable the system was.</w:t>
      </w:r>
    </w:p>
    <w:p w14:paraId="69BCEF95" w14:textId="6675FBD0" w:rsidR="0080026E" w:rsidRPr="0080026E" w:rsidRDefault="0080026E" w:rsidP="00B257AD">
      <w:pPr>
        <w:spacing w:line="360" w:lineRule="auto"/>
        <w:rPr>
          <w:rFonts w:ascii="Arial" w:hAnsi="Arial" w:cs="Arial"/>
        </w:rPr>
      </w:pPr>
      <w:r w:rsidRPr="0080026E">
        <w:rPr>
          <w:rFonts w:ascii="Arial" w:hAnsi="Arial" w:cs="Arial"/>
        </w:rPr>
        <w:t xml:space="preserve">Canada’s decentralised data systems also created challenges. Provinces used different technologies, definitions, and reporting practices. This made it difficult for the federal government to build an accurate national picture of cases, outbreaks, and hospital capacity </w:t>
      </w:r>
      <w:r w:rsidRPr="0080026E">
        <w:rPr>
          <w:rFonts w:ascii="Arial" w:hAnsi="Arial" w:cs="Arial"/>
        </w:rPr>
        <w:lastRenderedPageBreak/>
        <w:t xml:space="preserve">(Fisman &amp; Tuite, 2021). Researchers repeatedly stressed the need for a unified national data platform, but disagreements over </w:t>
      </w:r>
      <w:r w:rsidR="00B257AD" w:rsidRPr="0080026E">
        <w:rPr>
          <w:rFonts w:ascii="Arial" w:hAnsi="Arial" w:cs="Arial"/>
        </w:rPr>
        <w:t>authority</w:t>
      </w:r>
      <w:r w:rsidRPr="0080026E">
        <w:rPr>
          <w:rFonts w:ascii="Arial" w:hAnsi="Arial" w:cs="Arial"/>
        </w:rPr>
        <w:t xml:space="preserve"> slowed progress (Bubela et al., 2023).</w:t>
      </w:r>
    </w:p>
    <w:p w14:paraId="10401F9E" w14:textId="7F625EAC" w:rsidR="0080026E" w:rsidRPr="0080026E" w:rsidRDefault="0080026E" w:rsidP="00B257AD">
      <w:pPr>
        <w:spacing w:line="360" w:lineRule="auto"/>
        <w:rPr>
          <w:rFonts w:ascii="Arial" w:hAnsi="Arial" w:cs="Arial"/>
        </w:rPr>
      </w:pPr>
      <w:r w:rsidRPr="0080026E">
        <w:rPr>
          <w:rFonts w:ascii="Arial" w:hAnsi="Arial" w:cs="Arial"/>
        </w:rPr>
        <w:t>Despite these problems, decentralisation also enabled innovation. For example, the “Atlantic Bubble</w:t>
      </w:r>
      <w:r w:rsidR="001742EE" w:rsidRPr="0080026E">
        <w:rPr>
          <w:rFonts w:ascii="Arial" w:hAnsi="Arial" w:cs="Arial"/>
        </w:rPr>
        <w:t>,”</w:t>
      </w:r>
      <w:r w:rsidR="000C062C">
        <w:rPr>
          <w:rFonts w:ascii="Arial" w:hAnsi="Arial" w:cs="Arial"/>
        </w:rPr>
        <w:t xml:space="preserve"> </w:t>
      </w:r>
      <w:r w:rsidRPr="0080026E">
        <w:rPr>
          <w:rFonts w:ascii="Arial" w:hAnsi="Arial" w:cs="Arial"/>
        </w:rPr>
        <w:t>a coordinated regional travel restriction implemented by four eastern provinces</w:t>
      </w:r>
      <w:r w:rsidR="000C062C">
        <w:rPr>
          <w:rFonts w:ascii="Arial" w:hAnsi="Arial" w:cs="Arial"/>
        </w:rPr>
        <w:t xml:space="preserve">, </w:t>
      </w:r>
      <w:r w:rsidRPr="0080026E">
        <w:rPr>
          <w:rFonts w:ascii="Arial" w:hAnsi="Arial" w:cs="Arial"/>
        </w:rPr>
        <w:t>successfully controlled transmission for months (Ross, 2020). Indigenous communities, with federal support, developed their own culturally informed public health measures and achieved strong outcomes in regions (Greenwood et al., 2018; Richardson &amp; Crawford, 2020). These examples show that local autonomy can lead to highly effective solutions when strong leadership and community engagement are present.</w:t>
      </w:r>
    </w:p>
    <w:p w14:paraId="0709A6E0" w14:textId="0A28523E" w:rsidR="0080026E" w:rsidRPr="0080026E" w:rsidRDefault="0080026E" w:rsidP="00B257AD">
      <w:pPr>
        <w:spacing w:line="360" w:lineRule="auto"/>
        <w:rPr>
          <w:rFonts w:ascii="Arial" w:hAnsi="Arial" w:cs="Arial"/>
        </w:rPr>
      </w:pPr>
      <w:r w:rsidRPr="0080026E">
        <w:rPr>
          <w:rFonts w:ascii="Arial" w:hAnsi="Arial" w:cs="Arial"/>
        </w:rPr>
        <w:t xml:space="preserve">At the federal level, Prime Minister Justin Trudeau played </w:t>
      </w:r>
      <w:r w:rsidR="00E00D99" w:rsidRPr="0080026E">
        <w:rPr>
          <w:rFonts w:ascii="Arial" w:hAnsi="Arial" w:cs="Arial"/>
        </w:rPr>
        <w:t>a significant role</w:t>
      </w:r>
      <w:r w:rsidRPr="0080026E">
        <w:rPr>
          <w:rFonts w:ascii="Arial" w:hAnsi="Arial" w:cs="Arial"/>
        </w:rPr>
        <w:t xml:space="preserve"> in national coordination, vaccine procurement, and financial support. The federal government secured </w:t>
      </w:r>
      <w:r w:rsidR="00E00D99" w:rsidRPr="0080026E">
        <w:rPr>
          <w:rFonts w:ascii="Arial" w:hAnsi="Arial" w:cs="Arial"/>
        </w:rPr>
        <w:t>massive quantities</w:t>
      </w:r>
      <w:r w:rsidRPr="0080026E">
        <w:rPr>
          <w:rFonts w:ascii="Arial" w:hAnsi="Arial" w:cs="Arial"/>
        </w:rPr>
        <w:t xml:space="preserve"> of vaccines early</w:t>
      </w:r>
      <w:r w:rsidR="005405A5">
        <w:rPr>
          <w:rFonts w:ascii="Arial" w:hAnsi="Arial" w:cs="Arial"/>
        </w:rPr>
        <w:t xml:space="preserve">, </w:t>
      </w:r>
      <w:r w:rsidRPr="0080026E">
        <w:rPr>
          <w:rFonts w:ascii="Arial" w:hAnsi="Arial" w:cs="Arial"/>
        </w:rPr>
        <w:t>although shipments were delayed</w:t>
      </w:r>
      <w:r w:rsidR="005405A5">
        <w:rPr>
          <w:rFonts w:ascii="Arial" w:hAnsi="Arial" w:cs="Arial"/>
        </w:rPr>
        <w:t xml:space="preserve">, </w:t>
      </w:r>
      <w:r w:rsidRPr="0080026E">
        <w:rPr>
          <w:rFonts w:ascii="Arial" w:hAnsi="Arial" w:cs="Arial"/>
        </w:rPr>
        <w:t>and Trudeau’s communication strategy helped maintain public reassurance during periods of uncertainty (Public Health Agency of Canada, 2024). The government also introduced unprecedented economic programmes, such as the Canada Emergency Response Benefit (CERB), which helped workers and families cope with prolonged shutdowns (OECD, 2021).</w:t>
      </w:r>
    </w:p>
    <w:p w14:paraId="185394E0" w14:textId="77777777" w:rsidR="0080026E" w:rsidRPr="0080026E" w:rsidRDefault="0080026E" w:rsidP="00B257AD">
      <w:pPr>
        <w:spacing w:line="360" w:lineRule="auto"/>
        <w:rPr>
          <w:rFonts w:ascii="Arial" w:hAnsi="Arial" w:cs="Arial"/>
        </w:rPr>
      </w:pPr>
      <w:r w:rsidRPr="0080026E">
        <w:rPr>
          <w:rFonts w:ascii="Arial" w:hAnsi="Arial" w:cs="Arial"/>
        </w:rPr>
        <w:t>Still, Canada’s overall COVID-19 response has often been described as uneven. Strong federal leadership sometimes clashed with provincial autonomy, resulting in a “patchwork” system where the effectiveness of the response depended heavily on where people lived. This context sets the stage for a closer examination of Justin Trudeau’s leadership style and its impact during the pandemic.</w:t>
      </w:r>
    </w:p>
    <w:p w14:paraId="59832360" w14:textId="69A92360" w:rsidR="0080026E" w:rsidRPr="00E1722B" w:rsidRDefault="0080026E" w:rsidP="00E1722B">
      <w:pPr>
        <w:pStyle w:val="Heading2"/>
        <w:rPr>
          <w:rFonts w:ascii="Arial" w:hAnsi="Arial" w:cs="Arial"/>
          <w:b/>
          <w:bCs/>
          <w:color w:val="auto"/>
        </w:rPr>
      </w:pPr>
    </w:p>
    <w:p w14:paraId="16F0F717" w14:textId="435834AE" w:rsidR="0080026E" w:rsidRPr="00E1722B" w:rsidRDefault="0080026E" w:rsidP="00E1722B">
      <w:pPr>
        <w:pStyle w:val="Heading2"/>
        <w:rPr>
          <w:rFonts w:ascii="Arial" w:hAnsi="Arial" w:cs="Arial"/>
          <w:b/>
          <w:bCs/>
          <w:color w:val="auto"/>
          <w:sz w:val="28"/>
          <w:szCs w:val="28"/>
        </w:rPr>
      </w:pPr>
      <w:r w:rsidRPr="00E1722B">
        <w:rPr>
          <w:rFonts w:ascii="Arial" w:hAnsi="Arial" w:cs="Arial"/>
          <w:b/>
          <w:bCs/>
          <w:color w:val="auto"/>
        </w:rPr>
        <w:t xml:space="preserve"> </w:t>
      </w:r>
      <w:bookmarkStart w:id="12" w:name="_Toc216182392"/>
      <w:r w:rsidRPr="00E1722B">
        <w:rPr>
          <w:rFonts w:ascii="Arial" w:hAnsi="Arial" w:cs="Arial"/>
          <w:b/>
          <w:bCs/>
          <w:color w:val="auto"/>
          <w:sz w:val="28"/>
          <w:szCs w:val="28"/>
        </w:rPr>
        <w:t>Leadership Styles in Canada: Prime Minister Justin Trudeau</w:t>
      </w:r>
      <w:bookmarkEnd w:id="12"/>
      <w:r w:rsidRPr="00E1722B">
        <w:rPr>
          <w:rFonts w:ascii="Arial" w:hAnsi="Arial" w:cs="Arial"/>
          <w:b/>
          <w:bCs/>
          <w:color w:val="auto"/>
          <w:sz w:val="28"/>
          <w:szCs w:val="28"/>
        </w:rPr>
        <w:t xml:space="preserve"> </w:t>
      </w:r>
    </w:p>
    <w:p w14:paraId="3543DF55" w14:textId="77777777" w:rsidR="0080026E" w:rsidRPr="0080026E" w:rsidRDefault="0080026E" w:rsidP="00B257AD">
      <w:pPr>
        <w:spacing w:line="360" w:lineRule="auto"/>
        <w:rPr>
          <w:rFonts w:ascii="Arial" w:hAnsi="Arial" w:cs="Arial"/>
        </w:rPr>
      </w:pPr>
      <w:r w:rsidRPr="0080026E">
        <w:rPr>
          <w:rFonts w:ascii="Arial" w:hAnsi="Arial" w:cs="Arial"/>
        </w:rPr>
        <w:t>Prime Minister Justin Trudeau’s leadership during COVID-19 was shaped by the realities of Canada’s decentralised federation. Unlike leaders in more centralised systems, Trudeau could not impose national lockdowns or provincial restrictions. Instead, he had to guide the country through collaboration, communication, and national-level decision-making.</w:t>
      </w:r>
    </w:p>
    <w:p w14:paraId="07DB9FA4" w14:textId="77777777" w:rsidR="0080026E" w:rsidRPr="0080026E" w:rsidRDefault="0080026E" w:rsidP="00B257AD">
      <w:pPr>
        <w:spacing w:line="360" w:lineRule="auto"/>
        <w:rPr>
          <w:rFonts w:ascii="Arial" w:hAnsi="Arial" w:cs="Arial"/>
          <w:b/>
          <w:bCs/>
          <w:sz w:val="24"/>
          <w:szCs w:val="24"/>
        </w:rPr>
      </w:pPr>
      <w:r w:rsidRPr="0080026E">
        <w:rPr>
          <w:rFonts w:ascii="Arial" w:hAnsi="Arial" w:cs="Arial"/>
          <w:b/>
          <w:bCs/>
          <w:sz w:val="24"/>
          <w:szCs w:val="24"/>
        </w:rPr>
        <w:t>Collaborative Leadership in a Decentralised System</w:t>
      </w:r>
    </w:p>
    <w:p w14:paraId="0F880F4D" w14:textId="0FBB6D62" w:rsidR="0080026E" w:rsidRPr="0080026E" w:rsidRDefault="0080026E" w:rsidP="00B257AD">
      <w:pPr>
        <w:spacing w:line="360" w:lineRule="auto"/>
        <w:rPr>
          <w:rFonts w:ascii="Arial" w:hAnsi="Arial" w:cs="Arial"/>
        </w:rPr>
      </w:pPr>
      <w:r w:rsidRPr="0080026E">
        <w:rPr>
          <w:rFonts w:ascii="Arial" w:hAnsi="Arial" w:cs="Arial"/>
        </w:rPr>
        <w:t xml:space="preserve">Because provinces hold most public health powers, Trudeau relied heavily on </w:t>
      </w:r>
      <w:r w:rsidRPr="0080026E">
        <w:rPr>
          <w:rFonts w:ascii="Arial" w:hAnsi="Arial" w:cs="Arial"/>
          <w:b/>
          <w:bCs/>
        </w:rPr>
        <w:t>collaborative leadership</w:t>
      </w:r>
      <w:r w:rsidRPr="0080026E">
        <w:rPr>
          <w:rFonts w:ascii="Arial" w:hAnsi="Arial" w:cs="Arial"/>
        </w:rPr>
        <w:t xml:space="preserve">, which involves partnership-building and shared problem-solving (Ansell et al., 2020). He held frequent meetings with provincial premiers to coordinate strategies, negotiate responsibilities, and encourage unity. Although cooperation varied by province, Trudeau’s </w:t>
      </w:r>
      <w:r w:rsidRPr="0080026E">
        <w:rPr>
          <w:rFonts w:ascii="Arial" w:hAnsi="Arial" w:cs="Arial"/>
        </w:rPr>
        <w:lastRenderedPageBreak/>
        <w:t xml:space="preserve">approach helped establish </w:t>
      </w:r>
      <w:r w:rsidR="005405A5">
        <w:rPr>
          <w:rFonts w:ascii="Arial" w:hAnsi="Arial" w:cs="Arial"/>
        </w:rPr>
        <w:t xml:space="preserve">a </w:t>
      </w:r>
      <w:r w:rsidRPr="0080026E">
        <w:rPr>
          <w:rFonts w:ascii="Arial" w:hAnsi="Arial" w:cs="Arial"/>
        </w:rPr>
        <w:t>degree of national coherence</w:t>
      </w:r>
      <w:r w:rsidR="005405A5">
        <w:rPr>
          <w:rFonts w:ascii="Arial" w:hAnsi="Arial" w:cs="Arial"/>
        </w:rPr>
        <w:t xml:space="preserve">, </w:t>
      </w:r>
      <w:r w:rsidRPr="0080026E">
        <w:rPr>
          <w:rFonts w:ascii="Arial" w:hAnsi="Arial" w:cs="Arial"/>
        </w:rPr>
        <w:t>especially around border measures, vaccine allocation, and socioeconomic support.</w:t>
      </w:r>
    </w:p>
    <w:p w14:paraId="71BFC3B4" w14:textId="33DFE3E1" w:rsidR="0080026E" w:rsidRPr="0080026E" w:rsidRDefault="0080026E" w:rsidP="00B257AD">
      <w:pPr>
        <w:spacing w:line="360" w:lineRule="auto"/>
        <w:rPr>
          <w:rFonts w:ascii="Arial" w:hAnsi="Arial" w:cs="Arial"/>
        </w:rPr>
      </w:pPr>
      <w:r w:rsidRPr="0080026E">
        <w:rPr>
          <w:rFonts w:ascii="Arial" w:hAnsi="Arial" w:cs="Arial"/>
        </w:rPr>
        <w:t xml:space="preserve">This collaborative approach was essential because Trudeau lacked </w:t>
      </w:r>
      <w:r w:rsidR="005405A5">
        <w:rPr>
          <w:rFonts w:ascii="Arial" w:hAnsi="Arial" w:cs="Arial"/>
        </w:rPr>
        <w:t xml:space="preserve">the </w:t>
      </w:r>
      <w:r w:rsidRPr="0080026E">
        <w:rPr>
          <w:rFonts w:ascii="Arial" w:hAnsi="Arial" w:cs="Arial"/>
        </w:rPr>
        <w:t>authority to enforce provincial actions. In ways, he had to lead through influence rather than command.</w:t>
      </w:r>
    </w:p>
    <w:p w14:paraId="64C3BC36" w14:textId="77777777" w:rsidR="0080026E" w:rsidRPr="0080026E" w:rsidRDefault="0080026E" w:rsidP="00B257AD">
      <w:pPr>
        <w:spacing w:line="360" w:lineRule="auto"/>
        <w:rPr>
          <w:rFonts w:ascii="Arial" w:hAnsi="Arial" w:cs="Arial"/>
          <w:b/>
          <w:bCs/>
          <w:sz w:val="24"/>
          <w:szCs w:val="24"/>
        </w:rPr>
      </w:pPr>
      <w:r w:rsidRPr="0080026E">
        <w:rPr>
          <w:rFonts w:ascii="Arial" w:hAnsi="Arial" w:cs="Arial"/>
          <w:b/>
          <w:bCs/>
          <w:sz w:val="24"/>
          <w:szCs w:val="24"/>
        </w:rPr>
        <w:t>Transformational Leadership Through Communication</w:t>
      </w:r>
    </w:p>
    <w:p w14:paraId="44184C24" w14:textId="77777777" w:rsidR="0080026E" w:rsidRPr="0080026E" w:rsidRDefault="0080026E" w:rsidP="00B257AD">
      <w:pPr>
        <w:spacing w:line="360" w:lineRule="auto"/>
        <w:rPr>
          <w:rFonts w:ascii="Arial" w:hAnsi="Arial" w:cs="Arial"/>
        </w:rPr>
      </w:pPr>
      <w:r w:rsidRPr="0080026E">
        <w:rPr>
          <w:rFonts w:ascii="Arial" w:hAnsi="Arial" w:cs="Arial"/>
        </w:rPr>
        <w:t xml:space="preserve">Throughout the early months of the pandemic, Trudeau delivered daily briefings that focused on empathy, clarity, and national solidarity. These messages reflected </w:t>
      </w:r>
      <w:r w:rsidRPr="0080026E">
        <w:rPr>
          <w:rFonts w:ascii="Arial" w:hAnsi="Arial" w:cs="Arial"/>
          <w:b/>
          <w:bCs/>
        </w:rPr>
        <w:t>transformational leadership</w:t>
      </w:r>
      <w:r w:rsidRPr="0080026E">
        <w:rPr>
          <w:rFonts w:ascii="Arial" w:hAnsi="Arial" w:cs="Arial"/>
        </w:rPr>
        <w:t>, which inspires people by emphasising shared purpose and moral responsibility (Bass &amp; Riggio, 2006). Trudeau often spoke directly to families, essential workers, and vulnerable populations, recognising their fears and sacrifices.</w:t>
      </w:r>
    </w:p>
    <w:p w14:paraId="732DE9D3" w14:textId="3ADB36AD" w:rsidR="0080026E" w:rsidRPr="0080026E" w:rsidRDefault="0080026E" w:rsidP="00B257AD">
      <w:pPr>
        <w:spacing w:line="360" w:lineRule="auto"/>
        <w:rPr>
          <w:rFonts w:ascii="Arial" w:hAnsi="Arial" w:cs="Arial"/>
        </w:rPr>
      </w:pPr>
      <w:r w:rsidRPr="0080026E">
        <w:rPr>
          <w:rFonts w:ascii="Arial" w:hAnsi="Arial" w:cs="Arial"/>
        </w:rPr>
        <w:t xml:space="preserve">His communication helped build trust during periods of uncertainty, especially while he himself was isolating due to his wife’s COVID-19 diagnosis. This visible sense of presence and reassurance played </w:t>
      </w:r>
      <w:r w:rsidR="00E00D99" w:rsidRPr="0080026E">
        <w:rPr>
          <w:rFonts w:ascii="Arial" w:hAnsi="Arial" w:cs="Arial"/>
        </w:rPr>
        <w:t>a key role</w:t>
      </w:r>
      <w:r w:rsidRPr="0080026E">
        <w:rPr>
          <w:rFonts w:ascii="Arial" w:hAnsi="Arial" w:cs="Arial"/>
        </w:rPr>
        <w:t xml:space="preserve"> in shaping public morale.</w:t>
      </w:r>
    </w:p>
    <w:p w14:paraId="4370414F" w14:textId="77777777" w:rsidR="0080026E" w:rsidRPr="0080026E" w:rsidRDefault="0080026E" w:rsidP="00B257AD">
      <w:pPr>
        <w:spacing w:line="360" w:lineRule="auto"/>
        <w:rPr>
          <w:rFonts w:ascii="Arial" w:hAnsi="Arial" w:cs="Arial"/>
          <w:b/>
          <w:bCs/>
          <w:sz w:val="24"/>
          <w:szCs w:val="24"/>
        </w:rPr>
      </w:pPr>
      <w:r w:rsidRPr="0080026E">
        <w:rPr>
          <w:rFonts w:ascii="Arial" w:hAnsi="Arial" w:cs="Arial"/>
          <w:b/>
          <w:bCs/>
          <w:sz w:val="24"/>
          <w:szCs w:val="24"/>
        </w:rPr>
        <w:t>Adaptive Leadership and Policy Flexibility</w:t>
      </w:r>
    </w:p>
    <w:p w14:paraId="44863EB4" w14:textId="77777777" w:rsidR="0080026E" w:rsidRPr="0080026E" w:rsidRDefault="0080026E" w:rsidP="00B257AD">
      <w:pPr>
        <w:spacing w:line="360" w:lineRule="auto"/>
        <w:rPr>
          <w:rFonts w:ascii="Arial" w:hAnsi="Arial" w:cs="Arial"/>
        </w:rPr>
      </w:pPr>
      <w:r w:rsidRPr="0080026E">
        <w:rPr>
          <w:rFonts w:ascii="Arial" w:hAnsi="Arial" w:cs="Arial"/>
        </w:rPr>
        <w:t xml:space="preserve">Trudeau demonstrated </w:t>
      </w:r>
      <w:r w:rsidRPr="0080026E">
        <w:rPr>
          <w:rFonts w:ascii="Arial" w:hAnsi="Arial" w:cs="Arial"/>
          <w:b/>
          <w:bCs/>
        </w:rPr>
        <w:t>adaptive leadership</w:t>
      </w:r>
      <w:r w:rsidRPr="0080026E">
        <w:rPr>
          <w:rFonts w:ascii="Arial" w:hAnsi="Arial" w:cs="Arial"/>
        </w:rPr>
        <w:t xml:space="preserve"> by adjusting policies as circumstances changed (Heifetz et al., 2009). For example:</w:t>
      </w:r>
    </w:p>
    <w:p w14:paraId="6D205269" w14:textId="77777777" w:rsidR="0080026E" w:rsidRPr="0080026E" w:rsidRDefault="0080026E" w:rsidP="00B257AD">
      <w:pPr>
        <w:numPr>
          <w:ilvl w:val="0"/>
          <w:numId w:val="11"/>
        </w:numPr>
        <w:spacing w:line="360" w:lineRule="auto"/>
        <w:rPr>
          <w:rFonts w:ascii="Arial" w:hAnsi="Arial" w:cs="Arial"/>
        </w:rPr>
      </w:pPr>
      <w:r w:rsidRPr="0080026E">
        <w:rPr>
          <w:rFonts w:ascii="Arial" w:hAnsi="Arial" w:cs="Arial"/>
        </w:rPr>
        <w:t>Border restrictions tightened in response to new variants.</w:t>
      </w:r>
    </w:p>
    <w:p w14:paraId="0C0669E1" w14:textId="77777777" w:rsidR="0080026E" w:rsidRPr="0080026E" w:rsidRDefault="0080026E" w:rsidP="00B257AD">
      <w:pPr>
        <w:numPr>
          <w:ilvl w:val="0"/>
          <w:numId w:val="11"/>
        </w:numPr>
        <w:spacing w:line="360" w:lineRule="auto"/>
        <w:rPr>
          <w:rFonts w:ascii="Arial" w:hAnsi="Arial" w:cs="Arial"/>
        </w:rPr>
      </w:pPr>
      <w:r w:rsidRPr="0080026E">
        <w:rPr>
          <w:rFonts w:ascii="Arial" w:hAnsi="Arial" w:cs="Arial"/>
        </w:rPr>
        <w:t>Economic programmes such as CERB were revised to address gaps.</w:t>
      </w:r>
    </w:p>
    <w:p w14:paraId="6D188738" w14:textId="77777777" w:rsidR="0080026E" w:rsidRPr="0080026E" w:rsidRDefault="0080026E" w:rsidP="00B257AD">
      <w:pPr>
        <w:numPr>
          <w:ilvl w:val="0"/>
          <w:numId w:val="11"/>
        </w:numPr>
        <w:spacing w:line="360" w:lineRule="auto"/>
        <w:rPr>
          <w:rFonts w:ascii="Arial" w:hAnsi="Arial" w:cs="Arial"/>
        </w:rPr>
      </w:pPr>
      <w:r w:rsidRPr="0080026E">
        <w:rPr>
          <w:rFonts w:ascii="Arial" w:hAnsi="Arial" w:cs="Arial"/>
        </w:rPr>
        <w:t>Vaccine distribution strategies shifted as new supply timelines were confirmed.</w:t>
      </w:r>
    </w:p>
    <w:p w14:paraId="61086F2B" w14:textId="1850E0AF" w:rsidR="0080026E" w:rsidRPr="0080026E" w:rsidRDefault="0080026E" w:rsidP="00B257AD">
      <w:pPr>
        <w:spacing w:line="360" w:lineRule="auto"/>
        <w:rPr>
          <w:rFonts w:ascii="Arial" w:hAnsi="Arial" w:cs="Arial"/>
        </w:rPr>
      </w:pPr>
      <w:r w:rsidRPr="0080026E">
        <w:rPr>
          <w:rFonts w:ascii="Arial" w:hAnsi="Arial" w:cs="Arial"/>
        </w:rPr>
        <w:t xml:space="preserve">Adaptive leadership is essential in crises </w:t>
      </w:r>
      <w:r w:rsidR="00A73F8B">
        <w:rPr>
          <w:rFonts w:ascii="Arial" w:hAnsi="Arial" w:cs="Arial"/>
        </w:rPr>
        <w:t>where</w:t>
      </w:r>
      <w:r w:rsidRPr="0080026E">
        <w:rPr>
          <w:rFonts w:ascii="Arial" w:hAnsi="Arial" w:cs="Arial"/>
        </w:rPr>
        <w:t xml:space="preserve"> information changes rapidly. Trudeau’s willingness to revise plans and respond to expert advice helped Canada navigate uncertain phases of the pandemic.</w:t>
      </w:r>
    </w:p>
    <w:p w14:paraId="1B9DC055" w14:textId="77777777" w:rsidR="0080026E" w:rsidRPr="0080026E" w:rsidRDefault="0080026E" w:rsidP="00B257AD">
      <w:pPr>
        <w:spacing w:line="360" w:lineRule="auto"/>
        <w:rPr>
          <w:rFonts w:ascii="Arial" w:hAnsi="Arial" w:cs="Arial"/>
          <w:b/>
          <w:bCs/>
          <w:sz w:val="24"/>
          <w:szCs w:val="24"/>
        </w:rPr>
      </w:pPr>
      <w:r w:rsidRPr="0080026E">
        <w:rPr>
          <w:rFonts w:ascii="Arial" w:hAnsi="Arial" w:cs="Arial"/>
          <w:b/>
          <w:bCs/>
          <w:sz w:val="24"/>
          <w:szCs w:val="24"/>
        </w:rPr>
        <w:t>Vaccine Procurement: Strategic Leadership with Mixed Public Perception</w:t>
      </w:r>
    </w:p>
    <w:p w14:paraId="0DE82C16" w14:textId="77777777" w:rsidR="0080026E" w:rsidRPr="0080026E" w:rsidRDefault="0080026E" w:rsidP="00B257AD">
      <w:pPr>
        <w:spacing w:line="360" w:lineRule="auto"/>
        <w:rPr>
          <w:rFonts w:ascii="Arial" w:hAnsi="Arial" w:cs="Arial"/>
        </w:rPr>
      </w:pPr>
      <w:r w:rsidRPr="0080026E">
        <w:rPr>
          <w:rFonts w:ascii="Arial" w:hAnsi="Arial" w:cs="Arial"/>
        </w:rPr>
        <w:t>One of Trudeau’s most significant contributions was Canada’s national vaccine strategy. The federal government secured agreements for one of the largest per-capita vaccine supplies in the world (Public Health Agency of Canada, 2024). This showed forward-thinking and strategic leadership.</w:t>
      </w:r>
    </w:p>
    <w:p w14:paraId="1EF00C1B" w14:textId="77777777" w:rsidR="0080026E" w:rsidRPr="0080026E" w:rsidRDefault="0080026E" w:rsidP="00B257AD">
      <w:pPr>
        <w:spacing w:line="360" w:lineRule="auto"/>
        <w:rPr>
          <w:rFonts w:ascii="Arial" w:hAnsi="Arial" w:cs="Arial"/>
        </w:rPr>
      </w:pPr>
      <w:r w:rsidRPr="0080026E">
        <w:rPr>
          <w:rFonts w:ascii="Arial" w:hAnsi="Arial" w:cs="Arial"/>
        </w:rPr>
        <w:t>However, early shipment delays created public frustration, and critics described the rollout as slow. Still, once vaccines arrived consistently, provinces were able to accelerate distribution, and Canada quickly reached high vaccination rates.</w:t>
      </w:r>
    </w:p>
    <w:p w14:paraId="7A0D1F8D" w14:textId="77777777" w:rsidR="0080026E" w:rsidRPr="0080026E" w:rsidRDefault="0080026E" w:rsidP="00B257AD">
      <w:pPr>
        <w:spacing w:line="360" w:lineRule="auto"/>
        <w:rPr>
          <w:rFonts w:ascii="Arial" w:hAnsi="Arial" w:cs="Arial"/>
        </w:rPr>
      </w:pPr>
      <w:r w:rsidRPr="0080026E">
        <w:rPr>
          <w:rFonts w:ascii="Arial" w:hAnsi="Arial" w:cs="Arial"/>
        </w:rPr>
        <w:lastRenderedPageBreak/>
        <w:t>This episode demonstrates both the strengths and limitations of federal leadership in a decentralised system: Trudeau could secure vaccines but could not control how provinces administered them.</w:t>
      </w:r>
    </w:p>
    <w:p w14:paraId="648069D1" w14:textId="77777777" w:rsidR="0080026E" w:rsidRPr="0080026E" w:rsidRDefault="0080026E" w:rsidP="00B257AD">
      <w:pPr>
        <w:spacing w:line="360" w:lineRule="auto"/>
        <w:rPr>
          <w:rFonts w:ascii="Arial" w:hAnsi="Arial" w:cs="Arial"/>
          <w:b/>
          <w:bCs/>
          <w:sz w:val="24"/>
          <w:szCs w:val="24"/>
        </w:rPr>
      </w:pPr>
      <w:r w:rsidRPr="0080026E">
        <w:rPr>
          <w:rFonts w:ascii="Arial" w:hAnsi="Arial" w:cs="Arial"/>
          <w:b/>
          <w:bCs/>
          <w:sz w:val="24"/>
          <w:szCs w:val="24"/>
        </w:rPr>
        <w:t>Limitations of Leadership in a Decentralised Context</w:t>
      </w:r>
    </w:p>
    <w:p w14:paraId="2D687209" w14:textId="284DBF30" w:rsidR="0080026E" w:rsidRPr="0080026E" w:rsidRDefault="009165AB" w:rsidP="00B257AD">
      <w:pPr>
        <w:spacing w:line="360" w:lineRule="auto"/>
        <w:rPr>
          <w:rFonts w:ascii="Arial" w:hAnsi="Arial" w:cs="Arial"/>
        </w:rPr>
      </w:pPr>
      <w:r>
        <w:rPr>
          <w:rFonts w:ascii="Arial" w:hAnsi="Arial" w:cs="Arial"/>
        </w:rPr>
        <w:t>F</w:t>
      </w:r>
      <w:r w:rsidR="0080026E" w:rsidRPr="0080026E">
        <w:rPr>
          <w:rFonts w:ascii="Arial" w:hAnsi="Arial" w:cs="Arial"/>
        </w:rPr>
        <w:t>actors constrained Trudeau’s effectiveness:</w:t>
      </w:r>
    </w:p>
    <w:p w14:paraId="1AEB8775" w14:textId="77777777" w:rsidR="0080026E" w:rsidRPr="0080026E" w:rsidRDefault="0080026E" w:rsidP="00B257AD">
      <w:pPr>
        <w:numPr>
          <w:ilvl w:val="0"/>
          <w:numId w:val="12"/>
        </w:numPr>
        <w:spacing w:line="360" w:lineRule="auto"/>
        <w:rPr>
          <w:rFonts w:ascii="Arial" w:hAnsi="Arial" w:cs="Arial"/>
        </w:rPr>
      </w:pPr>
      <w:r w:rsidRPr="0080026E">
        <w:rPr>
          <w:rFonts w:ascii="Arial" w:hAnsi="Arial" w:cs="Arial"/>
          <w:b/>
          <w:bCs/>
        </w:rPr>
        <w:t>Fragmented public health data</w:t>
      </w:r>
      <w:r w:rsidRPr="0080026E">
        <w:rPr>
          <w:rFonts w:ascii="Arial" w:hAnsi="Arial" w:cs="Arial"/>
        </w:rPr>
        <w:t xml:space="preserve"> made national decision-making difficult (Fisman &amp; Tuite, 2021).</w:t>
      </w:r>
    </w:p>
    <w:p w14:paraId="58B85238" w14:textId="5A15E80C" w:rsidR="0080026E" w:rsidRPr="0080026E" w:rsidRDefault="0080026E" w:rsidP="00B257AD">
      <w:pPr>
        <w:numPr>
          <w:ilvl w:val="0"/>
          <w:numId w:val="12"/>
        </w:numPr>
        <w:spacing w:line="360" w:lineRule="auto"/>
        <w:rPr>
          <w:rFonts w:ascii="Arial" w:hAnsi="Arial" w:cs="Arial"/>
        </w:rPr>
      </w:pPr>
      <w:r w:rsidRPr="0080026E">
        <w:rPr>
          <w:rFonts w:ascii="Arial" w:hAnsi="Arial" w:cs="Arial"/>
          <w:b/>
          <w:bCs/>
        </w:rPr>
        <w:t>Long-term care failures</w:t>
      </w:r>
      <w:r w:rsidRPr="0080026E">
        <w:rPr>
          <w:rFonts w:ascii="Arial" w:hAnsi="Arial" w:cs="Arial"/>
        </w:rPr>
        <w:t xml:space="preserve"> were </w:t>
      </w:r>
      <w:r w:rsidR="00B257AD" w:rsidRPr="0080026E">
        <w:rPr>
          <w:rFonts w:ascii="Arial" w:hAnsi="Arial" w:cs="Arial"/>
        </w:rPr>
        <w:t>outside</w:t>
      </w:r>
      <w:r w:rsidRPr="0080026E">
        <w:rPr>
          <w:rFonts w:ascii="Arial" w:hAnsi="Arial" w:cs="Arial"/>
        </w:rPr>
        <w:t xml:space="preserve"> federal responsibility, though Trudeau intervened by sending military support.</w:t>
      </w:r>
    </w:p>
    <w:p w14:paraId="32370975" w14:textId="77777777" w:rsidR="0080026E" w:rsidRPr="0080026E" w:rsidRDefault="0080026E" w:rsidP="00B257AD">
      <w:pPr>
        <w:numPr>
          <w:ilvl w:val="0"/>
          <w:numId w:val="12"/>
        </w:numPr>
        <w:spacing w:line="360" w:lineRule="auto"/>
        <w:rPr>
          <w:rFonts w:ascii="Arial" w:hAnsi="Arial" w:cs="Arial"/>
        </w:rPr>
      </w:pPr>
      <w:r w:rsidRPr="0080026E">
        <w:rPr>
          <w:rFonts w:ascii="Arial" w:hAnsi="Arial" w:cs="Arial"/>
          <w:b/>
          <w:bCs/>
        </w:rPr>
        <w:t>Political differences among provinces</w:t>
      </w:r>
      <w:r w:rsidRPr="0080026E">
        <w:rPr>
          <w:rFonts w:ascii="Arial" w:hAnsi="Arial" w:cs="Arial"/>
        </w:rPr>
        <w:t xml:space="preserve"> sometimes hindered cooperative efforts.</w:t>
      </w:r>
    </w:p>
    <w:p w14:paraId="0472A28D" w14:textId="77777777" w:rsidR="0080026E" w:rsidRPr="0080026E" w:rsidRDefault="0080026E" w:rsidP="00B257AD">
      <w:pPr>
        <w:spacing w:line="360" w:lineRule="auto"/>
        <w:rPr>
          <w:rFonts w:ascii="Arial" w:hAnsi="Arial" w:cs="Arial"/>
        </w:rPr>
      </w:pPr>
      <w:r w:rsidRPr="0080026E">
        <w:rPr>
          <w:rFonts w:ascii="Arial" w:hAnsi="Arial" w:cs="Arial"/>
        </w:rPr>
        <w:t>These structural limits show how leadership effectiveness is shaped not just by personal style but by governance architecture.</w:t>
      </w:r>
    </w:p>
    <w:p w14:paraId="3CD2B4EB" w14:textId="77777777" w:rsidR="0080026E" w:rsidRPr="0080026E" w:rsidRDefault="0080026E" w:rsidP="00B257AD">
      <w:pPr>
        <w:spacing w:line="360" w:lineRule="auto"/>
        <w:rPr>
          <w:rFonts w:ascii="Arial" w:hAnsi="Arial" w:cs="Arial"/>
          <w:b/>
          <w:bCs/>
          <w:sz w:val="24"/>
          <w:szCs w:val="24"/>
        </w:rPr>
      </w:pPr>
      <w:r w:rsidRPr="0080026E">
        <w:rPr>
          <w:rFonts w:ascii="Arial" w:hAnsi="Arial" w:cs="Arial"/>
          <w:b/>
          <w:bCs/>
          <w:sz w:val="24"/>
          <w:szCs w:val="24"/>
        </w:rPr>
        <w:t>Indigenous Leadership and Collaborative Support</w:t>
      </w:r>
    </w:p>
    <w:p w14:paraId="7A736FF6" w14:textId="069746F3" w:rsidR="0080026E" w:rsidRPr="0080026E" w:rsidRDefault="0080026E" w:rsidP="00B257AD">
      <w:pPr>
        <w:spacing w:line="360" w:lineRule="auto"/>
        <w:rPr>
          <w:rFonts w:ascii="Arial" w:hAnsi="Arial" w:cs="Arial"/>
        </w:rPr>
      </w:pPr>
      <w:r w:rsidRPr="0080026E">
        <w:rPr>
          <w:rFonts w:ascii="Arial" w:hAnsi="Arial" w:cs="Arial"/>
        </w:rPr>
        <w:t xml:space="preserve">An important aspect of Trudeau’s leadership was </w:t>
      </w:r>
      <w:r w:rsidR="00FE20BC" w:rsidRPr="0080026E">
        <w:rPr>
          <w:rFonts w:ascii="Arial" w:hAnsi="Arial" w:cs="Arial"/>
        </w:rPr>
        <w:t>collaborating</w:t>
      </w:r>
      <w:r w:rsidRPr="0080026E">
        <w:rPr>
          <w:rFonts w:ascii="Arial" w:hAnsi="Arial" w:cs="Arial"/>
        </w:rPr>
        <w:t xml:space="preserve"> with Indigenous communities. The federal government collaborated with Indigenous leaders to fund testing centres, support community-led public health measures, and prioritise Indigenous populations for vaccination (Greenwood et al., 2018; Richardson &amp; Crawford, 2020). This reflects both </w:t>
      </w:r>
      <w:r w:rsidRPr="0080026E">
        <w:rPr>
          <w:rFonts w:ascii="Arial" w:hAnsi="Arial" w:cs="Arial"/>
          <w:i/>
          <w:iCs/>
        </w:rPr>
        <w:t>collaborative</w:t>
      </w:r>
      <w:r w:rsidRPr="0080026E">
        <w:rPr>
          <w:rFonts w:ascii="Arial" w:hAnsi="Arial" w:cs="Arial"/>
        </w:rPr>
        <w:t xml:space="preserve"> and </w:t>
      </w:r>
      <w:r w:rsidRPr="0080026E">
        <w:rPr>
          <w:rFonts w:ascii="Arial" w:hAnsi="Arial" w:cs="Arial"/>
          <w:i/>
          <w:iCs/>
        </w:rPr>
        <w:t>culturally responsive</w:t>
      </w:r>
      <w:r w:rsidRPr="0080026E">
        <w:rPr>
          <w:rFonts w:ascii="Arial" w:hAnsi="Arial" w:cs="Arial"/>
        </w:rPr>
        <w:t xml:space="preserve"> leadership, recognising that a one-size-fits-all approach would not work across Canada’s diverse populations.</w:t>
      </w:r>
    </w:p>
    <w:p w14:paraId="399B3358" w14:textId="77777777" w:rsidR="0080026E" w:rsidRPr="0080026E" w:rsidRDefault="0080026E" w:rsidP="00B257AD">
      <w:pPr>
        <w:spacing w:line="360" w:lineRule="auto"/>
        <w:rPr>
          <w:rFonts w:ascii="Arial" w:hAnsi="Arial" w:cs="Arial"/>
          <w:b/>
          <w:bCs/>
          <w:sz w:val="24"/>
          <w:szCs w:val="24"/>
        </w:rPr>
      </w:pPr>
      <w:r w:rsidRPr="0080026E">
        <w:rPr>
          <w:rFonts w:ascii="Arial" w:hAnsi="Arial" w:cs="Arial"/>
          <w:b/>
          <w:bCs/>
          <w:sz w:val="24"/>
          <w:szCs w:val="24"/>
        </w:rPr>
        <w:t>Overall Evaluation of Trudeau’s Leadership</w:t>
      </w:r>
    </w:p>
    <w:p w14:paraId="120D7DEE" w14:textId="3C3B6C72" w:rsidR="0080026E" w:rsidRPr="0080026E" w:rsidRDefault="0080026E" w:rsidP="00B257AD">
      <w:pPr>
        <w:spacing w:line="360" w:lineRule="auto"/>
        <w:rPr>
          <w:rFonts w:ascii="Arial" w:hAnsi="Arial" w:cs="Arial"/>
        </w:rPr>
      </w:pPr>
      <w:r w:rsidRPr="0080026E">
        <w:rPr>
          <w:rFonts w:ascii="Arial" w:hAnsi="Arial" w:cs="Arial"/>
        </w:rPr>
        <w:t xml:space="preserve">Justin Trudeau’s leadership during COVID-19 combined collaborative, adaptive, and transformational elements. He successfully led national vaccine procurement, provided strong financial </w:t>
      </w:r>
      <w:r w:rsidR="005405A5">
        <w:rPr>
          <w:rFonts w:ascii="Arial" w:hAnsi="Arial" w:cs="Arial"/>
        </w:rPr>
        <w:t>support</w:t>
      </w:r>
      <w:r w:rsidRPr="0080026E">
        <w:rPr>
          <w:rFonts w:ascii="Arial" w:hAnsi="Arial" w:cs="Arial"/>
        </w:rPr>
        <w:t>, and maintained clear communication. However, decentralisation limited his authority, leading to uneven provincial responses and challenges in long-term care and data coordination.</w:t>
      </w:r>
    </w:p>
    <w:p w14:paraId="2AA4C776" w14:textId="77777777" w:rsidR="0080026E" w:rsidRPr="0080026E" w:rsidRDefault="0080026E" w:rsidP="00B257AD">
      <w:pPr>
        <w:spacing w:line="360" w:lineRule="auto"/>
        <w:rPr>
          <w:rFonts w:ascii="Arial" w:hAnsi="Arial" w:cs="Arial"/>
        </w:rPr>
      </w:pPr>
      <w:r w:rsidRPr="0080026E">
        <w:rPr>
          <w:rFonts w:ascii="Arial" w:hAnsi="Arial" w:cs="Arial"/>
        </w:rPr>
        <w:t>Overall, Trudeau’s leadership was influential but constrained—effective in national strategy and communication, yet heavily dependent on provincial cooperation for implementation.</w:t>
      </w:r>
    </w:p>
    <w:p w14:paraId="22067EE6" w14:textId="44EDDE2E" w:rsidR="0061285F" w:rsidRPr="0061285F" w:rsidRDefault="0061285F" w:rsidP="00B257AD">
      <w:pPr>
        <w:spacing w:line="360" w:lineRule="auto"/>
        <w:rPr>
          <w:rFonts w:ascii="Arial" w:hAnsi="Arial" w:cs="Arial"/>
          <w:b/>
          <w:bCs/>
          <w:sz w:val="28"/>
          <w:szCs w:val="28"/>
        </w:rPr>
      </w:pPr>
      <w:r w:rsidRPr="0061285F">
        <w:rPr>
          <w:rFonts w:ascii="Arial" w:hAnsi="Arial" w:cs="Arial"/>
          <w:b/>
          <w:bCs/>
          <w:sz w:val="28"/>
          <w:szCs w:val="28"/>
        </w:rPr>
        <w:t xml:space="preserve">Comparative Analysis of Spain, South Korea, and Canada </w:t>
      </w:r>
    </w:p>
    <w:p w14:paraId="6E3EF5BD" w14:textId="79FEB9B2" w:rsidR="0061285F" w:rsidRPr="0061285F" w:rsidRDefault="0061285F" w:rsidP="00B257AD">
      <w:pPr>
        <w:spacing w:line="360" w:lineRule="auto"/>
        <w:rPr>
          <w:rFonts w:ascii="Arial" w:hAnsi="Arial" w:cs="Arial"/>
        </w:rPr>
      </w:pPr>
      <w:r w:rsidRPr="0061285F">
        <w:rPr>
          <w:rFonts w:ascii="Arial" w:hAnsi="Arial" w:cs="Arial"/>
        </w:rPr>
        <w:t xml:space="preserve">Comparing Spain, South Korea, and Canada shows how a country’s pandemic response depends on two major factors: </w:t>
      </w:r>
      <w:r w:rsidRPr="0061285F">
        <w:rPr>
          <w:rFonts w:ascii="Arial" w:hAnsi="Arial" w:cs="Arial"/>
          <w:b/>
          <w:bCs/>
        </w:rPr>
        <w:t>how its healthcare system is structured</w:t>
      </w:r>
      <w:r w:rsidRPr="0061285F">
        <w:rPr>
          <w:rFonts w:ascii="Arial" w:hAnsi="Arial" w:cs="Arial"/>
        </w:rPr>
        <w:t xml:space="preserve"> and </w:t>
      </w:r>
      <w:r w:rsidRPr="0061285F">
        <w:rPr>
          <w:rFonts w:ascii="Arial" w:hAnsi="Arial" w:cs="Arial"/>
          <w:b/>
          <w:bCs/>
        </w:rPr>
        <w:t>how its leaders act during uncertainty</w:t>
      </w:r>
      <w:r w:rsidRPr="0061285F">
        <w:rPr>
          <w:rFonts w:ascii="Arial" w:hAnsi="Arial" w:cs="Arial"/>
        </w:rPr>
        <w:t xml:space="preserve">. Even though all three countries faced the same global </w:t>
      </w:r>
      <w:r w:rsidRPr="0061285F">
        <w:rPr>
          <w:rFonts w:ascii="Arial" w:hAnsi="Arial" w:cs="Arial"/>
        </w:rPr>
        <w:lastRenderedPageBreak/>
        <w:t>threat, their outcomes varied because of differences in centralisation, public health capacity, and leadership behaviour.</w:t>
      </w:r>
    </w:p>
    <w:p w14:paraId="00664D76" w14:textId="13CA9EFE" w:rsidR="0061285F" w:rsidRPr="0061285F" w:rsidRDefault="0061285F" w:rsidP="00B257AD">
      <w:pPr>
        <w:spacing w:line="360" w:lineRule="auto"/>
        <w:rPr>
          <w:rFonts w:ascii="Arial" w:hAnsi="Arial" w:cs="Arial"/>
        </w:rPr>
      </w:pPr>
    </w:p>
    <w:p w14:paraId="6FB6520D" w14:textId="52C68668" w:rsidR="0061285F" w:rsidRPr="0061285F" w:rsidRDefault="0061285F" w:rsidP="00B257AD">
      <w:pPr>
        <w:spacing w:line="360" w:lineRule="auto"/>
        <w:rPr>
          <w:rFonts w:ascii="Arial" w:hAnsi="Arial" w:cs="Arial"/>
          <w:b/>
          <w:bCs/>
          <w:sz w:val="24"/>
          <w:szCs w:val="24"/>
        </w:rPr>
      </w:pPr>
      <w:r w:rsidRPr="0061285F">
        <w:rPr>
          <w:rFonts w:ascii="Arial" w:hAnsi="Arial" w:cs="Arial"/>
          <w:b/>
          <w:bCs/>
          <w:sz w:val="24"/>
          <w:szCs w:val="24"/>
        </w:rPr>
        <w:t>Centralisation vs. Decentralisation: How System Design Shaped Responses</w:t>
      </w:r>
    </w:p>
    <w:p w14:paraId="4076A0AE" w14:textId="77777777" w:rsidR="0061285F" w:rsidRPr="0061285F" w:rsidRDefault="0061285F" w:rsidP="00B257AD">
      <w:pPr>
        <w:spacing w:line="360" w:lineRule="auto"/>
        <w:rPr>
          <w:rFonts w:ascii="Arial" w:hAnsi="Arial" w:cs="Arial"/>
        </w:rPr>
      </w:pPr>
      <w:r w:rsidRPr="0061285F">
        <w:rPr>
          <w:rFonts w:ascii="Arial" w:hAnsi="Arial" w:cs="Arial"/>
        </w:rPr>
        <w:t>One of the clearest differences between the three countries was the level of centralisation in their health systems.</w:t>
      </w:r>
    </w:p>
    <w:p w14:paraId="21FF00EA" w14:textId="77777777" w:rsidR="0061285F" w:rsidRPr="0061285F" w:rsidRDefault="0061285F" w:rsidP="00B257AD">
      <w:pPr>
        <w:spacing w:line="360" w:lineRule="auto"/>
        <w:rPr>
          <w:rFonts w:ascii="Arial" w:hAnsi="Arial" w:cs="Arial"/>
          <w:b/>
          <w:bCs/>
          <w:sz w:val="24"/>
          <w:szCs w:val="24"/>
        </w:rPr>
      </w:pPr>
      <w:r w:rsidRPr="0061285F">
        <w:rPr>
          <w:rFonts w:ascii="Arial" w:hAnsi="Arial" w:cs="Arial"/>
          <w:b/>
          <w:bCs/>
          <w:sz w:val="24"/>
          <w:szCs w:val="24"/>
        </w:rPr>
        <w:t>South Korea: Strong Centralisation Enabled Speed</w:t>
      </w:r>
    </w:p>
    <w:p w14:paraId="4ED2D258" w14:textId="77777777" w:rsidR="0061285F" w:rsidRPr="0061285F" w:rsidRDefault="0061285F" w:rsidP="00B257AD">
      <w:pPr>
        <w:spacing w:line="360" w:lineRule="auto"/>
        <w:rPr>
          <w:rFonts w:ascii="Arial" w:hAnsi="Arial" w:cs="Arial"/>
        </w:rPr>
      </w:pPr>
      <w:r w:rsidRPr="0061285F">
        <w:rPr>
          <w:rFonts w:ascii="Arial" w:hAnsi="Arial" w:cs="Arial"/>
        </w:rPr>
        <w:t>South Korea’s centralised system allowed national leaders to implement policies quickly and consistently. The KDCA and central government worked together to expand testing, contact tracing, and data sharing almost immediately (Kim, 2020; Lee &amp; Lee, 2020). Centralisation helped avoid delays because local governments were already integrated into a national strategy.</w:t>
      </w:r>
    </w:p>
    <w:p w14:paraId="08DC62CC" w14:textId="77777777" w:rsidR="0061285F" w:rsidRPr="0061285F" w:rsidRDefault="0061285F" w:rsidP="00B257AD">
      <w:pPr>
        <w:spacing w:line="360" w:lineRule="auto"/>
        <w:rPr>
          <w:rFonts w:ascii="Arial" w:hAnsi="Arial" w:cs="Arial"/>
          <w:b/>
          <w:bCs/>
          <w:sz w:val="24"/>
          <w:szCs w:val="24"/>
        </w:rPr>
      </w:pPr>
      <w:r w:rsidRPr="0061285F">
        <w:rPr>
          <w:rFonts w:ascii="Arial" w:hAnsi="Arial" w:cs="Arial"/>
          <w:b/>
          <w:bCs/>
          <w:sz w:val="24"/>
          <w:szCs w:val="24"/>
        </w:rPr>
        <w:t>Spain: Decentralisation Slowed Early Response</w:t>
      </w:r>
    </w:p>
    <w:p w14:paraId="09C6E402" w14:textId="13E0EE8C" w:rsidR="0061285F" w:rsidRPr="0061285F" w:rsidRDefault="0061285F" w:rsidP="00B257AD">
      <w:pPr>
        <w:spacing w:line="360" w:lineRule="auto"/>
        <w:rPr>
          <w:rFonts w:ascii="Arial" w:hAnsi="Arial" w:cs="Arial"/>
        </w:rPr>
      </w:pPr>
      <w:r w:rsidRPr="0061285F">
        <w:rPr>
          <w:rFonts w:ascii="Arial" w:hAnsi="Arial" w:cs="Arial"/>
        </w:rPr>
        <w:t>Spain’s decentralised system created confusion early in the pandemic. Regional inequalities, fragmented data, and unclear responsibilities delayed decisive action (García-Basteiro et al., 2020). When the crisis worsened, Spain temporarily centralised authority</w:t>
      </w:r>
      <w:r w:rsidR="0043065D">
        <w:rPr>
          <w:rFonts w:ascii="Arial" w:hAnsi="Arial" w:cs="Arial"/>
        </w:rPr>
        <w:t xml:space="preserve">, </w:t>
      </w:r>
      <w:r w:rsidRPr="0061285F">
        <w:rPr>
          <w:rFonts w:ascii="Arial" w:hAnsi="Arial" w:cs="Arial"/>
        </w:rPr>
        <w:t xml:space="preserve">and this shift helped stabilise the situation (IMF, 2021). This shows that decentralisation may work well in normal </w:t>
      </w:r>
      <w:r w:rsidR="001742EE" w:rsidRPr="0061285F">
        <w:rPr>
          <w:rFonts w:ascii="Arial" w:hAnsi="Arial" w:cs="Arial"/>
        </w:rPr>
        <w:t>times</w:t>
      </w:r>
      <w:r w:rsidR="00B20D1E">
        <w:rPr>
          <w:rFonts w:ascii="Arial" w:hAnsi="Arial" w:cs="Arial"/>
        </w:rPr>
        <w:t>,</w:t>
      </w:r>
      <w:r w:rsidR="001742EE">
        <w:rPr>
          <w:rFonts w:ascii="Arial" w:hAnsi="Arial" w:cs="Arial"/>
        </w:rPr>
        <w:t xml:space="preserve"> but</w:t>
      </w:r>
      <w:r w:rsidRPr="0061285F">
        <w:rPr>
          <w:rFonts w:ascii="Arial" w:hAnsi="Arial" w:cs="Arial"/>
        </w:rPr>
        <w:t xml:space="preserve"> can slow action during emergencies.</w:t>
      </w:r>
    </w:p>
    <w:p w14:paraId="2E25E789" w14:textId="77777777" w:rsidR="0061285F" w:rsidRPr="0061285F" w:rsidRDefault="0061285F" w:rsidP="00B257AD">
      <w:pPr>
        <w:spacing w:line="360" w:lineRule="auto"/>
        <w:rPr>
          <w:rFonts w:ascii="Arial" w:hAnsi="Arial" w:cs="Arial"/>
          <w:b/>
          <w:bCs/>
          <w:sz w:val="24"/>
          <w:szCs w:val="24"/>
        </w:rPr>
      </w:pPr>
      <w:r w:rsidRPr="0061285F">
        <w:rPr>
          <w:rFonts w:ascii="Arial" w:hAnsi="Arial" w:cs="Arial"/>
          <w:b/>
          <w:bCs/>
          <w:sz w:val="24"/>
          <w:szCs w:val="24"/>
        </w:rPr>
        <w:t>Canada: Extreme Decentralisation Led to Uneven Outcomes</w:t>
      </w:r>
    </w:p>
    <w:p w14:paraId="7F303F31" w14:textId="76C52C48" w:rsidR="0061285F" w:rsidRPr="0061285F" w:rsidRDefault="0061285F" w:rsidP="00B257AD">
      <w:pPr>
        <w:spacing w:line="360" w:lineRule="auto"/>
        <w:rPr>
          <w:rFonts w:ascii="Arial" w:hAnsi="Arial" w:cs="Arial"/>
        </w:rPr>
      </w:pPr>
      <w:r w:rsidRPr="0061285F">
        <w:rPr>
          <w:rFonts w:ascii="Arial" w:hAnsi="Arial" w:cs="Arial"/>
        </w:rPr>
        <w:t xml:space="preserve">Canada’s system is even more decentralised than Spain’s, with provinces controlling most public health decisions (Marchildon, Allin &amp; Merkur, 2020). This allowed innovation in areas, such as the “Atlantic Bubble” (Ross, 2020), but also resulted in inconsistent restrictions, data gaps, and serious long-term care failures (Stall et al., 2020). The federal government could guide and support </w:t>
      </w:r>
      <w:r w:rsidR="00B20D1E" w:rsidRPr="0061285F">
        <w:rPr>
          <w:rFonts w:ascii="Arial" w:hAnsi="Arial" w:cs="Arial"/>
        </w:rPr>
        <w:t>provinces</w:t>
      </w:r>
      <w:r w:rsidR="0043065D">
        <w:rPr>
          <w:rFonts w:ascii="Arial" w:hAnsi="Arial" w:cs="Arial"/>
        </w:rPr>
        <w:t>,</w:t>
      </w:r>
      <w:r w:rsidR="00B20D1E">
        <w:rPr>
          <w:rFonts w:ascii="Arial" w:hAnsi="Arial" w:cs="Arial"/>
        </w:rPr>
        <w:t xml:space="preserve"> but</w:t>
      </w:r>
      <w:r w:rsidRPr="0061285F">
        <w:rPr>
          <w:rFonts w:ascii="Arial" w:hAnsi="Arial" w:cs="Arial"/>
        </w:rPr>
        <w:t xml:space="preserve"> could not enforce consistent standards.</w:t>
      </w:r>
    </w:p>
    <w:p w14:paraId="3A44DE09" w14:textId="6EE584A1" w:rsidR="0061285F" w:rsidRPr="0061285F" w:rsidRDefault="0061285F" w:rsidP="00B257AD">
      <w:pPr>
        <w:spacing w:line="360" w:lineRule="auto"/>
        <w:rPr>
          <w:rFonts w:ascii="Arial" w:hAnsi="Arial" w:cs="Arial"/>
          <w:b/>
          <w:bCs/>
        </w:rPr>
      </w:pPr>
      <w:r w:rsidRPr="0061285F">
        <w:rPr>
          <w:rFonts w:ascii="Arial" w:hAnsi="Arial" w:cs="Arial"/>
          <w:b/>
          <w:bCs/>
        </w:rPr>
        <w:t>Public Health Preparedness and Institutional Capacity</w:t>
      </w:r>
    </w:p>
    <w:p w14:paraId="7F06E0E6" w14:textId="77777777" w:rsidR="0061285F" w:rsidRPr="0061285F" w:rsidRDefault="0061285F" w:rsidP="00B257AD">
      <w:pPr>
        <w:spacing w:line="360" w:lineRule="auto"/>
        <w:rPr>
          <w:rFonts w:ascii="Arial" w:hAnsi="Arial" w:cs="Arial"/>
        </w:rPr>
      </w:pPr>
      <w:r w:rsidRPr="0061285F">
        <w:rPr>
          <w:rFonts w:ascii="Arial" w:hAnsi="Arial" w:cs="Arial"/>
        </w:rPr>
        <w:t>Preparedness made a significant difference in how quickly each country could contain COVID-19.</w:t>
      </w:r>
    </w:p>
    <w:p w14:paraId="45EECB65" w14:textId="77777777" w:rsidR="0061285F" w:rsidRPr="0061285F" w:rsidRDefault="0061285F" w:rsidP="00B257AD">
      <w:pPr>
        <w:numPr>
          <w:ilvl w:val="0"/>
          <w:numId w:val="13"/>
        </w:numPr>
        <w:spacing w:line="360" w:lineRule="auto"/>
        <w:rPr>
          <w:rFonts w:ascii="Arial" w:hAnsi="Arial" w:cs="Arial"/>
        </w:rPr>
      </w:pPr>
      <w:r w:rsidRPr="0061285F">
        <w:rPr>
          <w:rFonts w:ascii="Arial" w:hAnsi="Arial" w:cs="Arial"/>
          <w:b/>
          <w:bCs/>
        </w:rPr>
        <w:t>South Korea</w:t>
      </w:r>
      <w:r w:rsidRPr="0061285F">
        <w:rPr>
          <w:rFonts w:ascii="Arial" w:hAnsi="Arial" w:cs="Arial"/>
        </w:rPr>
        <w:t xml:space="preserve"> benefited from MERS outbreak reforms, which strengthened laboratory capacity, surveillance systems, and emergency legislation (Kim et al., 2021).</w:t>
      </w:r>
    </w:p>
    <w:p w14:paraId="74FDB4A2" w14:textId="77777777" w:rsidR="0061285F" w:rsidRPr="0061285F" w:rsidRDefault="0061285F" w:rsidP="00B257AD">
      <w:pPr>
        <w:numPr>
          <w:ilvl w:val="0"/>
          <w:numId w:val="13"/>
        </w:numPr>
        <w:spacing w:line="360" w:lineRule="auto"/>
        <w:rPr>
          <w:rFonts w:ascii="Arial" w:hAnsi="Arial" w:cs="Arial"/>
        </w:rPr>
      </w:pPr>
      <w:r w:rsidRPr="0061285F">
        <w:rPr>
          <w:rFonts w:ascii="Arial" w:hAnsi="Arial" w:cs="Arial"/>
          <w:b/>
          <w:bCs/>
        </w:rPr>
        <w:t>Spain</w:t>
      </w:r>
      <w:r w:rsidRPr="0061285F">
        <w:rPr>
          <w:rFonts w:ascii="Arial" w:hAnsi="Arial" w:cs="Arial"/>
        </w:rPr>
        <w:t xml:space="preserve"> entered the pandemic with shortages in epidemiological staff and laboratory capacity, making early containment harder (García-Basteiro et al., 2020).</w:t>
      </w:r>
    </w:p>
    <w:p w14:paraId="4407ADFA" w14:textId="77777777" w:rsidR="0061285F" w:rsidRPr="0061285F" w:rsidRDefault="0061285F" w:rsidP="00B257AD">
      <w:pPr>
        <w:numPr>
          <w:ilvl w:val="0"/>
          <w:numId w:val="13"/>
        </w:numPr>
        <w:spacing w:line="360" w:lineRule="auto"/>
        <w:rPr>
          <w:rFonts w:ascii="Arial" w:hAnsi="Arial" w:cs="Arial"/>
        </w:rPr>
      </w:pPr>
      <w:r w:rsidRPr="0061285F">
        <w:rPr>
          <w:rFonts w:ascii="Arial" w:hAnsi="Arial" w:cs="Arial"/>
          <w:b/>
          <w:bCs/>
        </w:rPr>
        <w:lastRenderedPageBreak/>
        <w:t>Canada</w:t>
      </w:r>
      <w:r w:rsidRPr="0061285F">
        <w:rPr>
          <w:rFonts w:ascii="Arial" w:hAnsi="Arial" w:cs="Arial"/>
        </w:rPr>
        <w:t xml:space="preserve"> faced long-term care weaknesses and fragmented data systems, which complicated both surveillance and response (Fisman &amp; Tuite, 2021).</w:t>
      </w:r>
    </w:p>
    <w:p w14:paraId="75AA24DC" w14:textId="08CDF525" w:rsidR="0061285F" w:rsidRPr="0061285F" w:rsidRDefault="0061285F" w:rsidP="00B257AD">
      <w:pPr>
        <w:spacing w:line="360" w:lineRule="auto"/>
        <w:rPr>
          <w:rFonts w:ascii="Arial" w:hAnsi="Arial" w:cs="Arial"/>
        </w:rPr>
      </w:pPr>
      <w:r w:rsidRPr="0061285F">
        <w:rPr>
          <w:rFonts w:ascii="Arial" w:hAnsi="Arial" w:cs="Arial"/>
        </w:rPr>
        <w:t xml:space="preserve">The comparison suggests that </w:t>
      </w:r>
      <w:r w:rsidRPr="0061285F">
        <w:rPr>
          <w:rFonts w:ascii="Arial" w:hAnsi="Arial" w:cs="Arial"/>
          <w:b/>
          <w:bCs/>
        </w:rPr>
        <w:t>previous investment in public health infrastructure strongly predicts crisis performance</w:t>
      </w:r>
      <w:r w:rsidRPr="0061285F">
        <w:rPr>
          <w:rFonts w:ascii="Arial" w:hAnsi="Arial" w:cs="Arial"/>
        </w:rPr>
        <w:t xml:space="preserve">. Countries that had already improved their </w:t>
      </w:r>
      <w:r w:rsidR="007F74DE" w:rsidRPr="0061285F">
        <w:rPr>
          <w:rFonts w:ascii="Arial" w:hAnsi="Arial" w:cs="Arial"/>
        </w:rPr>
        <w:t>systems</w:t>
      </w:r>
      <w:r w:rsidR="007F74DE">
        <w:rPr>
          <w:rFonts w:ascii="Arial" w:hAnsi="Arial" w:cs="Arial"/>
        </w:rPr>
        <w:t>,</w:t>
      </w:r>
      <w:r w:rsidR="007F74DE" w:rsidRPr="0061285F">
        <w:rPr>
          <w:rFonts w:ascii="Arial" w:hAnsi="Arial" w:cs="Arial"/>
        </w:rPr>
        <w:t xml:space="preserve"> like</w:t>
      </w:r>
      <w:r w:rsidRPr="0061285F">
        <w:rPr>
          <w:rFonts w:ascii="Arial" w:hAnsi="Arial" w:cs="Arial"/>
        </w:rPr>
        <w:t xml:space="preserve"> South </w:t>
      </w:r>
      <w:r w:rsidR="007F74DE" w:rsidRPr="0061285F">
        <w:rPr>
          <w:rFonts w:ascii="Arial" w:hAnsi="Arial" w:cs="Arial"/>
        </w:rPr>
        <w:t>Korea</w:t>
      </w:r>
      <w:r w:rsidR="007F74DE">
        <w:rPr>
          <w:rFonts w:ascii="Arial" w:hAnsi="Arial" w:cs="Arial"/>
        </w:rPr>
        <w:t>,</w:t>
      </w:r>
      <w:r w:rsidR="007F74DE" w:rsidRPr="0061285F">
        <w:rPr>
          <w:rFonts w:ascii="Arial" w:hAnsi="Arial" w:cs="Arial"/>
        </w:rPr>
        <w:t xml:space="preserve"> were</w:t>
      </w:r>
      <w:r w:rsidRPr="0061285F">
        <w:rPr>
          <w:rFonts w:ascii="Arial" w:hAnsi="Arial" w:cs="Arial"/>
        </w:rPr>
        <w:t xml:space="preserve"> better positioned to respond quickly and avoid nationwide lockdowns.</w:t>
      </w:r>
    </w:p>
    <w:p w14:paraId="1B551259" w14:textId="0FFD66B3" w:rsidR="0061285F" w:rsidRPr="0061285F" w:rsidRDefault="00000000" w:rsidP="00B257AD">
      <w:pPr>
        <w:spacing w:line="360" w:lineRule="auto"/>
        <w:rPr>
          <w:rFonts w:ascii="Arial" w:hAnsi="Arial" w:cs="Arial"/>
        </w:rPr>
      </w:pPr>
      <w:r>
        <w:rPr>
          <w:noProof/>
        </w:rPr>
        <w:pict w14:anchorId="760B30CE">
          <v:rect id="_x0000_s1026" style="position:absolute;margin-left:0;margin-top:0;width:3276.75pt;height:.1pt;z-index:251659264;mso-position-horizontal:left;mso-position-horizontal-relative:text;mso-position-vertical-relative:text" o:hralign="center" o:hrstd="t" o:hr="t" fillcolor="#a0a0a0" stroked="f">
            <w10:wrap type="square" side="right"/>
          </v:rect>
        </w:pict>
      </w:r>
    </w:p>
    <w:p w14:paraId="29AD8EB7" w14:textId="430592D4" w:rsidR="0061285F" w:rsidRPr="0061285F" w:rsidRDefault="0061285F" w:rsidP="00B257AD">
      <w:pPr>
        <w:spacing w:line="360" w:lineRule="auto"/>
        <w:rPr>
          <w:rFonts w:ascii="Arial" w:hAnsi="Arial" w:cs="Arial"/>
          <w:b/>
          <w:bCs/>
          <w:sz w:val="24"/>
          <w:szCs w:val="24"/>
        </w:rPr>
      </w:pPr>
      <w:r w:rsidRPr="0061285F">
        <w:rPr>
          <w:rFonts w:ascii="Arial" w:hAnsi="Arial" w:cs="Arial"/>
          <w:b/>
          <w:bCs/>
          <w:sz w:val="24"/>
          <w:szCs w:val="24"/>
        </w:rPr>
        <w:t>Leadership Styles and Crisis Behaviours</w:t>
      </w:r>
    </w:p>
    <w:p w14:paraId="0248C6AB" w14:textId="050D2D41" w:rsidR="0061285F" w:rsidRPr="0061285F" w:rsidRDefault="0061285F" w:rsidP="00B257AD">
      <w:pPr>
        <w:spacing w:line="360" w:lineRule="auto"/>
        <w:rPr>
          <w:rFonts w:ascii="Arial" w:hAnsi="Arial" w:cs="Arial"/>
        </w:rPr>
      </w:pPr>
      <w:r w:rsidRPr="0061285F">
        <w:rPr>
          <w:rFonts w:ascii="Arial" w:hAnsi="Arial" w:cs="Arial"/>
        </w:rPr>
        <w:t xml:space="preserve">Leadership played </w:t>
      </w:r>
      <w:r w:rsidR="00E00D99" w:rsidRPr="0061285F">
        <w:rPr>
          <w:rFonts w:ascii="Arial" w:hAnsi="Arial" w:cs="Arial"/>
        </w:rPr>
        <w:t>a key role</w:t>
      </w:r>
      <w:r w:rsidRPr="0061285F">
        <w:rPr>
          <w:rFonts w:ascii="Arial" w:hAnsi="Arial" w:cs="Arial"/>
        </w:rPr>
        <w:t xml:space="preserve"> in shaping public trust and compliance.</w:t>
      </w:r>
    </w:p>
    <w:p w14:paraId="3CFA4CD6" w14:textId="77777777" w:rsidR="0061285F" w:rsidRPr="0061285F" w:rsidRDefault="0061285F" w:rsidP="00B257AD">
      <w:pPr>
        <w:spacing w:line="360" w:lineRule="auto"/>
        <w:rPr>
          <w:rFonts w:ascii="Arial" w:hAnsi="Arial" w:cs="Arial"/>
          <w:b/>
          <w:bCs/>
        </w:rPr>
      </w:pPr>
      <w:r w:rsidRPr="0061285F">
        <w:rPr>
          <w:rFonts w:ascii="Arial" w:hAnsi="Arial" w:cs="Arial"/>
          <w:b/>
          <w:bCs/>
        </w:rPr>
        <w:t>Transformational Leadership</w:t>
      </w:r>
    </w:p>
    <w:p w14:paraId="696288DB" w14:textId="77777777" w:rsidR="0061285F" w:rsidRPr="0061285F" w:rsidRDefault="0061285F" w:rsidP="00B257AD">
      <w:pPr>
        <w:numPr>
          <w:ilvl w:val="0"/>
          <w:numId w:val="14"/>
        </w:numPr>
        <w:spacing w:line="360" w:lineRule="auto"/>
        <w:rPr>
          <w:rFonts w:ascii="Arial" w:hAnsi="Arial" w:cs="Arial"/>
        </w:rPr>
      </w:pPr>
      <w:r w:rsidRPr="0061285F">
        <w:rPr>
          <w:rFonts w:ascii="Arial" w:hAnsi="Arial" w:cs="Arial"/>
          <w:b/>
          <w:bCs/>
        </w:rPr>
        <w:t>Trudeau</w:t>
      </w:r>
      <w:r w:rsidRPr="0061285F">
        <w:rPr>
          <w:rFonts w:ascii="Arial" w:hAnsi="Arial" w:cs="Arial"/>
        </w:rPr>
        <w:t xml:space="preserve"> used transformational leadership effectively through empathetic communication and a focus on unity (Bass &amp; Riggio, 2006).</w:t>
      </w:r>
    </w:p>
    <w:p w14:paraId="0429259C" w14:textId="77777777" w:rsidR="0061285F" w:rsidRPr="0061285F" w:rsidRDefault="0061285F" w:rsidP="00B257AD">
      <w:pPr>
        <w:numPr>
          <w:ilvl w:val="0"/>
          <w:numId w:val="14"/>
        </w:numPr>
        <w:spacing w:line="360" w:lineRule="auto"/>
        <w:rPr>
          <w:rFonts w:ascii="Arial" w:hAnsi="Arial" w:cs="Arial"/>
        </w:rPr>
      </w:pPr>
      <w:r w:rsidRPr="0061285F">
        <w:rPr>
          <w:rFonts w:ascii="Arial" w:hAnsi="Arial" w:cs="Arial"/>
          <w:b/>
          <w:bCs/>
        </w:rPr>
        <w:t>Chung</w:t>
      </w:r>
      <w:r w:rsidRPr="0061285F">
        <w:rPr>
          <w:rFonts w:ascii="Arial" w:hAnsi="Arial" w:cs="Arial"/>
        </w:rPr>
        <w:t xml:space="preserve"> also embodied transformational qualities by being transparent, calm, and consistent, which helped reinforce public trust.</w:t>
      </w:r>
    </w:p>
    <w:p w14:paraId="3994824D" w14:textId="77777777" w:rsidR="0061285F" w:rsidRPr="0061285F" w:rsidRDefault="0061285F" w:rsidP="00B257AD">
      <w:pPr>
        <w:numPr>
          <w:ilvl w:val="0"/>
          <w:numId w:val="14"/>
        </w:numPr>
        <w:spacing w:line="360" w:lineRule="auto"/>
        <w:rPr>
          <w:rFonts w:ascii="Arial" w:hAnsi="Arial" w:cs="Arial"/>
        </w:rPr>
      </w:pPr>
      <w:r w:rsidRPr="0061285F">
        <w:rPr>
          <w:rFonts w:ascii="Arial" w:hAnsi="Arial" w:cs="Arial"/>
          <w:b/>
          <w:bCs/>
        </w:rPr>
        <w:t>Illa</w:t>
      </w:r>
      <w:r w:rsidRPr="0061285F">
        <w:rPr>
          <w:rFonts w:ascii="Arial" w:hAnsi="Arial" w:cs="Arial"/>
        </w:rPr>
        <w:t>, although initially criticised, adopted more transformational behaviours later through clear briefings and collaboration with scientific experts.</w:t>
      </w:r>
    </w:p>
    <w:p w14:paraId="11579965" w14:textId="77777777" w:rsidR="0061285F" w:rsidRPr="0061285F" w:rsidRDefault="0061285F" w:rsidP="00B257AD">
      <w:pPr>
        <w:spacing w:line="360" w:lineRule="auto"/>
        <w:rPr>
          <w:rFonts w:ascii="Arial" w:hAnsi="Arial" w:cs="Arial"/>
          <w:b/>
          <w:bCs/>
        </w:rPr>
      </w:pPr>
      <w:r w:rsidRPr="0061285F">
        <w:rPr>
          <w:rFonts w:ascii="Arial" w:hAnsi="Arial" w:cs="Arial"/>
          <w:b/>
          <w:bCs/>
        </w:rPr>
        <w:t>Transactional Leadership</w:t>
      </w:r>
    </w:p>
    <w:p w14:paraId="68A46DDD" w14:textId="77777777" w:rsidR="0061285F" w:rsidRPr="0061285F" w:rsidRDefault="0061285F" w:rsidP="00B257AD">
      <w:pPr>
        <w:numPr>
          <w:ilvl w:val="0"/>
          <w:numId w:val="15"/>
        </w:numPr>
        <w:spacing w:line="360" w:lineRule="auto"/>
        <w:rPr>
          <w:rFonts w:ascii="Arial" w:hAnsi="Arial" w:cs="Arial"/>
        </w:rPr>
      </w:pPr>
      <w:r w:rsidRPr="0061285F">
        <w:rPr>
          <w:rFonts w:ascii="Arial" w:hAnsi="Arial" w:cs="Arial"/>
          <w:b/>
          <w:bCs/>
        </w:rPr>
        <w:t>Illa</w:t>
      </w:r>
      <w:r w:rsidRPr="0061285F">
        <w:rPr>
          <w:rFonts w:ascii="Arial" w:hAnsi="Arial" w:cs="Arial"/>
        </w:rPr>
        <w:t xml:space="preserve"> relied heavily on transactional leadership when centralising authority and enforcing strict lockdowns (Dubrin, 2022).</w:t>
      </w:r>
    </w:p>
    <w:p w14:paraId="07179DA4" w14:textId="77777777" w:rsidR="0061285F" w:rsidRPr="0061285F" w:rsidRDefault="0061285F" w:rsidP="00B257AD">
      <w:pPr>
        <w:numPr>
          <w:ilvl w:val="0"/>
          <w:numId w:val="15"/>
        </w:numPr>
        <w:spacing w:line="360" w:lineRule="auto"/>
        <w:rPr>
          <w:rFonts w:ascii="Arial" w:hAnsi="Arial" w:cs="Arial"/>
        </w:rPr>
      </w:pPr>
      <w:r w:rsidRPr="0061285F">
        <w:rPr>
          <w:rFonts w:ascii="Arial" w:hAnsi="Arial" w:cs="Arial"/>
        </w:rPr>
        <w:t>South Korea used transactional elements through strict quarantine enforcement, though they were balanced with transparency.</w:t>
      </w:r>
    </w:p>
    <w:p w14:paraId="300754B3" w14:textId="77777777" w:rsidR="0061285F" w:rsidRPr="0061285F" w:rsidRDefault="0061285F" w:rsidP="00B257AD">
      <w:pPr>
        <w:numPr>
          <w:ilvl w:val="0"/>
          <w:numId w:val="15"/>
        </w:numPr>
        <w:spacing w:line="360" w:lineRule="auto"/>
        <w:rPr>
          <w:rFonts w:ascii="Arial" w:hAnsi="Arial" w:cs="Arial"/>
        </w:rPr>
      </w:pPr>
      <w:r w:rsidRPr="0061285F">
        <w:rPr>
          <w:rFonts w:ascii="Arial" w:hAnsi="Arial" w:cs="Arial"/>
        </w:rPr>
        <w:t>Canada used fewer transactional strategies due to decentralisation, limiting Trudeau’s ability to enforce uniform measures.</w:t>
      </w:r>
    </w:p>
    <w:p w14:paraId="244932BE" w14:textId="77777777" w:rsidR="0061285F" w:rsidRPr="0061285F" w:rsidRDefault="0061285F" w:rsidP="00B257AD">
      <w:pPr>
        <w:spacing w:line="360" w:lineRule="auto"/>
        <w:rPr>
          <w:rFonts w:ascii="Arial" w:hAnsi="Arial" w:cs="Arial"/>
          <w:b/>
          <w:bCs/>
        </w:rPr>
      </w:pPr>
      <w:r w:rsidRPr="0061285F">
        <w:rPr>
          <w:rFonts w:ascii="Arial" w:hAnsi="Arial" w:cs="Arial"/>
          <w:b/>
          <w:bCs/>
        </w:rPr>
        <w:t>Adaptive Leadership</w:t>
      </w:r>
    </w:p>
    <w:p w14:paraId="272C6317" w14:textId="77777777" w:rsidR="0061285F" w:rsidRPr="0061285F" w:rsidRDefault="0061285F" w:rsidP="00B257AD">
      <w:pPr>
        <w:numPr>
          <w:ilvl w:val="0"/>
          <w:numId w:val="16"/>
        </w:numPr>
        <w:spacing w:line="360" w:lineRule="auto"/>
        <w:rPr>
          <w:rFonts w:ascii="Arial" w:hAnsi="Arial" w:cs="Arial"/>
        </w:rPr>
      </w:pPr>
      <w:r w:rsidRPr="0061285F">
        <w:rPr>
          <w:rFonts w:ascii="Arial" w:hAnsi="Arial" w:cs="Arial"/>
          <w:b/>
          <w:bCs/>
        </w:rPr>
        <w:t>Chung</w:t>
      </w:r>
      <w:r w:rsidRPr="0061285F">
        <w:rPr>
          <w:rFonts w:ascii="Arial" w:hAnsi="Arial" w:cs="Arial"/>
        </w:rPr>
        <w:t xml:space="preserve"> demonstrated adaptive leadership by adjusting testing, tracing, and policy measures as outbreaks evolved (Heifetz et al., 2009).</w:t>
      </w:r>
    </w:p>
    <w:p w14:paraId="6CE22871" w14:textId="77777777" w:rsidR="0061285F" w:rsidRPr="0061285F" w:rsidRDefault="0061285F" w:rsidP="00B257AD">
      <w:pPr>
        <w:numPr>
          <w:ilvl w:val="0"/>
          <w:numId w:val="16"/>
        </w:numPr>
        <w:spacing w:line="360" w:lineRule="auto"/>
        <w:rPr>
          <w:rFonts w:ascii="Arial" w:hAnsi="Arial" w:cs="Arial"/>
        </w:rPr>
      </w:pPr>
      <w:r w:rsidRPr="0061285F">
        <w:rPr>
          <w:rFonts w:ascii="Arial" w:hAnsi="Arial" w:cs="Arial"/>
          <w:b/>
          <w:bCs/>
        </w:rPr>
        <w:t>Trudeau</w:t>
      </w:r>
      <w:r w:rsidRPr="0061285F">
        <w:rPr>
          <w:rFonts w:ascii="Arial" w:hAnsi="Arial" w:cs="Arial"/>
        </w:rPr>
        <w:t xml:space="preserve"> displayed adaptive leadership through changes to border rules, economic support, and vaccination strategy.</w:t>
      </w:r>
    </w:p>
    <w:p w14:paraId="3B367502" w14:textId="77777777" w:rsidR="0061285F" w:rsidRPr="0061285F" w:rsidRDefault="0061285F" w:rsidP="00B257AD">
      <w:pPr>
        <w:numPr>
          <w:ilvl w:val="0"/>
          <w:numId w:val="16"/>
        </w:numPr>
        <w:spacing w:line="360" w:lineRule="auto"/>
        <w:rPr>
          <w:rFonts w:ascii="Arial" w:hAnsi="Arial" w:cs="Arial"/>
        </w:rPr>
      </w:pPr>
      <w:r w:rsidRPr="0061285F">
        <w:rPr>
          <w:rFonts w:ascii="Arial" w:hAnsi="Arial" w:cs="Arial"/>
          <w:b/>
          <w:bCs/>
        </w:rPr>
        <w:t>Illa</w:t>
      </w:r>
      <w:r w:rsidRPr="0061285F">
        <w:rPr>
          <w:rFonts w:ascii="Arial" w:hAnsi="Arial" w:cs="Arial"/>
        </w:rPr>
        <w:t xml:space="preserve"> showed adaptive leadership when the Spanish government shifted from decentralisation to temporary centralisation during the crisis.</w:t>
      </w:r>
    </w:p>
    <w:p w14:paraId="33338E3E" w14:textId="77777777" w:rsidR="0061285F" w:rsidRPr="0061285F" w:rsidRDefault="0061285F" w:rsidP="00B257AD">
      <w:pPr>
        <w:spacing w:line="360" w:lineRule="auto"/>
        <w:rPr>
          <w:rFonts w:ascii="Arial" w:hAnsi="Arial" w:cs="Arial"/>
          <w:b/>
          <w:bCs/>
        </w:rPr>
      </w:pPr>
      <w:r w:rsidRPr="0061285F">
        <w:rPr>
          <w:rFonts w:ascii="Arial" w:hAnsi="Arial" w:cs="Arial"/>
          <w:b/>
          <w:bCs/>
        </w:rPr>
        <w:lastRenderedPageBreak/>
        <w:t>Collaborative Leadership</w:t>
      </w:r>
    </w:p>
    <w:p w14:paraId="5BE4A30F" w14:textId="77777777" w:rsidR="0061285F" w:rsidRPr="0061285F" w:rsidRDefault="0061285F" w:rsidP="00B257AD">
      <w:pPr>
        <w:numPr>
          <w:ilvl w:val="0"/>
          <w:numId w:val="17"/>
        </w:numPr>
        <w:spacing w:line="360" w:lineRule="auto"/>
        <w:rPr>
          <w:rFonts w:ascii="Arial" w:hAnsi="Arial" w:cs="Arial"/>
        </w:rPr>
      </w:pPr>
      <w:r w:rsidRPr="0061285F">
        <w:rPr>
          <w:rFonts w:ascii="Arial" w:hAnsi="Arial" w:cs="Arial"/>
          <w:b/>
          <w:bCs/>
        </w:rPr>
        <w:t>Trudeau</w:t>
      </w:r>
      <w:r w:rsidRPr="0061285F">
        <w:rPr>
          <w:rFonts w:ascii="Arial" w:hAnsi="Arial" w:cs="Arial"/>
        </w:rPr>
        <w:t xml:space="preserve"> depended on collaborative leadership due to Canada’s federal structure—he could not dictate policies but had to negotiate with provinces (Ansell et al., 2020).</w:t>
      </w:r>
    </w:p>
    <w:p w14:paraId="6D505BAD" w14:textId="77777777" w:rsidR="0061285F" w:rsidRPr="0061285F" w:rsidRDefault="0061285F" w:rsidP="00B257AD">
      <w:pPr>
        <w:numPr>
          <w:ilvl w:val="0"/>
          <w:numId w:val="17"/>
        </w:numPr>
        <w:spacing w:line="360" w:lineRule="auto"/>
        <w:rPr>
          <w:rFonts w:ascii="Arial" w:hAnsi="Arial" w:cs="Arial"/>
        </w:rPr>
      </w:pPr>
      <w:r w:rsidRPr="0061285F">
        <w:rPr>
          <w:rFonts w:ascii="Arial" w:hAnsi="Arial" w:cs="Arial"/>
          <w:b/>
          <w:bCs/>
        </w:rPr>
        <w:t>Chung</w:t>
      </w:r>
      <w:r w:rsidRPr="0061285F">
        <w:rPr>
          <w:rFonts w:ascii="Arial" w:hAnsi="Arial" w:cs="Arial"/>
        </w:rPr>
        <w:t xml:space="preserve"> successfully coordinated multiple ministries and experts, showing the strength of collaborative leadership when institutions are aligned.</w:t>
      </w:r>
    </w:p>
    <w:p w14:paraId="3ED9E4E6" w14:textId="77777777" w:rsidR="0061285F" w:rsidRPr="0061285F" w:rsidRDefault="0061285F" w:rsidP="00B257AD">
      <w:pPr>
        <w:numPr>
          <w:ilvl w:val="0"/>
          <w:numId w:val="17"/>
        </w:numPr>
        <w:spacing w:line="360" w:lineRule="auto"/>
        <w:rPr>
          <w:rFonts w:ascii="Arial" w:hAnsi="Arial" w:cs="Arial"/>
        </w:rPr>
      </w:pPr>
      <w:r w:rsidRPr="0061285F">
        <w:rPr>
          <w:rFonts w:ascii="Arial" w:hAnsi="Arial" w:cs="Arial"/>
          <w:b/>
          <w:bCs/>
        </w:rPr>
        <w:t>Illa</w:t>
      </w:r>
      <w:r w:rsidRPr="0061285F">
        <w:rPr>
          <w:rFonts w:ascii="Arial" w:hAnsi="Arial" w:cs="Arial"/>
        </w:rPr>
        <w:t xml:space="preserve"> faced challenges in collaboration due to political tensions, but improved coordination during the vaccination rollout.</w:t>
      </w:r>
    </w:p>
    <w:p w14:paraId="482F1882" w14:textId="385A5AD8" w:rsidR="0061285F" w:rsidRPr="0061285F" w:rsidRDefault="0061285F" w:rsidP="00B257AD">
      <w:pPr>
        <w:spacing w:line="360" w:lineRule="auto"/>
        <w:rPr>
          <w:rFonts w:ascii="Arial" w:hAnsi="Arial" w:cs="Arial"/>
          <w:sz w:val="24"/>
          <w:szCs w:val="24"/>
        </w:rPr>
      </w:pPr>
    </w:p>
    <w:p w14:paraId="51CBFB9B" w14:textId="0C1CDE47" w:rsidR="0061285F" w:rsidRPr="0061285F" w:rsidRDefault="0061285F" w:rsidP="00B257AD">
      <w:pPr>
        <w:spacing w:line="360" w:lineRule="auto"/>
        <w:rPr>
          <w:rFonts w:ascii="Arial" w:hAnsi="Arial" w:cs="Arial"/>
          <w:b/>
          <w:bCs/>
          <w:sz w:val="24"/>
          <w:szCs w:val="24"/>
        </w:rPr>
      </w:pPr>
      <w:r w:rsidRPr="0061285F">
        <w:rPr>
          <w:rFonts w:ascii="Arial" w:hAnsi="Arial" w:cs="Arial"/>
          <w:b/>
          <w:bCs/>
          <w:sz w:val="24"/>
          <w:szCs w:val="24"/>
        </w:rPr>
        <w:t>Public Trust and Communication</w:t>
      </w:r>
    </w:p>
    <w:p w14:paraId="198054FC" w14:textId="77777777" w:rsidR="0061285F" w:rsidRPr="0061285F" w:rsidRDefault="0061285F" w:rsidP="00B257AD">
      <w:pPr>
        <w:spacing w:line="360" w:lineRule="auto"/>
        <w:rPr>
          <w:rFonts w:ascii="Arial" w:hAnsi="Arial" w:cs="Arial"/>
        </w:rPr>
      </w:pPr>
      <w:r w:rsidRPr="0061285F">
        <w:rPr>
          <w:rFonts w:ascii="Arial" w:hAnsi="Arial" w:cs="Arial"/>
        </w:rPr>
        <w:t>Public trust emerged as a key factor in all three responses.</w:t>
      </w:r>
    </w:p>
    <w:p w14:paraId="6B48FBB2" w14:textId="77777777" w:rsidR="0061285F" w:rsidRPr="0061285F" w:rsidRDefault="0061285F" w:rsidP="00B257AD">
      <w:pPr>
        <w:numPr>
          <w:ilvl w:val="0"/>
          <w:numId w:val="18"/>
        </w:numPr>
        <w:spacing w:line="360" w:lineRule="auto"/>
        <w:rPr>
          <w:rFonts w:ascii="Arial" w:hAnsi="Arial" w:cs="Arial"/>
        </w:rPr>
      </w:pPr>
      <w:r w:rsidRPr="0061285F">
        <w:rPr>
          <w:rFonts w:ascii="Arial" w:hAnsi="Arial" w:cs="Arial"/>
          <w:b/>
          <w:bCs/>
        </w:rPr>
        <w:t>South Korea</w:t>
      </w:r>
      <w:r w:rsidRPr="0061285F">
        <w:rPr>
          <w:rFonts w:ascii="Arial" w:hAnsi="Arial" w:cs="Arial"/>
        </w:rPr>
        <w:t xml:space="preserve"> maintained high trust through transparent communication, helping citizens accept testing and digital tracing.</w:t>
      </w:r>
    </w:p>
    <w:p w14:paraId="69ECC5AF" w14:textId="77777777" w:rsidR="0061285F" w:rsidRPr="0061285F" w:rsidRDefault="0061285F" w:rsidP="00B257AD">
      <w:pPr>
        <w:numPr>
          <w:ilvl w:val="0"/>
          <w:numId w:val="18"/>
        </w:numPr>
        <w:spacing w:line="360" w:lineRule="auto"/>
        <w:rPr>
          <w:rFonts w:ascii="Arial" w:hAnsi="Arial" w:cs="Arial"/>
        </w:rPr>
      </w:pPr>
      <w:r w:rsidRPr="0061285F">
        <w:rPr>
          <w:rFonts w:ascii="Arial" w:hAnsi="Arial" w:cs="Arial"/>
          <w:b/>
          <w:bCs/>
        </w:rPr>
        <w:t>Canada</w:t>
      </w:r>
      <w:r w:rsidRPr="0061285F">
        <w:rPr>
          <w:rFonts w:ascii="Arial" w:hAnsi="Arial" w:cs="Arial"/>
        </w:rPr>
        <w:t xml:space="preserve"> experienced mixed trust levels depending on the province, but Trudeau’s communication helped maintain national reassurance during uncertainty.</w:t>
      </w:r>
    </w:p>
    <w:p w14:paraId="3B68CBAD" w14:textId="1D6850ED" w:rsidR="0061285F" w:rsidRPr="0061285F" w:rsidRDefault="0061285F" w:rsidP="00B257AD">
      <w:pPr>
        <w:numPr>
          <w:ilvl w:val="0"/>
          <w:numId w:val="18"/>
        </w:numPr>
        <w:spacing w:line="360" w:lineRule="auto"/>
        <w:rPr>
          <w:rFonts w:ascii="Arial" w:hAnsi="Arial" w:cs="Arial"/>
        </w:rPr>
      </w:pPr>
      <w:r w:rsidRPr="0061285F">
        <w:rPr>
          <w:rFonts w:ascii="Arial" w:hAnsi="Arial" w:cs="Arial"/>
          <w:b/>
          <w:bCs/>
        </w:rPr>
        <w:t>Spain</w:t>
      </w:r>
      <w:r w:rsidRPr="0061285F">
        <w:rPr>
          <w:rFonts w:ascii="Arial" w:hAnsi="Arial" w:cs="Arial"/>
        </w:rPr>
        <w:t xml:space="preserve"> struggled early on due to delayed action and political disagreements</w:t>
      </w:r>
      <w:r w:rsidR="00B257AD">
        <w:rPr>
          <w:rFonts w:ascii="Arial" w:hAnsi="Arial" w:cs="Arial"/>
        </w:rPr>
        <w:t>,</w:t>
      </w:r>
      <w:r w:rsidRPr="0061285F">
        <w:rPr>
          <w:rFonts w:ascii="Arial" w:hAnsi="Arial" w:cs="Arial"/>
        </w:rPr>
        <w:t xml:space="preserve"> but improved trust later through clearer communication and the successful vaccination programme.</w:t>
      </w:r>
    </w:p>
    <w:p w14:paraId="606F7687" w14:textId="77777777" w:rsidR="00A2019C" w:rsidRDefault="0061285F" w:rsidP="00B257AD">
      <w:pPr>
        <w:spacing w:line="360" w:lineRule="auto"/>
        <w:rPr>
          <w:rFonts w:ascii="Arial" w:hAnsi="Arial" w:cs="Arial"/>
        </w:rPr>
      </w:pPr>
      <w:r w:rsidRPr="0061285F">
        <w:rPr>
          <w:rFonts w:ascii="Arial" w:hAnsi="Arial" w:cs="Arial"/>
        </w:rPr>
        <w:t xml:space="preserve">Clear communication </w:t>
      </w:r>
      <w:r w:rsidR="00FE20BC" w:rsidRPr="0061285F">
        <w:rPr>
          <w:rFonts w:ascii="Arial" w:hAnsi="Arial" w:cs="Arial"/>
        </w:rPr>
        <w:t>functioned as</w:t>
      </w:r>
      <w:r w:rsidRPr="0061285F">
        <w:rPr>
          <w:rFonts w:ascii="Arial" w:hAnsi="Arial" w:cs="Arial"/>
        </w:rPr>
        <w:t xml:space="preserve"> a stabilising force and helped people follow health guidance more confidently.</w:t>
      </w:r>
    </w:p>
    <w:p w14:paraId="6D563C8B" w14:textId="77777777" w:rsidR="00A2019C" w:rsidRDefault="00A2019C" w:rsidP="00B257AD">
      <w:pPr>
        <w:spacing w:line="360" w:lineRule="auto"/>
        <w:rPr>
          <w:rFonts w:ascii="Arial" w:hAnsi="Arial" w:cs="Arial"/>
        </w:rPr>
      </w:pPr>
    </w:p>
    <w:p w14:paraId="7B3D6BEB" w14:textId="5F612C72" w:rsidR="0061285F" w:rsidRPr="0061285F" w:rsidRDefault="00D66522" w:rsidP="00B257AD">
      <w:pPr>
        <w:spacing w:line="360" w:lineRule="auto"/>
        <w:rPr>
          <w:rFonts w:ascii="Arial" w:hAnsi="Arial" w:cs="Arial"/>
        </w:rPr>
      </w:pPr>
      <w:r w:rsidRPr="0061285F">
        <w:rPr>
          <w:rFonts w:ascii="Arial" w:hAnsi="Arial" w:cs="Arial"/>
          <w:b/>
          <w:bCs/>
          <w:sz w:val="24"/>
          <w:szCs w:val="24"/>
        </w:rPr>
        <w:t>Overall,</w:t>
      </w:r>
      <w:r w:rsidR="0061285F" w:rsidRPr="0061285F">
        <w:rPr>
          <w:rFonts w:ascii="Arial" w:hAnsi="Arial" w:cs="Arial"/>
          <w:b/>
          <w:bCs/>
          <w:sz w:val="24"/>
          <w:szCs w:val="24"/>
        </w:rPr>
        <w:t xml:space="preserve"> Lessons from the Comparison</w:t>
      </w:r>
    </w:p>
    <w:p w14:paraId="7E620496" w14:textId="0BCC063C" w:rsidR="0061285F" w:rsidRPr="0061285F" w:rsidRDefault="0061285F" w:rsidP="00B257AD">
      <w:pPr>
        <w:spacing w:line="360" w:lineRule="auto"/>
        <w:rPr>
          <w:rFonts w:ascii="Arial" w:hAnsi="Arial" w:cs="Arial"/>
        </w:rPr>
      </w:pPr>
      <w:r w:rsidRPr="0061285F">
        <w:rPr>
          <w:rFonts w:ascii="Arial" w:hAnsi="Arial" w:cs="Arial"/>
        </w:rPr>
        <w:t>From these comparisons, themes emerge:</w:t>
      </w:r>
    </w:p>
    <w:p w14:paraId="1156F631" w14:textId="77777777" w:rsidR="0061285F" w:rsidRPr="0061285F" w:rsidRDefault="0061285F" w:rsidP="00B257AD">
      <w:pPr>
        <w:numPr>
          <w:ilvl w:val="0"/>
          <w:numId w:val="19"/>
        </w:numPr>
        <w:spacing w:line="360" w:lineRule="auto"/>
        <w:rPr>
          <w:rFonts w:ascii="Arial" w:hAnsi="Arial" w:cs="Arial"/>
        </w:rPr>
      </w:pPr>
      <w:r w:rsidRPr="0061285F">
        <w:rPr>
          <w:rFonts w:ascii="Arial" w:hAnsi="Arial" w:cs="Arial"/>
          <w:b/>
          <w:bCs/>
        </w:rPr>
        <w:t>Centralised systems respond faster</w:t>
      </w:r>
      <w:r w:rsidRPr="0061285F">
        <w:rPr>
          <w:rFonts w:ascii="Arial" w:hAnsi="Arial" w:cs="Arial"/>
        </w:rPr>
        <w:t>, but decentralised systems can still succeed if strong collaboration and clear coordination mechanisms are in place.</w:t>
      </w:r>
    </w:p>
    <w:p w14:paraId="502F677A" w14:textId="62914404" w:rsidR="0061285F" w:rsidRPr="0061285F" w:rsidRDefault="0061285F" w:rsidP="00B257AD">
      <w:pPr>
        <w:numPr>
          <w:ilvl w:val="0"/>
          <w:numId w:val="19"/>
        </w:numPr>
        <w:spacing w:line="360" w:lineRule="auto"/>
        <w:rPr>
          <w:rFonts w:ascii="Arial" w:hAnsi="Arial" w:cs="Arial"/>
        </w:rPr>
      </w:pPr>
      <w:r w:rsidRPr="0061285F">
        <w:rPr>
          <w:rFonts w:ascii="Arial" w:hAnsi="Arial" w:cs="Arial"/>
          <w:b/>
          <w:bCs/>
        </w:rPr>
        <w:t>Preparedness matters</w:t>
      </w:r>
      <w:r w:rsidR="00BA4E48">
        <w:rPr>
          <w:rFonts w:ascii="Arial" w:hAnsi="Arial" w:cs="Arial"/>
        </w:rPr>
        <w:t>. Countries</w:t>
      </w:r>
      <w:r w:rsidRPr="0061285F">
        <w:rPr>
          <w:rFonts w:ascii="Arial" w:hAnsi="Arial" w:cs="Arial"/>
        </w:rPr>
        <w:t xml:space="preserve"> with strong public health infrastructure performed better early on.</w:t>
      </w:r>
    </w:p>
    <w:p w14:paraId="45A19D92" w14:textId="77777777" w:rsidR="0061285F" w:rsidRPr="0061285F" w:rsidRDefault="0061285F" w:rsidP="00B257AD">
      <w:pPr>
        <w:numPr>
          <w:ilvl w:val="0"/>
          <w:numId w:val="19"/>
        </w:numPr>
        <w:spacing w:line="360" w:lineRule="auto"/>
        <w:rPr>
          <w:rFonts w:ascii="Arial" w:hAnsi="Arial" w:cs="Arial"/>
        </w:rPr>
      </w:pPr>
      <w:r w:rsidRPr="0061285F">
        <w:rPr>
          <w:rFonts w:ascii="Arial" w:hAnsi="Arial" w:cs="Arial"/>
          <w:b/>
          <w:bCs/>
        </w:rPr>
        <w:t>Leadership style directly influences public trust</w:t>
      </w:r>
      <w:r w:rsidRPr="0061285F">
        <w:rPr>
          <w:rFonts w:ascii="Arial" w:hAnsi="Arial" w:cs="Arial"/>
        </w:rPr>
        <w:t>, which affects compliance with health measures.</w:t>
      </w:r>
    </w:p>
    <w:p w14:paraId="6426B33E" w14:textId="034DD592" w:rsidR="0061285F" w:rsidRPr="0061285F" w:rsidRDefault="0061285F" w:rsidP="00B257AD">
      <w:pPr>
        <w:numPr>
          <w:ilvl w:val="0"/>
          <w:numId w:val="19"/>
        </w:numPr>
        <w:spacing w:line="360" w:lineRule="auto"/>
        <w:rPr>
          <w:rFonts w:ascii="Arial" w:hAnsi="Arial" w:cs="Arial"/>
        </w:rPr>
      </w:pPr>
      <w:r w:rsidRPr="0061285F">
        <w:rPr>
          <w:rFonts w:ascii="Arial" w:hAnsi="Arial" w:cs="Arial"/>
          <w:b/>
          <w:bCs/>
        </w:rPr>
        <w:lastRenderedPageBreak/>
        <w:t>Crisis leadership requires adaptability</w:t>
      </w:r>
      <w:r w:rsidRPr="0061285F">
        <w:rPr>
          <w:rFonts w:ascii="Arial" w:hAnsi="Arial" w:cs="Arial"/>
        </w:rPr>
        <w:t xml:space="preserve">; plans must change as </w:t>
      </w:r>
      <w:r w:rsidR="00FE20BC" w:rsidRPr="0061285F">
        <w:rPr>
          <w:rFonts w:ascii="Arial" w:hAnsi="Arial" w:cs="Arial"/>
        </w:rPr>
        <w:t>current information</w:t>
      </w:r>
      <w:r w:rsidRPr="0061285F">
        <w:rPr>
          <w:rFonts w:ascii="Arial" w:hAnsi="Arial" w:cs="Arial"/>
        </w:rPr>
        <w:t xml:space="preserve"> emerges.</w:t>
      </w:r>
    </w:p>
    <w:p w14:paraId="3BB73D1F" w14:textId="77777777" w:rsidR="0061285F" w:rsidRPr="0061285F" w:rsidRDefault="0061285F" w:rsidP="00B257AD">
      <w:pPr>
        <w:numPr>
          <w:ilvl w:val="0"/>
          <w:numId w:val="19"/>
        </w:numPr>
        <w:spacing w:line="360" w:lineRule="auto"/>
        <w:rPr>
          <w:rFonts w:ascii="Arial" w:hAnsi="Arial" w:cs="Arial"/>
        </w:rPr>
      </w:pPr>
      <w:r w:rsidRPr="0061285F">
        <w:rPr>
          <w:rFonts w:ascii="Arial" w:hAnsi="Arial" w:cs="Arial"/>
          <w:b/>
          <w:bCs/>
        </w:rPr>
        <w:t>Data systems must be unified</w:t>
      </w:r>
      <w:r w:rsidRPr="0061285F">
        <w:rPr>
          <w:rFonts w:ascii="Arial" w:hAnsi="Arial" w:cs="Arial"/>
        </w:rPr>
        <w:t>—fragmented data slowed responses in Spain and Canada.</w:t>
      </w:r>
    </w:p>
    <w:p w14:paraId="7FB0A1CE" w14:textId="77777777" w:rsidR="0061285F" w:rsidRPr="0061285F" w:rsidRDefault="0061285F" w:rsidP="00B257AD">
      <w:pPr>
        <w:numPr>
          <w:ilvl w:val="0"/>
          <w:numId w:val="19"/>
        </w:numPr>
        <w:spacing w:line="360" w:lineRule="auto"/>
        <w:rPr>
          <w:rFonts w:ascii="Arial" w:hAnsi="Arial" w:cs="Arial"/>
        </w:rPr>
      </w:pPr>
      <w:r w:rsidRPr="0061285F">
        <w:rPr>
          <w:rFonts w:ascii="Arial" w:hAnsi="Arial" w:cs="Arial"/>
          <w:b/>
          <w:bCs/>
        </w:rPr>
        <w:t>Collaboration is essential</w:t>
      </w:r>
      <w:r w:rsidRPr="0061285F">
        <w:rPr>
          <w:rFonts w:ascii="Arial" w:hAnsi="Arial" w:cs="Arial"/>
        </w:rPr>
        <w:t>, especially where authority is shared across multiple levels of government.</w:t>
      </w:r>
    </w:p>
    <w:p w14:paraId="037C2288" w14:textId="77777777" w:rsidR="009B6C31" w:rsidRDefault="0061285F" w:rsidP="00B257AD">
      <w:pPr>
        <w:spacing w:line="360" w:lineRule="auto"/>
        <w:rPr>
          <w:rFonts w:ascii="Arial" w:hAnsi="Arial" w:cs="Arial"/>
        </w:rPr>
      </w:pPr>
      <w:r w:rsidRPr="0061285F">
        <w:rPr>
          <w:rFonts w:ascii="Arial" w:hAnsi="Arial" w:cs="Arial"/>
        </w:rPr>
        <w:t>Overall, South Korea’s response shows the benefits of strong central institutions combined with transparent and adaptive leadership. Spain illustrates how decentralisation can delay initial action but can still succeed when centralised coordination is activated. Canada demonstrates the strengths and limitations of decentralisation, highlighting the importance of collaboration and national support.</w:t>
      </w:r>
    </w:p>
    <w:p w14:paraId="798F8FEE" w14:textId="306DE878" w:rsidR="00A83DF2" w:rsidRPr="00614A27" w:rsidRDefault="00A83DF2" w:rsidP="00614A27">
      <w:pPr>
        <w:pStyle w:val="Heading1"/>
        <w:rPr>
          <w:rFonts w:ascii="Arial" w:hAnsi="Arial" w:cs="Arial"/>
          <w:b/>
          <w:bCs/>
          <w:color w:val="auto"/>
          <w:sz w:val="32"/>
          <w:szCs w:val="32"/>
        </w:rPr>
      </w:pPr>
      <w:bookmarkStart w:id="13" w:name="_Toc216182393"/>
      <w:r w:rsidRPr="00614A27">
        <w:rPr>
          <w:rFonts w:ascii="Arial" w:hAnsi="Arial" w:cs="Arial"/>
          <w:b/>
          <w:bCs/>
          <w:color w:val="auto"/>
          <w:sz w:val="32"/>
          <w:szCs w:val="32"/>
        </w:rPr>
        <w:t>Conclusion</w:t>
      </w:r>
      <w:bookmarkEnd w:id="13"/>
      <w:r w:rsidRPr="00614A27">
        <w:rPr>
          <w:rFonts w:ascii="Arial" w:hAnsi="Arial" w:cs="Arial"/>
          <w:b/>
          <w:bCs/>
          <w:color w:val="auto"/>
          <w:sz w:val="32"/>
          <w:szCs w:val="32"/>
        </w:rPr>
        <w:t xml:space="preserve"> </w:t>
      </w:r>
    </w:p>
    <w:p w14:paraId="13919FB0" w14:textId="6E396F03" w:rsidR="00A83DF2" w:rsidRPr="00A83DF2" w:rsidRDefault="00A83DF2" w:rsidP="00B257AD">
      <w:pPr>
        <w:spacing w:line="360" w:lineRule="auto"/>
        <w:rPr>
          <w:rFonts w:ascii="Arial" w:hAnsi="Arial" w:cs="Arial"/>
        </w:rPr>
      </w:pPr>
      <w:r w:rsidRPr="00A83DF2">
        <w:rPr>
          <w:rFonts w:ascii="Arial" w:hAnsi="Arial" w:cs="Arial"/>
        </w:rPr>
        <w:t xml:space="preserve">This report has compared how Spain, South Korea, and Canada managed the COVID-19 pandemic, focusing on the influence of healthcare system structures and leadership styles. Although each country faced the same global threat, their responses differed significantly because of how their systems were organised and how their </w:t>
      </w:r>
      <w:r w:rsidR="00A2019C">
        <w:rPr>
          <w:rFonts w:ascii="Arial" w:hAnsi="Arial" w:cs="Arial"/>
        </w:rPr>
        <w:t>leaders</w:t>
      </w:r>
      <w:r w:rsidRPr="00A83DF2">
        <w:rPr>
          <w:rFonts w:ascii="Arial" w:hAnsi="Arial" w:cs="Arial"/>
        </w:rPr>
        <w:t xml:space="preserve"> guided decision-making under pressure.</w:t>
      </w:r>
    </w:p>
    <w:p w14:paraId="54A7F116" w14:textId="77777777" w:rsidR="00A83DF2" w:rsidRPr="00A83DF2" w:rsidRDefault="00A83DF2" w:rsidP="00B257AD">
      <w:pPr>
        <w:spacing w:line="360" w:lineRule="auto"/>
        <w:rPr>
          <w:rFonts w:ascii="Arial" w:hAnsi="Arial" w:cs="Arial"/>
        </w:rPr>
      </w:pPr>
      <w:r w:rsidRPr="00A83DF2">
        <w:rPr>
          <w:rFonts w:ascii="Arial" w:hAnsi="Arial" w:cs="Arial"/>
        </w:rPr>
        <w:t>Spain’s decentralised system initially struggled with coordination, fragmented data, and delayed action, leading to severe early outcomes. However, once the national government temporarily centralised authority under Salvador Illa, the response became more organised. Spain’s highly coordinated vaccination campaign later demonstrated how centralisation, when implemented effectively, can support clearer communication and improve national performance.</w:t>
      </w:r>
    </w:p>
    <w:p w14:paraId="49D8C424" w14:textId="77777777" w:rsidR="00A83DF2" w:rsidRPr="00A83DF2" w:rsidRDefault="00A83DF2" w:rsidP="00B257AD">
      <w:pPr>
        <w:spacing w:line="360" w:lineRule="auto"/>
        <w:rPr>
          <w:rFonts w:ascii="Arial" w:hAnsi="Arial" w:cs="Arial"/>
        </w:rPr>
      </w:pPr>
      <w:r w:rsidRPr="00A83DF2">
        <w:rPr>
          <w:rFonts w:ascii="Arial" w:hAnsi="Arial" w:cs="Arial"/>
        </w:rPr>
        <w:t>South Korea’s strong centralisation and preparedness gave it a major advantage. Years of investment following the MERS outbreak provided robust laboratory capacity, a legal framework for emergency response, and a well-coordinated public health system. Under the transparent and adaptive leadership of Prime Minister Chung Sye-kyun, the country relied on rapid testing, digital tracing, and clear communication to avoid nationwide lockdowns and maintain public trust.</w:t>
      </w:r>
    </w:p>
    <w:p w14:paraId="1BE9692E" w14:textId="0E3FE70F" w:rsidR="00A83DF2" w:rsidRPr="00A83DF2" w:rsidRDefault="00A83DF2" w:rsidP="00B257AD">
      <w:pPr>
        <w:spacing w:line="360" w:lineRule="auto"/>
        <w:rPr>
          <w:rFonts w:ascii="Arial" w:hAnsi="Arial" w:cs="Arial"/>
        </w:rPr>
      </w:pPr>
      <w:r w:rsidRPr="00A83DF2">
        <w:rPr>
          <w:rFonts w:ascii="Arial" w:hAnsi="Arial" w:cs="Arial"/>
        </w:rPr>
        <w:t xml:space="preserve">Canada’s experience showed the benefits and limits of decentralisation. The federal government, led by Justin Trudeau, provided </w:t>
      </w:r>
      <w:r w:rsidR="00FE20BC" w:rsidRPr="00A83DF2">
        <w:rPr>
          <w:rFonts w:ascii="Arial" w:hAnsi="Arial" w:cs="Arial"/>
        </w:rPr>
        <w:t>effective communication</w:t>
      </w:r>
      <w:r w:rsidRPr="00A83DF2">
        <w:rPr>
          <w:rFonts w:ascii="Arial" w:hAnsi="Arial" w:cs="Arial"/>
        </w:rPr>
        <w:t xml:space="preserve">, secured vaccines, and delivered extensive economic support. However, the decentralised structure led to inconsistent provincial responses, data fragmentation, and major challenges in long-term </w:t>
      </w:r>
      <w:r w:rsidRPr="00A83DF2">
        <w:rPr>
          <w:rFonts w:ascii="Arial" w:hAnsi="Arial" w:cs="Arial"/>
        </w:rPr>
        <w:lastRenderedPageBreak/>
        <w:t>care. Trudeau’s leadership relied heavily on collaboration because he lacked direct authority over provincial health decisions, resulting in varied outcomes across the country.</w:t>
      </w:r>
    </w:p>
    <w:p w14:paraId="6474C3DA" w14:textId="77777777" w:rsidR="00A83DF2" w:rsidRPr="00A83DF2" w:rsidRDefault="00A83DF2" w:rsidP="00B257AD">
      <w:pPr>
        <w:spacing w:line="360" w:lineRule="auto"/>
        <w:rPr>
          <w:rFonts w:ascii="Arial" w:hAnsi="Arial" w:cs="Arial"/>
        </w:rPr>
      </w:pPr>
      <w:r w:rsidRPr="00A83DF2">
        <w:rPr>
          <w:rFonts w:ascii="Arial" w:hAnsi="Arial" w:cs="Arial"/>
        </w:rPr>
        <w:t>Comparing the three countries illustrates that no single system is perfect, but certain patterns are clear. Centralised systems tend to act faster and more consistently, while decentralised systems require strong coordination and trust to function effectively under crisis conditions. Leadership also plays a decisive role: transformational, collaborative, and adaptive leadership behaviours help build public trust, support evidence-based policymaking, and encourage cooperation across institutions.</w:t>
      </w:r>
    </w:p>
    <w:p w14:paraId="6E8A8099" w14:textId="1D299952" w:rsidR="00A83DF2" w:rsidRPr="00A83DF2" w:rsidRDefault="00B257AD" w:rsidP="00B257AD">
      <w:pPr>
        <w:spacing w:line="360" w:lineRule="auto"/>
        <w:rPr>
          <w:rFonts w:ascii="Arial" w:hAnsi="Arial" w:cs="Arial"/>
        </w:rPr>
      </w:pPr>
      <w:r w:rsidRPr="00A83DF2">
        <w:rPr>
          <w:rFonts w:ascii="Arial" w:hAnsi="Arial" w:cs="Arial"/>
        </w:rPr>
        <w:t>This</w:t>
      </w:r>
      <w:r w:rsidR="00A83DF2" w:rsidRPr="00A83DF2">
        <w:rPr>
          <w:rFonts w:ascii="Arial" w:hAnsi="Arial" w:cs="Arial"/>
        </w:rPr>
        <w:t xml:space="preserve"> report shows that both structure and leadership matter. A resilient pandemic response depends on clear governance, prepared institutions, and leaders who communicate openly, act decisively, and adapt to rapidly changing circumstances. The lessons learned from Spain, South Korea, and Canada highlight the need for countries to strengthen public health systems, invest in data infrastructure, and develop leadership approaches that balance authority, collaboration, and transparency. These insights will be essential for improving global preparedness and protecting populations in future public health emergencies.</w:t>
      </w:r>
    </w:p>
    <w:p w14:paraId="22D8E179" w14:textId="77777777" w:rsidR="00343ECA" w:rsidRPr="00B257AD" w:rsidRDefault="00343ECA" w:rsidP="00B257AD">
      <w:pPr>
        <w:spacing w:line="360" w:lineRule="auto"/>
        <w:rPr>
          <w:rFonts w:ascii="Arial" w:hAnsi="Arial" w:cs="Arial"/>
        </w:rPr>
      </w:pPr>
    </w:p>
    <w:p w14:paraId="4E9AFEC9" w14:textId="142C0E92" w:rsidR="00C534BB" w:rsidRDefault="00C864A7" w:rsidP="00C534BB">
      <w:pPr>
        <w:pStyle w:val="Heading1"/>
        <w:rPr>
          <w:rFonts w:ascii="Arial" w:hAnsi="Arial" w:cs="Arial"/>
          <w:b/>
          <w:bCs/>
          <w:color w:val="auto"/>
          <w:sz w:val="32"/>
          <w:szCs w:val="32"/>
          <w:lang w:eastAsia="en-GB"/>
        </w:rPr>
      </w:pPr>
      <w:bookmarkStart w:id="14" w:name="_Toc216182394"/>
      <w:r>
        <w:rPr>
          <w:rFonts w:ascii="Arial" w:hAnsi="Arial" w:cs="Arial"/>
          <w:b/>
          <w:bCs/>
          <w:color w:val="auto"/>
          <w:sz w:val="32"/>
          <w:szCs w:val="32"/>
          <w:lang w:eastAsia="en-GB"/>
        </w:rPr>
        <w:t>5</w:t>
      </w:r>
      <w:r w:rsidR="00E73799" w:rsidRPr="00824036">
        <w:rPr>
          <w:rFonts w:ascii="Arial" w:hAnsi="Arial" w:cs="Arial"/>
          <w:b/>
          <w:bCs/>
          <w:color w:val="auto"/>
          <w:sz w:val="32"/>
          <w:szCs w:val="32"/>
          <w:lang w:eastAsia="en-GB"/>
        </w:rPr>
        <w:t>.</w:t>
      </w:r>
      <w:r w:rsidR="00731144" w:rsidRPr="00824036">
        <w:rPr>
          <w:rFonts w:ascii="Arial" w:hAnsi="Arial" w:cs="Arial"/>
          <w:b/>
          <w:bCs/>
          <w:color w:val="auto"/>
          <w:sz w:val="32"/>
          <w:szCs w:val="32"/>
          <w:lang w:eastAsia="en-GB"/>
        </w:rPr>
        <w:t xml:space="preserve"> </w:t>
      </w:r>
      <w:r w:rsidR="002B261E" w:rsidRPr="00824036">
        <w:rPr>
          <w:rFonts w:ascii="Arial" w:hAnsi="Arial" w:cs="Arial"/>
          <w:b/>
          <w:bCs/>
          <w:color w:val="auto"/>
          <w:sz w:val="32"/>
          <w:szCs w:val="32"/>
          <w:lang w:eastAsia="en-GB"/>
        </w:rPr>
        <w:t>References</w:t>
      </w:r>
      <w:bookmarkEnd w:id="14"/>
    </w:p>
    <w:p w14:paraId="137F73DC" w14:textId="77777777" w:rsidR="00C534BB" w:rsidRPr="00C534BB" w:rsidRDefault="00C534BB" w:rsidP="00C534BB">
      <w:pPr>
        <w:rPr>
          <w:lang w:eastAsia="en-GB"/>
        </w:rPr>
      </w:pPr>
    </w:p>
    <w:p w14:paraId="61BD9FC6" w14:textId="1B0ACE62" w:rsidR="00C534BB" w:rsidRPr="00C534BB" w:rsidRDefault="00C534BB" w:rsidP="00C534BB">
      <w:pPr>
        <w:spacing w:line="360" w:lineRule="auto"/>
        <w:rPr>
          <w:rFonts w:ascii="Arial" w:hAnsi="Arial" w:cs="Arial"/>
        </w:rPr>
      </w:pPr>
      <w:r w:rsidRPr="00C534BB">
        <w:rPr>
          <w:rFonts w:ascii="Arial" w:hAnsi="Arial" w:cs="Arial"/>
        </w:rPr>
        <w:t xml:space="preserve">Ahn, N. Y., Park, J. E., Lee, D. H., &amp; Hong, P. C. (2020). Balancing Personal Privacy and Public Safety During COVID-19: The Case of South Korea. </w:t>
      </w:r>
      <w:r w:rsidRPr="00C534BB">
        <w:rPr>
          <w:rFonts w:ascii="Arial" w:hAnsi="Arial" w:cs="Arial"/>
          <w:i/>
          <w:iCs/>
        </w:rPr>
        <w:t>IEEE Access: practical innovations, open solutions</w:t>
      </w:r>
      <w:r w:rsidRPr="00C534BB">
        <w:rPr>
          <w:rFonts w:ascii="Arial" w:hAnsi="Arial" w:cs="Arial"/>
        </w:rPr>
        <w:t xml:space="preserve">, 8, 171325–171333. </w:t>
      </w:r>
      <w:hyperlink r:id="rId13" w:tgtFrame="_new" w:history="1">
        <w:r w:rsidRPr="00C534BB">
          <w:rPr>
            <w:rStyle w:val="Hyperlink"/>
            <w:rFonts w:ascii="Arial" w:hAnsi="Arial" w:cs="Arial"/>
          </w:rPr>
          <w:t>https://doi.org/10.1109/ACCESS.2020.3025971</w:t>
        </w:r>
      </w:hyperlink>
      <w:r w:rsidRPr="00C534BB">
        <w:rPr>
          <w:rFonts w:ascii="Arial" w:hAnsi="Arial" w:cs="Arial"/>
        </w:rPr>
        <w:t xml:space="preserve"> </w:t>
      </w:r>
      <w:r w:rsidR="00606B77">
        <w:rPr>
          <w:rFonts w:ascii="Arial" w:hAnsi="Arial" w:cs="Arial"/>
        </w:rPr>
        <w:t>(</w:t>
      </w:r>
      <w:r w:rsidRPr="00C534BB">
        <w:rPr>
          <w:rFonts w:ascii="Arial" w:hAnsi="Arial" w:cs="Arial"/>
        </w:rPr>
        <w:t>Accessed 18 Nov. 2025</w:t>
      </w:r>
      <w:r w:rsidR="00606B77">
        <w:rPr>
          <w:rFonts w:ascii="Arial" w:hAnsi="Arial" w:cs="Arial"/>
        </w:rPr>
        <w:t>)</w:t>
      </w:r>
      <w:r w:rsidRPr="00C534BB">
        <w:rPr>
          <w:rFonts w:ascii="Arial" w:hAnsi="Arial" w:cs="Arial"/>
        </w:rPr>
        <w:t>.</w:t>
      </w:r>
    </w:p>
    <w:p w14:paraId="42A74C71" w14:textId="1F420557" w:rsidR="00C534BB" w:rsidRPr="00C534BB" w:rsidRDefault="00C534BB" w:rsidP="00C534BB">
      <w:pPr>
        <w:spacing w:line="360" w:lineRule="auto"/>
        <w:rPr>
          <w:rFonts w:ascii="Arial" w:hAnsi="Arial" w:cs="Arial"/>
        </w:rPr>
      </w:pPr>
      <w:r w:rsidRPr="00C534BB">
        <w:rPr>
          <w:rFonts w:ascii="Arial" w:hAnsi="Arial" w:cs="Arial"/>
        </w:rPr>
        <w:t xml:space="preserve">Allin, S., Gagnon, M. &amp; Marchildon, G. (2021) ‘The federal government and Canada’s COVID-19 responses’, </w:t>
      </w:r>
      <w:r w:rsidRPr="00C534BB">
        <w:rPr>
          <w:rFonts w:ascii="Arial" w:hAnsi="Arial" w:cs="Arial"/>
          <w:i/>
          <w:iCs/>
        </w:rPr>
        <w:t>Healthcare Policy</w:t>
      </w:r>
      <w:r w:rsidRPr="00C534BB">
        <w:rPr>
          <w:rFonts w:ascii="Arial" w:hAnsi="Arial" w:cs="Arial"/>
        </w:rPr>
        <w:t xml:space="preserve">, 17(1), pp. 14–24. Available at: </w:t>
      </w:r>
      <w:hyperlink r:id="rId14" w:tgtFrame="_new" w:history="1">
        <w:r w:rsidRPr="00C534BB">
          <w:rPr>
            <w:rStyle w:val="Hyperlink"/>
            <w:rFonts w:ascii="Arial" w:hAnsi="Arial" w:cs="Arial"/>
          </w:rPr>
          <w:t>https://pmc.ncbi.nlm.nih.gov/articles/PMC8326669/</w:t>
        </w:r>
      </w:hyperlink>
      <w:r w:rsidRPr="00C534BB">
        <w:rPr>
          <w:rFonts w:ascii="Arial" w:hAnsi="Arial" w:cs="Arial"/>
        </w:rPr>
        <w:t xml:space="preserve"> </w:t>
      </w:r>
      <w:r w:rsidR="00606B77">
        <w:rPr>
          <w:rFonts w:ascii="Arial" w:hAnsi="Arial" w:cs="Arial"/>
        </w:rPr>
        <w:t>(</w:t>
      </w:r>
      <w:r w:rsidRPr="00C534BB">
        <w:rPr>
          <w:rFonts w:ascii="Arial" w:hAnsi="Arial" w:cs="Arial"/>
        </w:rPr>
        <w:t>Accessed 18 Nov. 2025</w:t>
      </w:r>
      <w:r w:rsidR="00606B77">
        <w:rPr>
          <w:rFonts w:ascii="Arial" w:hAnsi="Arial" w:cs="Arial"/>
        </w:rPr>
        <w:t>)</w:t>
      </w:r>
      <w:r w:rsidRPr="00C534BB">
        <w:rPr>
          <w:rFonts w:ascii="Arial" w:hAnsi="Arial" w:cs="Arial"/>
        </w:rPr>
        <w:t>.</w:t>
      </w:r>
    </w:p>
    <w:p w14:paraId="2C45E963" w14:textId="5C8F53D9" w:rsidR="00C534BB" w:rsidRPr="00C534BB" w:rsidRDefault="00C534BB" w:rsidP="00C534BB">
      <w:pPr>
        <w:spacing w:line="360" w:lineRule="auto"/>
        <w:rPr>
          <w:rFonts w:ascii="Arial" w:hAnsi="Arial" w:cs="Arial"/>
        </w:rPr>
      </w:pPr>
      <w:r w:rsidRPr="00C534BB">
        <w:rPr>
          <w:rFonts w:ascii="Arial" w:hAnsi="Arial" w:cs="Arial"/>
        </w:rPr>
        <w:t xml:space="preserve">Ansell, C., Sørensen, E. and Torfing, J. (2020). Is the COVID-19 pandemic </w:t>
      </w:r>
      <w:r w:rsidR="00DF6B2D" w:rsidRPr="00C534BB">
        <w:rPr>
          <w:rFonts w:ascii="Arial" w:hAnsi="Arial" w:cs="Arial"/>
        </w:rPr>
        <w:t>a notable change</w:t>
      </w:r>
      <w:r w:rsidRPr="00C534BB">
        <w:rPr>
          <w:rFonts w:ascii="Arial" w:hAnsi="Arial" w:cs="Arial"/>
        </w:rPr>
        <w:t xml:space="preserve"> for public administration and leadership? </w:t>
      </w:r>
      <w:r w:rsidRPr="00C534BB">
        <w:rPr>
          <w:rFonts w:ascii="Arial" w:hAnsi="Arial" w:cs="Arial"/>
          <w:i/>
          <w:iCs/>
        </w:rPr>
        <w:t>Public Management Review</w:t>
      </w:r>
      <w:r w:rsidRPr="00C534BB">
        <w:rPr>
          <w:rFonts w:ascii="Arial" w:hAnsi="Arial" w:cs="Arial"/>
        </w:rPr>
        <w:t>, 23(7), pp.1–</w:t>
      </w:r>
      <w:r w:rsidR="00B504A8" w:rsidRPr="00C534BB">
        <w:rPr>
          <w:rFonts w:ascii="Arial" w:hAnsi="Arial" w:cs="Arial"/>
        </w:rPr>
        <w:t>12</w:t>
      </w:r>
      <w:r w:rsidR="00B504A8">
        <w:rPr>
          <w:rFonts w:ascii="Arial" w:hAnsi="Arial" w:cs="Arial"/>
        </w:rPr>
        <w:t>. (</w:t>
      </w:r>
      <w:r w:rsidRPr="00C534BB">
        <w:rPr>
          <w:rFonts w:ascii="Arial" w:hAnsi="Arial" w:cs="Arial"/>
        </w:rPr>
        <w:t>Accessed 1</w:t>
      </w:r>
      <w:r w:rsidR="00B504A8">
        <w:rPr>
          <w:rFonts w:ascii="Arial" w:hAnsi="Arial" w:cs="Arial"/>
        </w:rPr>
        <w:t>3</w:t>
      </w:r>
      <w:r w:rsidRPr="00C534BB">
        <w:rPr>
          <w:rFonts w:ascii="Arial" w:hAnsi="Arial" w:cs="Arial"/>
        </w:rPr>
        <w:t xml:space="preserve"> Nov. 2025.</w:t>
      </w:r>
    </w:p>
    <w:p w14:paraId="111733B0" w14:textId="79635458" w:rsidR="00C534BB" w:rsidRPr="00C534BB" w:rsidRDefault="00C534BB" w:rsidP="00C534BB">
      <w:pPr>
        <w:spacing w:line="360" w:lineRule="auto"/>
        <w:rPr>
          <w:rFonts w:ascii="Arial" w:hAnsi="Arial" w:cs="Arial"/>
        </w:rPr>
      </w:pPr>
      <w:r w:rsidRPr="00C534BB">
        <w:rPr>
          <w:rFonts w:ascii="Arial" w:hAnsi="Arial" w:cs="Arial"/>
        </w:rPr>
        <w:t xml:space="preserve">Bass, B.M. and Riggio, R.E. (2006). </w:t>
      </w:r>
      <w:r w:rsidRPr="00C534BB">
        <w:rPr>
          <w:rFonts w:ascii="Arial" w:hAnsi="Arial" w:cs="Arial"/>
          <w:i/>
          <w:iCs/>
        </w:rPr>
        <w:t>Transformational Leadership</w:t>
      </w:r>
      <w:r w:rsidRPr="00C534BB">
        <w:rPr>
          <w:rFonts w:ascii="Arial" w:hAnsi="Arial" w:cs="Arial"/>
        </w:rPr>
        <w:t xml:space="preserve">. 2nd ed. Psychology </w:t>
      </w:r>
      <w:r w:rsidR="00606B77" w:rsidRPr="00C534BB">
        <w:rPr>
          <w:rFonts w:ascii="Arial" w:hAnsi="Arial" w:cs="Arial"/>
        </w:rPr>
        <w:t>Press.</w:t>
      </w:r>
      <w:r w:rsidR="00606B77" w:rsidRPr="00606B77">
        <w:rPr>
          <w:rFonts w:ascii="Arial" w:hAnsi="Arial" w:cs="Arial"/>
        </w:rPr>
        <w:t xml:space="preserve"> (Accessed 12 November 2025).</w:t>
      </w:r>
    </w:p>
    <w:p w14:paraId="4226ADAC" w14:textId="046E13AE" w:rsidR="00C534BB" w:rsidRPr="00C534BB" w:rsidRDefault="00C534BB" w:rsidP="00C534BB">
      <w:pPr>
        <w:spacing w:line="360" w:lineRule="auto"/>
        <w:rPr>
          <w:rFonts w:ascii="Arial" w:hAnsi="Arial" w:cs="Arial"/>
        </w:rPr>
      </w:pPr>
      <w:r w:rsidRPr="00C534BB">
        <w:rPr>
          <w:rFonts w:ascii="Arial" w:hAnsi="Arial" w:cs="Arial"/>
        </w:rPr>
        <w:lastRenderedPageBreak/>
        <w:t xml:space="preserve">Benchmarking Health Leadership in Canada: 2020 Report of CHLNet Steering Group. (2020). Available at: </w:t>
      </w:r>
      <w:hyperlink r:id="rId15" w:tgtFrame="_new" w:history="1">
        <w:r w:rsidRPr="00C534BB">
          <w:rPr>
            <w:rStyle w:val="Hyperlink"/>
            <w:rFonts w:ascii="Arial" w:hAnsi="Arial" w:cs="Arial"/>
          </w:rPr>
          <w:t>https://chlnet.ca/wp-content/uploads/CHLNetBench2-1-3-25.pdf</w:t>
        </w:r>
      </w:hyperlink>
      <w:r w:rsidRPr="00C534BB">
        <w:rPr>
          <w:rFonts w:ascii="Arial" w:hAnsi="Arial" w:cs="Arial"/>
        </w:rPr>
        <w:t xml:space="preserve"> </w:t>
      </w:r>
      <w:r w:rsidR="00B504A8">
        <w:rPr>
          <w:rFonts w:ascii="Arial" w:hAnsi="Arial" w:cs="Arial"/>
        </w:rPr>
        <w:t>(</w:t>
      </w:r>
      <w:r w:rsidRPr="00C534BB">
        <w:rPr>
          <w:rFonts w:ascii="Arial" w:hAnsi="Arial" w:cs="Arial"/>
        </w:rPr>
        <w:t>Accessed 18 Nov. 2025</w:t>
      </w:r>
      <w:r w:rsidR="00B504A8">
        <w:rPr>
          <w:rFonts w:ascii="Arial" w:hAnsi="Arial" w:cs="Arial"/>
        </w:rPr>
        <w:t>)</w:t>
      </w:r>
      <w:r w:rsidRPr="00C534BB">
        <w:rPr>
          <w:rFonts w:ascii="Arial" w:hAnsi="Arial" w:cs="Arial"/>
        </w:rPr>
        <w:t>.</w:t>
      </w:r>
    </w:p>
    <w:p w14:paraId="61D337BA" w14:textId="55657C60" w:rsidR="00BA22D5" w:rsidRPr="00C534BB" w:rsidRDefault="00C534BB" w:rsidP="00C534BB">
      <w:pPr>
        <w:spacing w:line="360" w:lineRule="auto"/>
        <w:rPr>
          <w:rFonts w:ascii="Arial" w:hAnsi="Arial" w:cs="Arial"/>
        </w:rPr>
      </w:pPr>
      <w:r w:rsidRPr="00C534BB">
        <w:rPr>
          <w:rFonts w:ascii="Arial" w:hAnsi="Arial" w:cs="Arial"/>
        </w:rPr>
        <w:t xml:space="preserve">Bubela, T., Flood, C.M., McGrail, K., Straus, </w:t>
      </w:r>
      <w:r w:rsidR="006E6441" w:rsidRPr="00C534BB">
        <w:rPr>
          <w:rFonts w:ascii="Arial" w:hAnsi="Arial" w:cs="Arial"/>
        </w:rPr>
        <w:t>S.E.,</w:t>
      </w:r>
      <w:r w:rsidRPr="00C534BB">
        <w:rPr>
          <w:rFonts w:ascii="Arial" w:hAnsi="Arial" w:cs="Arial"/>
        </w:rPr>
        <w:t xml:space="preserve"> and Mishra, S. (2023). How Canada’s decentralised COVID-19 response affected public health data and </w:t>
      </w:r>
      <w:r w:rsidR="00B504A8">
        <w:rPr>
          <w:rFonts w:ascii="Arial" w:hAnsi="Arial" w:cs="Arial"/>
        </w:rPr>
        <w:t>decision-making</w:t>
      </w:r>
      <w:r w:rsidRPr="00C534BB">
        <w:rPr>
          <w:rFonts w:ascii="Arial" w:hAnsi="Arial" w:cs="Arial"/>
        </w:rPr>
        <w:t xml:space="preserve">. </w:t>
      </w:r>
      <w:r w:rsidRPr="00C534BB">
        <w:rPr>
          <w:rFonts w:ascii="Arial" w:hAnsi="Arial" w:cs="Arial"/>
          <w:i/>
          <w:iCs/>
        </w:rPr>
        <w:t>BMJ</w:t>
      </w:r>
      <w:r w:rsidRPr="00C534BB">
        <w:rPr>
          <w:rFonts w:ascii="Arial" w:hAnsi="Arial" w:cs="Arial"/>
        </w:rPr>
        <w:t xml:space="preserve">, 382, p.e075665. </w:t>
      </w:r>
      <w:hyperlink r:id="rId16" w:tgtFrame="_new" w:history="1">
        <w:r w:rsidRPr="00C534BB">
          <w:rPr>
            <w:rStyle w:val="Hyperlink"/>
            <w:rFonts w:ascii="Arial" w:hAnsi="Arial" w:cs="Arial"/>
          </w:rPr>
          <w:t>https://doi.org/10.1136/bmj-2023-075665</w:t>
        </w:r>
      </w:hyperlink>
      <w:r w:rsidRPr="00C534BB">
        <w:rPr>
          <w:rFonts w:ascii="Arial" w:hAnsi="Arial" w:cs="Arial"/>
        </w:rPr>
        <w:t xml:space="preserve"> </w:t>
      </w:r>
      <w:r w:rsidR="00A87547">
        <w:rPr>
          <w:rFonts w:ascii="Arial" w:hAnsi="Arial" w:cs="Arial"/>
        </w:rPr>
        <w:t>(</w:t>
      </w:r>
      <w:r w:rsidRPr="00C534BB">
        <w:rPr>
          <w:rFonts w:ascii="Arial" w:hAnsi="Arial" w:cs="Arial"/>
        </w:rPr>
        <w:t>Accessed 1</w:t>
      </w:r>
      <w:r w:rsidR="00A87547">
        <w:rPr>
          <w:rFonts w:ascii="Arial" w:hAnsi="Arial" w:cs="Arial"/>
        </w:rPr>
        <w:t>2</w:t>
      </w:r>
      <w:r w:rsidRPr="00C534BB">
        <w:rPr>
          <w:rFonts w:ascii="Arial" w:hAnsi="Arial" w:cs="Arial"/>
        </w:rPr>
        <w:t xml:space="preserve"> Nov. 2025</w:t>
      </w:r>
      <w:r w:rsidR="00A87547">
        <w:rPr>
          <w:rFonts w:ascii="Arial" w:hAnsi="Arial" w:cs="Arial"/>
        </w:rPr>
        <w:t>)</w:t>
      </w:r>
      <w:r w:rsidRPr="00C534BB">
        <w:rPr>
          <w:rFonts w:ascii="Arial" w:hAnsi="Arial" w:cs="Arial"/>
        </w:rPr>
        <w:t>.</w:t>
      </w:r>
    </w:p>
    <w:p w14:paraId="43B13B12" w14:textId="6C1D5B76" w:rsidR="00C534BB" w:rsidRPr="00C534BB" w:rsidRDefault="00C534BB" w:rsidP="00C534BB">
      <w:pPr>
        <w:spacing w:line="360" w:lineRule="auto"/>
        <w:rPr>
          <w:rFonts w:ascii="Arial" w:hAnsi="Arial" w:cs="Arial"/>
        </w:rPr>
      </w:pPr>
      <w:r w:rsidRPr="00C534BB">
        <w:rPr>
          <w:rFonts w:ascii="Arial" w:hAnsi="Arial" w:cs="Arial"/>
        </w:rPr>
        <w:t xml:space="preserve">Canada, P.H.A. of (2022). </w:t>
      </w:r>
      <w:r w:rsidRPr="00C534BB">
        <w:rPr>
          <w:rFonts w:ascii="Arial" w:hAnsi="Arial" w:cs="Arial"/>
          <w:i/>
          <w:iCs/>
        </w:rPr>
        <w:t>Public Health Agency of Canada 2020-21 Departmental Results Report</w:t>
      </w:r>
      <w:r w:rsidRPr="00C534BB">
        <w:rPr>
          <w:rFonts w:ascii="Arial" w:hAnsi="Arial" w:cs="Arial"/>
        </w:rPr>
        <w:t>. Available at:</w:t>
      </w:r>
      <w:r w:rsidRPr="00C534BB">
        <w:rPr>
          <w:rFonts w:ascii="Arial" w:hAnsi="Arial" w:cs="Arial"/>
        </w:rPr>
        <w:br/>
      </w:r>
      <w:hyperlink r:id="rId17" w:tgtFrame="_new" w:history="1">
        <w:r w:rsidRPr="00C534BB">
          <w:rPr>
            <w:rStyle w:val="Hyperlink"/>
            <w:rFonts w:ascii="Arial" w:hAnsi="Arial" w:cs="Arial"/>
          </w:rPr>
          <w:t>https://www.canada.ca/en/public-health/corporate/transparency/corporate-management-reporting/departmental-performance-reports/2020-2021.html</w:t>
        </w:r>
      </w:hyperlink>
      <w:r w:rsidRPr="00C534BB">
        <w:rPr>
          <w:rFonts w:ascii="Arial" w:hAnsi="Arial" w:cs="Arial"/>
        </w:rPr>
        <w:t xml:space="preserve"> </w:t>
      </w:r>
      <w:r w:rsidR="00A87547">
        <w:rPr>
          <w:rFonts w:ascii="Arial" w:hAnsi="Arial" w:cs="Arial"/>
        </w:rPr>
        <w:t>(</w:t>
      </w:r>
      <w:r w:rsidRPr="00C534BB">
        <w:rPr>
          <w:rFonts w:ascii="Arial" w:hAnsi="Arial" w:cs="Arial"/>
        </w:rPr>
        <w:t>Accessed 1</w:t>
      </w:r>
      <w:r w:rsidR="00A87547">
        <w:rPr>
          <w:rFonts w:ascii="Arial" w:hAnsi="Arial" w:cs="Arial"/>
        </w:rPr>
        <w:t>1</w:t>
      </w:r>
      <w:r w:rsidRPr="00C534BB">
        <w:rPr>
          <w:rFonts w:ascii="Arial" w:hAnsi="Arial" w:cs="Arial"/>
        </w:rPr>
        <w:t xml:space="preserve"> Nov. 2025</w:t>
      </w:r>
      <w:r w:rsidR="00B257AD">
        <w:rPr>
          <w:rFonts w:ascii="Arial" w:hAnsi="Arial" w:cs="Arial"/>
        </w:rPr>
        <w:t>)</w:t>
      </w:r>
      <w:r w:rsidRPr="00C534BB">
        <w:rPr>
          <w:rFonts w:ascii="Arial" w:hAnsi="Arial" w:cs="Arial"/>
        </w:rPr>
        <w:t>.</w:t>
      </w:r>
    </w:p>
    <w:p w14:paraId="0133EC19" w14:textId="04F335C0" w:rsidR="00C534BB" w:rsidRPr="00C534BB" w:rsidRDefault="00C534BB" w:rsidP="00C534BB">
      <w:pPr>
        <w:spacing w:line="360" w:lineRule="auto"/>
        <w:rPr>
          <w:rFonts w:ascii="Arial" w:hAnsi="Arial" w:cs="Arial"/>
        </w:rPr>
      </w:pPr>
      <w:r w:rsidRPr="00C534BB">
        <w:rPr>
          <w:rFonts w:ascii="Arial" w:hAnsi="Arial" w:cs="Arial"/>
        </w:rPr>
        <w:t xml:space="preserve">Canada, P.H.A. of (2024). </w:t>
      </w:r>
      <w:r w:rsidRPr="00C534BB">
        <w:rPr>
          <w:rFonts w:ascii="Arial" w:hAnsi="Arial" w:cs="Arial"/>
          <w:i/>
          <w:iCs/>
        </w:rPr>
        <w:t>Public Health Agency of Canada’s COVID-19 Response: Lessons Learned</w:t>
      </w:r>
      <w:r w:rsidRPr="00C534BB">
        <w:rPr>
          <w:rFonts w:ascii="Arial" w:hAnsi="Arial" w:cs="Arial"/>
        </w:rPr>
        <w:t>. Available at:</w:t>
      </w:r>
      <w:r w:rsidRPr="00C534BB">
        <w:rPr>
          <w:rFonts w:ascii="Arial" w:hAnsi="Arial" w:cs="Arial"/>
        </w:rPr>
        <w:br/>
      </w:r>
      <w:hyperlink r:id="rId18" w:tgtFrame="_new" w:history="1">
        <w:r w:rsidRPr="00C534BB">
          <w:rPr>
            <w:rStyle w:val="Hyperlink"/>
            <w:rFonts w:ascii="Arial" w:hAnsi="Arial" w:cs="Arial"/>
          </w:rPr>
          <w:t>https://www.canada.ca/en/public-health/corporate/transparency/corporate-management-reporting/evaluation/covid-19-response-lessons-learned-summary.html</w:t>
        </w:r>
      </w:hyperlink>
      <w:r w:rsidRPr="00C534BB">
        <w:rPr>
          <w:rFonts w:ascii="Arial" w:hAnsi="Arial" w:cs="Arial"/>
        </w:rPr>
        <w:t xml:space="preserve"> </w:t>
      </w:r>
      <w:r w:rsidR="00A87547">
        <w:rPr>
          <w:rFonts w:ascii="Arial" w:hAnsi="Arial" w:cs="Arial"/>
        </w:rPr>
        <w:t>(</w:t>
      </w:r>
      <w:r w:rsidRPr="00C534BB">
        <w:rPr>
          <w:rFonts w:ascii="Arial" w:hAnsi="Arial" w:cs="Arial"/>
        </w:rPr>
        <w:t xml:space="preserve">Accessed </w:t>
      </w:r>
      <w:r w:rsidR="00A87547">
        <w:rPr>
          <w:rFonts w:ascii="Arial" w:hAnsi="Arial" w:cs="Arial"/>
        </w:rPr>
        <w:t>23</w:t>
      </w:r>
      <w:r w:rsidRPr="00C534BB">
        <w:rPr>
          <w:rFonts w:ascii="Arial" w:hAnsi="Arial" w:cs="Arial"/>
        </w:rPr>
        <w:t xml:space="preserve"> Nov. 2025</w:t>
      </w:r>
      <w:r w:rsidR="00A87547">
        <w:rPr>
          <w:rFonts w:ascii="Arial" w:hAnsi="Arial" w:cs="Arial"/>
        </w:rPr>
        <w:t>)</w:t>
      </w:r>
      <w:r w:rsidRPr="00C534BB">
        <w:rPr>
          <w:rFonts w:ascii="Arial" w:hAnsi="Arial" w:cs="Arial"/>
        </w:rPr>
        <w:t>.</w:t>
      </w:r>
    </w:p>
    <w:p w14:paraId="3FF5244B" w14:textId="52B4EF0D" w:rsidR="00C534BB" w:rsidRPr="00C534BB" w:rsidRDefault="00C534BB" w:rsidP="00C534BB">
      <w:pPr>
        <w:spacing w:line="360" w:lineRule="auto"/>
        <w:rPr>
          <w:rFonts w:ascii="Arial" w:hAnsi="Arial" w:cs="Arial"/>
        </w:rPr>
      </w:pPr>
      <w:r w:rsidRPr="00F17CD2">
        <w:rPr>
          <w:rFonts w:ascii="Arial" w:hAnsi="Arial" w:cs="Arial"/>
          <w:lang w:val="nl-NL"/>
        </w:rPr>
        <w:t xml:space="preserve">Chung, S.C. et al. </w:t>
      </w:r>
      <w:r w:rsidRPr="00C534BB">
        <w:rPr>
          <w:rFonts w:ascii="Arial" w:hAnsi="Arial" w:cs="Arial"/>
        </w:rPr>
        <w:t xml:space="preserve">(2021) ‘Lessons from countries implementing find, test, trace, isolate and support policies’, </w:t>
      </w:r>
      <w:r w:rsidRPr="00C534BB">
        <w:rPr>
          <w:rFonts w:ascii="Arial" w:hAnsi="Arial" w:cs="Arial"/>
          <w:i/>
          <w:iCs/>
        </w:rPr>
        <w:t>BMJ Open</w:t>
      </w:r>
      <w:r w:rsidRPr="00C534BB">
        <w:rPr>
          <w:rFonts w:ascii="Arial" w:hAnsi="Arial" w:cs="Arial"/>
        </w:rPr>
        <w:t xml:space="preserve">, 11(7), e047832. </w:t>
      </w:r>
      <w:hyperlink r:id="rId19" w:tgtFrame="_new" w:history="1">
        <w:r w:rsidRPr="00C534BB">
          <w:rPr>
            <w:rStyle w:val="Hyperlink"/>
            <w:rFonts w:ascii="Arial" w:hAnsi="Arial" w:cs="Arial"/>
          </w:rPr>
          <w:t>https://doi.org/10.1136/bmjopen-2020-047832</w:t>
        </w:r>
      </w:hyperlink>
      <w:r w:rsidRPr="00C534BB">
        <w:rPr>
          <w:rFonts w:ascii="Arial" w:hAnsi="Arial" w:cs="Arial"/>
        </w:rPr>
        <w:t xml:space="preserve"> </w:t>
      </w:r>
      <w:r w:rsidR="00A87547">
        <w:rPr>
          <w:rFonts w:ascii="Arial" w:hAnsi="Arial" w:cs="Arial"/>
        </w:rPr>
        <w:t>(</w:t>
      </w:r>
      <w:r w:rsidRPr="00C534BB">
        <w:rPr>
          <w:rFonts w:ascii="Arial" w:hAnsi="Arial" w:cs="Arial"/>
        </w:rPr>
        <w:t xml:space="preserve">Accessed </w:t>
      </w:r>
      <w:r w:rsidR="00A87547">
        <w:rPr>
          <w:rFonts w:ascii="Arial" w:hAnsi="Arial" w:cs="Arial"/>
        </w:rPr>
        <w:t>23</w:t>
      </w:r>
      <w:r w:rsidRPr="00C534BB">
        <w:rPr>
          <w:rFonts w:ascii="Arial" w:hAnsi="Arial" w:cs="Arial"/>
        </w:rPr>
        <w:t xml:space="preserve"> Nov. 2025</w:t>
      </w:r>
      <w:r w:rsidR="00A87547">
        <w:rPr>
          <w:rFonts w:ascii="Arial" w:hAnsi="Arial" w:cs="Arial"/>
        </w:rPr>
        <w:t>)</w:t>
      </w:r>
      <w:r w:rsidRPr="00C534BB">
        <w:rPr>
          <w:rFonts w:ascii="Arial" w:hAnsi="Arial" w:cs="Arial"/>
        </w:rPr>
        <w:t>.</w:t>
      </w:r>
    </w:p>
    <w:p w14:paraId="3A7E2757" w14:textId="683063D2" w:rsidR="00C534BB" w:rsidRPr="00C534BB" w:rsidRDefault="00C534BB" w:rsidP="00C534BB">
      <w:pPr>
        <w:spacing w:line="360" w:lineRule="auto"/>
        <w:rPr>
          <w:rFonts w:ascii="Arial" w:hAnsi="Arial" w:cs="Arial"/>
        </w:rPr>
      </w:pPr>
      <w:r w:rsidRPr="00C534BB">
        <w:rPr>
          <w:rFonts w:ascii="Arial" w:hAnsi="Arial" w:cs="Arial"/>
        </w:rPr>
        <w:t xml:space="preserve">Cpha.ca. (2025). </w:t>
      </w:r>
      <w:r w:rsidRPr="00C534BB">
        <w:rPr>
          <w:rFonts w:ascii="Arial" w:hAnsi="Arial" w:cs="Arial"/>
          <w:i/>
          <w:iCs/>
        </w:rPr>
        <w:t>Strengthening Public Health Systems in Canada</w:t>
      </w:r>
      <w:r w:rsidRPr="00C534BB">
        <w:rPr>
          <w:rFonts w:ascii="Arial" w:hAnsi="Arial" w:cs="Arial"/>
        </w:rPr>
        <w:t xml:space="preserve">. Available at: </w:t>
      </w:r>
      <w:hyperlink r:id="rId20" w:tgtFrame="_new" w:history="1">
        <w:r w:rsidRPr="00C534BB">
          <w:rPr>
            <w:rStyle w:val="Hyperlink"/>
            <w:rFonts w:ascii="Arial" w:hAnsi="Arial" w:cs="Arial"/>
          </w:rPr>
          <w:t>https://www.cpha.ca/strengthening-public-health</w:t>
        </w:r>
      </w:hyperlink>
      <w:r w:rsidRPr="00C534BB">
        <w:rPr>
          <w:rFonts w:ascii="Arial" w:hAnsi="Arial" w:cs="Arial"/>
        </w:rPr>
        <w:t xml:space="preserve"> </w:t>
      </w:r>
      <w:r w:rsidR="00A87547">
        <w:rPr>
          <w:rFonts w:ascii="Arial" w:hAnsi="Arial" w:cs="Arial"/>
        </w:rPr>
        <w:t>(</w:t>
      </w:r>
      <w:r w:rsidRPr="00C534BB">
        <w:rPr>
          <w:rFonts w:ascii="Arial" w:hAnsi="Arial" w:cs="Arial"/>
        </w:rPr>
        <w:t>Accessed 1</w:t>
      </w:r>
      <w:r w:rsidR="00A87547">
        <w:rPr>
          <w:rFonts w:ascii="Arial" w:hAnsi="Arial" w:cs="Arial"/>
        </w:rPr>
        <w:t>4</w:t>
      </w:r>
      <w:r w:rsidRPr="00C534BB">
        <w:rPr>
          <w:rFonts w:ascii="Arial" w:hAnsi="Arial" w:cs="Arial"/>
        </w:rPr>
        <w:t xml:space="preserve"> Nov. 2025</w:t>
      </w:r>
      <w:r w:rsidR="00A87547">
        <w:rPr>
          <w:rFonts w:ascii="Arial" w:hAnsi="Arial" w:cs="Arial"/>
        </w:rPr>
        <w:t>)</w:t>
      </w:r>
      <w:r w:rsidRPr="00C534BB">
        <w:rPr>
          <w:rFonts w:ascii="Arial" w:hAnsi="Arial" w:cs="Arial"/>
        </w:rPr>
        <w:t>.</w:t>
      </w:r>
    </w:p>
    <w:p w14:paraId="14B80E99" w14:textId="709888E3" w:rsidR="00C534BB" w:rsidRPr="00C534BB" w:rsidRDefault="00C534BB" w:rsidP="00C534BB">
      <w:pPr>
        <w:spacing w:line="360" w:lineRule="auto"/>
        <w:rPr>
          <w:rFonts w:ascii="Arial" w:hAnsi="Arial" w:cs="Arial"/>
        </w:rPr>
      </w:pPr>
      <w:r w:rsidRPr="00C534BB">
        <w:rPr>
          <w:rFonts w:ascii="Arial" w:hAnsi="Arial" w:cs="Arial"/>
        </w:rPr>
        <w:t xml:space="preserve">Cucinotta, D. &amp; Vanelli, M. (2020). WHO Declares COVID-19 a Pandemic. </w:t>
      </w:r>
      <w:r w:rsidRPr="00C534BB">
        <w:rPr>
          <w:rFonts w:ascii="Arial" w:hAnsi="Arial" w:cs="Arial"/>
          <w:i/>
          <w:iCs/>
        </w:rPr>
        <w:t>Acta bio-medica: Atenei Parmensis</w:t>
      </w:r>
      <w:r w:rsidRPr="00C534BB">
        <w:rPr>
          <w:rFonts w:ascii="Arial" w:hAnsi="Arial" w:cs="Arial"/>
        </w:rPr>
        <w:t xml:space="preserve">, 91(1), 157–160. </w:t>
      </w:r>
      <w:hyperlink r:id="rId21" w:tgtFrame="_new" w:history="1">
        <w:r w:rsidRPr="00C534BB">
          <w:rPr>
            <w:rStyle w:val="Hyperlink"/>
            <w:rFonts w:ascii="Arial" w:hAnsi="Arial" w:cs="Arial"/>
          </w:rPr>
          <w:t>https://doi.org/10.23750/abm.v91i1.9397</w:t>
        </w:r>
      </w:hyperlink>
      <w:r w:rsidRPr="00C534BB">
        <w:rPr>
          <w:rFonts w:ascii="Arial" w:hAnsi="Arial" w:cs="Arial"/>
        </w:rPr>
        <w:t xml:space="preserve"> </w:t>
      </w:r>
      <w:r w:rsidR="00A87547">
        <w:rPr>
          <w:rFonts w:ascii="Arial" w:hAnsi="Arial" w:cs="Arial"/>
        </w:rPr>
        <w:t>(</w:t>
      </w:r>
      <w:r w:rsidRPr="00C534BB">
        <w:rPr>
          <w:rFonts w:ascii="Arial" w:hAnsi="Arial" w:cs="Arial"/>
        </w:rPr>
        <w:t>Accessed 1</w:t>
      </w:r>
      <w:r w:rsidR="00A87547">
        <w:rPr>
          <w:rFonts w:ascii="Arial" w:hAnsi="Arial" w:cs="Arial"/>
        </w:rPr>
        <w:t>0</w:t>
      </w:r>
      <w:r w:rsidRPr="00C534BB">
        <w:rPr>
          <w:rFonts w:ascii="Arial" w:hAnsi="Arial" w:cs="Arial"/>
        </w:rPr>
        <w:t xml:space="preserve"> Nov. 2025</w:t>
      </w:r>
      <w:r w:rsidR="00A87547">
        <w:rPr>
          <w:rFonts w:ascii="Arial" w:hAnsi="Arial" w:cs="Arial"/>
        </w:rPr>
        <w:t>)</w:t>
      </w:r>
      <w:r w:rsidRPr="00C534BB">
        <w:rPr>
          <w:rFonts w:ascii="Arial" w:hAnsi="Arial" w:cs="Arial"/>
        </w:rPr>
        <w:t>.</w:t>
      </w:r>
    </w:p>
    <w:p w14:paraId="0C82D737" w14:textId="7D70CF2C" w:rsidR="00BA22D5" w:rsidRDefault="00C534BB" w:rsidP="00C534BB">
      <w:pPr>
        <w:spacing w:line="360" w:lineRule="auto"/>
        <w:rPr>
          <w:rFonts w:ascii="Arial" w:hAnsi="Arial" w:cs="Arial"/>
        </w:rPr>
      </w:pPr>
      <w:r w:rsidRPr="00C534BB">
        <w:rPr>
          <w:rFonts w:ascii="Arial" w:hAnsi="Arial" w:cs="Arial"/>
        </w:rPr>
        <w:t xml:space="preserve">Coronavirus pandemic in the EU - Fundamental Rights Implications. (2020). Available at: </w:t>
      </w:r>
      <w:hyperlink r:id="rId22" w:tgtFrame="_new" w:history="1">
        <w:r w:rsidRPr="00C534BB">
          <w:rPr>
            <w:rStyle w:val="Hyperlink"/>
            <w:rFonts w:ascii="Arial" w:hAnsi="Arial" w:cs="Arial"/>
          </w:rPr>
          <w:t>https://fra.europa.eu/sites/default/files/fra_uploads/es_report_on_coronavirus_pandemic-_may_2020.pdf</w:t>
        </w:r>
      </w:hyperlink>
      <w:r w:rsidRPr="00C534BB">
        <w:rPr>
          <w:rFonts w:ascii="Arial" w:hAnsi="Arial" w:cs="Arial"/>
        </w:rPr>
        <w:t xml:space="preserve"> </w:t>
      </w:r>
      <w:r w:rsidR="00A87547">
        <w:rPr>
          <w:rFonts w:ascii="Arial" w:hAnsi="Arial" w:cs="Arial"/>
        </w:rPr>
        <w:t>(</w:t>
      </w:r>
      <w:r w:rsidRPr="00C534BB">
        <w:rPr>
          <w:rFonts w:ascii="Arial" w:hAnsi="Arial" w:cs="Arial"/>
        </w:rPr>
        <w:t xml:space="preserve">Accessed </w:t>
      </w:r>
      <w:r w:rsidR="00A87547">
        <w:rPr>
          <w:rFonts w:ascii="Arial" w:hAnsi="Arial" w:cs="Arial"/>
        </w:rPr>
        <w:t>23</w:t>
      </w:r>
      <w:r w:rsidRPr="00C534BB">
        <w:rPr>
          <w:rFonts w:ascii="Arial" w:hAnsi="Arial" w:cs="Arial"/>
        </w:rPr>
        <w:t xml:space="preserve"> Nov. 2025</w:t>
      </w:r>
      <w:r w:rsidR="00A87547">
        <w:rPr>
          <w:rFonts w:ascii="Arial" w:hAnsi="Arial" w:cs="Arial"/>
        </w:rPr>
        <w:t>).</w:t>
      </w:r>
    </w:p>
    <w:p w14:paraId="1038E1E5" w14:textId="49C874FF" w:rsidR="00C534BB" w:rsidRPr="00C534BB" w:rsidRDefault="00C534BB" w:rsidP="00C534BB">
      <w:pPr>
        <w:spacing w:line="360" w:lineRule="auto"/>
        <w:rPr>
          <w:rFonts w:ascii="Arial" w:hAnsi="Arial" w:cs="Arial"/>
        </w:rPr>
      </w:pPr>
      <w:r w:rsidRPr="00C534BB">
        <w:rPr>
          <w:rFonts w:ascii="Arial" w:hAnsi="Arial" w:cs="Arial"/>
        </w:rPr>
        <w:t xml:space="preserve">Dubrin, A.J. (2022). </w:t>
      </w:r>
      <w:r w:rsidRPr="00C534BB">
        <w:rPr>
          <w:rFonts w:ascii="Arial" w:hAnsi="Arial" w:cs="Arial"/>
          <w:i/>
          <w:iCs/>
        </w:rPr>
        <w:t>Leadership: Research findings, practice, and skills</w:t>
      </w:r>
      <w:r w:rsidRPr="00C534BB">
        <w:rPr>
          <w:rFonts w:ascii="Arial" w:hAnsi="Arial" w:cs="Arial"/>
        </w:rPr>
        <w:t xml:space="preserve">. 10th ed. Cengage </w:t>
      </w:r>
      <w:r w:rsidR="00A87547" w:rsidRPr="00C534BB">
        <w:rPr>
          <w:rFonts w:ascii="Arial" w:hAnsi="Arial" w:cs="Arial"/>
        </w:rPr>
        <w:t>Learning.</w:t>
      </w:r>
      <w:r w:rsidR="00A87547" w:rsidRPr="00606B77">
        <w:rPr>
          <w:rFonts w:ascii="Arial" w:hAnsi="Arial" w:cs="Arial"/>
        </w:rPr>
        <w:t xml:space="preserve"> (</w:t>
      </w:r>
      <w:r w:rsidR="00606B77" w:rsidRPr="00606B77">
        <w:rPr>
          <w:rFonts w:ascii="Arial" w:hAnsi="Arial" w:cs="Arial"/>
        </w:rPr>
        <w:t>Accessed 12 November 2025).</w:t>
      </w:r>
    </w:p>
    <w:p w14:paraId="713EBBF8" w14:textId="07C0ECF4" w:rsidR="00C534BB" w:rsidRPr="00C534BB" w:rsidRDefault="00C534BB" w:rsidP="00C534BB">
      <w:pPr>
        <w:spacing w:line="360" w:lineRule="auto"/>
        <w:rPr>
          <w:rFonts w:ascii="Arial" w:hAnsi="Arial" w:cs="Arial"/>
        </w:rPr>
      </w:pPr>
      <w:r w:rsidRPr="00C534BB">
        <w:rPr>
          <w:rFonts w:ascii="Arial" w:hAnsi="Arial" w:cs="Arial"/>
        </w:rPr>
        <w:t>ECDC (2020) ‘Increased transmission of COVID-19 in the EU/EEA – Rapid Risk Assessment, 13 Sept 2020’. Available at:</w:t>
      </w:r>
      <w:r w:rsidRPr="00C534BB">
        <w:rPr>
          <w:rFonts w:ascii="Arial" w:hAnsi="Arial" w:cs="Arial"/>
        </w:rPr>
        <w:br/>
      </w:r>
      <w:hyperlink r:id="rId23" w:tgtFrame="_new" w:history="1">
        <w:r w:rsidRPr="00C534BB">
          <w:rPr>
            <w:rStyle w:val="Hyperlink"/>
            <w:rFonts w:ascii="Arial" w:hAnsi="Arial" w:cs="Arial"/>
          </w:rPr>
          <w:t>https://www.ecdc.europa.eu/sites/default/files/documents/covid-19-risk-assessment-increased-transmission-12th-update-september-2020.pdf</w:t>
        </w:r>
      </w:hyperlink>
      <w:r w:rsidRPr="00C534BB">
        <w:rPr>
          <w:rFonts w:ascii="Arial" w:hAnsi="Arial" w:cs="Arial"/>
        </w:rPr>
        <w:t xml:space="preserve"> </w:t>
      </w:r>
      <w:r w:rsidR="00A87547">
        <w:rPr>
          <w:rFonts w:ascii="Arial" w:hAnsi="Arial" w:cs="Arial"/>
        </w:rPr>
        <w:t>(</w:t>
      </w:r>
      <w:r w:rsidRPr="00C534BB">
        <w:rPr>
          <w:rFonts w:ascii="Arial" w:hAnsi="Arial" w:cs="Arial"/>
        </w:rPr>
        <w:t>Accessed 1</w:t>
      </w:r>
      <w:r w:rsidR="00296F76">
        <w:rPr>
          <w:rFonts w:ascii="Arial" w:hAnsi="Arial" w:cs="Arial"/>
        </w:rPr>
        <w:t>0</w:t>
      </w:r>
      <w:r w:rsidRPr="00C534BB">
        <w:rPr>
          <w:rFonts w:ascii="Arial" w:hAnsi="Arial" w:cs="Arial"/>
        </w:rPr>
        <w:t xml:space="preserve"> Nov. 2025</w:t>
      </w:r>
      <w:r w:rsidR="00296F76">
        <w:rPr>
          <w:rFonts w:ascii="Arial" w:hAnsi="Arial" w:cs="Arial"/>
        </w:rPr>
        <w:t>)</w:t>
      </w:r>
      <w:r w:rsidRPr="00C534BB">
        <w:rPr>
          <w:rFonts w:ascii="Arial" w:hAnsi="Arial" w:cs="Arial"/>
        </w:rPr>
        <w:t>.</w:t>
      </w:r>
    </w:p>
    <w:p w14:paraId="0EBE18A0" w14:textId="03363C57" w:rsidR="00C534BB" w:rsidRPr="00C534BB" w:rsidRDefault="00C534BB" w:rsidP="00C534BB">
      <w:pPr>
        <w:spacing w:line="360" w:lineRule="auto"/>
        <w:rPr>
          <w:rFonts w:ascii="Arial" w:hAnsi="Arial" w:cs="Arial"/>
        </w:rPr>
      </w:pPr>
      <w:r w:rsidRPr="00C534BB">
        <w:rPr>
          <w:rFonts w:ascii="Arial" w:hAnsi="Arial" w:cs="Arial"/>
        </w:rPr>
        <w:lastRenderedPageBreak/>
        <w:t xml:space="preserve">ECDC (2020) ‘The first wave of the COVID-19 pandemic in Spain: impact of national lockdown’. </w:t>
      </w:r>
      <w:r w:rsidRPr="00C534BB">
        <w:rPr>
          <w:rFonts w:ascii="Arial" w:hAnsi="Arial" w:cs="Arial"/>
          <w:i/>
          <w:iCs/>
        </w:rPr>
        <w:t>Eurosurveillance</w:t>
      </w:r>
      <w:r w:rsidRPr="00C534BB">
        <w:rPr>
          <w:rFonts w:ascii="Arial" w:hAnsi="Arial" w:cs="Arial"/>
        </w:rPr>
        <w:t xml:space="preserve">. Available at: </w:t>
      </w:r>
      <w:hyperlink r:id="rId24" w:tgtFrame="_new" w:history="1">
        <w:r w:rsidRPr="00C534BB">
          <w:rPr>
            <w:rStyle w:val="Hyperlink"/>
            <w:rFonts w:ascii="Arial" w:hAnsi="Arial" w:cs="Arial"/>
          </w:rPr>
          <w:t>https://pmc.ncbi.nlm.nih.gov/articles/PMC7812423/</w:t>
        </w:r>
      </w:hyperlink>
      <w:r w:rsidRPr="00C534BB">
        <w:rPr>
          <w:rFonts w:ascii="Arial" w:hAnsi="Arial" w:cs="Arial"/>
        </w:rPr>
        <w:t xml:space="preserve"> </w:t>
      </w:r>
      <w:r w:rsidR="00296F76">
        <w:rPr>
          <w:rFonts w:ascii="Arial" w:hAnsi="Arial" w:cs="Arial"/>
        </w:rPr>
        <w:t>(</w:t>
      </w:r>
      <w:r w:rsidRPr="00C534BB">
        <w:rPr>
          <w:rFonts w:ascii="Arial" w:hAnsi="Arial" w:cs="Arial"/>
        </w:rPr>
        <w:t xml:space="preserve">Accessed </w:t>
      </w:r>
      <w:r w:rsidR="00296F76">
        <w:rPr>
          <w:rFonts w:ascii="Arial" w:hAnsi="Arial" w:cs="Arial"/>
        </w:rPr>
        <w:t>25</w:t>
      </w:r>
      <w:r w:rsidRPr="00C534BB">
        <w:rPr>
          <w:rFonts w:ascii="Arial" w:hAnsi="Arial" w:cs="Arial"/>
        </w:rPr>
        <w:t xml:space="preserve"> Nov. 2025</w:t>
      </w:r>
      <w:r w:rsidR="00296F76">
        <w:rPr>
          <w:rFonts w:ascii="Arial" w:hAnsi="Arial" w:cs="Arial"/>
        </w:rPr>
        <w:t>)</w:t>
      </w:r>
      <w:r w:rsidRPr="00C534BB">
        <w:rPr>
          <w:rFonts w:ascii="Arial" w:hAnsi="Arial" w:cs="Arial"/>
        </w:rPr>
        <w:t>.</w:t>
      </w:r>
    </w:p>
    <w:p w14:paraId="4C291C0A" w14:textId="189ECE2F" w:rsidR="00C534BB" w:rsidRPr="00C534BB" w:rsidRDefault="00C534BB" w:rsidP="00C534BB">
      <w:pPr>
        <w:spacing w:line="360" w:lineRule="auto"/>
        <w:rPr>
          <w:rFonts w:ascii="Arial" w:hAnsi="Arial" w:cs="Arial"/>
        </w:rPr>
      </w:pPr>
      <w:r w:rsidRPr="00C534BB">
        <w:rPr>
          <w:rFonts w:ascii="Arial" w:hAnsi="Arial" w:cs="Arial"/>
        </w:rPr>
        <w:t xml:space="preserve">Euro Surveill (2020). The first wave of the COVID-19 pandemic in Spain: characterisation of cases and risk factors. </w:t>
      </w:r>
      <w:r w:rsidRPr="00C534BB">
        <w:rPr>
          <w:rFonts w:ascii="Arial" w:hAnsi="Arial" w:cs="Arial"/>
          <w:i/>
          <w:iCs/>
        </w:rPr>
        <w:t>Eurosurveillance</w:t>
      </w:r>
      <w:r w:rsidRPr="00C534BB">
        <w:rPr>
          <w:rFonts w:ascii="Arial" w:hAnsi="Arial" w:cs="Arial"/>
        </w:rPr>
        <w:t xml:space="preserve">, 25(50). </w:t>
      </w:r>
      <w:hyperlink r:id="rId25" w:tgtFrame="_new" w:history="1">
        <w:r w:rsidRPr="00C534BB">
          <w:rPr>
            <w:rStyle w:val="Hyperlink"/>
            <w:rFonts w:ascii="Arial" w:hAnsi="Arial" w:cs="Arial"/>
          </w:rPr>
          <w:t>https://doi.org/10.2807/1560-7917.es.2020.25.50.2001431</w:t>
        </w:r>
      </w:hyperlink>
      <w:r w:rsidRPr="00C534BB">
        <w:rPr>
          <w:rFonts w:ascii="Arial" w:hAnsi="Arial" w:cs="Arial"/>
        </w:rPr>
        <w:t xml:space="preserve"> </w:t>
      </w:r>
      <w:r w:rsidR="00296F76">
        <w:rPr>
          <w:rFonts w:ascii="Arial" w:hAnsi="Arial" w:cs="Arial"/>
        </w:rPr>
        <w:t>(</w:t>
      </w:r>
      <w:r w:rsidRPr="00C534BB">
        <w:rPr>
          <w:rFonts w:ascii="Arial" w:hAnsi="Arial" w:cs="Arial"/>
        </w:rPr>
        <w:t xml:space="preserve">Accessed </w:t>
      </w:r>
      <w:r w:rsidR="00296F76">
        <w:rPr>
          <w:rFonts w:ascii="Arial" w:hAnsi="Arial" w:cs="Arial"/>
        </w:rPr>
        <w:t>09</w:t>
      </w:r>
      <w:r w:rsidRPr="00C534BB">
        <w:rPr>
          <w:rFonts w:ascii="Arial" w:hAnsi="Arial" w:cs="Arial"/>
        </w:rPr>
        <w:t xml:space="preserve"> Nov. 2025</w:t>
      </w:r>
      <w:r w:rsidR="00296F76">
        <w:rPr>
          <w:rFonts w:ascii="Arial" w:hAnsi="Arial" w:cs="Arial"/>
        </w:rPr>
        <w:t>)</w:t>
      </w:r>
      <w:r w:rsidRPr="00C534BB">
        <w:rPr>
          <w:rFonts w:ascii="Arial" w:hAnsi="Arial" w:cs="Arial"/>
        </w:rPr>
        <w:t>.</w:t>
      </w:r>
    </w:p>
    <w:p w14:paraId="602597D4" w14:textId="24F90BF6" w:rsidR="00C534BB" w:rsidRPr="00C534BB" w:rsidRDefault="00C534BB" w:rsidP="00C534BB">
      <w:pPr>
        <w:spacing w:line="360" w:lineRule="auto"/>
        <w:rPr>
          <w:rFonts w:ascii="Arial" w:hAnsi="Arial" w:cs="Arial"/>
        </w:rPr>
      </w:pPr>
      <w:r w:rsidRPr="00C534BB">
        <w:rPr>
          <w:rFonts w:ascii="Arial" w:hAnsi="Arial" w:cs="Arial"/>
        </w:rPr>
        <w:t xml:space="preserve">Fisman, D. &amp; Tuite, A. (2021) ‘Evaluation of COVID-19 data systems’, </w:t>
      </w:r>
      <w:r w:rsidRPr="00C534BB">
        <w:rPr>
          <w:rFonts w:ascii="Arial" w:hAnsi="Arial" w:cs="Arial"/>
          <w:i/>
          <w:iCs/>
        </w:rPr>
        <w:t>CMAJ</w:t>
      </w:r>
      <w:r w:rsidRPr="00C534BB">
        <w:rPr>
          <w:rFonts w:ascii="Arial" w:hAnsi="Arial" w:cs="Arial"/>
        </w:rPr>
        <w:t>, 193(17), E607–E610. Available at:</w:t>
      </w:r>
      <w:r w:rsidRPr="00C534BB">
        <w:rPr>
          <w:rFonts w:ascii="Arial" w:hAnsi="Arial" w:cs="Arial"/>
        </w:rPr>
        <w:br/>
      </w:r>
      <w:hyperlink r:id="rId26" w:tgtFrame="_new" w:history="1">
        <w:r w:rsidRPr="00C534BB">
          <w:rPr>
            <w:rStyle w:val="Hyperlink"/>
            <w:rFonts w:ascii="Arial" w:hAnsi="Arial" w:cs="Arial"/>
          </w:rPr>
          <w:t>https://pmc.ncbi.nlm.nih.gov/articles/PMC8562985/</w:t>
        </w:r>
      </w:hyperlink>
      <w:r w:rsidRPr="00C534BB">
        <w:rPr>
          <w:rFonts w:ascii="Arial" w:hAnsi="Arial" w:cs="Arial"/>
        </w:rPr>
        <w:t xml:space="preserve"> </w:t>
      </w:r>
      <w:r w:rsidR="00296F76">
        <w:rPr>
          <w:rFonts w:ascii="Arial" w:hAnsi="Arial" w:cs="Arial"/>
        </w:rPr>
        <w:t>(</w:t>
      </w:r>
      <w:r w:rsidRPr="00C534BB">
        <w:rPr>
          <w:rFonts w:ascii="Arial" w:hAnsi="Arial" w:cs="Arial"/>
        </w:rPr>
        <w:t>Accessed 1</w:t>
      </w:r>
      <w:r w:rsidR="00296F76">
        <w:rPr>
          <w:rFonts w:ascii="Arial" w:hAnsi="Arial" w:cs="Arial"/>
        </w:rPr>
        <w:t>6</w:t>
      </w:r>
      <w:r w:rsidRPr="00C534BB">
        <w:rPr>
          <w:rFonts w:ascii="Arial" w:hAnsi="Arial" w:cs="Arial"/>
        </w:rPr>
        <w:t xml:space="preserve"> Nov. 2025</w:t>
      </w:r>
      <w:r w:rsidR="00296F76">
        <w:rPr>
          <w:rFonts w:ascii="Arial" w:hAnsi="Arial" w:cs="Arial"/>
        </w:rPr>
        <w:t>)</w:t>
      </w:r>
      <w:r w:rsidRPr="00C534BB">
        <w:rPr>
          <w:rFonts w:ascii="Arial" w:hAnsi="Arial" w:cs="Arial"/>
        </w:rPr>
        <w:t>.</w:t>
      </w:r>
    </w:p>
    <w:p w14:paraId="5DF320A4" w14:textId="6F64D86A" w:rsidR="00C534BB" w:rsidRPr="00C534BB" w:rsidRDefault="00C534BB" w:rsidP="00C534BB">
      <w:pPr>
        <w:spacing w:line="360" w:lineRule="auto"/>
        <w:rPr>
          <w:rFonts w:ascii="Arial" w:hAnsi="Arial" w:cs="Arial"/>
        </w:rPr>
      </w:pPr>
      <w:r w:rsidRPr="00C534BB">
        <w:rPr>
          <w:rFonts w:ascii="Arial" w:hAnsi="Arial" w:cs="Arial"/>
        </w:rPr>
        <w:t xml:space="preserve">Flood, C.M. &amp; Thomas, B. (2021) ‘Canadian federalism and COVID-19’, </w:t>
      </w:r>
      <w:r w:rsidRPr="00C534BB">
        <w:rPr>
          <w:rFonts w:ascii="Arial" w:hAnsi="Arial" w:cs="Arial"/>
          <w:i/>
          <w:iCs/>
        </w:rPr>
        <w:t>Health Economics, Policy, and Law</w:t>
      </w:r>
      <w:r w:rsidRPr="00C534BB">
        <w:rPr>
          <w:rFonts w:ascii="Arial" w:hAnsi="Arial" w:cs="Arial"/>
        </w:rPr>
        <w:t xml:space="preserve">, 16(3), pp. 328–335. Available at: </w:t>
      </w:r>
      <w:hyperlink r:id="rId27" w:tgtFrame="_new" w:history="1">
        <w:r w:rsidRPr="00C534BB">
          <w:rPr>
            <w:rStyle w:val="Hyperlink"/>
            <w:rFonts w:ascii="Arial" w:hAnsi="Arial" w:cs="Arial"/>
          </w:rPr>
          <w:t>https://pmc.ncbi.nlm.nih.gov/articles/PMC7954540/</w:t>
        </w:r>
      </w:hyperlink>
      <w:r w:rsidRPr="00C534BB">
        <w:rPr>
          <w:rFonts w:ascii="Arial" w:hAnsi="Arial" w:cs="Arial"/>
        </w:rPr>
        <w:t xml:space="preserve"> </w:t>
      </w:r>
      <w:r w:rsidR="00296F76">
        <w:rPr>
          <w:rFonts w:ascii="Arial" w:hAnsi="Arial" w:cs="Arial"/>
        </w:rPr>
        <w:t>(</w:t>
      </w:r>
      <w:r w:rsidRPr="00C534BB">
        <w:rPr>
          <w:rFonts w:ascii="Arial" w:hAnsi="Arial" w:cs="Arial"/>
        </w:rPr>
        <w:t>Accessed 1</w:t>
      </w:r>
      <w:r w:rsidR="00296F76">
        <w:rPr>
          <w:rFonts w:ascii="Arial" w:hAnsi="Arial" w:cs="Arial"/>
        </w:rPr>
        <w:t>9</w:t>
      </w:r>
      <w:r w:rsidRPr="00C534BB">
        <w:rPr>
          <w:rFonts w:ascii="Arial" w:hAnsi="Arial" w:cs="Arial"/>
        </w:rPr>
        <w:t xml:space="preserve"> Nov. 2025</w:t>
      </w:r>
      <w:r w:rsidR="00296F76">
        <w:rPr>
          <w:rFonts w:ascii="Arial" w:hAnsi="Arial" w:cs="Arial"/>
        </w:rPr>
        <w:t>)</w:t>
      </w:r>
      <w:r w:rsidRPr="00C534BB">
        <w:rPr>
          <w:rFonts w:ascii="Arial" w:hAnsi="Arial" w:cs="Arial"/>
        </w:rPr>
        <w:t>.</w:t>
      </w:r>
    </w:p>
    <w:p w14:paraId="533812E3" w14:textId="571EC454" w:rsidR="00C534BB" w:rsidRPr="00C534BB" w:rsidRDefault="00C534BB" w:rsidP="00C534BB">
      <w:pPr>
        <w:spacing w:line="360" w:lineRule="auto"/>
        <w:rPr>
          <w:rFonts w:ascii="Arial" w:hAnsi="Arial" w:cs="Arial"/>
        </w:rPr>
      </w:pPr>
      <w:r w:rsidRPr="00F17CD2">
        <w:rPr>
          <w:rFonts w:ascii="Arial" w:hAnsi="Arial" w:cs="Arial"/>
          <w:lang w:val="nl-NL"/>
        </w:rPr>
        <w:t xml:space="preserve">García-Basteiro, A.L. et al. </w:t>
      </w:r>
      <w:r w:rsidRPr="00C534BB">
        <w:rPr>
          <w:rFonts w:ascii="Arial" w:hAnsi="Arial" w:cs="Arial"/>
        </w:rPr>
        <w:t xml:space="preserve">(2020) ‘Evaluation of the COVID-19 response in Spain’, </w:t>
      </w:r>
      <w:r w:rsidRPr="00C534BB">
        <w:rPr>
          <w:rFonts w:ascii="Arial" w:hAnsi="Arial" w:cs="Arial"/>
          <w:i/>
          <w:iCs/>
        </w:rPr>
        <w:t>The Lancet Public Health</w:t>
      </w:r>
      <w:r w:rsidRPr="00C534BB">
        <w:rPr>
          <w:rFonts w:ascii="Arial" w:hAnsi="Arial" w:cs="Arial"/>
        </w:rPr>
        <w:t>, 5(11), e575.</w:t>
      </w:r>
      <w:r w:rsidRPr="00C534BB">
        <w:rPr>
          <w:rFonts w:ascii="Arial" w:hAnsi="Arial" w:cs="Arial"/>
        </w:rPr>
        <w:br/>
      </w:r>
      <w:hyperlink r:id="rId28" w:tgtFrame="_new" w:history="1">
        <w:r w:rsidRPr="00C534BB">
          <w:rPr>
            <w:rStyle w:val="Hyperlink"/>
            <w:rFonts w:ascii="Arial" w:hAnsi="Arial" w:cs="Arial"/>
          </w:rPr>
          <w:t>https://pmc.ncbi.nlm.nih.gov/articles/PMC7505572/</w:t>
        </w:r>
      </w:hyperlink>
      <w:r w:rsidRPr="00C534BB">
        <w:rPr>
          <w:rFonts w:ascii="Arial" w:hAnsi="Arial" w:cs="Arial"/>
        </w:rPr>
        <w:t xml:space="preserve"> </w:t>
      </w:r>
      <w:r w:rsidR="00296F76">
        <w:rPr>
          <w:rFonts w:ascii="Arial" w:hAnsi="Arial" w:cs="Arial"/>
        </w:rPr>
        <w:t>(</w:t>
      </w:r>
      <w:r w:rsidRPr="00C534BB">
        <w:rPr>
          <w:rFonts w:ascii="Arial" w:hAnsi="Arial" w:cs="Arial"/>
        </w:rPr>
        <w:t>Accessed 1</w:t>
      </w:r>
      <w:r w:rsidR="00296F76">
        <w:rPr>
          <w:rFonts w:ascii="Arial" w:hAnsi="Arial" w:cs="Arial"/>
        </w:rPr>
        <w:t>7</w:t>
      </w:r>
      <w:r w:rsidRPr="00C534BB">
        <w:rPr>
          <w:rFonts w:ascii="Arial" w:hAnsi="Arial" w:cs="Arial"/>
        </w:rPr>
        <w:t xml:space="preserve"> Nov. 2025</w:t>
      </w:r>
      <w:r w:rsidR="00296F76">
        <w:rPr>
          <w:rFonts w:ascii="Arial" w:hAnsi="Arial" w:cs="Arial"/>
        </w:rPr>
        <w:t>)</w:t>
      </w:r>
      <w:r w:rsidRPr="00C534BB">
        <w:rPr>
          <w:rFonts w:ascii="Arial" w:hAnsi="Arial" w:cs="Arial"/>
        </w:rPr>
        <w:t>.</w:t>
      </w:r>
    </w:p>
    <w:p w14:paraId="2939811B" w14:textId="667D47E6" w:rsidR="00C534BB" w:rsidRPr="00C534BB" w:rsidRDefault="00C534BB" w:rsidP="00C534BB">
      <w:pPr>
        <w:spacing w:line="360" w:lineRule="auto"/>
        <w:rPr>
          <w:rFonts w:ascii="Arial" w:hAnsi="Arial" w:cs="Arial"/>
        </w:rPr>
      </w:pPr>
      <w:r w:rsidRPr="00C534BB">
        <w:rPr>
          <w:rFonts w:ascii="Arial" w:hAnsi="Arial" w:cs="Arial"/>
        </w:rPr>
        <w:t xml:space="preserve">Greer, S.L., King, E., da Fonseca, E.M. &amp; Peralta-Santos, A. (2021) ‘The comparative politics of COVID-19’, </w:t>
      </w:r>
      <w:r w:rsidRPr="00C534BB">
        <w:rPr>
          <w:rFonts w:ascii="Arial" w:hAnsi="Arial" w:cs="Arial"/>
          <w:i/>
          <w:iCs/>
        </w:rPr>
        <w:t>Journal of European Public Policy</w:t>
      </w:r>
      <w:r w:rsidRPr="00C534BB">
        <w:rPr>
          <w:rFonts w:ascii="Arial" w:hAnsi="Arial" w:cs="Arial"/>
        </w:rPr>
        <w:t>, 28(8), pp. 1113–</w:t>
      </w:r>
      <w:r w:rsidR="00296F76" w:rsidRPr="00C534BB">
        <w:rPr>
          <w:rFonts w:ascii="Arial" w:hAnsi="Arial" w:cs="Arial"/>
        </w:rPr>
        <w:t>1133.</w:t>
      </w:r>
      <w:r w:rsidR="00296F76" w:rsidRPr="00606B77">
        <w:rPr>
          <w:rFonts w:ascii="Arial" w:hAnsi="Arial" w:cs="Arial"/>
        </w:rPr>
        <w:t xml:space="preserve"> (</w:t>
      </w:r>
      <w:r w:rsidR="00606B77" w:rsidRPr="00606B77">
        <w:rPr>
          <w:rFonts w:ascii="Arial" w:hAnsi="Arial" w:cs="Arial"/>
        </w:rPr>
        <w:t>Accessed 12 November 2025).</w:t>
      </w:r>
    </w:p>
    <w:p w14:paraId="1E1ABF34" w14:textId="202C6280" w:rsidR="00C534BB" w:rsidRPr="00C534BB" w:rsidRDefault="00C534BB" w:rsidP="00C534BB">
      <w:pPr>
        <w:spacing w:line="360" w:lineRule="auto"/>
        <w:rPr>
          <w:rFonts w:ascii="Arial" w:hAnsi="Arial" w:cs="Arial"/>
        </w:rPr>
      </w:pPr>
      <w:r w:rsidRPr="00EC39FA">
        <w:rPr>
          <w:rFonts w:ascii="Arial" w:hAnsi="Arial" w:cs="Arial"/>
        </w:rPr>
        <w:t xml:space="preserve">Greenwood, M., de Leeuw, S., &amp; Lindsay, N. (2018). </w:t>
      </w:r>
      <w:r w:rsidRPr="00C534BB">
        <w:rPr>
          <w:rFonts w:ascii="Arial" w:hAnsi="Arial" w:cs="Arial"/>
        </w:rPr>
        <w:t xml:space="preserve">Challenges in health equity for Indigenous peoples in Canada. </w:t>
      </w:r>
      <w:r w:rsidRPr="00C534BB">
        <w:rPr>
          <w:rFonts w:ascii="Arial" w:hAnsi="Arial" w:cs="Arial"/>
          <w:i/>
          <w:iCs/>
        </w:rPr>
        <w:t>Lancet</w:t>
      </w:r>
      <w:r w:rsidRPr="00C534BB">
        <w:rPr>
          <w:rFonts w:ascii="Arial" w:hAnsi="Arial" w:cs="Arial"/>
        </w:rPr>
        <w:t xml:space="preserve">, 391(10131), 1645–1648. </w:t>
      </w:r>
      <w:hyperlink r:id="rId29" w:tgtFrame="_new" w:history="1">
        <w:r w:rsidRPr="00C534BB">
          <w:rPr>
            <w:rStyle w:val="Hyperlink"/>
            <w:rFonts w:ascii="Arial" w:hAnsi="Arial" w:cs="Arial"/>
          </w:rPr>
          <w:t>https://doi.org/10.1016/S0140-6736(18)30177-6</w:t>
        </w:r>
      </w:hyperlink>
      <w:r w:rsidRPr="00C534BB">
        <w:rPr>
          <w:rFonts w:ascii="Arial" w:hAnsi="Arial" w:cs="Arial"/>
        </w:rPr>
        <w:t xml:space="preserve"> </w:t>
      </w:r>
      <w:r w:rsidR="00296F76">
        <w:rPr>
          <w:rFonts w:ascii="Arial" w:hAnsi="Arial" w:cs="Arial"/>
        </w:rPr>
        <w:t>(</w:t>
      </w:r>
      <w:r w:rsidRPr="00C534BB">
        <w:rPr>
          <w:rFonts w:ascii="Arial" w:hAnsi="Arial" w:cs="Arial"/>
        </w:rPr>
        <w:t>Accessed 1</w:t>
      </w:r>
      <w:r w:rsidR="00296F76">
        <w:rPr>
          <w:rFonts w:ascii="Arial" w:hAnsi="Arial" w:cs="Arial"/>
        </w:rPr>
        <w:t>3</w:t>
      </w:r>
      <w:r w:rsidRPr="00C534BB">
        <w:rPr>
          <w:rFonts w:ascii="Arial" w:hAnsi="Arial" w:cs="Arial"/>
        </w:rPr>
        <w:t xml:space="preserve"> Nov. 2025</w:t>
      </w:r>
      <w:r w:rsidR="00296F76">
        <w:rPr>
          <w:rFonts w:ascii="Arial" w:hAnsi="Arial" w:cs="Arial"/>
        </w:rPr>
        <w:t>)</w:t>
      </w:r>
      <w:r w:rsidRPr="00C534BB">
        <w:rPr>
          <w:rFonts w:ascii="Arial" w:hAnsi="Arial" w:cs="Arial"/>
        </w:rPr>
        <w:t>.</w:t>
      </w:r>
    </w:p>
    <w:p w14:paraId="73E04F84" w14:textId="43FC9B76" w:rsidR="00C534BB" w:rsidRPr="00C534BB" w:rsidRDefault="00C534BB" w:rsidP="00C534BB">
      <w:pPr>
        <w:spacing w:line="360" w:lineRule="auto"/>
        <w:rPr>
          <w:rFonts w:ascii="Arial" w:hAnsi="Arial" w:cs="Arial"/>
        </w:rPr>
      </w:pPr>
      <w:r w:rsidRPr="00C534BB">
        <w:rPr>
          <w:rFonts w:ascii="Arial" w:hAnsi="Arial" w:cs="Arial"/>
        </w:rPr>
        <w:t xml:space="preserve">Guirao, A. (2020). The COVID-19 outbreak in Spain. </w:t>
      </w:r>
      <w:r w:rsidRPr="00C534BB">
        <w:rPr>
          <w:rFonts w:ascii="Arial" w:hAnsi="Arial" w:cs="Arial"/>
          <w:i/>
          <w:iCs/>
        </w:rPr>
        <w:t>Infectious Disease Modelling</w:t>
      </w:r>
      <w:r w:rsidRPr="00C534BB">
        <w:rPr>
          <w:rFonts w:ascii="Arial" w:hAnsi="Arial" w:cs="Arial"/>
        </w:rPr>
        <w:t xml:space="preserve">, 5, pp.652–669. </w:t>
      </w:r>
      <w:hyperlink r:id="rId30" w:tgtFrame="_new" w:history="1">
        <w:r w:rsidRPr="00C534BB">
          <w:rPr>
            <w:rStyle w:val="Hyperlink"/>
            <w:rFonts w:ascii="Arial" w:hAnsi="Arial" w:cs="Arial"/>
          </w:rPr>
          <w:t>https://doi.org/10.1016/j.idm.2020.08.010</w:t>
        </w:r>
      </w:hyperlink>
      <w:r w:rsidRPr="00C534BB">
        <w:rPr>
          <w:rFonts w:ascii="Arial" w:hAnsi="Arial" w:cs="Arial"/>
        </w:rPr>
        <w:t xml:space="preserve"> </w:t>
      </w:r>
      <w:r w:rsidR="00296F76">
        <w:rPr>
          <w:rFonts w:ascii="Arial" w:hAnsi="Arial" w:cs="Arial"/>
        </w:rPr>
        <w:t>(</w:t>
      </w:r>
      <w:r w:rsidRPr="00C534BB">
        <w:rPr>
          <w:rFonts w:ascii="Arial" w:hAnsi="Arial" w:cs="Arial"/>
        </w:rPr>
        <w:t>Accessed 18 Nov. 2025</w:t>
      </w:r>
      <w:r w:rsidR="00296F76">
        <w:rPr>
          <w:rFonts w:ascii="Arial" w:hAnsi="Arial" w:cs="Arial"/>
        </w:rPr>
        <w:t>)</w:t>
      </w:r>
      <w:r w:rsidRPr="00C534BB">
        <w:rPr>
          <w:rFonts w:ascii="Arial" w:hAnsi="Arial" w:cs="Arial"/>
        </w:rPr>
        <w:t>.</w:t>
      </w:r>
    </w:p>
    <w:p w14:paraId="7F57663F" w14:textId="00BDA0D2" w:rsidR="00C534BB" w:rsidRPr="00C534BB" w:rsidRDefault="00C534BB" w:rsidP="00C534BB">
      <w:pPr>
        <w:spacing w:line="360" w:lineRule="auto"/>
        <w:rPr>
          <w:rFonts w:ascii="Arial" w:hAnsi="Arial" w:cs="Arial"/>
        </w:rPr>
      </w:pPr>
      <w:r w:rsidRPr="00C534BB">
        <w:rPr>
          <w:rFonts w:ascii="Arial" w:hAnsi="Arial" w:cs="Arial"/>
        </w:rPr>
        <w:t xml:space="preserve">Heifetz, R., Grashow, A. &amp; Linsky, M. (2009). </w:t>
      </w:r>
      <w:r w:rsidRPr="00C534BB">
        <w:rPr>
          <w:rFonts w:ascii="Arial" w:hAnsi="Arial" w:cs="Arial"/>
          <w:i/>
          <w:iCs/>
        </w:rPr>
        <w:t>The Practice of Adaptive Leadership</w:t>
      </w:r>
      <w:r w:rsidRPr="00C534BB">
        <w:rPr>
          <w:rFonts w:ascii="Arial" w:hAnsi="Arial" w:cs="Arial"/>
        </w:rPr>
        <w:t>. Harvard Business Press. Available at:</w:t>
      </w:r>
      <w:r w:rsidRPr="00C534BB">
        <w:rPr>
          <w:rFonts w:ascii="Arial" w:hAnsi="Arial" w:cs="Arial"/>
        </w:rPr>
        <w:br/>
      </w:r>
      <w:hyperlink r:id="rId31" w:tgtFrame="_new" w:history="1">
        <w:r w:rsidRPr="00C534BB">
          <w:rPr>
            <w:rStyle w:val="Hyperlink"/>
            <w:rFonts w:ascii="Arial" w:hAnsi="Arial" w:cs="Arial"/>
          </w:rPr>
          <w:t>https://eastsidepathways.org/wp-content/uploads/2021/07/Practice-of-Adaptive-Leadership.Heifetz-et-al.EBS_.pdf</w:t>
        </w:r>
      </w:hyperlink>
      <w:r w:rsidRPr="00C534BB">
        <w:rPr>
          <w:rFonts w:ascii="Arial" w:hAnsi="Arial" w:cs="Arial"/>
        </w:rPr>
        <w:t xml:space="preserve"> </w:t>
      </w:r>
      <w:r w:rsidR="00296F76">
        <w:rPr>
          <w:rFonts w:ascii="Arial" w:hAnsi="Arial" w:cs="Arial"/>
        </w:rPr>
        <w:t>(</w:t>
      </w:r>
      <w:r w:rsidRPr="00C534BB">
        <w:rPr>
          <w:rFonts w:ascii="Arial" w:hAnsi="Arial" w:cs="Arial"/>
        </w:rPr>
        <w:t>Accessed 1</w:t>
      </w:r>
      <w:r w:rsidR="007C6AD4">
        <w:rPr>
          <w:rFonts w:ascii="Arial" w:hAnsi="Arial" w:cs="Arial"/>
        </w:rPr>
        <w:t>5</w:t>
      </w:r>
      <w:r w:rsidRPr="00C534BB">
        <w:rPr>
          <w:rFonts w:ascii="Arial" w:hAnsi="Arial" w:cs="Arial"/>
        </w:rPr>
        <w:t xml:space="preserve"> Nov. 2025</w:t>
      </w:r>
      <w:r w:rsidR="007C6AD4">
        <w:rPr>
          <w:rFonts w:ascii="Arial" w:hAnsi="Arial" w:cs="Arial"/>
        </w:rPr>
        <w:t>)</w:t>
      </w:r>
      <w:r w:rsidRPr="00C534BB">
        <w:rPr>
          <w:rFonts w:ascii="Arial" w:hAnsi="Arial" w:cs="Arial"/>
        </w:rPr>
        <w:t>.</w:t>
      </w:r>
    </w:p>
    <w:p w14:paraId="74E95AAD" w14:textId="143F734C" w:rsidR="00C534BB" w:rsidRPr="00C534BB" w:rsidRDefault="00C534BB" w:rsidP="00C534BB">
      <w:pPr>
        <w:spacing w:line="360" w:lineRule="auto"/>
        <w:rPr>
          <w:rFonts w:ascii="Arial" w:hAnsi="Arial" w:cs="Arial"/>
        </w:rPr>
      </w:pPr>
      <w:r w:rsidRPr="00C534BB">
        <w:rPr>
          <w:rFonts w:ascii="Arial" w:hAnsi="Arial" w:cs="Arial"/>
        </w:rPr>
        <w:t>Health equity in England: The Marmot review 10 - ProQuest. Available at:</w:t>
      </w:r>
      <w:r w:rsidRPr="00C534BB">
        <w:rPr>
          <w:rFonts w:ascii="Arial" w:hAnsi="Arial" w:cs="Arial"/>
        </w:rPr>
        <w:br/>
      </w:r>
      <w:hyperlink r:id="rId32" w:tgtFrame="_new" w:history="1">
        <w:r w:rsidRPr="00C534BB">
          <w:rPr>
            <w:rStyle w:val="Hyperlink"/>
            <w:rFonts w:ascii="Arial" w:hAnsi="Arial" w:cs="Arial"/>
          </w:rPr>
          <w:t>https://www.proquest.com/docview/2363792493?sourcetype=Scholarly%20Journals</w:t>
        </w:r>
      </w:hyperlink>
      <w:r w:rsidRPr="00C534BB">
        <w:rPr>
          <w:rFonts w:ascii="Arial" w:hAnsi="Arial" w:cs="Arial"/>
        </w:rPr>
        <w:t xml:space="preserve"> </w:t>
      </w:r>
      <w:r w:rsidR="007C6AD4">
        <w:rPr>
          <w:rFonts w:ascii="Arial" w:hAnsi="Arial" w:cs="Arial"/>
        </w:rPr>
        <w:t>(</w:t>
      </w:r>
      <w:r w:rsidRPr="00C534BB">
        <w:rPr>
          <w:rFonts w:ascii="Arial" w:hAnsi="Arial" w:cs="Arial"/>
        </w:rPr>
        <w:t xml:space="preserve">Accessed </w:t>
      </w:r>
      <w:r w:rsidR="007C6AD4">
        <w:rPr>
          <w:rFonts w:ascii="Arial" w:hAnsi="Arial" w:cs="Arial"/>
        </w:rPr>
        <w:t>24</w:t>
      </w:r>
      <w:r w:rsidRPr="00C534BB">
        <w:rPr>
          <w:rFonts w:ascii="Arial" w:hAnsi="Arial" w:cs="Arial"/>
        </w:rPr>
        <w:t xml:space="preserve"> Nov. 2025</w:t>
      </w:r>
      <w:r w:rsidR="007C6AD4">
        <w:rPr>
          <w:rFonts w:ascii="Arial" w:hAnsi="Arial" w:cs="Arial"/>
        </w:rPr>
        <w:t>)</w:t>
      </w:r>
      <w:r w:rsidRPr="00C534BB">
        <w:rPr>
          <w:rFonts w:ascii="Arial" w:hAnsi="Arial" w:cs="Arial"/>
        </w:rPr>
        <w:t>.</w:t>
      </w:r>
    </w:p>
    <w:p w14:paraId="6E3CDB4C" w14:textId="2BA04071" w:rsidR="00C534BB" w:rsidRPr="00C534BB" w:rsidRDefault="00C534BB" w:rsidP="00C534BB">
      <w:pPr>
        <w:spacing w:line="360" w:lineRule="auto"/>
        <w:rPr>
          <w:rFonts w:ascii="Arial" w:hAnsi="Arial" w:cs="Arial"/>
        </w:rPr>
      </w:pPr>
      <w:r w:rsidRPr="00C534BB">
        <w:rPr>
          <w:rFonts w:ascii="Arial" w:hAnsi="Arial" w:cs="Arial"/>
        </w:rPr>
        <w:lastRenderedPageBreak/>
        <w:t xml:space="preserve">IMF (2021) </w:t>
      </w:r>
      <w:r w:rsidRPr="00C534BB">
        <w:rPr>
          <w:rFonts w:ascii="Arial" w:hAnsi="Arial" w:cs="Arial"/>
          <w:i/>
          <w:iCs/>
        </w:rPr>
        <w:t>Spain: 2021 Article IV Consultation</w:t>
      </w:r>
      <w:r w:rsidRPr="00C534BB">
        <w:rPr>
          <w:rFonts w:ascii="Arial" w:hAnsi="Arial" w:cs="Arial"/>
        </w:rPr>
        <w:t>. Available at:</w:t>
      </w:r>
      <w:r w:rsidRPr="00C534BB">
        <w:rPr>
          <w:rFonts w:ascii="Arial" w:hAnsi="Arial" w:cs="Arial"/>
        </w:rPr>
        <w:br/>
      </w:r>
      <w:hyperlink r:id="rId33" w:tgtFrame="_new" w:history="1">
        <w:r w:rsidRPr="00C534BB">
          <w:rPr>
            <w:rStyle w:val="Hyperlink"/>
            <w:rFonts w:ascii="Arial" w:hAnsi="Arial" w:cs="Arial"/>
          </w:rPr>
          <w:t>https://www.imf.org/en/-/media/files/publications/cr/2022/english/1espea2022001.pdf</w:t>
        </w:r>
      </w:hyperlink>
      <w:r w:rsidRPr="00C534BB">
        <w:rPr>
          <w:rFonts w:ascii="Arial" w:hAnsi="Arial" w:cs="Arial"/>
        </w:rPr>
        <w:t xml:space="preserve"> </w:t>
      </w:r>
      <w:r w:rsidR="007C6AD4">
        <w:rPr>
          <w:rFonts w:ascii="Arial" w:hAnsi="Arial" w:cs="Arial"/>
        </w:rPr>
        <w:t>(</w:t>
      </w:r>
      <w:r w:rsidRPr="00C534BB">
        <w:rPr>
          <w:rFonts w:ascii="Arial" w:hAnsi="Arial" w:cs="Arial"/>
        </w:rPr>
        <w:t xml:space="preserve">Accessed </w:t>
      </w:r>
      <w:r w:rsidR="007C6AD4">
        <w:rPr>
          <w:rFonts w:ascii="Arial" w:hAnsi="Arial" w:cs="Arial"/>
        </w:rPr>
        <w:t>26</w:t>
      </w:r>
      <w:r w:rsidRPr="00C534BB">
        <w:rPr>
          <w:rFonts w:ascii="Arial" w:hAnsi="Arial" w:cs="Arial"/>
        </w:rPr>
        <w:t xml:space="preserve"> Nov. 2025</w:t>
      </w:r>
      <w:r w:rsidR="007C6AD4">
        <w:rPr>
          <w:rFonts w:ascii="Arial" w:hAnsi="Arial" w:cs="Arial"/>
        </w:rPr>
        <w:t>)</w:t>
      </w:r>
      <w:r w:rsidRPr="00C534BB">
        <w:rPr>
          <w:rFonts w:ascii="Arial" w:hAnsi="Arial" w:cs="Arial"/>
        </w:rPr>
        <w:t>.</w:t>
      </w:r>
    </w:p>
    <w:p w14:paraId="2FB5D6F1" w14:textId="3998C01E" w:rsidR="00C534BB" w:rsidRPr="00C534BB" w:rsidRDefault="00C534BB" w:rsidP="00C534BB">
      <w:pPr>
        <w:spacing w:line="360" w:lineRule="auto"/>
        <w:rPr>
          <w:rFonts w:ascii="Arial" w:hAnsi="Arial" w:cs="Arial"/>
        </w:rPr>
      </w:pPr>
      <w:r w:rsidRPr="00C534BB">
        <w:rPr>
          <w:rFonts w:ascii="Arial" w:hAnsi="Arial" w:cs="Arial"/>
        </w:rPr>
        <w:t xml:space="preserve">Kholina, K., Harmon, S.H.E. and Graham, J.E. (2022). An equitable vaccine delivery system. </w:t>
      </w:r>
      <w:r w:rsidRPr="00C534BB">
        <w:rPr>
          <w:rFonts w:ascii="Arial" w:hAnsi="Arial" w:cs="Arial"/>
          <w:i/>
          <w:iCs/>
        </w:rPr>
        <w:t>PLOS ONE</w:t>
      </w:r>
      <w:r w:rsidRPr="00C534BB">
        <w:rPr>
          <w:rFonts w:ascii="Arial" w:hAnsi="Arial" w:cs="Arial"/>
        </w:rPr>
        <w:t xml:space="preserve">, 17(12), p.e0279929. </w:t>
      </w:r>
      <w:hyperlink r:id="rId34" w:tgtFrame="_new" w:history="1">
        <w:r w:rsidRPr="00C534BB">
          <w:rPr>
            <w:rStyle w:val="Hyperlink"/>
            <w:rFonts w:ascii="Arial" w:hAnsi="Arial" w:cs="Arial"/>
          </w:rPr>
          <w:t>https://doi.org/10.1371/journal.pone.0279929</w:t>
        </w:r>
      </w:hyperlink>
      <w:r w:rsidRPr="00C534BB">
        <w:rPr>
          <w:rFonts w:ascii="Arial" w:hAnsi="Arial" w:cs="Arial"/>
        </w:rPr>
        <w:t xml:space="preserve"> </w:t>
      </w:r>
      <w:r w:rsidR="007C6AD4">
        <w:rPr>
          <w:rFonts w:ascii="Arial" w:hAnsi="Arial" w:cs="Arial"/>
        </w:rPr>
        <w:t>(</w:t>
      </w:r>
      <w:r w:rsidRPr="00C534BB">
        <w:rPr>
          <w:rFonts w:ascii="Arial" w:hAnsi="Arial" w:cs="Arial"/>
        </w:rPr>
        <w:t xml:space="preserve">Accessed </w:t>
      </w:r>
      <w:r w:rsidR="007C6AD4">
        <w:rPr>
          <w:rFonts w:ascii="Arial" w:hAnsi="Arial" w:cs="Arial"/>
        </w:rPr>
        <w:t>27</w:t>
      </w:r>
      <w:r w:rsidRPr="00C534BB">
        <w:rPr>
          <w:rFonts w:ascii="Arial" w:hAnsi="Arial" w:cs="Arial"/>
        </w:rPr>
        <w:t xml:space="preserve"> Nov. 2025</w:t>
      </w:r>
      <w:r w:rsidR="007C6AD4">
        <w:rPr>
          <w:rFonts w:ascii="Arial" w:hAnsi="Arial" w:cs="Arial"/>
        </w:rPr>
        <w:t>)</w:t>
      </w:r>
      <w:r w:rsidRPr="00C534BB">
        <w:rPr>
          <w:rFonts w:ascii="Arial" w:hAnsi="Arial" w:cs="Arial"/>
        </w:rPr>
        <w:t>.</w:t>
      </w:r>
    </w:p>
    <w:p w14:paraId="6E03976A" w14:textId="3D22EC5D" w:rsidR="00C534BB" w:rsidRPr="00C534BB" w:rsidRDefault="00C534BB" w:rsidP="00C534BB">
      <w:pPr>
        <w:spacing w:line="360" w:lineRule="auto"/>
        <w:rPr>
          <w:rFonts w:ascii="Arial" w:hAnsi="Arial" w:cs="Arial"/>
        </w:rPr>
      </w:pPr>
      <w:r w:rsidRPr="00C534BB">
        <w:rPr>
          <w:rFonts w:ascii="Arial" w:hAnsi="Arial" w:cs="Arial"/>
        </w:rPr>
        <w:t xml:space="preserve">Kim, H. (2020). The sociopolitical context of the COVID-19 response in South Korea. </w:t>
      </w:r>
      <w:r w:rsidRPr="00C534BB">
        <w:rPr>
          <w:rFonts w:ascii="Arial" w:hAnsi="Arial" w:cs="Arial"/>
          <w:i/>
          <w:iCs/>
        </w:rPr>
        <w:t>BMJ Global Health</w:t>
      </w:r>
      <w:r w:rsidRPr="00C534BB">
        <w:rPr>
          <w:rFonts w:ascii="Arial" w:hAnsi="Arial" w:cs="Arial"/>
        </w:rPr>
        <w:t xml:space="preserve">, 5(5), e002714. </w:t>
      </w:r>
      <w:hyperlink r:id="rId35" w:tgtFrame="_new" w:history="1">
        <w:r w:rsidRPr="00C534BB">
          <w:rPr>
            <w:rStyle w:val="Hyperlink"/>
            <w:rFonts w:ascii="Arial" w:hAnsi="Arial" w:cs="Arial"/>
          </w:rPr>
          <w:t>https://doi.org/10.1136/bmjgh-2020-002714</w:t>
        </w:r>
      </w:hyperlink>
      <w:r w:rsidRPr="00C534BB">
        <w:rPr>
          <w:rFonts w:ascii="Arial" w:hAnsi="Arial" w:cs="Arial"/>
        </w:rPr>
        <w:t xml:space="preserve"> </w:t>
      </w:r>
      <w:r w:rsidR="007C6AD4">
        <w:rPr>
          <w:rFonts w:ascii="Arial" w:hAnsi="Arial" w:cs="Arial"/>
        </w:rPr>
        <w:t>(</w:t>
      </w:r>
      <w:r w:rsidRPr="00C534BB">
        <w:rPr>
          <w:rFonts w:ascii="Arial" w:hAnsi="Arial" w:cs="Arial"/>
        </w:rPr>
        <w:t xml:space="preserve">Accessed </w:t>
      </w:r>
      <w:r w:rsidR="00CD5620">
        <w:rPr>
          <w:rFonts w:ascii="Arial" w:hAnsi="Arial" w:cs="Arial"/>
        </w:rPr>
        <w:t>24</w:t>
      </w:r>
      <w:r w:rsidRPr="00C534BB">
        <w:rPr>
          <w:rFonts w:ascii="Arial" w:hAnsi="Arial" w:cs="Arial"/>
        </w:rPr>
        <w:t xml:space="preserve"> Nov. 2025</w:t>
      </w:r>
      <w:r w:rsidR="00CD5620">
        <w:rPr>
          <w:rFonts w:ascii="Arial" w:hAnsi="Arial" w:cs="Arial"/>
        </w:rPr>
        <w:t>)</w:t>
      </w:r>
      <w:r w:rsidRPr="00C534BB">
        <w:rPr>
          <w:rFonts w:ascii="Arial" w:hAnsi="Arial" w:cs="Arial"/>
        </w:rPr>
        <w:t>.</w:t>
      </w:r>
    </w:p>
    <w:p w14:paraId="1AD4C2BC" w14:textId="07C45FCB" w:rsidR="00C534BB" w:rsidRPr="00C534BB" w:rsidRDefault="00C534BB" w:rsidP="00C534BB">
      <w:pPr>
        <w:spacing w:line="360" w:lineRule="auto"/>
        <w:rPr>
          <w:rFonts w:ascii="Arial" w:hAnsi="Arial" w:cs="Arial"/>
        </w:rPr>
      </w:pPr>
      <w:r w:rsidRPr="00C534BB">
        <w:rPr>
          <w:rFonts w:ascii="Arial" w:hAnsi="Arial" w:cs="Arial"/>
        </w:rPr>
        <w:t xml:space="preserve">Kim, I.-H., et al. (2021). Early Laboratory Preparedness… </w:t>
      </w:r>
      <w:r w:rsidRPr="00C534BB">
        <w:rPr>
          <w:rFonts w:ascii="Arial" w:hAnsi="Arial" w:cs="Arial"/>
          <w:i/>
          <w:iCs/>
        </w:rPr>
        <w:t>Annals of Laboratory Medicine</w:t>
      </w:r>
      <w:r w:rsidRPr="00C534BB">
        <w:rPr>
          <w:rFonts w:ascii="Arial" w:hAnsi="Arial" w:cs="Arial"/>
        </w:rPr>
        <w:t xml:space="preserve">, 41(6), pp.532–539. </w:t>
      </w:r>
      <w:hyperlink r:id="rId36" w:tgtFrame="_new" w:history="1">
        <w:r w:rsidRPr="00C534BB">
          <w:rPr>
            <w:rStyle w:val="Hyperlink"/>
            <w:rFonts w:ascii="Arial" w:hAnsi="Arial" w:cs="Arial"/>
          </w:rPr>
          <w:t>https://doi.org/10.3343/alm.2021.41.6.532</w:t>
        </w:r>
      </w:hyperlink>
      <w:r w:rsidRPr="00C534BB">
        <w:rPr>
          <w:rFonts w:ascii="Arial" w:hAnsi="Arial" w:cs="Arial"/>
        </w:rPr>
        <w:t xml:space="preserve"> </w:t>
      </w:r>
      <w:r w:rsidR="00CD5620">
        <w:rPr>
          <w:rFonts w:ascii="Arial" w:hAnsi="Arial" w:cs="Arial"/>
        </w:rPr>
        <w:t>(</w:t>
      </w:r>
      <w:r w:rsidRPr="00C534BB">
        <w:rPr>
          <w:rFonts w:ascii="Arial" w:hAnsi="Arial" w:cs="Arial"/>
        </w:rPr>
        <w:t>Accessed 18 Nov. 2025</w:t>
      </w:r>
      <w:r w:rsidR="00CD5620">
        <w:rPr>
          <w:rFonts w:ascii="Arial" w:hAnsi="Arial" w:cs="Arial"/>
        </w:rPr>
        <w:t>)</w:t>
      </w:r>
      <w:r w:rsidRPr="00C534BB">
        <w:rPr>
          <w:rFonts w:ascii="Arial" w:hAnsi="Arial" w:cs="Arial"/>
        </w:rPr>
        <w:t>.</w:t>
      </w:r>
    </w:p>
    <w:p w14:paraId="6F3F5846" w14:textId="41217C41" w:rsidR="00C534BB" w:rsidRPr="00C534BB" w:rsidRDefault="00C534BB" w:rsidP="00C534BB">
      <w:pPr>
        <w:spacing w:line="360" w:lineRule="auto"/>
        <w:rPr>
          <w:rFonts w:ascii="Arial" w:hAnsi="Arial" w:cs="Arial"/>
        </w:rPr>
      </w:pPr>
      <w:r w:rsidRPr="00C534BB">
        <w:rPr>
          <w:rFonts w:ascii="Arial" w:hAnsi="Arial" w:cs="Arial"/>
        </w:rPr>
        <w:t xml:space="preserve">Kim, Y. &amp; Jeong, Y.A. (2022). The role of local governments… </w:t>
      </w:r>
      <w:r w:rsidRPr="00C534BB">
        <w:rPr>
          <w:rFonts w:ascii="Arial" w:hAnsi="Arial" w:cs="Arial"/>
          <w:i/>
          <w:iCs/>
        </w:rPr>
        <w:t>Public Administration and Development</w:t>
      </w:r>
      <w:r w:rsidRPr="00C534BB">
        <w:rPr>
          <w:rFonts w:ascii="Arial" w:hAnsi="Arial" w:cs="Arial"/>
        </w:rPr>
        <w:t xml:space="preserve">. </w:t>
      </w:r>
      <w:hyperlink r:id="rId37" w:tgtFrame="_new" w:history="1">
        <w:r w:rsidRPr="00C534BB">
          <w:rPr>
            <w:rStyle w:val="Hyperlink"/>
            <w:rFonts w:ascii="Arial" w:hAnsi="Arial" w:cs="Arial"/>
          </w:rPr>
          <w:t>https://doi.org/10.1002/pad.1986</w:t>
        </w:r>
      </w:hyperlink>
      <w:r w:rsidRPr="00C534BB">
        <w:rPr>
          <w:rFonts w:ascii="Arial" w:hAnsi="Arial" w:cs="Arial"/>
        </w:rPr>
        <w:t xml:space="preserve"> </w:t>
      </w:r>
      <w:r w:rsidR="00CD5620">
        <w:rPr>
          <w:rFonts w:ascii="Arial" w:hAnsi="Arial" w:cs="Arial"/>
        </w:rPr>
        <w:t>(</w:t>
      </w:r>
      <w:r w:rsidRPr="00C534BB">
        <w:rPr>
          <w:rFonts w:ascii="Arial" w:hAnsi="Arial" w:cs="Arial"/>
        </w:rPr>
        <w:t xml:space="preserve">Accessed </w:t>
      </w:r>
      <w:r w:rsidR="00CD5620">
        <w:rPr>
          <w:rFonts w:ascii="Arial" w:hAnsi="Arial" w:cs="Arial"/>
        </w:rPr>
        <w:t>28</w:t>
      </w:r>
      <w:r w:rsidRPr="00C534BB">
        <w:rPr>
          <w:rFonts w:ascii="Arial" w:hAnsi="Arial" w:cs="Arial"/>
        </w:rPr>
        <w:t xml:space="preserve"> Nov. 2025</w:t>
      </w:r>
      <w:r w:rsidR="00CD5620">
        <w:rPr>
          <w:rFonts w:ascii="Arial" w:hAnsi="Arial" w:cs="Arial"/>
        </w:rPr>
        <w:t>)</w:t>
      </w:r>
      <w:r w:rsidRPr="00C534BB">
        <w:rPr>
          <w:rFonts w:ascii="Arial" w:hAnsi="Arial" w:cs="Arial"/>
        </w:rPr>
        <w:t>.</w:t>
      </w:r>
    </w:p>
    <w:p w14:paraId="04CE283B" w14:textId="60309735" w:rsidR="00C534BB" w:rsidRPr="00C534BB" w:rsidRDefault="00C534BB" w:rsidP="00C534BB">
      <w:pPr>
        <w:spacing w:line="360" w:lineRule="auto"/>
        <w:rPr>
          <w:rFonts w:ascii="Arial" w:hAnsi="Arial" w:cs="Arial"/>
        </w:rPr>
      </w:pPr>
      <w:r w:rsidRPr="00C534BB">
        <w:rPr>
          <w:rFonts w:ascii="Arial" w:hAnsi="Arial" w:cs="Arial"/>
        </w:rPr>
        <w:t xml:space="preserve">Kwon, S. (2008). Thirty years of national health insurance in South Korea. </w:t>
      </w:r>
      <w:r w:rsidRPr="00C534BB">
        <w:rPr>
          <w:rFonts w:ascii="Arial" w:hAnsi="Arial" w:cs="Arial"/>
          <w:i/>
          <w:iCs/>
        </w:rPr>
        <w:t>Health Policy and Planning</w:t>
      </w:r>
      <w:r w:rsidRPr="00C534BB">
        <w:rPr>
          <w:rFonts w:ascii="Arial" w:hAnsi="Arial" w:cs="Arial"/>
        </w:rPr>
        <w:t>, 24(1), pp.63–</w:t>
      </w:r>
      <w:r w:rsidR="00CD5620" w:rsidRPr="00C534BB">
        <w:rPr>
          <w:rFonts w:ascii="Arial" w:hAnsi="Arial" w:cs="Arial"/>
        </w:rPr>
        <w:t>71.</w:t>
      </w:r>
      <w:r w:rsidR="00CD5620" w:rsidRPr="00606B77">
        <w:rPr>
          <w:rFonts w:ascii="Arial" w:hAnsi="Arial" w:cs="Arial"/>
        </w:rPr>
        <w:t xml:space="preserve"> (</w:t>
      </w:r>
      <w:r w:rsidR="00606B77" w:rsidRPr="00606B77">
        <w:rPr>
          <w:rFonts w:ascii="Arial" w:hAnsi="Arial" w:cs="Arial"/>
        </w:rPr>
        <w:t>Accessed 12 November 2025).</w:t>
      </w:r>
    </w:p>
    <w:p w14:paraId="73EA239E" w14:textId="4C1E5FD6" w:rsidR="00C534BB" w:rsidRPr="00C534BB" w:rsidRDefault="00C534BB" w:rsidP="00C534BB">
      <w:pPr>
        <w:spacing w:line="360" w:lineRule="auto"/>
        <w:rPr>
          <w:rFonts w:ascii="Arial" w:hAnsi="Arial" w:cs="Arial"/>
        </w:rPr>
      </w:pPr>
      <w:r w:rsidRPr="00C534BB">
        <w:rPr>
          <w:rFonts w:ascii="Arial" w:hAnsi="Arial" w:cs="Arial"/>
        </w:rPr>
        <w:t>Lamoncloa.gob.es. (2020). Press briefing by the President of Spain. Available at:</w:t>
      </w:r>
      <w:r w:rsidRPr="00C534BB">
        <w:rPr>
          <w:rFonts w:ascii="Arial" w:hAnsi="Arial" w:cs="Arial"/>
        </w:rPr>
        <w:br/>
      </w:r>
      <w:hyperlink r:id="rId38" w:tgtFrame="_new" w:history="1">
        <w:r w:rsidRPr="00C534BB">
          <w:rPr>
            <w:rStyle w:val="Hyperlink"/>
            <w:rFonts w:ascii="Arial" w:hAnsi="Arial" w:cs="Arial"/>
          </w:rPr>
          <w:t>https://www.lamoncloa.gob.es/lang/en/presidente/intervenciones/Paginas/2020/20201229complying-speech.aspx</w:t>
        </w:r>
      </w:hyperlink>
      <w:r w:rsidRPr="00C534BB">
        <w:rPr>
          <w:rFonts w:ascii="Arial" w:hAnsi="Arial" w:cs="Arial"/>
        </w:rPr>
        <w:t xml:space="preserve"> </w:t>
      </w:r>
      <w:r w:rsidR="00CD5620">
        <w:rPr>
          <w:rFonts w:ascii="Arial" w:hAnsi="Arial" w:cs="Arial"/>
        </w:rPr>
        <w:t>(</w:t>
      </w:r>
      <w:r w:rsidRPr="00C534BB">
        <w:rPr>
          <w:rFonts w:ascii="Arial" w:hAnsi="Arial" w:cs="Arial"/>
        </w:rPr>
        <w:t xml:space="preserve">Accessed </w:t>
      </w:r>
      <w:r w:rsidR="00CD5620">
        <w:rPr>
          <w:rFonts w:ascii="Arial" w:hAnsi="Arial" w:cs="Arial"/>
        </w:rPr>
        <w:t>21</w:t>
      </w:r>
      <w:r w:rsidRPr="00C534BB">
        <w:rPr>
          <w:rFonts w:ascii="Arial" w:hAnsi="Arial" w:cs="Arial"/>
        </w:rPr>
        <w:t xml:space="preserve"> Nov. 2025</w:t>
      </w:r>
      <w:r w:rsidR="00CD5620">
        <w:rPr>
          <w:rFonts w:ascii="Arial" w:hAnsi="Arial" w:cs="Arial"/>
        </w:rPr>
        <w:t>)</w:t>
      </w:r>
      <w:r w:rsidRPr="00C534BB">
        <w:rPr>
          <w:rFonts w:ascii="Arial" w:hAnsi="Arial" w:cs="Arial"/>
        </w:rPr>
        <w:t>.</w:t>
      </w:r>
    </w:p>
    <w:p w14:paraId="78654979" w14:textId="5EB0CB28" w:rsidR="00C534BB" w:rsidRPr="00C534BB" w:rsidRDefault="00C534BB" w:rsidP="00C534BB">
      <w:pPr>
        <w:spacing w:line="360" w:lineRule="auto"/>
        <w:rPr>
          <w:rFonts w:ascii="Arial" w:hAnsi="Arial" w:cs="Arial"/>
        </w:rPr>
      </w:pPr>
      <w:r w:rsidRPr="00C534BB">
        <w:rPr>
          <w:rFonts w:ascii="Arial" w:hAnsi="Arial" w:cs="Arial"/>
        </w:rPr>
        <w:t xml:space="preserve">Lee, </w:t>
      </w:r>
      <w:r w:rsidR="006E6441" w:rsidRPr="00C534BB">
        <w:rPr>
          <w:rFonts w:ascii="Arial" w:hAnsi="Arial" w:cs="Arial"/>
        </w:rPr>
        <w:t>D.,</w:t>
      </w:r>
      <w:r w:rsidRPr="00C534BB">
        <w:rPr>
          <w:rFonts w:ascii="Arial" w:hAnsi="Arial" w:cs="Arial"/>
        </w:rPr>
        <w:t xml:space="preserve"> and Lee, J. (2020). Testing on the move: South Korea’s rapid response. </w:t>
      </w:r>
      <w:r w:rsidRPr="00C534BB">
        <w:rPr>
          <w:rFonts w:ascii="Arial" w:hAnsi="Arial" w:cs="Arial"/>
          <w:i/>
          <w:iCs/>
        </w:rPr>
        <w:t>Transportation Research Interdisciplinary Perspectives</w:t>
      </w:r>
      <w:r w:rsidRPr="00C534BB">
        <w:rPr>
          <w:rFonts w:ascii="Arial" w:hAnsi="Arial" w:cs="Arial"/>
        </w:rPr>
        <w:t xml:space="preserve">, 5. </w:t>
      </w:r>
      <w:hyperlink r:id="rId39" w:tgtFrame="_new" w:history="1">
        <w:r w:rsidRPr="00C534BB">
          <w:rPr>
            <w:rStyle w:val="Hyperlink"/>
            <w:rFonts w:ascii="Arial" w:hAnsi="Arial" w:cs="Arial"/>
          </w:rPr>
          <w:t>https://doi.org/10.1016/j.trip.2020.100111</w:t>
        </w:r>
      </w:hyperlink>
      <w:r w:rsidRPr="00C534BB">
        <w:rPr>
          <w:rFonts w:ascii="Arial" w:hAnsi="Arial" w:cs="Arial"/>
        </w:rPr>
        <w:t xml:space="preserve"> </w:t>
      </w:r>
      <w:r w:rsidR="00CD5620">
        <w:rPr>
          <w:rFonts w:ascii="Arial" w:hAnsi="Arial" w:cs="Arial"/>
        </w:rPr>
        <w:t>(</w:t>
      </w:r>
      <w:r w:rsidRPr="00C534BB">
        <w:rPr>
          <w:rFonts w:ascii="Arial" w:hAnsi="Arial" w:cs="Arial"/>
        </w:rPr>
        <w:t xml:space="preserve">Accessed </w:t>
      </w:r>
      <w:r w:rsidR="00CD5620">
        <w:rPr>
          <w:rFonts w:ascii="Arial" w:hAnsi="Arial" w:cs="Arial"/>
        </w:rPr>
        <w:t>24</w:t>
      </w:r>
      <w:r w:rsidRPr="00C534BB">
        <w:rPr>
          <w:rFonts w:ascii="Arial" w:hAnsi="Arial" w:cs="Arial"/>
        </w:rPr>
        <w:t xml:space="preserve"> Nov. 2025</w:t>
      </w:r>
      <w:r w:rsidR="00CD5620">
        <w:rPr>
          <w:rFonts w:ascii="Arial" w:hAnsi="Arial" w:cs="Arial"/>
        </w:rPr>
        <w:t>)</w:t>
      </w:r>
      <w:r w:rsidRPr="00C534BB">
        <w:rPr>
          <w:rFonts w:ascii="Arial" w:hAnsi="Arial" w:cs="Arial"/>
        </w:rPr>
        <w:t>.</w:t>
      </w:r>
    </w:p>
    <w:p w14:paraId="60C0A882" w14:textId="43664848" w:rsidR="00C534BB" w:rsidRPr="00C534BB" w:rsidRDefault="00C534BB" w:rsidP="00C534BB">
      <w:pPr>
        <w:spacing w:line="360" w:lineRule="auto"/>
        <w:rPr>
          <w:rFonts w:ascii="Arial" w:hAnsi="Arial" w:cs="Arial"/>
        </w:rPr>
      </w:pPr>
      <w:r w:rsidRPr="00C534BB">
        <w:rPr>
          <w:rFonts w:ascii="Arial" w:hAnsi="Arial" w:cs="Arial"/>
        </w:rPr>
        <w:t xml:space="preserve">Lee, H., Kim, Y., Kim, </w:t>
      </w:r>
      <w:r w:rsidR="006E6441" w:rsidRPr="00C534BB">
        <w:rPr>
          <w:rFonts w:ascii="Arial" w:hAnsi="Arial" w:cs="Arial"/>
        </w:rPr>
        <w:t>E.,</w:t>
      </w:r>
      <w:r w:rsidRPr="00C534BB">
        <w:rPr>
          <w:rFonts w:ascii="Arial" w:hAnsi="Arial" w:cs="Arial"/>
        </w:rPr>
        <w:t xml:space="preserve"> and Lee, S. (2021). Risk assessment of importation... </w:t>
      </w:r>
      <w:r w:rsidRPr="00C534BB">
        <w:rPr>
          <w:rFonts w:ascii="Arial" w:hAnsi="Arial" w:cs="Arial"/>
          <w:i/>
          <w:iCs/>
        </w:rPr>
        <w:t>JMIR Public Health and Surveillance</w:t>
      </w:r>
      <w:r w:rsidRPr="00C534BB">
        <w:rPr>
          <w:rFonts w:ascii="Arial" w:hAnsi="Arial" w:cs="Arial"/>
        </w:rPr>
        <w:t xml:space="preserve">, 7(6), e26784. </w:t>
      </w:r>
      <w:hyperlink r:id="rId40" w:tgtFrame="_new" w:history="1">
        <w:r w:rsidRPr="00C534BB">
          <w:rPr>
            <w:rStyle w:val="Hyperlink"/>
            <w:rFonts w:ascii="Arial" w:hAnsi="Arial" w:cs="Arial"/>
          </w:rPr>
          <w:t>https://doi.org/10.2196/26784</w:t>
        </w:r>
      </w:hyperlink>
      <w:r w:rsidRPr="00C534BB">
        <w:rPr>
          <w:rFonts w:ascii="Arial" w:hAnsi="Arial" w:cs="Arial"/>
        </w:rPr>
        <w:t xml:space="preserve"> </w:t>
      </w:r>
      <w:r w:rsidR="00CD5620">
        <w:rPr>
          <w:rFonts w:ascii="Arial" w:hAnsi="Arial" w:cs="Arial"/>
        </w:rPr>
        <w:t>(</w:t>
      </w:r>
      <w:r w:rsidRPr="00C534BB">
        <w:rPr>
          <w:rFonts w:ascii="Arial" w:hAnsi="Arial" w:cs="Arial"/>
        </w:rPr>
        <w:t xml:space="preserve">Accessed </w:t>
      </w:r>
      <w:r w:rsidR="00CD5620">
        <w:rPr>
          <w:rFonts w:ascii="Arial" w:hAnsi="Arial" w:cs="Arial"/>
        </w:rPr>
        <w:t>20</w:t>
      </w:r>
      <w:r w:rsidRPr="00C534BB">
        <w:rPr>
          <w:rFonts w:ascii="Arial" w:hAnsi="Arial" w:cs="Arial"/>
        </w:rPr>
        <w:t xml:space="preserve"> Nov. 2025</w:t>
      </w:r>
      <w:r w:rsidR="00CD5620">
        <w:rPr>
          <w:rFonts w:ascii="Arial" w:hAnsi="Arial" w:cs="Arial"/>
        </w:rPr>
        <w:t>)</w:t>
      </w:r>
      <w:r w:rsidRPr="00C534BB">
        <w:rPr>
          <w:rFonts w:ascii="Arial" w:hAnsi="Arial" w:cs="Arial"/>
        </w:rPr>
        <w:t>.</w:t>
      </w:r>
    </w:p>
    <w:p w14:paraId="5A0D5F50" w14:textId="2C1FE69F" w:rsidR="00C534BB" w:rsidRPr="00C534BB" w:rsidRDefault="00C534BB" w:rsidP="00C534BB">
      <w:pPr>
        <w:spacing w:line="360" w:lineRule="auto"/>
        <w:rPr>
          <w:rFonts w:ascii="Arial" w:hAnsi="Arial" w:cs="Arial"/>
        </w:rPr>
      </w:pPr>
      <w:r w:rsidRPr="00C534BB">
        <w:rPr>
          <w:rFonts w:ascii="Arial" w:hAnsi="Arial" w:cs="Arial"/>
        </w:rPr>
        <w:t xml:space="preserve">Lee, J.-K. (2025). Korea’s post-COVID-19 preparedness. </w:t>
      </w:r>
      <w:r w:rsidRPr="00C534BB">
        <w:rPr>
          <w:rFonts w:ascii="Arial" w:hAnsi="Arial" w:cs="Arial"/>
          <w:i/>
          <w:iCs/>
        </w:rPr>
        <w:t>Osong Public Health and Research Perspectives</w:t>
      </w:r>
      <w:r w:rsidRPr="00C534BB">
        <w:rPr>
          <w:rFonts w:ascii="Arial" w:hAnsi="Arial" w:cs="Arial"/>
        </w:rPr>
        <w:t xml:space="preserve">, 16(2), pp.91–93. </w:t>
      </w:r>
      <w:hyperlink r:id="rId41" w:tgtFrame="_new" w:history="1">
        <w:r w:rsidRPr="00C534BB">
          <w:rPr>
            <w:rStyle w:val="Hyperlink"/>
            <w:rFonts w:ascii="Arial" w:hAnsi="Arial" w:cs="Arial"/>
          </w:rPr>
          <w:t>https://doi.org/10.24171/j.phrp.2025.0132</w:t>
        </w:r>
      </w:hyperlink>
      <w:r w:rsidRPr="00C534BB">
        <w:rPr>
          <w:rFonts w:ascii="Arial" w:hAnsi="Arial" w:cs="Arial"/>
        </w:rPr>
        <w:t xml:space="preserve"> </w:t>
      </w:r>
      <w:r w:rsidR="00CD5620">
        <w:rPr>
          <w:rFonts w:ascii="Arial" w:hAnsi="Arial" w:cs="Arial"/>
        </w:rPr>
        <w:t>(</w:t>
      </w:r>
      <w:r w:rsidRPr="00C534BB">
        <w:rPr>
          <w:rFonts w:ascii="Arial" w:hAnsi="Arial" w:cs="Arial"/>
        </w:rPr>
        <w:t xml:space="preserve">Accessed </w:t>
      </w:r>
      <w:r w:rsidR="00CD5620">
        <w:rPr>
          <w:rFonts w:ascii="Arial" w:hAnsi="Arial" w:cs="Arial"/>
        </w:rPr>
        <w:t>2</w:t>
      </w:r>
      <w:r w:rsidR="00A02853">
        <w:rPr>
          <w:rFonts w:ascii="Arial" w:hAnsi="Arial" w:cs="Arial"/>
        </w:rPr>
        <w:t>0</w:t>
      </w:r>
      <w:r w:rsidRPr="00C534BB">
        <w:rPr>
          <w:rFonts w:ascii="Arial" w:hAnsi="Arial" w:cs="Arial"/>
        </w:rPr>
        <w:t xml:space="preserve"> Nov. 2025</w:t>
      </w:r>
      <w:r w:rsidR="00A02853">
        <w:rPr>
          <w:rFonts w:ascii="Arial" w:hAnsi="Arial" w:cs="Arial"/>
        </w:rPr>
        <w:t>)</w:t>
      </w:r>
      <w:r w:rsidRPr="00C534BB">
        <w:rPr>
          <w:rFonts w:ascii="Arial" w:hAnsi="Arial" w:cs="Arial"/>
        </w:rPr>
        <w:t>.</w:t>
      </w:r>
    </w:p>
    <w:p w14:paraId="6D19BB03" w14:textId="7F65C2E1" w:rsidR="00C534BB" w:rsidRPr="00C534BB" w:rsidRDefault="00C534BB" w:rsidP="00C534BB">
      <w:pPr>
        <w:spacing w:line="360" w:lineRule="auto"/>
        <w:rPr>
          <w:rFonts w:ascii="Arial" w:hAnsi="Arial" w:cs="Arial"/>
        </w:rPr>
      </w:pPr>
      <w:r w:rsidRPr="00C534BB">
        <w:rPr>
          <w:rFonts w:ascii="Arial" w:hAnsi="Arial" w:cs="Arial"/>
        </w:rPr>
        <w:t xml:space="preserve">Legido-Quigley, H. et al. (2020) ‘The resilience of the Spanish health system’, </w:t>
      </w:r>
      <w:r w:rsidRPr="00C534BB">
        <w:rPr>
          <w:rFonts w:ascii="Arial" w:hAnsi="Arial" w:cs="Arial"/>
          <w:i/>
          <w:iCs/>
        </w:rPr>
        <w:t>Lancet Public Health</w:t>
      </w:r>
      <w:r w:rsidRPr="00C534BB">
        <w:rPr>
          <w:rFonts w:ascii="Arial" w:hAnsi="Arial" w:cs="Arial"/>
        </w:rPr>
        <w:t>, 5(5), e251–e</w:t>
      </w:r>
      <w:r w:rsidR="00A02853" w:rsidRPr="00C534BB">
        <w:rPr>
          <w:rFonts w:ascii="Arial" w:hAnsi="Arial" w:cs="Arial"/>
        </w:rPr>
        <w:t>252.</w:t>
      </w:r>
      <w:r w:rsidR="00A02853" w:rsidRPr="00606B77">
        <w:rPr>
          <w:rFonts w:ascii="Arial" w:hAnsi="Arial" w:cs="Arial"/>
        </w:rPr>
        <w:t xml:space="preserve"> (</w:t>
      </w:r>
      <w:r w:rsidR="00606B77" w:rsidRPr="00606B77">
        <w:rPr>
          <w:rFonts w:ascii="Arial" w:hAnsi="Arial" w:cs="Arial"/>
        </w:rPr>
        <w:t>Accessed 12 November 2025).</w:t>
      </w:r>
    </w:p>
    <w:p w14:paraId="0F285DA6" w14:textId="7DF24126" w:rsidR="00C534BB" w:rsidRPr="00C534BB" w:rsidRDefault="00C534BB" w:rsidP="00C534BB">
      <w:pPr>
        <w:spacing w:line="360" w:lineRule="auto"/>
        <w:rPr>
          <w:rFonts w:ascii="Arial" w:hAnsi="Arial" w:cs="Arial"/>
        </w:rPr>
      </w:pPr>
      <w:r w:rsidRPr="00C534BB">
        <w:rPr>
          <w:rFonts w:ascii="Arial" w:hAnsi="Arial" w:cs="Arial"/>
        </w:rPr>
        <w:t xml:space="preserve">Marchildon, G.P., Allin, S. &amp; Merkur, S. (2020). </w:t>
      </w:r>
      <w:r w:rsidRPr="00C534BB">
        <w:rPr>
          <w:rFonts w:ascii="Arial" w:hAnsi="Arial" w:cs="Arial"/>
          <w:i/>
          <w:iCs/>
        </w:rPr>
        <w:t>Canada: Health System Review</w:t>
      </w:r>
      <w:r w:rsidRPr="00C534BB">
        <w:rPr>
          <w:rFonts w:ascii="Arial" w:hAnsi="Arial" w:cs="Arial"/>
        </w:rPr>
        <w:t>. Health Systems in Transition.</w:t>
      </w:r>
      <w:r w:rsidR="00A02853">
        <w:rPr>
          <w:rFonts w:ascii="Arial" w:hAnsi="Arial" w:cs="Arial"/>
        </w:rPr>
        <w:t xml:space="preserve"> </w:t>
      </w:r>
      <w:r w:rsidR="00606B77" w:rsidRPr="00606B77">
        <w:rPr>
          <w:rFonts w:ascii="Arial" w:hAnsi="Arial" w:cs="Arial"/>
        </w:rPr>
        <w:t>(Accessed 12 November 2025).</w:t>
      </w:r>
    </w:p>
    <w:p w14:paraId="1A9D7104" w14:textId="2F33BD04" w:rsidR="00C534BB" w:rsidRPr="00C534BB" w:rsidRDefault="00C534BB" w:rsidP="00C534BB">
      <w:pPr>
        <w:spacing w:line="360" w:lineRule="auto"/>
        <w:rPr>
          <w:rFonts w:ascii="Arial" w:hAnsi="Arial" w:cs="Arial"/>
        </w:rPr>
      </w:pPr>
      <w:r w:rsidRPr="00C534BB">
        <w:rPr>
          <w:rFonts w:ascii="Arial" w:hAnsi="Arial" w:cs="Arial"/>
        </w:rPr>
        <w:lastRenderedPageBreak/>
        <w:t xml:space="preserve">McKenzie, K. (2020). Austerity and COVID-19. </w:t>
      </w:r>
      <w:r w:rsidRPr="00C534BB">
        <w:rPr>
          <w:rFonts w:ascii="Arial" w:hAnsi="Arial" w:cs="Arial"/>
          <w:i/>
          <w:iCs/>
        </w:rPr>
        <w:t>Healthcare Quarterly</w:t>
      </w:r>
      <w:r w:rsidRPr="00C534BB">
        <w:rPr>
          <w:rFonts w:ascii="Arial" w:hAnsi="Arial" w:cs="Arial"/>
        </w:rPr>
        <w:t xml:space="preserve">, 23(2), pp.18–20. </w:t>
      </w:r>
      <w:hyperlink r:id="rId42" w:tgtFrame="_new" w:history="1">
        <w:r w:rsidRPr="00C534BB">
          <w:rPr>
            <w:rStyle w:val="Hyperlink"/>
            <w:rFonts w:ascii="Arial" w:hAnsi="Arial" w:cs="Arial"/>
          </w:rPr>
          <w:t>https://doi.org/10.12927/hcq.2020.26280</w:t>
        </w:r>
      </w:hyperlink>
      <w:r w:rsidRPr="00C534BB">
        <w:rPr>
          <w:rFonts w:ascii="Arial" w:hAnsi="Arial" w:cs="Arial"/>
        </w:rPr>
        <w:t xml:space="preserve"> </w:t>
      </w:r>
      <w:bookmarkStart w:id="15" w:name="_Hlk215490377"/>
      <w:r w:rsidR="00A02853">
        <w:rPr>
          <w:rFonts w:ascii="Arial" w:hAnsi="Arial" w:cs="Arial"/>
        </w:rPr>
        <w:t>(</w:t>
      </w:r>
      <w:r w:rsidRPr="00C534BB">
        <w:rPr>
          <w:rFonts w:ascii="Arial" w:hAnsi="Arial" w:cs="Arial"/>
        </w:rPr>
        <w:t>Accessed 1</w:t>
      </w:r>
      <w:r w:rsidR="00A02853">
        <w:rPr>
          <w:rFonts w:ascii="Arial" w:hAnsi="Arial" w:cs="Arial"/>
        </w:rPr>
        <w:t>3</w:t>
      </w:r>
      <w:r w:rsidRPr="00C534BB">
        <w:rPr>
          <w:rFonts w:ascii="Arial" w:hAnsi="Arial" w:cs="Arial"/>
        </w:rPr>
        <w:t xml:space="preserve"> Nov. 2025</w:t>
      </w:r>
      <w:r w:rsidR="00A02853">
        <w:rPr>
          <w:rFonts w:ascii="Arial" w:hAnsi="Arial" w:cs="Arial"/>
        </w:rPr>
        <w:t>)</w:t>
      </w:r>
      <w:r w:rsidRPr="00C534BB">
        <w:rPr>
          <w:rFonts w:ascii="Arial" w:hAnsi="Arial" w:cs="Arial"/>
        </w:rPr>
        <w:t>.</w:t>
      </w:r>
    </w:p>
    <w:bookmarkEnd w:id="15"/>
    <w:p w14:paraId="1F10E241" w14:textId="70005E9D" w:rsidR="00C534BB" w:rsidRPr="00C534BB" w:rsidRDefault="00C534BB" w:rsidP="00C534BB">
      <w:pPr>
        <w:spacing w:line="360" w:lineRule="auto"/>
        <w:rPr>
          <w:rFonts w:ascii="Arial" w:hAnsi="Arial" w:cs="Arial"/>
        </w:rPr>
      </w:pPr>
      <w:r w:rsidRPr="00C534BB">
        <w:rPr>
          <w:rFonts w:ascii="Arial" w:hAnsi="Arial" w:cs="Arial"/>
        </w:rPr>
        <w:t xml:space="preserve">Ministerio de Sanidad </w:t>
      </w:r>
      <w:r w:rsidR="00B257AD">
        <w:rPr>
          <w:rFonts w:ascii="Arial" w:hAnsi="Arial" w:cs="Arial"/>
        </w:rPr>
        <w:t>(España)</w:t>
      </w:r>
      <w:r w:rsidRPr="00C534BB">
        <w:rPr>
          <w:rFonts w:ascii="Arial" w:hAnsi="Arial" w:cs="Arial"/>
        </w:rPr>
        <w:t xml:space="preserve"> (2022). </w:t>
      </w:r>
      <w:r w:rsidRPr="00C534BB">
        <w:rPr>
          <w:rFonts w:ascii="Arial" w:hAnsi="Arial" w:cs="Arial"/>
          <w:i/>
          <w:iCs/>
        </w:rPr>
        <w:t>Estrategia de vacunación frente a COVID-19</w:t>
      </w:r>
      <w:r w:rsidRPr="00C534BB">
        <w:rPr>
          <w:rFonts w:ascii="Arial" w:hAnsi="Arial" w:cs="Arial"/>
        </w:rPr>
        <w:t>. Available at:</w:t>
      </w:r>
      <w:r w:rsidRPr="00C534BB">
        <w:rPr>
          <w:rFonts w:ascii="Arial" w:hAnsi="Arial" w:cs="Arial"/>
        </w:rPr>
        <w:br/>
      </w:r>
      <w:hyperlink r:id="rId43" w:tgtFrame="_new" w:history="1">
        <w:r w:rsidRPr="00C534BB">
          <w:rPr>
            <w:rStyle w:val="Hyperlink"/>
            <w:rFonts w:ascii="Arial" w:hAnsi="Arial" w:cs="Arial"/>
          </w:rPr>
          <w:t>https://www.sanidad.gob.es/areas/alertasEmergenciasSanitarias/alertasActuales/nCov/vacunaCovid19.htm</w:t>
        </w:r>
      </w:hyperlink>
      <w:r w:rsidRPr="00C534BB">
        <w:rPr>
          <w:rFonts w:ascii="Arial" w:hAnsi="Arial" w:cs="Arial"/>
        </w:rPr>
        <w:t xml:space="preserve"> </w:t>
      </w:r>
      <w:r w:rsidR="00D5364D" w:rsidRPr="00D5364D">
        <w:rPr>
          <w:rFonts w:ascii="Arial" w:hAnsi="Arial" w:cs="Arial"/>
        </w:rPr>
        <w:t>(Accessed 13 Nov. 2025).</w:t>
      </w:r>
    </w:p>
    <w:p w14:paraId="65C4AB9B" w14:textId="0861376B" w:rsidR="00C534BB" w:rsidRPr="00C534BB" w:rsidRDefault="00C534BB" w:rsidP="00C534BB">
      <w:pPr>
        <w:spacing w:line="360" w:lineRule="auto"/>
        <w:rPr>
          <w:rFonts w:ascii="Arial" w:hAnsi="Arial" w:cs="Arial"/>
        </w:rPr>
      </w:pPr>
      <w:r w:rsidRPr="00C534BB">
        <w:rPr>
          <w:rFonts w:ascii="Arial" w:hAnsi="Arial" w:cs="Arial"/>
        </w:rPr>
        <w:t xml:space="preserve">OECD (2021). </w:t>
      </w:r>
      <w:r w:rsidRPr="00C534BB">
        <w:rPr>
          <w:rFonts w:ascii="Arial" w:hAnsi="Arial" w:cs="Arial"/>
          <w:i/>
          <w:iCs/>
        </w:rPr>
        <w:t>COVID-19 and Well-being</w:t>
      </w:r>
      <w:r w:rsidRPr="00C534BB">
        <w:rPr>
          <w:rFonts w:ascii="Arial" w:hAnsi="Arial" w:cs="Arial"/>
        </w:rPr>
        <w:t>. Available at:</w:t>
      </w:r>
      <w:r w:rsidRPr="00C534BB">
        <w:rPr>
          <w:rFonts w:ascii="Arial" w:hAnsi="Arial" w:cs="Arial"/>
        </w:rPr>
        <w:br/>
      </w:r>
      <w:hyperlink r:id="rId44" w:tgtFrame="_new" w:history="1">
        <w:r w:rsidRPr="00C534BB">
          <w:rPr>
            <w:rStyle w:val="Hyperlink"/>
            <w:rFonts w:ascii="Arial" w:hAnsi="Arial" w:cs="Arial"/>
          </w:rPr>
          <w:t>https://www.oecd.org/content/dam/oecd/en/publications/reports/2021/11/covid-19-and-well-being_298c2553/1e1ecb53-en.pdf</w:t>
        </w:r>
      </w:hyperlink>
      <w:r w:rsidRPr="00C534BB">
        <w:rPr>
          <w:rFonts w:ascii="Arial" w:hAnsi="Arial" w:cs="Arial"/>
        </w:rPr>
        <w:t xml:space="preserve"> </w:t>
      </w:r>
      <w:r w:rsidR="00D5364D" w:rsidRPr="00D5364D">
        <w:rPr>
          <w:rFonts w:ascii="Arial" w:hAnsi="Arial" w:cs="Arial"/>
        </w:rPr>
        <w:t>(Accessed 13 Nov. 2025).</w:t>
      </w:r>
    </w:p>
    <w:p w14:paraId="44F84AE6" w14:textId="2F6A0D1A" w:rsidR="00C534BB" w:rsidRPr="00C534BB" w:rsidRDefault="00C534BB" w:rsidP="00C534BB">
      <w:pPr>
        <w:spacing w:line="360" w:lineRule="auto"/>
        <w:rPr>
          <w:rFonts w:ascii="Arial" w:hAnsi="Arial" w:cs="Arial"/>
        </w:rPr>
      </w:pPr>
      <w:r w:rsidRPr="00C534BB">
        <w:rPr>
          <w:rFonts w:ascii="Arial" w:hAnsi="Arial" w:cs="Arial"/>
        </w:rPr>
        <w:t xml:space="preserve">OECD (2021). </w:t>
      </w:r>
      <w:r w:rsidRPr="00C534BB">
        <w:rPr>
          <w:rFonts w:ascii="Arial" w:hAnsi="Arial" w:cs="Arial"/>
          <w:i/>
          <w:iCs/>
        </w:rPr>
        <w:t>Federalism and Public Health Decentralisation</w:t>
      </w:r>
      <w:r w:rsidRPr="00C534BB">
        <w:rPr>
          <w:rFonts w:ascii="Arial" w:hAnsi="Arial" w:cs="Arial"/>
        </w:rPr>
        <w:t>. Available at:</w:t>
      </w:r>
      <w:r w:rsidRPr="00C534BB">
        <w:rPr>
          <w:rFonts w:ascii="Arial" w:hAnsi="Arial" w:cs="Arial"/>
        </w:rPr>
        <w:br/>
      </w:r>
      <w:hyperlink r:id="rId45" w:tgtFrame="_new" w:history="1">
        <w:r w:rsidRPr="00C534BB">
          <w:rPr>
            <w:rStyle w:val="Hyperlink"/>
            <w:rFonts w:ascii="Arial" w:hAnsi="Arial" w:cs="Arial"/>
          </w:rPr>
          <w:t>https://www.oecd.org/content/dam/oecd/en/publications/reports/2021/02/federalism-and-public-health-decentralisation-in-the-time-of-covid-19_57f95729/b78ec8bb-en.pdf</w:t>
        </w:r>
      </w:hyperlink>
      <w:r w:rsidR="004A35A3">
        <w:t xml:space="preserve"> </w:t>
      </w:r>
      <w:r w:rsidR="004A35A3" w:rsidRPr="004A35A3">
        <w:t>(Accessed 13 Nov. 2025).</w:t>
      </w:r>
    </w:p>
    <w:p w14:paraId="045E417C" w14:textId="69DE05EA" w:rsidR="00C534BB" w:rsidRPr="00C534BB" w:rsidRDefault="00C534BB" w:rsidP="00C534BB">
      <w:pPr>
        <w:spacing w:line="360" w:lineRule="auto"/>
        <w:rPr>
          <w:rFonts w:ascii="Arial" w:hAnsi="Arial" w:cs="Arial"/>
        </w:rPr>
      </w:pPr>
      <w:r w:rsidRPr="00C534BB">
        <w:rPr>
          <w:rFonts w:ascii="Arial" w:hAnsi="Arial" w:cs="Arial"/>
        </w:rPr>
        <w:t xml:space="preserve">OECD (2021). </w:t>
      </w:r>
      <w:r w:rsidRPr="00C534BB">
        <w:rPr>
          <w:rFonts w:ascii="Arial" w:hAnsi="Arial" w:cs="Arial"/>
          <w:i/>
          <w:iCs/>
        </w:rPr>
        <w:t>Spain: Country Health Profile 2021</w:t>
      </w:r>
      <w:r w:rsidRPr="00C534BB">
        <w:rPr>
          <w:rFonts w:ascii="Arial" w:hAnsi="Arial" w:cs="Arial"/>
        </w:rPr>
        <w:t>. Available at:</w:t>
      </w:r>
      <w:r w:rsidRPr="00C534BB">
        <w:rPr>
          <w:rFonts w:ascii="Arial" w:hAnsi="Arial" w:cs="Arial"/>
        </w:rPr>
        <w:br/>
      </w:r>
      <w:hyperlink r:id="rId46" w:tgtFrame="_new" w:history="1">
        <w:r w:rsidRPr="00C534BB">
          <w:rPr>
            <w:rStyle w:val="Hyperlink"/>
            <w:rFonts w:ascii="Arial" w:hAnsi="Arial" w:cs="Arial"/>
          </w:rPr>
          <w:t>https://www.oecd.org/en/publications/2021/12/spain-country-health-profile-2021_c14493b2.html</w:t>
        </w:r>
      </w:hyperlink>
      <w:r w:rsidRPr="00C534BB">
        <w:rPr>
          <w:rFonts w:ascii="Arial" w:hAnsi="Arial" w:cs="Arial"/>
        </w:rPr>
        <w:t xml:space="preserve"> </w:t>
      </w:r>
      <w:r w:rsidR="004A35A3" w:rsidRPr="004A35A3">
        <w:rPr>
          <w:rFonts w:ascii="Arial" w:hAnsi="Arial" w:cs="Arial"/>
        </w:rPr>
        <w:t>(Accessed 1</w:t>
      </w:r>
      <w:r w:rsidR="004A35A3">
        <w:rPr>
          <w:rFonts w:ascii="Arial" w:hAnsi="Arial" w:cs="Arial"/>
        </w:rPr>
        <w:t>7</w:t>
      </w:r>
      <w:r w:rsidR="004A35A3" w:rsidRPr="004A35A3">
        <w:rPr>
          <w:rFonts w:ascii="Arial" w:hAnsi="Arial" w:cs="Arial"/>
        </w:rPr>
        <w:t xml:space="preserve"> Nov. 2025).</w:t>
      </w:r>
    </w:p>
    <w:p w14:paraId="08750AB2" w14:textId="609DAE60" w:rsidR="00C534BB" w:rsidRPr="00C534BB" w:rsidRDefault="00C534BB" w:rsidP="00C534BB">
      <w:pPr>
        <w:spacing w:line="360" w:lineRule="auto"/>
        <w:rPr>
          <w:rFonts w:ascii="Arial" w:hAnsi="Arial" w:cs="Arial"/>
        </w:rPr>
      </w:pPr>
      <w:r w:rsidRPr="00C534BB">
        <w:rPr>
          <w:rFonts w:ascii="Arial" w:hAnsi="Arial" w:cs="Arial"/>
        </w:rPr>
        <w:t>OECD Economic Surveys CANADA. (2021). Available at:</w:t>
      </w:r>
      <w:r w:rsidRPr="00C534BB">
        <w:rPr>
          <w:rFonts w:ascii="Arial" w:hAnsi="Arial" w:cs="Arial"/>
        </w:rPr>
        <w:br/>
      </w:r>
      <w:hyperlink r:id="rId47" w:tgtFrame="_new" w:history="1">
        <w:r w:rsidRPr="00C534BB">
          <w:rPr>
            <w:rStyle w:val="Hyperlink"/>
            <w:rFonts w:ascii="Arial" w:hAnsi="Arial" w:cs="Arial"/>
          </w:rPr>
          <w:t>https://www.oecd.org/content/dam/oecd/en/publications/reports/2021/03/oecd-economic-surveys-canada-2021_58c0ddb7/16e4abc0-en.pdf</w:t>
        </w:r>
      </w:hyperlink>
      <w:r w:rsidRPr="00C534BB">
        <w:rPr>
          <w:rFonts w:ascii="Arial" w:hAnsi="Arial" w:cs="Arial"/>
        </w:rPr>
        <w:t xml:space="preserve"> </w:t>
      </w:r>
      <w:r w:rsidR="00BE1E1B" w:rsidRPr="00BE1E1B">
        <w:rPr>
          <w:rFonts w:ascii="Arial" w:hAnsi="Arial" w:cs="Arial"/>
        </w:rPr>
        <w:t>(Accessed 13 Nov. 2025).</w:t>
      </w:r>
    </w:p>
    <w:p w14:paraId="0D281088" w14:textId="47C16EC5" w:rsidR="00C534BB" w:rsidRPr="00C534BB" w:rsidRDefault="00C534BB" w:rsidP="00C534BB">
      <w:pPr>
        <w:spacing w:line="360" w:lineRule="auto"/>
        <w:rPr>
          <w:rFonts w:ascii="Arial" w:hAnsi="Arial" w:cs="Arial"/>
        </w:rPr>
      </w:pPr>
      <w:r w:rsidRPr="00C534BB">
        <w:rPr>
          <w:rFonts w:ascii="Arial" w:hAnsi="Arial" w:cs="Arial"/>
        </w:rPr>
        <w:t xml:space="preserve">Park, S., Choi, G.J. &amp; Ko, H. (2020). Information Technology-Based Tracing Strategy. </w:t>
      </w:r>
      <w:r w:rsidRPr="00C534BB">
        <w:rPr>
          <w:rFonts w:ascii="Arial" w:hAnsi="Arial" w:cs="Arial"/>
          <w:i/>
          <w:iCs/>
        </w:rPr>
        <w:t>JAMA</w:t>
      </w:r>
      <w:r w:rsidRPr="00C534BB">
        <w:rPr>
          <w:rFonts w:ascii="Arial" w:hAnsi="Arial" w:cs="Arial"/>
        </w:rPr>
        <w:t>, 323, 2129–2130. Available at:</w:t>
      </w:r>
      <w:r w:rsidRPr="00C534BB">
        <w:rPr>
          <w:rFonts w:ascii="Arial" w:hAnsi="Arial" w:cs="Arial"/>
        </w:rPr>
        <w:br/>
      </w:r>
      <w:hyperlink r:id="rId48" w:tgtFrame="_new" w:history="1">
        <w:r w:rsidRPr="00C534BB">
          <w:rPr>
            <w:rStyle w:val="Hyperlink"/>
            <w:rFonts w:ascii="Arial" w:hAnsi="Arial" w:cs="Arial"/>
          </w:rPr>
          <w:t>https://www.scirp.org/%28S%28czeh2tfqyw2orz553k1w0r45%29%29/reference/referencespapers?referenceid=3319417</w:t>
        </w:r>
      </w:hyperlink>
      <w:r w:rsidRPr="00C534BB">
        <w:rPr>
          <w:rFonts w:ascii="Arial" w:hAnsi="Arial" w:cs="Arial"/>
        </w:rPr>
        <w:t xml:space="preserve"> </w:t>
      </w:r>
      <w:r w:rsidR="00BE1E1B" w:rsidRPr="00BE1E1B">
        <w:rPr>
          <w:rFonts w:ascii="Arial" w:hAnsi="Arial" w:cs="Arial"/>
        </w:rPr>
        <w:t>(Accessed 1</w:t>
      </w:r>
      <w:r w:rsidR="00BE1E1B">
        <w:rPr>
          <w:rFonts w:ascii="Arial" w:hAnsi="Arial" w:cs="Arial"/>
        </w:rPr>
        <w:t>8</w:t>
      </w:r>
      <w:r w:rsidR="00BE1E1B" w:rsidRPr="00BE1E1B">
        <w:rPr>
          <w:rFonts w:ascii="Arial" w:hAnsi="Arial" w:cs="Arial"/>
        </w:rPr>
        <w:t xml:space="preserve"> Nov. 2025).</w:t>
      </w:r>
    </w:p>
    <w:p w14:paraId="550ED7EB" w14:textId="60DAEBF1" w:rsidR="00C534BB" w:rsidRPr="00C534BB" w:rsidRDefault="00C534BB" w:rsidP="00C534BB">
      <w:pPr>
        <w:spacing w:line="360" w:lineRule="auto"/>
        <w:rPr>
          <w:rFonts w:ascii="Arial" w:hAnsi="Arial" w:cs="Arial"/>
        </w:rPr>
      </w:pPr>
      <w:r w:rsidRPr="00C534BB">
        <w:rPr>
          <w:rFonts w:ascii="Arial" w:hAnsi="Arial" w:cs="Arial"/>
        </w:rPr>
        <w:t xml:space="preserve">Peña-Ramos, J.A., Recuero-López, F., Sánchez-Bayón, A. and Sastre, F.J. (2021). Evaluation of the Spanish Health System. </w:t>
      </w:r>
      <w:r w:rsidRPr="00C534BB">
        <w:rPr>
          <w:rFonts w:ascii="Arial" w:hAnsi="Arial" w:cs="Arial"/>
          <w:i/>
          <w:iCs/>
        </w:rPr>
        <w:t>IJERPH</w:t>
      </w:r>
      <w:r w:rsidRPr="00C534BB">
        <w:rPr>
          <w:rFonts w:ascii="Arial" w:hAnsi="Arial" w:cs="Arial"/>
        </w:rPr>
        <w:t xml:space="preserve">, 18(24), 12907. </w:t>
      </w:r>
      <w:hyperlink r:id="rId49" w:tgtFrame="_new" w:history="1">
        <w:r w:rsidRPr="00C534BB">
          <w:rPr>
            <w:rStyle w:val="Hyperlink"/>
            <w:rFonts w:ascii="Arial" w:hAnsi="Arial" w:cs="Arial"/>
          </w:rPr>
          <w:t>https://doi.org/10.3390/ijerph182412907</w:t>
        </w:r>
      </w:hyperlink>
      <w:r w:rsidRPr="00C534BB">
        <w:rPr>
          <w:rFonts w:ascii="Arial" w:hAnsi="Arial" w:cs="Arial"/>
        </w:rPr>
        <w:t xml:space="preserve"> </w:t>
      </w:r>
      <w:r w:rsidR="00BE1E1B" w:rsidRPr="00BE1E1B">
        <w:rPr>
          <w:rFonts w:ascii="Arial" w:hAnsi="Arial" w:cs="Arial"/>
        </w:rPr>
        <w:t>(Accessed 1</w:t>
      </w:r>
      <w:r w:rsidR="00B01199">
        <w:rPr>
          <w:rFonts w:ascii="Arial" w:hAnsi="Arial" w:cs="Arial"/>
        </w:rPr>
        <w:t>7</w:t>
      </w:r>
      <w:r w:rsidR="00BE1E1B" w:rsidRPr="00BE1E1B">
        <w:rPr>
          <w:rFonts w:ascii="Arial" w:hAnsi="Arial" w:cs="Arial"/>
        </w:rPr>
        <w:t xml:space="preserve"> Nov. 2025).</w:t>
      </w:r>
    </w:p>
    <w:p w14:paraId="25FC10F0" w14:textId="2B0BAEC2" w:rsidR="00C534BB" w:rsidRPr="00C534BB" w:rsidRDefault="00C534BB" w:rsidP="00C534BB">
      <w:pPr>
        <w:spacing w:line="360" w:lineRule="auto"/>
        <w:rPr>
          <w:rFonts w:ascii="Arial" w:hAnsi="Arial" w:cs="Arial"/>
        </w:rPr>
      </w:pPr>
      <w:r w:rsidRPr="00C534BB">
        <w:rPr>
          <w:rFonts w:ascii="Arial" w:hAnsi="Arial" w:cs="Arial"/>
        </w:rPr>
        <w:t>Public (2024). Lessons learned from COVID-19, CCDR 50(10). Available at:</w:t>
      </w:r>
      <w:r w:rsidRPr="00C534BB">
        <w:rPr>
          <w:rFonts w:ascii="Arial" w:hAnsi="Arial" w:cs="Arial"/>
        </w:rPr>
        <w:br/>
      </w:r>
      <w:hyperlink r:id="rId50" w:tgtFrame="_new" w:history="1">
        <w:r w:rsidRPr="00C534BB">
          <w:rPr>
            <w:rStyle w:val="Hyperlink"/>
            <w:rFonts w:ascii="Arial" w:hAnsi="Arial" w:cs="Arial"/>
          </w:rPr>
          <w:t>https://www.canada.ca/en/public-health/services/reports-publications/canada-communicable-disease-report-ccdr/monthly-issue/2024-50/issue-10-october-2024/lessons-learned-from-covid-19.html</w:t>
        </w:r>
      </w:hyperlink>
      <w:r w:rsidRPr="00C534BB">
        <w:rPr>
          <w:rFonts w:ascii="Arial" w:hAnsi="Arial" w:cs="Arial"/>
        </w:rPr>
        <w:t xml:space="preserve"> </w:t>
      </w:r>
      <w:r w:rsidR="00B01199" w:rsidRPr="00B01199">
        <w:rPr>
          <w:rFonts w:ascii="Arial" w:hAnsi="Arial" w:cs="Arial"/>
        </w:rPr>
        <w:t>(Accessed 1</w:t>
      </w:r>
      <w:r w:rsidR="00B01199">
        <w:rPr>
          <w:rFonts w:ascii="Arial" w:hAnsi="Arial" w:cs="Arial"/>
        </w:rPr>
        <w:t>0</w:t>
      </w:r>
      <w:r w:rsidR="00B01199" w:rsidRPr="00B01199">
        <w:rPr>
          <w:rFonts w:ascii="Arial" w:hAnsi="Arial" w:cs="Arial"/>
        </w:rPr>
        <w:t xml:space="preserve"> Nov. 2025).</w:t>
      </w:r>
    </w:p>
    <w:p w14:paraId="52228E5E" w14:textId="22BEEE0C" w:rsidR="00C534BB" w:rsidRPr="00C534BB" w:rsidRDefault="00C534BB" w:rsidP="00C534BB">
      <w:pPr>
        <w:spacing w:line="360" w:lineRule="auto"/>
        <w:rPr>
          <w:rFonts w:ascii="Arial" w:hAnsi="Arial" w:cs="Arial"/>
        </w:rPr>
      </w:pPr>
      <w:r w:rsidRPr="00C534BB">
        <w:rPr>
          <w:rFonts w:ascii="Arial" w:hAnsi="Arial" w:cs="Arial"/>
        </w:rPr>
        <w:t xml:space="preserve">Richardson, L. &amp; Crawford, A. (2020). COVID-19 and the decolonisation of Indigenous public health. </w:t>
      </w:r>
      <w:r w:rsidRPr="00C534BB">
        <w:rPr>
          <w:rFonts w:ascii="Arial" w:hAnsi="Arial" w:cs="Arial"/>
          <w:i/>
          <w:iCs/>
        </w:rPr>
        <w:t>CMAJ</w:t>
      </w:r>
      <w:r w:rsidRPr="00C534BB">
        <w:rPr>
          <w:rFonts w:ascii="Arial" w:hAnsi="Arial" w:cs="Arial"/>
        </w:rPr>
        <w:t xml:space="preserve">, 192(38), E1098–E1100. </w:t>
      </w:r>
      <w:hyperlink r:id="rId51" w:tgtFrame="_new" w:history="1">
        <w:r w:rsidRPr="00C534BB">
          <w:rPr>
            <w:rStyle w:val="Hyperlink"/>
            <w:rFonts w:ascii="Arial" w:hAnsi="Arial" w:cs="Arial"/>
          </w:rPr>
          <w:t>https://doi.org/10.1503/cmaj.200852</w:t>
        </w:r>
      </w:hyperlink>
      <w:r w:rsidRPr="00C534BB">
        <w:rPr>
          <w:rFonts w:ascii="Arial" w:hAnsi="Arial" w:cs="Arial"/>
        </w:rPr>
        <w:t xml:space="preserve"> </w:t>
      </w:r>
      <w:r w:rsidR="00D064DF" w:rsidRPr="00D064DF">
        <w:rPr>
          <w:rFonts w:ascii="Arial" w:hAnsi="Arial" w:cs="Arial"/>
        </w:rPr>
        <w:t>(Accessed 1</w:t>
      </w:r>
      <w:r w:rsidR="00D064DF">
        <w:rPr>
          <w:rFonts w:ascii="Arial" w:hAnsi="Arial" w:cs="Arial"/>
        </w:rPr>
        <w:t xml:space="preserve">8 </w:t>
      </w:r>
      <w:r w:rsidR="00D064DF" w:rsidRPr="00D064DF">
        <w:rPr>
          <w:rFonts w:ascii="Arial" w:hAnsi="Arial" w:cs="Arial"/>
        </w:rPr>
        <w:t>Nov. 2025).</w:t>
      </w:r>
    </w:p>
    <w:p w14:paraId="12BC9B6C" w14:textId="3D15076C" w:rsidR="00C534BB" w:rsidRPr="00C534BB" w:rsidRDefault="00C534BB" w:rsidP="00C534BB">
      <w:pPr>
        <w:spacing w:line="360" w:lineRule="auto"/>
        <w:rPr>
          <w:rFonts w:ascii="Arial" w:hAnsi="Arial" w:cs="Arial"/>
        </w:rPr>
      </w:pPr>
      <w:r w:rsidRPr="00D064DF">
        <w:rPr>
          <w:rFonts w:ascii="Arial" w:hAnsi="Arial" w:cs="Arial"/>
        </w:rPr>
        <w:lastRenderedPageBreak/>
        <w:t xml:space="preserve">Rodriguez-Arrastia, M., et al. </w:t>
      </w:r>
      <w:r w:rsidRPr="00C534BB">
        <w:rPr>
          <w:rFonts w:ascii="Arial" w:hAnsi="Arial" w:cs="Arial"/>
        </w:rPr>
        <w:t xml:space="preserve">(2022). Evolution of the Public Health Response. </w:t>
      </w:r>
      <w:r w:rsidRPr="00C534BB">
        <w:rPr>
          <w:rFonts w:ascii="Arial" w:hAnsi="Arial" w:cs="Arial"/>
          <w:i/>
          <w:iCs/>
        </w:rPr>
        <w:t>IJERPH</w:t>
      </w:r>
      <w:r w:rsidRPr="00C534BB">
        <w:rPr>
          <w:rFonts w:ascii="Arial" w:hAnsi="Arial" w:cs="Arial"/>
        </w:rPr>
        <w:t xml:space="preserve">, 19(7), 3824. </w:t>
      </w:r>
      <w:hyperlink r:id="rId52" w:tgtFrame="_new" w:history="1">
        <w:r w:rsidRPr="00C534BB">
          <w:rPr>
            <w:rStyle w:val="Hyperlink"/>
            <w:rFonts w:ascii="Arial" w:hAnsi="Arial" w:cs="Arial"/>
          </w:rPr>
          <w:t>https://doi.org/10.3390/ijerph19073824</w:t>
        </w:r>
      </w:hyperlink>
      <w:r w:rsidRPr="00C534BB">
        <w:rPr>
          <w:rFonts w:ascii="Arial" w:hAnsi="Arial" w:cs="Arial"/>
        </w:rPr>
        <w:t xml:space="preserve"> </w:t>
      </w:r>
      <w:r w:rsidR="00D064DF" w:rsidRPr="00D064DF">
        <w:rPr>
          <w:rFonts w:ascii="Arial" w:hAnsi="Arial" w:cs="Arial"/>
        </w:rPr>
        <w:t>(Accessed 1</w:t>
      </w:r>
      <w:r w:rsidR="00D064DF">
        <w:rPr>
          <w:rFonts w:ascii="Arial" w:hAnsi="Arial" w:cs="Arial"/>
        </w:rPr>
        <w:t>1</w:t>
      </w:r>
      <w:r w:rsidR="00D064DF" w:rsidRPr="00D064DF">
        <w:rPr>
          <w:rFonts w:ascii="Arial" w:hAnsi="Arial" w:cs="Arial"/>
        </w:rPr>
        <w:t xml:space="preserve"> Nov. 2025).</w:t>
      </w:r>
    </w:p>
    <w:p w14:paraId="68A32798" w14:textId="4AD3D4D5" w:rsidR="00C534BB" w:rsidRPr="00C534BB" w:rsidRDefault="00C534BB" w:rsidP="00C534BB">
      <w:pPr>
        <w:spacing w:line="360" w:lineRule="auto"/>
        <w:rPr>
          <w:rFonts w:ascii="Arial" w:hAnsi="Arial" w:cs="Arial"/>
        </w:rPr>
      </w:pPr>
      <w:r w:rsidRPr="00C534BB">
        <w:rPr>
          <w:rFonts w:ascii="Arial" w:hAnsi="Arial" w:cs="Arial"/>
        </w:rPr>
        <w:t xml:space="preserve">Ross, S. (2020). Atlantic provinces COVID-19 bubble. </w:t>
      </w:r>
      <w:r w:rsidRPr="00C534BB">
        <w:rPr>
          <w:rFonts w:ascii="Arial" w:hAnsi="Arial" w:cs="Arial"/>
          <w:i/>
          <w:iCs/>
        </w:rPr>
        <w:t>CBC News</w:t>
      </w:r>
      <w:r w:rsidRPr="00C534BB">
        <w:rPr>
          <w:rFonts w:ascii="Arial" w:hAnsi="Arial" w:cs="Arial"/>
        </w:rPr>
        <w:t>. Available at:</w:t>
      </w:r>
      <w:r w:rsidRPr="00C534BB">
        <w:rPr>
          <w:rFonts w:ascii="Arial" w:hAnsi="Arial" w:cs="Arial"/>
        </w:rPr>
        <w:br/>
      </w:r>
      <w:hyperlink r:id="rId53" w:tgtFrame="_new" w:history="1">
        <w:r w:rsidRPr="00C534BB">
          <w:rPr>
            <w:rStyle w:val="Hyperlink"/>
            <w:rFonts w:ascii="Arial" w:hAnsi="Arial" w:cs="Arial"/>
          </w:rPr>
          <w:t>https://www.cbc.ca/news/canada/prince-edward-island/pei-atlantic-bubble-covid19-1.5625133</w:t>
        </w:r>
      </w:hyperlink>
      <w:r w:rsidRPr="00C534BB">
        <w:rPr>
          <w:rFonts w:ascii="Arial" w:hAnsi="Arial" w:cs="Arial"/>
        </w:rPr>
        <w:t xml:space="preserve"> </w:t>
      </w:r>
      <w:r w:rsidR="00D064DF" w:rsidRPr="00D064DF">
        <w:rPr>
          <w:rFonts w:ascii="Arial" w:hAnsi="Arial" w:cs="Arial"/>
        </w:rPr>
        <w:t>(Accessed 1</w:t>
      </w:r>
      <w:r w:rsidR="00D064DF">
        <w:rPr>
          <w:rFonts w:ascii="Arial" w:hAnsi="Arial" w:cs="Arial"/>
        </w:rPr>
        <w:t>2</w:t>
      </w:r>
      <w:r w:rsidR="00D064DF" w:rsidRPr="00D064DF">
        <w:rPr>
          <w:rFonts w:ascii="Arial" w:hAnsi="Arial" w:cs="Arial"/>
        </w:rPr>
        <w:t xml:space="preserve"> Nov. 2025)</w:t>
      </w:r>
    </w:p>
    <w:p w14:paraId="23F718C9" w14:textId="2D223EBA" w:rsidR="00C534BB" w:rsidRPr="00C534BB" w:rsidRDefault="00C534BB" w:rsidP="00C534BB">
      <w:pPr>
        <w:spacing w:line="360" w:lineRule="auto"/>
        <w:rPr>
          <w:rFonts w:ascii="Arial" w:hAnsi="Arial" w:cs="Arial"/>
        </w:rPr>
      </w:pPr>
      <w:r w:rsidRPr="00C534BB">
        <w:rPr>
          <w:rFonts w:ascii="Arial" w:hAnsi="Arial" w:cs="Arial"/>
        </w:rPr>
        <w:t xml:space="preserve">Ryan, M. (2020). In defence of digital contact-tracing. </w:t>
      </w:r>
      <w:r w:rsidRPr="00C534BB">
        <w:rPr>
          <w:rFonts w:ascii="Arial" w:hAnsi="Arial" w:cs="Arial"/>
          <w:i/>
          <w:iCs/>
        </w:rPr>
        <w:t>International Journal of Pervasive Computing and Communications</w:t>
      </w:r>
      <w:r w:rsidRPr="00C534BB">
        <w:rPr>
          <w:rFonts w:ascii="Arial" w:hAnsi="Arial" w:cs="Arial"/>
        </w:rPr>
        <w:t xml:space="preserve">, 16(4), pp.383–407. </w:t>
      </w:r>
      <w:hyperlink r:id="rId54" w:tgtFrame="_new" w:history="1">
        <w:r w:rsidRPr="00C534BB">
          <w:rPr>
            <w:rStyle w:val="Hyperlink"/>
            <w:rFonts w:ascii="Arial" w:hAnsi="Arial" w:cs="Arial"/>
          </w:rPr>
          <w:t>https://doi.org/10.1108/ijpcc-07-2020-0081</w:t>
        </w:r>
      </w:hyperlink>
      <w:r w:rsidRPr="00C534BB">
        <w:rPr>
          <w:rFonts w:ascii="Arial" w:hAnsi="Arial" w:cs="Arial"/>
        </w:rPr>
        <w:t xml:space="preserve"> </w:t>
      </w:r>
      <w:r w:rsidR="00D064DF" w:rsidRPr="00D064DF">
        <w:rPr>
          <w:rFonts w:ascii="Arial" w:hAnsi="Arial" w:cs="Arial"/>
        </w:rPr>
        <w:t>(Accessed 1</w:t>
      </w:r>
      <w:r w:rsidR="00D064DF">
        <w:rPr>
          <w:rFonts w:ascii="Arial" w:hAnsi="Arial" w:cs="Arial"/>
        </w:rPr>
        <w:t>8</w:t>
      </w:r>
      <w:r w:rsidR="00D064DF" w:rsidRPr="00D064DF">
        <w:rPr>
          <w:rFonts w:ascii="Arial" w:hAnsi="Arial" w:cs="Arial"/>
        </w:rPr>
        <w:t xml:space="preserve"> Nov. 2025).</w:t>
      </w:r>
    </w:p>
    <w:p w14:paraId="597E8B8B" w14:textId="29C55C13" w:rsidR="00C534BB" w:rsidRPr="00D85BB2" w:rsidRDefault="00C534BB" w:rsidP="00C534BB">
      <w:pPr>
        <w:spacing w:line="360" w:lineRule="auto"/>
        <w:rPr>
          <w:rFonts w:ascii="Arial" w:hAnsi="Arial" w:cs="Arial"/>
        </w:rPr>
      </w:pPr>
      <w:r w:rsidRPr="00C534BB">
        <w:rPr>
          <w:rFonts w:ascii="Arial" w:hAnsi="Arial" w:cs="Arial"/>
        </w:rPr>
        <w:t xml:space="preserve">Saltman, R. B., &amp; Duran, A. (2015). Governance and provider models. </w:t>
      </w:r>
      <w:r w:rsidRPr="00C534BB">
        <w:rPr>
          <w:rFonts w:ascii="Arial" w:hAnsi="Arial" w:cs="Arial"/>
          <w:i/>
          <w:iCs/>
        </w:rPr>
        <w:t>International Journal of Health Policy and Management</w:t>
      </w:r>
      <w:r w:rsidRPr="00C534BB">
        <w:rPr>
          <w:rFonts w:ascii="Arial" w:hAnsi="Arial" w:cs="Arial"/>
        </w:rPr>
        <w:t xml:space="preserve">, 5(1), 33–42. </w:t>
      </w:r>
      <w:hyperlink r:id="rId55" w:tgtFrame="_new" w:history="1">
        <w:r w:rsidRPr="00C534BB">
          <w:rPr>
            <w:rStyle w:val="Hyperlink"/>
            <w:rFonts w:ascii="Arial" w:hAnsi="Arial" w:cs="Arial"/>
          </w:rPr>
          <w:t>https://doi.org/10.15171/ijhpm.2015.198</w:t>
        </w:r>
      </w:hyperlink>
      <w:r w:rsidR="00D85BB2">
        <w:t xml:space="preserve"> </w:t>
      </w:r>
      <w:r w:rsidR="00D85BB2" w:rsidRPr="00D85BB2">
        <w:rPr>
          <w:rFonts w:ascii="Arial" w:hAnsi="Arial" w:cs="Arial"/>
        </w:rPr>
        <w:t xml:space="preserve">(Accessed </w:t>
      </w:r>
      <w:r w:rsidR="00D85BB2">
        <w:rPr>
          <w:rFonts w:ascii="Arial" w:hAnsi="Arial" w:cs="Arial"/>
        </w:rPr>
        <w:t>09</w:t>
      </w:r>
      <w:r w:rsidR="00D85BB2" w:rsidRPr="00D85BB2">
        <w:rPr>
          <w:rFonts w:ascii="Arial" w:hAnsi="Arial" w:cs="Arial"/>
        </w:rPr>
        <w:t xml:space="preserve"> Nov. 2025).</w:t>
      </w:r>
      <w:r w:rsidRPr="00D85BB2">
        <w:rPr>
          <w:rFonts w:ascii="Arial" w:hAnsi="Arial" w:cs="Arial"/>
        </w:rPr>
        <w:t xml:space="preserve"> </w:t>
      </w:r>
    </w:p>
    <w:p w14:paraId="66BC39FF" w14:textId="73DFA2D4" w:rsidR="00C534BB" w:rsidRPr="00C534BB" w:rsidRDefault="00C534BB" w:rsidP="00C534BB">
      <w:pPr>
        <w:spacing w:line="360" w:lineRule="auto"/>
        <w:rPr>
          <w:rFonts w:ascii="Arial" w:hAnsi="Arial" w:cs="Arial"/>
        </w:rPr>
      </w:pPr>
      <w:r w:rsidRPr="00C534BB">
        <w:rPr>
          <w:rFonts w:ascii="Arial" w:hAnsi="Arial" w:cs="Arial"/>
        </w:rPr>
        <w:t xml:space="preserve">Shim, E., Tariq, A., Choi, W., Lee, Y. &amp; Chowell, G. (2020). Transmission potential and severity. </w:t>
      </w:r>
      <w:r w:rsidRPr="00C534BB">
        <w:rPr>
          <w:rFonts w:ascii="Arial" w:hAnsi="Arial" w:cs="Arial"/>
          <w:i/>
          <w:iCs/>
        </w:rPr>
        <w:t>International Journal of Infectious Diseases</w:t>
      </w:r>
      <w:r w:rsidRPr="00C534BB">
        <w:rPr>
          <w:rFonts w:ascii="Arial" w:hAnsi="Arial" w:cs="Arial"/>
        </w:rPr>
        <w:t xml:space="preserve">, 93, pp.339–344. </w:t>
      </w:r>
      <w:hyperlink r:id="rId56" w:tgtFrame="_new" w:history="1">
        <w:r w:rsidRPr="00C534BB">
          <w:rPr>
            <w:rStyle w:val="Hyperlink"/>
            <w:rFonts w:ascii="Arial" w:hAnsi="Arial" w:cs="Arial"/>
          </w:rPr>
          <w:t>https://doi.org/10.1016/j.ijid.2020.03.031</w:t>
        </w:r>
      </w:hyperlink>
      <w:r w:rsidRPr="00C534BB">
        <w:rPr>
          <w:rFonts w:ascii="Arial" w:hAnsi="Arial" w:cs="Arial"/>
        </w:rPr>
        <w:t xml:space="preserve"> </w:t>
      </w:r>
      <w:r w:rsidR="00D85BB2" w:rsidRPr="00D85BB2">
        <w:rPr>
          <w:rFonts w:ascii="Arial" w:hAnsi="Arial" w:cs="Arial"/>
        </w:rPr>
        <w:t xml:space="preserve">(Accessed </w:t>
      </w:r>
      <w:r w:rsidR="00D85BB2">
        <w:rPr>
          <w:rFonts w:ascii="Arial" w:hAnsi="Arial" w:cs="Arial"/>
        </w:rPr>
        <w:t>1</w:t>
      </w:r>
      <w:r w:rsidR="004F346D">
        <w:rPr>
          <w:rFonts w:ascii="Arial" w:hAnsi="Arial" w:cs="Arial"/>
        </w:rPr>
        <w:t>9</w:t>
      </w:r>
      <w:r w:rsidR="00D85BB2" w:rsidRPr="00D85BB2">
        <w:rPr>
          <w:rFonts w:ascii="Arial" w:hAnsi="Arial" w:cs="Arial"/>
        </w:rPr>
        <w:t xml:space="preserve"> Nov. 2025).</w:t>
      </w:r>
    </w:p>
    <w:p w14:paraId="5E09D80E" w14:textId="1A61ADD8" w:rsidR="00C534BB" w:rsidRPr="00C534BB" w:rsidRDefault="00C534BB" w:rsidP="00C534BB">
      <w:pPr>
        <w:spacing w:line="360" w:lineRule="auto"/>
        <w:rPr>
          <w:rFonts w:ascii="Arial" w:hAnsi="Arial" w:cs="Arial"/>
        </w:rPr>
      </w:pPr>
      <w:r w:rsidRPr="00C534BB">
        <w:rPr>
          <w:rFonts w:ascii="Arial" w:hAnsi="Arial" w:cs="Arial"/>
        </w:rPr>
        <w:t xml:space="preserve">Smith, R.W. et al. (2022). Centralisation and integration of public health systems. </w:t>
      </w:r>
      <w:r w:rsidRPr="00C534BB">
        <w:rPr>
          <w:rFonts w:ascii="Arial" w:hAnsi="Arial" w:cs="Arial"/>
          <w:i/>
          <w:iCs/>
        </w:rPr>
        <w:t>Health Policy</w:t>
      </w:r>
      <w:r w:rsidRPr="00C534BB">
        <w:rPr>
          <w:rFonts w:ascii="Arial" w:hAnsi="Arial" w:cs="Arial"/>
        </w:rPr>
        <w:t xml:space="preserve">, 127, pp.19–28. </w:t>
      </w:r>
      <w:hyperlink r:id="rId57" w:tgtFrame="_new" w:history="1">
        <w:r w:rsidRPr="00C534BB">
          <w:rPr>
            <w:rStyle w:val="Hyperlink"/>
            <w:rFonts w:ascii="Arial" w:hAnsi="Arial" w:cs="Arial"/>
          </w:rPr>
          <w:t>https://doi.org/10.1016/j.healthpol.2022.11.011</w:t>
        </w:r>
      </w:hyperlink>
      <w:r w:rsidRPr="00C534BB">
        <w:rPr>
          <w:rFonts w:ascii="Arial" w:hAnsi="Arial" w:cs="Arial"/>
        </w:rPr>
        <w:t xml:space="preserve"> </w:t>
      </w:r>
      <w:r w:rsidR="004F346D">
        <w:rPr>
          <w:rFonts w:ascii="Arial" w:hAnsi="Arial" w:cs="Arial"/>
        </w:rPr>
        <w:t>(</w:t>
      </w:r>
      <w:r w:rsidRPr="00C534BB">
        <w:rPr>
          <w:rFonts w:ascii="Arial" w:hAnsi="Arial" w:cs="Arial"/>
        </w:rPr>
        <w:t>Accessed 1</w:t>
      </w:r>
      <w:r w:rsidR="004F346D">
        <w:rPr>
          <w:rFonts w:ascii="Arial" w:hAnsi="Arial" w:cs="Arial"/>
        </w:rPr>
        <w:t>3</w:t>
      </w:r>
      <w:r w:rsidRPr="00C534BB">
        <w:rPr>
          <w:rFonts w:ascii="Arial" w:hAnsi="Arial" w:cs="Arial"/>
        </w:rPr>
        <w:t xml:space="preserve"> Nov. 2025</w:t>
      </w:r>
      <w:r w:rsidR="004F346D">
        <w:rPr>
          <w:rFonts w:ascii="Arial" w:hAnsi="Arial" w:cs="Arial"/>
        </w:rPr>
        <w:t>)</w:t>
      </w:r>
      <w:r w:rsidRPr="00C534BB">
        <w:rPr>
          <w:rFonts w:ascii="Arial" w:hAnsi="Arial" w:cs="Arial"/>
        </w:rPr>
        <w:t>.</w:t>
      </w:r>
    </w:p>
    <w:p w14:paraId="7C211944" w14:textId="1F9C9391" w:rsidR="00C534BB" w:rsidRPr="00C534BB" w:rsidRDefault="00C534BB" w:rsidP="00C534BB">
      <w:pPr>
        <w:spacing w:line="360" w:lineRule="auto"/>
        <w:rPr>
          <w:rFonts w:ascii="Arial" w:hAnsi="Arial" w:cs="Arial"/>
        </w:rPr>
      </w:pPr>
      <w:r w:rsidRPr="00C534BB">
        <w:rPr>
          <w:rFonts w:ascii="Arial" w:hAnsi="Arial" w:cs="Arial"/>
        </w:rPr>
        <w:t>Stall, N.M., Jones, A., Brown, K.A., Rochon, P.A.</w:t>
      </w:r>
      <w:r w:rsidR="00B257AD">
        <w:rPr>
          <w:rFonts w:ascii="Arial" w:hAnsi="Arial" w:cs="Arial"/>
        </w:rPr>
        <w:t>,</w:t>
      </w:r>
      <w:r w:rsidRPr="00C534BB">
        <w:rPr>
          <w:rFonts w:ascii="Arial" w:hAnsi="Arial" w:cs="Arial"/>
        </w:rPr>
        <w:t xml:space="preserve"> &amp; Costa, A.P. (2020). For-profit long-term care homes. </w:t>
      </w:r>
      <w:r w:rsidRPr="00C534BB">
        <w:rPr>
          <w:rFonts w:ascii="Arial" w:hAnsi="Arial" w:cs="Arial"/>
          <w:i/>
          <w:iCs/>
        </w:rPr>
        <w:t>CMAJ</w:t>
      </w:r>
      <w:r w:rsidRPr="00C534BB">
        <w:rPr>
          <w:rFonts w:ascii="Arial" w:hAnsi="Arial" w:cs="Arial"/>
        </w:rPr>
        <w:t xml:space="preserve">, 192(33), E946–E955. </w:t>
      </w:r>
      <w:hyperlink r:id="rId58" w:tgtFrame="_new" w:history="1">
        <w:r w:rsidRPr="00C534BB">
          <w:rPr>
            <w:rStyle w:val="Hyperlink"/>
            <w:rFonts w:ascii="Arial" w:hAnsi="Arial" w:cs="Arial"/>
          </w:rPr>
          <w:t>https://doi.org/10.1503/cmaj.201197</w:t>
        </w:r>
      </w:hyperlink>
      <w:r w:rsidRPr="00C534BB">
        <w:rPr>
          <w:rFonts w:ascii="Arial" w:hAnsi="Arial" w:cs="Arial"/>
        </w:rPr>
        <w:t xml:space="preserve"> </w:t>
      </w:r>
      <w:r w:rsidR="004F346D">
        <w:rPr>
          <w:rFonts w:ascii="Arial" w:hAnsi="Arial" w:cs="Arial"/>
        </w:rPr>
        <w:t>(</w:t>
      </w:r>
      <w:r w:rsidRPr="00C534BB">
        <w:rPr>
          <w:rFonts w:ascii="Arial" w:hAnsi="Arial" w:cs="Arial"/>
        </w:rPr>
        <w:t xml:space="preserve">Accessed </w:t>
      </w:r>
      <w:r w:rsidR="004F346D">
        <w:rPr>
          <w:rFonts w:ascii="Arial" w:hAnsi="Arial" w:cs="Arial"/>
        </w:rPr>
        <w:t>29</w:t>
      </w:r>
      <w:r w:rsidRPr="00C534BB">
        <w:rPr>
          <w:rFonts w:ascii="Arial" w:hAnsi="Arial" w:cs="Arial"/>
        </w:rPr>
        <w:t xml:space="preserve"> Nov. 2025</w:t>
      </w:r>
      <w:r w:rsidR="004F346D">
        <w:rPr>
          <w:rFonts w:ascii="Arial" w:hAnsi="Arial" w:cs="Arial"/>
        </w:rPr>
        <w:t>)</w:t>
      </w:r>
      <w:r w:rsidRPr="00C534BB">
        <w:rPr>
          <w:rFonts w:ascii="Arial" w:hAnsi="Arial" w:cs="Arial"/>
        </w:rPr>
        <w:t>.</w:t>
      </w:r>
    </w:p>
    <w:p w14:paraId="57B97756" w14:textId="4359E640" w:rsidR="00C534BB" w:rsidRPr="00EC39FA" w:rsidRDefault="00C534BB" w:rsidP="00C534BB">
      <w:pPr>
        <w:spacing w:line="360" w:lineRule="auto"/>
        <w:rPr>
          <w:rFonts w:ascii="Arial" w:hAnsi="Arial" w:cs="Arial"/>
        </w:rPr>
      </w:pPr>
      <w:r w:rsidRPr="00C534BB">
        <w:rPr>
          <w:rFonts w:ascii="Arial" w:hAnsi="Arial" w:cs="Arial"/>
        </w:rPr>
        <w:t xml:space="preserve">Unruh, L., Allin, S., Marchildon, G., Burke, S., Barry, S. et al. (2021). Comparison of health policy responses. </w:t>
      </w:r>
      <w:r w:rsidRPr="00C534BB">
        <w:rPr>
          <w:rFonts w:ascii="Arial" w:hAnsi="Arial" w:cs="Arial"/>
          <w:i/>
          <w:iCs/>
        </w:rPr>
        <w:t>Health Policy</w:t>
      </w:r>
      <w:r w:rsidRPr="00C534BB">
        <w:rPr>
          <w:rFonts w:ascii="Arial" w:hAnsi="Arial" w:cs="Arial"/>
        </w:rPr>
        <w:t xml:space="preserve">, 126(5). </w:t>
      </w:r>
      <w:hyperlink r:id="rId59" w:tgtFrame="_new" w:history="1">
        <w:r w:rsidRPr="00EC39FA">
          <w:rPr>
            <w:rStyle w:val="Hyperlink"/>
            <w:rFonts w:ascii="Arial" w:hAnsi="Arial" w:cs="Arial"/>
          </w:rPr>
          <w:t>https://doi.org/10.1016/j.healthpol.2021.06.012</w:t>
        </w:r>
      </w:hyperlink>
      <w:r w:rsidR="004F346D">
        <w:t xml:space="preserve"> </w:t>
      </w:r>
      <w:r w:rsidR="004F346D" w:rsidRPr="00EC39FA">
        <w:rPr>
          <w:rFonts w:ascii="Arial" w:hAnsi="Arial" w:cs="Arial"/>
        </w:rPr>
        <w:t>(</w:t>
      </w:r>
      <w:r w:rsidRPr="00EC39FA">
        <w:rPr>
          <w:rFonts w:ascii="Arial" w:hAnsi="Arial" w:cs="Arial"/>
        </w:rPr>
        <w:t xml:space="preserve">Accessed </w:t>
      </w:r>
      <w:r w:rsidR="004F346D" w:rsidRPr="00EC39FA">
        <w:rPr>
          <w:rFonts w:ascii="Arial" w:hAnsi="Arial" w:cs="Arial"/>
        </w:rPr>
        <w:t>21</w:t>
      </w:r>
      <w:r w:rsidRPr="00EC39FA">
        <w:rPr>
          <w:rFonts w:ascii="Arial" w:hAnsi="Arial" w:cs="Arial"/>
        </w:rPr>
        <w:t xml:space="preserve"> Nov. 2025</w:t>
      </w:r>
      <w:r w:rsidR="004F346D" w:rsidRPr="00EC39FA">
        <w:rPr>
          <w:rFonts w:ascii="Arial" w:hAnsi="Arial" w:cs="Arial"/>
        </w:rPr>
        <w:t>)</w:t>
      </w:r>
      <w:r w:rsidRPr="00EC39FA">
        <w:rPr>
          <w:rFonts w:ascii="Arial" w:hAnsi="Arial" w:cs="Arial"/>
        </w:rPr>
        <w:t>.</w:t>
      </w:r>
    </w:p>
    <w:p w14:paraId="47FDF24D" w14:textId="7B5B1A4A" w:rsidR="00C534BB" w:rsidRPr="00C534BB" w:rsidRDefault="00C534BB" w:rsidP="00C534BB">
      <w:pPr>
        <w:spacing w:line="360" w:lineRule="auto"/>
        <w:rPr>
          <w:rFonts w:ascii="Arial" w:hAnsi="Arial" w:cs="Arial"/>
        </w:rPr>
      </w:pPr>
      <w:r w:rsidRPr="00EC39FA">
        <w:rPr>
          <w:rFonts w:ascii="Arial" w:hAnsi="Arial" w:cs="Arial"/>
        </w:rPr>
        <w:t xml:space="preserve">Wu, J. et al. (2021). </w:t>
      </w:r>
      <w:r w:rsidRPr="00C534BB">
        <w:rPr>
          <w:rFonts w:ascii="Arial" w:hAnsi="Arial" w:cs="Arial"/>
        </w:rPr>
        <w:t xml:space="preserve">Window of opportunity for testing and tracing. </w:t>
      </w:r>
      <w:r w:rsidRPr="00C534BB">
        <w:rPr>
          <w:rFonts w:ascii="Arial" w:hAnsi="Arial" w:cs="Arial"/>
          <w:i/>
          <w:iCs/>
        </w:rPr>
        <w:t>CCDR</w:t>
      </w:r>
      <w:r w:rsidRPr="00C534BB">
        <w:rPr>
          <w:rFonts w:ascii="Arial" w:hAnsi="Arial" w:cs="Arial"/>
        </w:rPr>
        <w:t>, 47(7/8). Available at:</w:t>
      </w:r>
      <w:r w:rsidRPr="00C534BB">
        <w:rPr>
          <w:rFonts w:ascii="Arial" w:hAnsi="Arial" w:cs="Arial"/>
        </w:rPr>
        <w:br/>
      </w:r>
      <w:hyperlink r:id="rId60" w:tgtFrame="_new" w:history="1">
        <w:r w:rsidRPr="00C534BB">
          <w:rPr>
            <w:rStyle w:val="Hyperlink"/>
            <w:rFonts w:ascii="Arial" w:hAnsi="Arial" w:cs="Arial"/>
          </w:rPr>
          <w:t>https://www.canada.ca/en/public-health/services/reports-publications/canada-communicable-disease-report-ccdr/monthly-issue/2021-47/issue-7-8-july-august-2021/covid-19-variants.html</w:t>
        </w:r>
      </w:hyperlink>
      <w:r w:rsidRPr="00C534BB">
        <w:rPr>
          <w:rFonts w:ascii="Arial" w:hAnsi="Arial" w:cs="Arial"/>
        </w:rPr>
        <w:t xml:space="preserve"> </w:t>
      </w:r>
      <w:r w:rsidR="004F346D">
        <w:rPr>
          <w:rFonts w:ascii="Arial" w:hAnsi="Arial" w:cs="Arial"/>
        </w:rPr>
        <w:t>(</w:t>
      </w:r>
      <w:r w:rsidRPr="00C534BB">
        <w:rPr>
          <w:rFonts w:ascii="Arial" w:hAnsi="Arial" w:cs="Arial"/>
        </w:rPr>
        <w:t>Accessed  Nov. 2025</w:t>
      </w:r>
      <w:r w:rsidR="003A1EE5">
        <w:rPr>
          <w:rFonts w:ascii="Arial" w:hAnsi="Arial" w:cs="Arial"/>
        </w:rPr>
        <w:t>)</w:t>
      </w:r>
      <w:r w:rsidRPr="00C534BB">
        <w:rPr>
          <w:rFonts w:ascii="Arial" w:hAnsi="Arial" w:cs="Arial"/>
        </w:rPr>
        <w:t>.</w:t>
      </w:r>
    </w:p>
    <w:p w14:paraId="7445402C" w14:textId="7E42309B" w:rsidR="00C534BB" w:rsidRPr="00C534BB" w:rsidRDefault="00C534BB" w:rsidP="00C534BB">
      <w:pPr>
        <w:spacing w:line="360" w:lineRule="auto"/>
        <w:rPr>
          <w:rFonts w:ascii="Arial" w:hAnsi="Arial" w:cs="Arial"/>
        </w:rPr>
      </w:pPr>
      <w:r w:rsidRPr="00C534BB">
        <w:rPr>
          <w:rFonts w:ascii="Arial" w:hAnsi="Arial" w:cs="Arial"/>
        </w:rPr>
        <w:t xml:space="preserve">You, J. (2020). Lessons From South Korea’s Covid-19 Policy Response. </w:t>
      </w:r>
      <w:r w:rsidRPr="00C534BB">
        <w:rPr>
          <w:rFonts w:ascii="Arial" w:hAnsi="Arial" w:cs="Arial"/>
          <w:i/>
          <w:iCs/>
        </w:rPr>
        <w:t>The American Review of Public Administration</w:t>
      </w:r>
      <w:r w:rsidRPr="00C534BB">
        <w:rPr>
          <w:rFonts w:ascii="Arial" w:hAnsi="Arial" w:cs="Arial"/>
        </w:rPr>
        <w:t xml:space="preserve">, 50(6–7), 801–808. </w:t>
      </w:r>
      <w:hyperlink r:id="rId61" w:tgtFrame="_new" w:history="1">
        <w:r w:rsidRPr="00C534BB">
          <w:rPr>
            <w:rStyle w:val="Hyperlink"/>
            <w:rFonts w:ascii="Arial" w:hAnsi="Arial" w:cs="Arial"/>
          </w:rPr>
          <w:t>https://doi.org/10.1177/0275074020943708</w:t>
        </w:r>
      </w:hyperlink>
      <w:r w:rsidRPr="00C534BB">
        <w:rPr>
          <w:rFonts w:ascii="Arial" w:hAnsi="Arial" w:cs="Arial"/>
        </w:rPr>
        <w:t xml:space="preserve"> </w:t>
      </w:r>
      <w:r w:rsidR="009B3AAE">
        <w:rPr>
          <w:rFonts w:ascii="Arial" w:hAnsi="Arial" w:cs="Arial"/>
        </w:rPr>
        <w:t>(</w:t>
      </w:r>
      <w:r w:rsidRPr="00C534BB">
        <w:rPr>
          <w:rFonts w:ascii="Arial" w:hAnsi="Arial" w:cs="Arial"/>
        </w:rPr>
        <w:t>Accessed 1</w:t>
      </w:r>
      <w:r w:rsidR="009B3AAE">
        <w:rPr>
          <w:rFonts w:ascii="Arial" w:hAnsi="Arial" w:cs="Arial"/>
        </w:rPr>
        <w:t>2</w:t>
      </w:r>
      <w:r w:rsidRPr="00C534BB">
        <w:rPr>
          <w:rFonts w:ascii="Arial" w:hAnsi="Arial" w:cs="Arial"/>
        </w:rPr>
        <w:t xml:space="preserve"> No</w:t>
      </w:r>
      <w:r w:rsidR="009B3AAE">
        <w:rPr>
          <w:rFonts w:ascii="Arial" w:hAnsi="Arial" w:cs="Arial"/>
        </w:rPr>
        <w:t>vember</w:t>
      </w:r>
      <w:r w:rsidRPr="00C534BB">
        <w:rPr>
          <w:rFonts w:ascii="Arial" w:hAnsi="Arial" w:cs="Arial"/>
        </w:rPr>
        <w:t xml:space="preserve"> 2025</w:t>
      </w:r>
      <w:r w:rsidR="009B3AAE">
        <w:rPr>
          <w:rFonts w:ascii="Arial" w:hAnsi="Arial" w:cs="Arial"/>
        </w:rPr>
        <w:t>)</w:t>
      </w:r>
      <w:r w:rsidRPr="00C534BB">
        <w:rPr>
          <w:rFonts w:ascii="Arial" w:hAnsi="Arial" w:cs="Arial"/>
        </w:rPr>
        <w:t>.</w:t>
      </w:r>
    </w:p>
    <w:p w14:paraId="0571C5D3" w14:textId="77777777" w:rsidR="00C534BB" w:rsidRDefault="00C534BB" w:rsidP="002B261E">
      <w:pPr>
        <w:spacing w:line="360" w:lineRule="auto"/>
        <w:rPr>
          <w:rFonts w:ascii="Arial" w:hAnsi="Arial" w:cs="Arial"/>
        </w:rPr>
      </w:pPr>
    </w:p>
    <w:sectPr w:rsidR="00C534BB">
      <w:footerReference w:type="default" r:id="rId62"/>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FFAF83" w14:textId="77777777" w:rsidR="004A71BF" w:rsidRDefault="004A71BF">
      <w:pPr>
        <w:spacing w:after="0" w:line="240" w:lineRule="auto"/>
      </w:pPr>
      <w:r>
        <w:separator/>
      </w:r>
    </w:p>
  </w:endnote>
  <w:endnote w:type="continuationSeparator" w:id="0">
    <w:p w14:paraId="0EBCFA11" w14:textId="77777777" w:rsidR="004A71BF" w:rsidRDefault="004A71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9858890"/>
      <w:docPartObj>
        <w:docPartGallery w:val="Page Numbers (Bottom of Page)"/>
        <w:docPartUnique/>
      </w:docPartObj>
    </w:sdtPr>
    <w:sdtContent>
      <w:p w14:paraId="0928AFDB" w14:textId="16E9B626" w:rsidR="00662BD8" w:rsidRDefault="00662BD8">
        <w:pPr>
          <w:pStyle w:val="Footer"/>
          <w:jc w:val="right"/>
        </w:pPr>
        <w:r>
          <w:fldChar w:fldCharType="begin"/>
        </w:r>
        <w:r>
          <w:instrText>PAGE   \* MERGEFORMAT</w:instrText>
        </w:r>
        <w:r>
          <w:fldChar w:fldCharType="separate"/>
        </w:r>
        <w:r>
          <w:t>2</w:t>
        </w:r>
        <w:r>
          <w:fldChar w:fldCharType="end"/>
        </w:r>
      </w:p>
    </w:sdtContent>
  </w:sdt>
  <w:p w14:paraId="6FE2274D" w14:textId="77777777" w:rsidR="00662BD8" w:rsidRDefault="00662B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B5AE1E" w14:textId="77777777" w:rsidR="004A71BF" w:rsidRDefault="004A71BF">
      <w:pPr>
        <w:spacing w:after="0" w:line="240" w:lineRule="auto"/>
      </w:pPr>
      <w:r>
        <w:rPr>
          <w:color w:val="000000"/>
        </w:rPr>
        <w:separator/>
      </w:r>
    </w:p>
  </w:footnote>
  <w:footnote w:type="continuationSeparator" w:id="0">
    <w:p w14:paraId="52FAAAE3" w14:textId="77777777" w:rsidR="004A71BF" w:rsidRDefault="004A71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E53F0"/>
    <w:multiLevelType w:val="hybridMultilevel"/>
    <w:tmpl w:val="C46882C6"/>
    <w:lvl w:ilvl="0" w:tplc="08090001">
      <w:start w:val="1"/>
      <w:numFmt w:val="bullet"/>
      <w:lvlText w:val=""/>
      <w:lvlJc w:val="left"/>
      <w:pPr>
        <w:ind w:left="2191" w:hanging="360"/>
      </w:pPr>
      <w:rPr>
        <w:rFonts w:ascii="Symbol" w:hAnsi="Symbol" w:hint="default"/>
      </w:rPr>
    </w:lvl>
    <w:lvl w:ilvl="1" w:tplc="08090003" w:tentative="1">
      <w:start w:val="1"/>
      <w:numFmt w:val="bullet"/>
      <w:lvlText w:val="o"/>
      <w:lvlJc w:val="left"/>
      <w:pPr>
        <w:ind w:left="2911" w:hanging="360"/>
      </w:pPr>
      <w:rPr>
        <w:rFonts w:ascii="Courier New" w:hAnsi="Courier New" w:cs="Courier New" w:hint="default"/>
      </w:rPr>
    </w:lvl>
    <w:lvl w:ilvl="2" w:tplc="08090005" w:tentative="1">
      <w:start w:val="1"/>
      <w:numFmt w:val="bullet"/>
      <w:lvlText w:val=""/>
      <w:lvlJc w:val="left"/>
      <w:pPr>
        <w:ind w:left="3631" w:hanging="360"/>
      </w:pPr>
      <w:rPr>
        <w:rFonts w:ascii="Wingdings" w:hAnsi="Wingdings" w:hint="default"/>
      </w:rPr>
    </w:lvl>
    <w:lvl w:ilvl="3" w:tplc="08090001" w:tentative="1">
      <w:start w:val="1"/>
      <w:numFmt w:val="bullet"/>
      <w:lvlText w:val=""/>
      <w:lvlJc w:val="left"/>
      <w:pPr>
        <w:ind w:left="4351" w:hanging="360"/>
      </w:pPr>
      <w:rPr>
        <w:rFonts w:ascii="Symbol" w:hAnsi="Symbol" w:hint="default"/>
      </w:rPr>
    </w:lvl>
    <w:lvl w:ilvl="4" w:tplc="08090003" w:tentative="1">
      <w:start w:val="1"/>
      <w:numFmt w:val="bullet"/>
      <w:lvlText w:val="o"/>
      <w:lvlJc w:val="left"/>
      <w:pPr>
        <w:ind w:left="5071" w:hanging="360"/>
      </w:pPr>
      <w:rPr>
        <w:rFonts w:ascii="Courier New" w:hAnsi="Courier New" w:cs="Courier New" w:hint="default"/>
      </w:rPr>
    </w:lvl>
    <w:lvl w:ilvl="5" w:tplc="08090005" w:tentative="1">
      <w:start w:val="1"/>
      <w:numFmt w:val="bullet"/>
      <w:lvlText w:val=""/>
      <w:lvlJc w:val="left"/>
      <w:pPr>
        <w:ind w:left="5791" w:hanging="360"/>
      </w:pPr>
      <w:rPr>
        <w:rFonts w:ascii="Wingdings" w:hAnsi="Wingdings" w:hint="default"/>
      </w:rPr>
    </w:lvl>
    <w:lvl w:ilvl="6" w:tplc="08090001" w:tentative="1">
      <w:start w:val="1"/>
      <w:numFmt w:val="bullet"/>
      <w:lvlText w:val=""/>
      <w:lvlJc w:val="left"/>
      <w:pPr>
        <w:ind w:left="6511" w:hanging="360"/>
      </w:pPr>
      <w:rPr>
        <w:rFonts w:ascii="Symbol" w:hAnsi="Symbol" w:hint="default"/>
      </w:rPr>
    </w:lvl>
    <w:lvl w:ilvl="7" w:tplc="08090003" w:tentative="1">
      <w:start w:val="1"/>
      <w:numFmt w:val="bullet"/>
      <w:lvlText w:val="o"/>
      <w:lvlJc w:val="left"/>
      <w:pPr>
        <w:ind w:left="7231" w:hanging="360"/>
      </w:pPr>
      <w:rPr>
        <w:rFonts w:ascii="Courier New" w:hAnsi="Courier New" w:cs="Courier New" w:hint="default"/>
      </w:rPr>
    </w:lvl>
    <w:lvl w:ilvl="8" w:tplc="08090005" w:tentative="1">
      <w:start w:val="1"/>
      <w:numFmt w:val="bullet"/>
      <w:lvlText w:val=""/>
      <w:lvlJc w:val="left"/>
      <w:pPr>
        <w:ind w:left="7951" w:hanging="360"/>
      </w:pPr>
      <w:rPr>
        <w:rFonts w:ascii="Wingdings" w:hAnsi="Wingdings" w:hint="default"/>
      </w:rPr>
    </w:lvl>
  </w:abstractNum>
  <w:abstractNum w:abstractNumId="1" w15:restartNumberingAfterBreak="0">
    <w:nsid w:val="0AAB7BF0"/>
    <w:multiLevelType w:val="hybridMultilevel"/>
    <w:tmpl w:val="03947F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A21A49"/>
    <w:multiLevelType w:val="multilevel"/>
    <w:tmpl w:val="4D3C7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3518AD"/>
    <w:multiLevelType w:val="hybridMultilevel"/>
    <w:tmpl w:val="2E805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1E70D4"/>
    <w:multiLevelType w:val="hybridMultilevel"/>
    <w:tmpl w:val="88281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0174D5"/>
    <w:multiLevelType w:val="multilevel"/>
    <w:tmpl w:val="4D3C7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436ECF"/>
    <w:multiLevelType w:val="multilevel"/>
    <w:tmpl w:val="4D3C7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F56280"/>
    <w:multiLevelType w:val="multilevel"/>
    <w:tmpl w:val="4D3C7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DE622A"/>
    <w:multiLevelType w:val="hybridMultilevel"/>
    <w:tmpl w:val="77104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DD51D9"/>
    <w:multiLevelType w:val="multilevel"/>
    <w:tmpl w:val="4D3C7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0C51CD"/>
    <w:multiLevelType w:val="multilevel"/>
    <w:tmpl w:val="4D3C7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770DBB"/>
    <w:multiLevelType w:val="multilevel"/>
    <w:tmpl w:val="4D3C7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86169A"/>
    <w:multiLevelType w:val="hybridMultilevel"/>
    <w:tmpl w:val="936E4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045747"/>
    <w:multiLevelType w:val="hybridMultilevel"/>
    <w:tmpl w:val="228CC8E4"/>
    <w:lvl w:ilvl="0" w:tplc="0212A39C">
      <w:start w:val="1"/>
      <w:numFmt w:val="decimal"/>
      <w:lvlText w:val="%1."/>
      <w:lvlJc w:val="left"/>
      <w:pPr>
        <w:ind w:left="756" w:hanging="396"/>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9301F55"/>
    <w:multiLevelType w:val="hybridMultilevel"/>
    <w:tmpl w:val="8326C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A14504B"/>
    <w:multiLevelType w:val="multilevel"/>
    <w:tmpl w:val="11A2E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51322C4"/>
    <w:multiLevelType w:val="multilevel"/>
    <w:tmpl w:val="4D3C7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57E38F3"/>
    <w:multiLevelType w:val="multilevel"/>
    <w:tmpl w:val="4D3C7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CEC3B98"/>
    <w:multiLevelType w:val="multilevel"/>
    <w:tmpl w:val="4D3C7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21953321">
    <w:abstractNumId w:val="13"/>
  </w:num>
  <w:num w:numId="2" w16cid:durableId="93333347">
    <w:abstractNumId w:val="8"/>
  </w:num>
  <w:num w:numId="3" w16cid:durableId="1076442357">
    <w:abstractNumId w:val="12"/>
  </w:num>
  <w:num w:numId="4" w16cid:durableId="48841202">
    <w:abstractNumId w:val="4"/>
  </w:num>
  <w:num w:numId="5" w16cid:durableId="87704589">
    <w:abstractNumId w:val="14"/>
  </w:num>
  <w:num w:numId="6" w16cid:durableId="1463158006">
    <w:abstractNumId w:val="0"/>
  </w:num>
  <w:num w:numId="7" w16cid:durableId="20206023">
    <w:abstractNumId w:val="3"/>
  </w:num>
  <w:num w:numId="8" w16cid:durableId="956185083">
    <w:abstractNumId w:val="1"/>
  </w:num>
  <w:num w:numId="9" w16cid:durableId="2036037610">
    <w:abstractNumId w:val="11"/>
  </w:num>
  <w:num w:numId="10" w16cid:durableId="1039670810">
    <w:abstractNumId w:val="6"/>
  </w:num>
  <w:num w:numId="11" w16cid:durableId="768085108">
    <w:abstractNumId w:val="9"/>
  </w:num>
  <w:num w:numId="12" w16cid:durableId="2071297472">
    <w:abstractNumId w:val="16"/>
  </w:num>
  <w:num w:numId="13" w16cid:durableId="1528374483">
    <w:abstractNumId w:val="10"/>
  </w:num>
  <w:num w:numId="14" w16cid:durableId="62606395">
    <w:abstractNumId w:val="18"/>
  </w:num>
  <w:num w:numId="15" w16cid:durableId="458039037">
    <w:abstractNumId w:val="7"/>
  </w:num>
  <w:num w:numId="16" w16cid:durableId="331688222">
    <w:abstractNumId w:val="17"/>
  </w:num>
  <w:num w:numId="17" w16cid:durableId="245458197">
    <w:abstractNumId w:val="2"/>
  </w:num>
  <w:num w:numId="18" w16cid:durableId="1324238901">
    <w:abstractNumId w:val="5"/>
  </w:num>
  <w:num w:numId="19" w16cid:durableId="13010311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ED8"/>
    <w:rsid w:val="000112AA"/>
    <w:rsid w:val="00031903"/>
    <w:rsid w:val="00035876"/>
    <w:rsid w:val="00037ACD"/>
    <w:rsid w:val="00053557"/>
    <w:rsid w:val="00060318"/>
    <w:rsid w:val="00063122"/>
    <w:rsid w:val="00074EF1"/>
    <w:rsid w:val="00077932"/>
    <w:rsid w:val="0008252B"/>
    <w:rsid w:val="00082853"/>
    <w:rsid w:val="000A6026"/>
    <w:rsid w:val="000A78D0"/>
    <w:rsid w:val="000C062C"/>
    <w:rsid w:val="000C6D89"/>
    <w:rsid w:val="000E72BD"/>
    <w:rsid w:val="000F5B5B"/>
    <w:rsid w:val="00101F1D"/>
    <w:rsid w:val="001069C2"/>
    <w:rsid w:val="00112B69"/>
    <w:rsid w:val="00131B72"/>
    <w:rsid w:val="001327F2"/>
    <w:rsid w:val="00135F32"/>
    <w:rsid w:val="00146E0B"/>
    <w:rsid w:val="00147C76"/>
    <w:rsid w:val="00147FDD"/>
    <w:rsid w:val="0015141F"/>
    <w:rsid w:val="00164CD7"/>
    <w:rsid w:val="00171C2E"/>
    <w:rsid w:val="001742EE"/>
    <w:rsid w:val="00196083"/>
    <w:rsid w:val="001A3CE0"/>
    <w:rsid w:val="001D064E"/>
    <w:rsid w:val="001E2EB9"/>
    <w:rsid w:val="001E3982"/>
    <w:rsid w:val="001F6E72"/>
    <w:rsid w:val="002111FE"/>
    <w:rsid w:val="0021671B"/>
    <w:rsid w:val="00221C07"/>
    <w:rsid w:val="00233626"/>
    <w:rsid w:val="00237EF4"/>
    <w:rsid w:val="00255E3A"/>
    <w:rsid w:val="00287028"/>
    <w:rsid w:val="00294F1C"/>
    <w:rsid w:val="00296F76"/>
    <w:rsid w:val="002A19E0"/>
    <w:rsid w:val="002B03B6"/>
    <w:rsid w:val="002B261E"/>
    <w:rsid w:val="002C5B43"/>
    <w:rsid w:val="002D5178"/>
    <w:rsid w:val="002D60C4"/>
    <w:rsid w:val="002D6285"/>
    <w:rsid w:val="002E2EC2"/>
    <w:rsid w:val="002F1C17"/>
    <w:rsid w:val="002F2D17"/>
    <w:rsid w:val="002F75B4"/>
    <w:rsid w:val="003232D5"/>
    <w:rsid w:val="0032456C"/>
    <w:rsid w:val="00325859"/>
    <w:rsid w:val="003279FE"/>
    <w:rsid w:val="00330892"/>
    <w:rsid w:val="003327F3"/>
    <w:rsid w:val="00334F73"/>
    <w:rsid w:val="00335895"/>
    <w:rsid w:val="00343ECA"/>
    <w:rsid w:val="00347FF8"/>
    <w:rsid w:val="00355981"/>
    <w:rsid w:val="00367750"/>
    <w:rsid w:val="00371246"/>
    <w:rsid w:val="00371683"/>
    <w:rsid w:val="00380FB5"/>
    <w:rsid w:val="003960E1"/>
    <w:rsid w:val="003A0B81"/>
    <w:rsid w:val="003A1EE5"/>
    <w:rsid w:val="003A5D93"/>
    <w:rsid w:val="003A7FFE"/>
    <w:rsid w:val="003C0ED8"/>
    <w:rsid w:val="003C3DD9"/>
    <w:rsid w:val="003D1927"/>
    <w:rsid w:val="003D58A2"/>
    <w:rsid w:val="003D58EF"/>
    <w:rsid w:val="003D72AD"/>
    <w:rsid w:val="00405A4E"/>
    <w:rsid w:val="00425AEE"/>
    <w:rsid w:val="0043065D"/>
    <w:rsid w:val="0043185F"/>
    <w:rsid w:val="00432B08"/>
    <w:rsid w:val="004341C7"/>
    <w:rsid w:val="0043431B"/>
    <w:rsid w:val="00435BC1"/>
    <w:rsid w:val="004412BE"/>
    <w:rsid w:val="00470719"/>
    <w:rsid w:val="004741D2"/>
    <w:rsid w:val="00484046"/>
    <w:rsid w:val="004A35A3"/>
    <w:rsid w:val="004A7097"/>
    <w:rsid w:val="004A71BF"/>
    <w:rsid w:val="004C2B2F"/>
    <w:rsid w:val="004D5F65"/>
    <w:rsid w:val="004E31A6"/>
    <w:rsid w:val="004E34D6"/>
    <w:rsid w:val="004F000C"/>
    <w:rsid w:val="004F1EF1"/>
    <w:rsid w:val="004F346D"/>
    <w:rsid w:val="00514021"/>
    <w:rsid w:val="00532C74"/>
    <w:rsid w:val="00534C81"/>
    <w:rsid w:val="005405A5"/>
    <w:rsid w:val="00540C5B"/>
    <w:rsid w:val="005739C1"/>
    <w:rsid w:val="00577C60"/>
    <w:rsid w:val="00581653"/>
    <w:rsid w:val="005830DC"/>
    <w:rsid w:val="00585F3B"/>
    <w:rsid w:val="005A15E2"/>
    <w:rsid w:val="005A5A55"/>
    <w:rsid w:val="005B082E"/>
    <w:rsid w:val="005B1803"/>
    <w:rsid w:val="005C02F2"/>
    <w:rsid w:val="005C577C"/>
    <w:rsid w:val="005D4BD6"/>
    <w:rsid w:val="00606B77"/>
    <w:rsid w:val="0061285F"/>
    <w:rsid w:val="00614A27"/>
    <w:rsid w:val="006421E8"/>
    <w:rsid w:val="00643F58"/>
    <w:rsid w:val="00644B4F"/>
    <w:rsid w:val="00662BD8"/>
    <w:rsid w:val="00665CD4"/>
    <w:rsid w:val="0068498D"/>
    <w:rsid w:val="00690D01"/>
    <w:rsid w:val="006C76AC"/>
    <w:rsid w:val="006E17BA"/>
    <w:rsid w:val="006E4346"/>
    <w:rsid w:val="006E6441"/>
    <w:rsid w:val="006F238C"/>
    <w:rsid w:val="006F4956"/>
    <w:rsid w:val="00702A14"/>
    <w:rsid w:val="00705292"/>
    <w:rsid w:val="00705FB0"/>
    <w:rsid w:val="007118A4"/>
    <w:rsid w:val="00731144"/>
    <w:rsid w:val="00734314"/>
    <w:rsid w:val="00736239"/>
    <w:rsid w:val="007379C4"/>
    <w:rsid w:val="00744753"/>
    <w:rsid w:val="00765BBD"/>
    <w:rsid w:val="007845BF"/>
    <w:rsid w:val="007929DC"/>
    <w:rsid w:val="007A331B"/>
    <w:rsid w:val="007B572E"/>
    <w:rsid w:val="007B6566"/>
    <w:rsid w:val="007C5D18"/>
    <w:rsid w:val="007C6AD4"/>
    <w:rsid w:val="007E15DD"/>
    <w:rsid w:val="007E7C05"/>
    <w:rsid w:val="007F1BF2"/>
    <w:rsid w:val="007F4CED"/>
    <w:rsid w:val="007F74DE"/>
    <w:rsid w:val="0080026E"/>
    <w:rsid w:val="008040E3"/>
    <w:rsid w:val="00814ADF"/>
    <w:rsid w:val="00817196"/>
    <w:rsid w:val="008236C0"/>
    <w:rsid w:val="00824036"/>
    <w:rsid w:val="008315E2"/>
    <w:rsid w:val="0085125F"/>
    <w:rsid w:val="00860C12"/>
    <w:rsid w:val="00883ECE"/>
    <w:rsid w:val="00891149"/>
    <w:rsid w:val="00895556"/>
    <w:rsid w:val="0089617A"/>
    <w:rsid w:val="00897641"/>
    <w:rsid w:val="008A06CE"/>
    <w:rsid w:val="008A56C4"/>
    <w:rsid w:val="008A688B"/>
    <w:rsid w:val="008B2DE8"/>
    <w:rsid w:val="008B351D"/>
    <w:rsid w:val="008D5689"/>
    <w:rsid w:val="008D774A"/>
    <w:rsid w:val="008E0544"/>
    <w:rsid w:val="008F79D5"/>
    <w:rsid w:val="009165AB"/>
    <w:rsid w:val="00947F99"/>
    <w:rsid w:val="009711F8"/>
    <w:rsid w:val="00971333"/>
    <w:rsid w:val="00981F35"/>
    <w:rsid w:val="0098722B"/>
    <w:rsid w:val="00997B16"/>
    <w:rsid w:val="009B3AAE"/>
    <w:rsid w:val="009B6C31"/>
    <w:rsid w:val="009C0500"/>
    <w:rsid w:val="009E261A"/>
    <w:rsid w:val="009F03DC"/>
    <w:rsid w:val="00A00955"/>
    <w:rsid w:val="00A02853"/>
    <w:rsid w:val="00A07E4E"/>
    <w:rsid w:val="00A2019C"/>
    <w:rsid w:val="00A21924"/>
    <w:rsid w:val="00A25839"/>
    <w:rsid w:val="00A462F5"/>
    <w:rsid w:val="00A476F7"/>
    <w:rsid w:val="00A574FD"/>
    <w:rsid w:val="00A73F8B"/>
    <w:rsid w:val="00A815D7"/>
    <w:rsid w:val="00A83DF2"/>
    <w:rsid w:val="00A87547"/>
    <w:rsid w:val="00AC5A74"/>
    <w:rsid w:val="00AD0E01"/>
    <w:rsid w:val="00AD49E7"/>
    <w:rsid w:val="00AE7DED"/>
    <w:rsid w:val="00AF122E"/>
    <w:rsid w:val="00B00F22"/>
    <w:rsid w:val="00B01199"/>
    <w:rsid w:val="00B01E4D"/>
    <w:rsid w:val="00B14403"/>
    <w:rsid w:val="00B15807"/>
    <w:rsid w:val="00B20D1E"/>
    <w:rsid w:val="00B257AD"/>
    <w:rsid w:val="00B2661D"/>
    <w:rsid w:val="00B26C68"/>
    <w:rsid w:val="00B27211"/>
    <w:rsid w:val="00B504A8"/>
    <w:rsid w:val="00B662C9"/>
    <w:rsid w:val="00B877E9"/>
    <w:rsid w:val="00BA22D5"/>
    <w:rsid w:val="00BA4E48"/>
    <w:rsid w:val="00BC086E"/>
    <w:rsid w:val="00BC1730"/>
    <w:rsid w:val="00BC2CE8"/>
    <w:rsid w:val="00BC42B4"/>
    <w:rsid w:val="00BE1B52"/>
    <w:rsid w:val="00BE1E1B"/>
    <w:rsid w:val="00BF072C"/>
    <w:rsid w:val="00BF3D48"/>
    <w:rsid w:val="00C01E12"/>
    <w:rsid w:val="00C24162"/>
    <w:rsid w:val="00C30A30"/>
    <w:rsid w:val="00C33BB9"/>
    <w:rsid w:val="00C34224"/>
    <w:rsid w:val="00C36543"/>
    <w:rsid w:val="00C373CB"/>
    <w:rsid w:val="00C5236A"/>
    <w:rsid w:val="00C534BB"/>
    <w:rsid w:val="00C5475D"/>
    <w:rsid w:val="00C55B72"/>
    <w:rsid w:val="00C65DCD"/>
    <w:rsid w:val="00C82C97"/>
    <w:rsid w:val="00C864A7"/>
    <w:rsid w:val="00CB124B"/>
    <w:rsid w:val="00CD361E"/>
    <w:rsid w:val="00CD3D77"/>
    <w:rsid w:val="00CD5620"/>
    <w:rsid w:val="00CE2D68"/>
    <w:rsid w:val="00CF717F"/>
    <w:rsid w:val="00D02118"/>
    <w:rsid w:val="00D064DF"/>
    <w:rsid w:val="00D121D1"/>
    <w:rsid w:val="00D178E7"/>
    <w:rsid w:val="00D213C9"/>
    <w:rsid w:val="00D22AAC"/>
    <w:rsid w:val="00D24D51"/>
    <w:rsid w:val="00D5364D"/>
    <w:rsid w:val="00D54F91"/>
    <w:rsid w:val="00D56B4E"/>
    <w:rsid w:val="00D57088"/>
    <w:rsid w:val="00D57E7D"/>
    <w:rsid w:val="00D6148F"/>
    <w:rsid w:val="00D66522"/>
    <w:rsid w:val="00D67C87"/>
    <w:rsid w:val="00D74AF2"/>
    <w:rsid w:val="00D76C9C"/>
    <w:rsid w:val="00D85BB2"/>
    <w:rsid w:val="00D957CA"/>
    <w:rsid w:val="00D95CA7"/>
    <w:rsid w:val="00DA5C12"/>
    <w:rsid w:val="00DA7A6D"/>
    <w:rsid w:val="00DA7C7D"/>
    <w:rsid w:val="00DC5CE2"/>
    <w:rsid w:val="00DD3DCA"/>
    <w:rsid w:val="00DF2256"/>
    <w:rsid w:val="00DF6B2D"/>
    <w:rsid w:val="00E00D99"/>
    <w:rsid w:val="00E01624"/>
    <w:rsid w:val="00E061BA"/>
    <w:rsid w:val="00E1722B"/>
    <w:rsid w:val="00E4292C"/>
    <w:rsid w:val="00E55C44"/>
    <w:rsid w:val="00E65DC7"/>
    <w:rsid w:val="00E73799"/>
    <w:rsid w:val="00E8419B"/>
    <w:rsid w:val="00EA126C"/>
    <w:rsid w:val="00EC3391"/>
    <w:rsid w:val="00EC39FA"/>
    <w:rsid w:val="00ED26D0"/>
    <w:rsid w:val="00EE127C"/>
    <w:rsid w:val="00EE2228"/>
    <w:rsid w:val="00EE3CA6"/>
    <w:rsid w:val="00EF40E7"/>
    <w:rsid w:val="00F0080C"/>
    <w:rsid w:val="00F01B08"/>
    <w:rsid w:val="00F06383"/>
    <w:rsid w:val="00F153FA"/>
    <w:rsid w:val="00F17CD2"/>
    <w:rsid w:val="00F2075D"/>
    <w:rsid w:val="00F349B9"/>
    <w:rsid w:val="00F47E34"/>
    <w:rsid w:val="00F63027"/>
    <w:rsid w:val="00F64A4C"/>
    <w:rsid w:val="00F7178D"/>
    <w:rsid w:val="00F81D86"/>
    <w:rsid w:val="00F92D1D"/>
    <w:rsid w:val="00F93FA3"/>
    <w:rsid w:val="00FA628D"/>
    <w:rsid w:val="00FB28D3"/>
    <w:rsid w:val="00FC3507"/>
    <w:rsid w:val="00FE068A"/>
    <w:rsid w:val="00FE20BC"/>
    <w:rsid w:val="00FE2584"/>
    <w:rsid w:val="00FE44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245EC56A"/>
  <w15:docId w15:val="{7BD9A741-C936-4751-A80E-87D34704A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kern w:val="3"/>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Calibri Light" w:eastAsia="Times New Roman" w:hAnsi="Calibri Light"/>
      <w:color w:val="2F5496"/>
      <w:sz w:val="40"/>
      <w:szCs w:val="40"/>
    </w:rPr>
  </w:style>
  <w:style w:type="paragraph" w:styleId="Heading2">
    <w:name w:val="heading 2"/>
    <w:basedOn w:val="Normal"/>
    <w:next w:val="Normal"/>
    <w:uiPriority w:val="9"/>
    <w:unhideWhenUsed/>
    <w:qFormat/>
    <w:pPr>
      <w:keepNext/>
      <w:keepLines/>
      <w:spacing w:before="160" w:after="80"/>
      <w:outlineLvl w:val="1"/>
    </w:pPr>
    <w:rPr>
      <w:rFonts w:ascii="Calibri Light" w:eastAsia="Times New Roman" w:hAnsi="Calibri Light"/>
      <w:color w:val="2F5496"/>
      <w:sz w:val="32"/>
      <w:szCs w:val="32"/>
    </w:rPr>
  </w:style>
  <w:style w:type="paragraph" w:styleId="Heading3">
    <w:name w:val="heading 3"/>
    <w:basedOn w:val="Normal"/>
    <w:next w:val="Normal"/>
    <w:uiPriority w:val="9"/>
    <w:unhideWhenUsed/>
    <w:qFormat/>
    <w:pPr>
      <w:keepNext/>
      <w:keepLines/>
      <w:spacing w:before="160" w:after="80"/>
      <w:outlineLvl w:val="2"/>
    </w:pPr>
    <w:rPr>
      <w:rFonts w:eastAsia="Times New Roman"/>
      <w:color w:val="2F5496"/>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2F5496"/>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2F5496"/>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libri Light" w:eastAsia="Times New Roman" w:hAnsi="Calibri Light" w:cs="Times New Roman"/>
      <w:color w:val="2F5496"/>
      <w:sz w:val="40"/>
      <w:szCs w:val="40"/>
    </w:rPr>
  </w:style>
  <w:style w:type="character" w:customStyle="1" w:styleId="Heading2Char">
    <w:name w:val="Heading 2 Char"/>
    <w:basedOn w:val="DefaultParagraphFont"/>
    <w:rPr>
      <w:rFonts w:ascii="Calibri Light" w:eastAsia="Times New Roman" w:hAnsi="Calibri Light" w:cs="Times New Roman"/>
      <w:color w:val="2F5496"/>
      <w:sz w:val="32"/>
      <w:szCs w:val="32"/>
    </w:rPr>
  </w:style>
  <w:style w:type="character" w:customStyle="1" w:styleId="Heading3Char">
    <w:name w:val="Heading 3 Char"/>
    <w:basedOn w:val="DefaultParagraphFont"/>
    <w:rPr>
      <w:rFonts w:eastAsia="Times New Roman" w:cs="Times New Roman"/>
      <w:color w:val="2F5496"/>
      <w:sz w:val="28"/>
      <w:szCs w:val="28"/>
    </w:rPr>
  </w:style>
  <w:style w:type="character" w:customStyle="1" w:styleId="Heading4Char">
    <w:name w:val="Heading 4 Char"/>
    <w:basedOn w:val="DefaultParagraphFont"/>
    <w:rPr>
      <w:rFonts w:eastAsia="Times New Roman" w:cs="Times New Roman"/>
      <w:i/>
      <w:iCs/>
      <w:color w:val="2F5496"/>
    </w:rPr>
  </w:style>
  <w:style w:type="character" w:customStyle="1" w:styleId="Heading5Char">
    <w:name w:val="Heading 5 Char"/>
    <w:basedOn w:val="DefaultParagraphFont"/>
    <w:rPr>
      <w:rFonts w:eastAsia="Times New Roman" w:cs="Times New Roman"/>
      <w:color w:val="2F5496"/>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Calibri Light" w:eastAsia="Times New Roman" w:hAnsi="Calibri Light"/>
      <w:spacing w:val="-10"/>
      <w:sz w:val="56"/>
      <w:szCs w:val="56"/>
    </w:rPr>
  </w:style>
  <w:style w:type="character" w:customStyle="1" w:styleId="TitleChar">
    <w:name w:val="Title Char"/>
    <w:basedOn w:val="DefaultParagraphFont"/>
    <w:rPr>
      <w:rFonts w:ascii="Calibri Light" w:eastAsia="Times New Roman" w:hAnsi="Calibri Light"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2F5496"/>
    </w:rPr>
  </w:style>
  <w:style w:type="paragraph" w:styleId="IntenseQuote">
    <w:name w:val="Intense Quote"/>
    <w:basedOn w:val="Normal"/>
    <w:next w:val="Normal"/>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basedOn w:val="DefaultParagraphFont"/>
    <w:rPr>
      <w:i/>
      <w:iCs/>
      <w:color w:val="2F5496"/>
    </w:rPr>
  </w:style>
  <w:style w:type="character" w:styleId="IntenseReference">
    <w:name w:val="Intense Reference"/>
    <w:basedOn w:val="DefaultParagraphFont"/>
    <w:rPr>
      <w:b/>
      <w:bCs/>
      <w:smallCaps/>
      <w:color w:val="2F5496"/>
      <w:spacing w:val="5"/>
    </w:rPr>
  </w:style>
  <w:style w:type="paragraph" w:styleId="NormalWeb">
    <w:name w:val="Normal (Web)"/>
    <w:basedOn w:val="Normal"/>
    <w:pPr>
      <w:spacing w:before="100" w:after="100" w:line="240" w:lineRule="auto"/>
    </w:pPr>
    <w:rPr>
      <w:rFonts w:ascii="Times New Roman" w:eastAsia="Times New Roman" w:hAnsi="Times New Roman"/>
      <w:kern w:val="0"/>
      <w:sz w:val="24"/>
      <w:szCs w:val="24"/>
      <w:lang w:eastAsia="en-GB"/>
    </w:rPr>
  </w:style>
  <w:style w:type="character" w:styleId="Emphasis">
    <w:name w:val="Emphasis"/>
    <w:basedOn w:val="DefaultParagraphFont"/>
    <w:rPr>
      <w:i/>
      <w:iCs/>
    </w:rPr>
  </w:style>
  <w:style w:type="character" w:styleId="Hyperlink">
    <w:name w:val="Hyperlink"/>
    <w:basedOn w:val="DefaultParagraphFont"/>
    <w:uiPriority w:val="99"/>
    <w:rPr>
      <w:color w:val="0563C1"/>
      <w:u w:val="single"/>
    </w:rPr>
  </w:style>
  <w:style w:type="character" w:styleId="UnresolvedMention">
    <w:name w:val="Unresolved Mention"/>
    <w:basedOn w:val="DefaultParagraphFont"/>
    <w:rPr>
      <w:color w:val="605E5C"/>
      <w:shd w:val="clear" w:color="auto" w:fill="E1DFDD"/>
    </w:rPr>
  </w:style>
  <w:style w:type="paragraph" w:styleId="TOCHeading">
    <w:name w:val="TOC Heading"/>
    <w:basedOn w:val="Heading1"/>
    <w:next w:val="Normal"/>
    <w:uiPriority w:val="39"/>
    <w:unhideWhenUsed/>
    <w:qFormat/>
    <w:rsid w:val="005830DC"/>
    <w:pPr>
      <w:suppressAutoHyphens w:val="0"/>
      <w:autoSpaceDN/>
      <w:spacing w:before="240" w:after="0" w:line="259" w:lineRule="auto"/>
      <w:outlineLvl w:val="9"/>
    </w:pPr>
    <w:rPr>
      <w:rFonts w:asciiTheme="majorHAnsi" w:eastAsiaTheme="majorEastAsia" w:hAnsiTheme="majorHAnsi" w:cstheme="majorBidi"/>
      <w:color w:val="0F4761" w:themeColor="accent1" w:themeShade="BF"/>
      <w:kern w:val="0"/>
      <w:sz w:val="32"/>
      <w:szCs w:val="32"/>
      <w:lang w:eastAsia="en-GB"/>
    </w:rPr>
  </w:style>
  <w:style w:type="paragraph" w:styleId="TOC1">
    <w:name w:val="toc 1"/>
    <w:basedOn w:val="Normal"/>
    <w:next w:val="Normal"/>
    <w:autoRedefine/>
    <w:uiPriority w:val="39"/>
    <w:unhideWhenUsed/>
    <w:rsid w:val="005830DC"/>
    <w:pPr>
      <w:spacing w:after="100"/>
    </w:pPr>
  </w:style>
  <w:style w:type="paragraph" w:styleId="TOC2">
    <w:name w:val="toc 2"/>
    <w:basedOn w:val="Normal"/>
    <w:next w:val="Normal"/>
    <w:autoRedefine/>
    <w:uiPriority w:val="39"/>
    <w:unhideWhenUsed/>
    <w:rsid w:val="00E73799"/>
    <w:pPr>
      <w:spacing w:after="100"/>
      <w:ind w:left="220"/>
    </w:pPr>
  </w:style>
  <w:style w:type="paragraph" w:styleId="TOC3">
    <w:name w:val="toc 3"/>
    <w:basedOn w:val="Normal"/>
    <w:next w:val="Normal"/>
    <w:autoRedefine/>
    <w:uiPriority w:val="39"/>
    <w:unhideWhenUsed/>
    <w:rsid w:val="00E73799"/>
    <w:pPr>
      <w:spacing w:after="100"/>
      <w:ind w:left="440"/>
    </w:pPr>
  </w:style>
  <w:style w:type="paragraph" w:styleId="Header">
    <w:name w:val="header"/>
    <w:basedOn w:val="Normal"/>
    <w:link w:val="HeaderChar"/>
    <w:uiPriority w:val="99"/>
    <w:unhideWhenUsed/>
    <w:rsid w:val="00662B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2BD8"/>
  </w:style>
  <w:style w:type="paragraph" w:styleId="Footer">
    <w:name w:val="footer"/>
    <w:basedOn w:val="Normal"/>
    <w:link w:val="FooterChar"/>
    <w:uiPriority w:val="99"/>
    <w:unhideWhenUsed/>
    <w:rsid w:val="00662B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2BD8"/>
  </w:style>
  <w:style w:type="character" w:styleId="FollowedHyperlink">
    <w:name w:val="FollowedHyperlink"/>
    <w:basedOn w:val="DefaultParagraphFont"/>
    <w:uiPriority w:val="99"/>
    <w:semiHidden/>
    <w:unhideWhenUsed/>
    <w:rsid w:val="00DA7C7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1109/ACCESS.2020.3025971" TargetMode="External"/><Relationship Id="rId18" Type="http://schemas.openxmlformats.org/officeDocument/2006/relationships/hyperlink" Target="https://www.canada.ca/en/public-health/corporate/transparency/corporate-management-reporting/evaluation/covid-19-response-lessons-learned-summary.html?utm_source=chatgpt.com" TargetMode="External"/><Relationship Id="rId26" Type="http://schemas.openxmlformats.org/officeDocument/2006/relationships/hyperlink" Target="https://pmc.ncbi.nlm.nih.gov/articles/PMC8562985/" TargetMode="External"/><Relationship Id="rId39" Type="http://schemas.openxmlformats.org/officeDocument/2006/relationships/hyperlink" Target="https://doi.org/10.1016/j.trip.2020.100111" TargetMode="External"/><Relationship Id="rId21" Type="http://schemas.openxmlformats.org/officeDocument/2006/relationships/hyperlink" Target="https://doi.org/10.23750/abm.v91i1.9397" TargetMode="External"/><Relationship Id="rId34" Type="http://schemas.openxmlformats.org/officeDocument/2006/relationships/hyperlink" Target="https://doi.org/10.1371/journal.pone.0279929" TargetMode="External"/><Relationship Id="rId42" Type="http://schemas.openxmlformats.org/officeDocument/2006/relationships/hyperlink" Target="https://doi.org/10.12927/hcq.2020.26280" TargetMode="External"/><Relationship Id="rId47" Type="http://schemas.openxmlformats.org/officeDocument/2006/relationships/hyperlink" Target="https://www.oecd.org/content/dam/oecd/en/publications/reports/2021/03/oecd-economic-surveys-canada-2021_58c0ddb7/16e4abc0-en.pdf" TargetMode="External"/><Relationship Id="rId50" Type="http://schemas.openxmlformats.org/officeDocument/2006/relationships/hyperlink" Target="https://www.canada.ca/en/public-health/services/reports-publications/canada-communicable-disease-report-ccdr/monthly-issue/2024-50/issue-10-october-2024/lessons-learned-from-covid-19.html" TargetMode="External"/><Relationship Id="rId55" Type="http://schemas.openxmlformats.org/officeDocument/2006/relationships/hyperlink" Target="https://doi.org/10.15171/ijhpm.2015.198" TargetMode="External"/><Relationship Id="rId63"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doi.org/10.1136/bmj-2023-075665" TargetMode="External"/><Relationship Id="rId29" Type="http://schemas.openxmlformats.org/officeDocument/2006/relationships/hyperlink" Target="https://doi.org/10.1016/S0140-6736(18)30177-6" TargetMode="External"/><Relationship Id="rId11" Type="http://schemas.openxmlformats.org/officeDocument/2006/relationships/image" Target="media/image1.png"/><Relationship Id="rId24" Type="http://schemas.openxmlformats.org/officeDocument/2006/relationships/hyperlink" Target="https://pmc.ncbi.nlm.nih.gov/articles/PMC7812423/" TargetMode="External"/><Relationship Id="rId32" Type="http://schemas.openxmlformats.org/officeDocument/2006/relationships/hyperlink" Target="https://www.proquest.com/docview/2363792493?sourcetype=Scholarly%20Journals" TargetMode="External"/><Relationship Id="rId37" Type="http://schemas.openxmlformats.org/officeDocument/2006/relationships/hyperlink" Target="https://doi.org/10.1002/pad.1986" TargetMode="External"/><Relationship Id="rId40" Type="http://schemas.openxmlformats.org/officeDocument/2006/relationships/hyperlink" Target="https://doi.org/10.2196/26784" TargetMode="External"/><Relationship Id="rId45" Type="http://schemas.openxmlformats.org/officeDocument/2006/relationships/hyperlink" Target="https://www.oecd.org/content/dam/oecd/en/publications/reports/2021/02/federalism-and-public-health-decentralisation-in-the-time-of-covid-19_57f95729/b78ec8bb-en.pdf" TargetMode="External"/><Relationship Id="rId53" Type="http://schemas.openxmlformats.org/officeDocument/2006/relationships/hyperlink" Target="https://www.cbc.ca/news/canada/prince-edward-island/pei-atlantic-bubble-covid19-1.5625133" TargetMode="External"/><Relationship Id="rId58" Type="http://schemas.openxmlformats.org/officeDocument/2006/relationships/hyperlink" Target="https://doi.org/10.1503/cmaj.201197" TargetMode="External"/><Relationship Id="rId5" Type="http://schemas.openxmlformats.org/officeDocument/2006/relationships/numbering" Target="numbering.xml"/><Relationship Id="rId61" Type="http://schemas.openxmlformats.org/officeDocument/2006/relationships/hyperlink" Target="https://doi.org/10.1177/0275074020943708" TargetMode="External"/><Relationship Id="rId19" Type="http://schemas.openxmlformats.org/officeDocument/2006/relationships/hyperlink" Target="https://doi.org/10.1136/bmjopen-2020-047832" TargetMode="External"/><Relationship Id="rId14" Type="http://schemas.openxmlformats.org/officeDocument/2006/relationships/hyperlink" Target="https://pmc.ncbi.nlm.nih.gov/articles/PMC8326669/?utm_source=chatgpt.com" TargetMode="External"/><Relationship Id="rId22" Type="http://schemas.openxmlformats.org/officeDocument/2006/relationships/hyperlink" Target="https://fra.europa.eu/sites/default/files/fra_uploads/es_report_on_coronavirus_pandemic-_may_2020.pdf?utm_source=chatgpt.com" TargetMode="External"/><Relationship Id="rId27" Type="http://schemas.openxmlformats.org/officeDocument/2006/relationships/hyperlink" Target="https://pmc.ncbi.nlm.nih.gov/articles/PMC7954540/" TargetMode="External"/><Relationship Id="rId30" Type="http://schemas.openxmlformats.org/officeDocument/2006/relationships/hyperlink" Target="https://doi.org/10.1016/j.idm.2020.08.010" TargetMode="External"/><Relationship Id="rId35" Type="http://schemas.openxmlformats.org/officeDocument/2006/relationships/hyperlink" Target="https://doi.org/10.1136/bmjgh-2020-002714" TargetMode="External"/><Relationship Id="rId43" Type="http://schemas.openxmlformats.org/officeDocument/2006/relationships/hyperlink" Target="https://www.sanidad.gob.es/areas/alertasEmergenciasSanitarias/alertasActuales/nCov/vacunaCovid19.htm" TargetMode="External"/><Relationship Id="rId48" Type="http://schemas.openxmlformats.org/officeDocument/2006/relationships/hyperlink" Target="https://www.scirp.org/%28S%28czeh2tfqyw2orz553k1w0r45%29%29/reference/referencespapers?referenceid=3319417" TargetMode="External"/><Relationship Id="rId56" Type="http://schemas.openxmlformats.org/officeDocument/2006/relationships/hyperlink" Target="https://doi.org/10.1016/j.ijid.2020.03.031" TargetMode="External"/><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doi.org/10.1503/cmaj.200852" TargetMode="External"/><Relationship Id="rId3" Type="http://schemas.openxmlformats.org/officeDocument/2006/relationships/customXml" Target="../customXml/item3.xml"/><Relationship Id="rId12" Type="http://schemas.openxmlformats.org/officeDocument/2006/relationships/hyperlink" Target="https://www.ricsrecruit.com/jobs/" TargetMode="External"/><Relationship Id="rId17" Type="http://schemas.openxmlformats.org/officeDocument/2006/relationships/hyperlink" Target="https://www.canada.ca/en/public-health/corporate/transparency/corporate-management-reporting/departmental-performance-reports/2020-2021.html" TargetMode="External"/><Relationship Id="rId25" Type="http://schemas.openxmlformats.org/officeDocument/2006/relationships/hyperlink" Target="https://doi.org/10.2807/1560-7917.es.2020.25.50.2001431" TargetMode="External"/><Relationship Id="rId33" Type="http://schemas.openxmlformats.org/officeDocument/2006/relationships/hyperlink" Target="https://www.imf.org/en/-/media/files/publications/cr/2022/english/1espea2022001.pdf" TargetMode="External"/><Relationship Id="rId38" Type="http://schemas.openxmlformats.org/officeDocument/2006/relationships/hyperlink" Target="https://www.lamoncloa.gob.es/lang/en/presidente/intervenciones/Paginas/2020/20201229complying-speech.aspx" TargetMode="External"/><Relationship Id="rId46" Type="http://schemas.openxmlformats.org/officeDocument/2006/relationships/hyperlink" Target="https://www.oecd.org/en/publications/2021/12/spain-country-health-profile-2021_c14493b2.html?utm_source=chatgpt.com" TargetMode="External"/><Relationship Id="rId59" Type="http://schemas.openxmlformats.org/officeDocument/2006/relationships/hyperlink" Target="https://doi.org/10.1016/j.healthpol.2021.06.012" TargetMode="External"/><Relationship Id="rId20" Type="http://schemas.openxmlformats.org/officeDocument/2006/relationships/hyperlink" Target="https://www.cpha.ca/strengthening-public-health" TargetMode="External"/><Relationship Id="rId41" Type="http://schemas.openxmlformats.org/officeDocument/2006/relationships/hyperlink" Target="https://doi.org/10.24171/j.phrp.2025.0132" TargetMode="External"/><Relationship Id="rId54" Type="http://schemas.openxmlformats.org/officeDocument/2006/relationships/hyperlink" Target="https://doi.org/10.1108/ijpcc-07-2020-0081"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chlnet.ca/wp-content/uploads/CHLNetBench2-1-3-25.pdf" TargetMode="External"/><Relationship Id="rId23" Type="http://schemas.openxmlformats.org/officeDocument/2006/relationships/hyperlink" Target="https://www.ecdc.europa.eu/sites/default/files/documents/covid-19-risk-assessment-increased-transmission-12th-update-september-2020.pdf" TargetMode="External"/><Relationship Id="rId28" Type="http://schemas.openxmlformats.org/officeDocument/2006/relationships/hyperlink" Target="https://pmc.ncbi.nlm.nih.gov/articles/PMC7505572/" TargetMode="External"/><Relationship Id="rId36" Type="http://schemas.openxmlformats.org/officeDocument/2006/relationships/hyperlink" Target="https://doi.org/10.3343/alm.2021.41.6.532" TargetMode="External"/><Relationship Id="rId49" Type="http://schemas.openxmlformats.org/officeDocument/2006/relationships/hyperlink" Target="https://doi.org/10.3390/ijerph182412907" TargetMode="External"/><Relationship Id="rId57" Type="http://schemas.openxmlformats.org/officeDocument/2006/relationships/hyperlink" Target="https://doi.org/10.1016/j.healthpol.2022.11.011" TargetMode="External"/><Relationship Id="rId10" Type="http://schemas.openxmlformats.org/officeDocument/2006/relationships/endnotes" Target="endnotes.xml"/><Relationship Id="rId31" Type="http://schemas.openxmlformats.org/officeDocument/2006/relationships/hyperlink" Target="https://eastsidepathways.org/wp-content/uploads/2021/07/Practice-of-Adaptive-Leadership.Heifetz-et-al.EBS_.pdf" TargetMode="External"/><Relationship Id="rId44" Type="http://schemas.openxmlformats.org/officeDocument/2006/relationships/hyperlink" Target="https://www.oecd.org/content/dam/oecd/en/publications/reports/2021/11/covid-19-and-well-being_298c2553/1e1ecb53-en.pdf" TargetMode="External"/><Relationship Id="rId52" Type="http://schemas.openxmlformats.org/officeDocument/2006/relationships/hyperlink" Target="https://doi.org/10.3390/ijerph19073824" TargetMode="External"/><Relationship Id="rId60" Type="http://schemas.openxmlformats.org/officeDocument/2006/relationships/hyperlink" Target="https://www.canada.ca/en/public-health/services/reports-publications/canada-communicable-disease-report-ccdr/monthly-issue/2021-47/issue-7-8-july-august-2021/covid-19-variants.html" TargetMode="Externa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4" ma:contentTypeDescription="Create a new document." ma:contentTypeScope="" ma:versionID="e9190a29fc3e4205f0aef4c73eac395d">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713f050323dea7ebb4b2d1a899ba37a3"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C98337-52DC-4F0B-BABD-291506118C41}">
  <ds:schemaRefs>
    <ds:schemaRef ds:uri="http://schemas.microsoft.com/office/2006/metadata/properties"/>
    <ds:schemaRef ds:uri="http://schemas.microsoft.com/office/infopath/2007/PartnerControls"/>
    <ds:schemaRef ds:uri="da3f2772-8f1e-4acb-bd98-3a0ee892f48a"/>
  </ds:schemaRefs>
</ds:datastoreItem>
</file>

<file path=customXml/itemProps2.xml><?xml version="1.0" encoding="utf-8"?>
<ds:datastoreItem xmlns:ds="http://schemas.openxmlformats.org/officeDocument/2006/customXml" ds:itemID="{C5FCF65B-C4D7-450D-8751-B49BAFCF44EF}">
  <ds:schemaRefs>
    <ds:schemaRef ds:uri="http://schemas.microsoft.com/sharepoint/v3/contenttype/forms"/>
  </ds:schemaRefs>
</ds:datastoreItem>
</file>

<file path=customXml/itemProps3.xml><?xml version="1.0" encoding="utf-8"?>
<ds:datastoreItem xmlns:ds="http://schemas.openxmlformats.org/officeDocument/2006/customXml" ds:itemID="{21F8B424-9639-4C73-84F0-5DDCF6290E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9B307B1-A31F-4887-AC63-0AA6B87722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9558</TotalTime>
  <Pages>26</Pages>
  <Words>9091</Words>
  <Characters>51821</Characters>
  <Application>Microsoft Office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Draghici (2214911)</dc:creator>
  <dc:description/>
  <cp:lastModifiedBy>Elena Draghici (2214911)</cp:lastModifiedBy>
  <cp:revision>299</cp:revision>
  <dcterms:created xsi:type="dcterms:W3CDTF">2025-10-23T09:13:00Z</dcterms:created>
  <dcterms:modified xsi:type="dcterms:W3CDTF">2025-12-09T22:44:00Z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f2a8465b-640f-4eed-bac0-0988f285d372</vt:lpwstr>
  </property>
  <property fmtid="{D5CDD505-2E9C-101B-9397-08002B2CF9AE}" pid="3" name="ContentTypeId">
    <vt:lpwstr>0x01010060EEA2F366178047808FA03462A57F61</vt:lpwstr>
  </property>
</Properties>
</file>