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Pr="00C301C7" w:rsidRDefault="009334D8" w:rsidP="00372089">
      <w:pPr>
        <w:spacing w:line="360" w:lineRule="auto"/>
      </w:pPr>
      <w:r w:rsidRPr="00C301C7">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C301C7" w:rsidRDefault="008375B5" w:rsidP="00372089">
      <w:pPr>
        <w:spacing w:line="360" w:lineRule="auto"/>
        <w:rPr>
          <w:rStyle w:val="Strong"/>
          <w:rFonts w:ascii="Segoe UI" w:hAnsi="Segoe UI" w:cs="Segoe UI"/>
          <w:b w:val="0"/>
          <w:bCs w:val="0"/>
          <w:color w:val="1D2125"/>
        </w:rPr>
      </w:pPr>
    </w:p>
    <w:p w14:paraId="3D4BDE11" w14:textId="77777777" w:rsidR="008375B5" w:rsidRPr="00C301C7" w:rsidRDefault="008375B5" w:rsidP="00372089">
      <w:pPr>
        <w:spacing w:line="360" w:lineRule="auto"/>
        <w:rPr>
          <w:rStyle w:val="Strong"/>
          <w:rFonts w:ascii="Arial" w:hAnsi="Arial" w:cs="Arial"/>
          <w:b w:val="0"/>
          <w:bCs w:val="0"/>
          <w:color w:val="1D2125"/>
          <w:sz w:val="36"/>
          <w:szCs w:val="36"/>
        </w:rPr>
      </w:pPr>
    </w:p>
    <w:p w14:paraId="22930AF8" w14:textId="77777777" w:rsidR="008375B5" w:rsidRPr="00C301C7" w:rsidRDefault="008375B5" w:rsidP="00372089">
      <w:pPr>
        <w:spacing w:line="360" w:lineRule="auto"/>
        <w:jc w:val="center"/>
        <w:rPr>
          <w:rStyle w:val="Strong"/>
          <w:rFonts w:ascii="Arial" w:hAnsi="Arial" w:cs="Arial"/>
          <w:b w:val="0"/>
          <w:bCs w:val="0"/>
          <w:color w:val="1D2125"/>
          <w:sz w:val="36"/>
          <w:szCs w:val="36"/>
        </w:rPr>
      </w:pPr>
    </w:p>
    <w:p w14:paraId="7E1888EF" w14:textId="77777777" w:rsidR="008375B5" w:rsidRPr="00C301C7" w:rsidRDefault="008375B5" w:rsidP="00372089">
      <w:pPr>
        <w:spacing w:line="360" w:lineRule="auto"/>
        <w:jc w:val="center"/>
        <w:rPr>
          <w:rStyle w:val="Strong"/>
          <w:rFonts w:ascii="Arial" w:hAnsi="Arial" w:cs="Arial"/>
          <w:b w:val="0"/>
          <w:bCs w:val="0"/>
          <w:color w:val="1D2125"/>
          <w:sz w:val="36"/>
          <w:szCs w:val="36"/>
        </w:rPr>
      </w:pPr>
      <w:r w:rsidRPr="00C301C7">
        <w:rPr>
          <w:rStyle w:val="Strong"/>
          <w:rFonts w:ascii="Arial" w:hAnsi="Arial" w:cs="Arial"/>
          <w:b w:val="0"/>
          <w:bCs w:val="0"/>
          <w:color w:val="1D2125"/>
          <w:sz w:val="36"/>
          <w:szCs w:val="36"/>
        </w:rPr>
        <w:t>Digital Transformation in the Health and Care Professions (BMHP6026)</w:t>
      </w:r>
    </w:p>
    <w:p w14:paraId="0E4A258C" w14:textId="77777777" w:rsidR="008375B5" w:rsidRPr="00C301C7" w:rsidRDefault="008375B5" w:rsidP="00372089">
      <w:pPr>
        <w:spacing w:line="360" w:lineRule="auto"/>
        <w:jc w:val="center"/>
        <w:rPr>
          <w:rStyle w:val="Strong"/>
          <w:rFonts w:ascii="Arial" w:hAnsi="Arial" w:cs="Arial"/>
          <w:b w:val="0"/>
          <w:bCs w:val="0"/>
          <w:color w:val="1D2125"/>
          <w:sz w:val="36"/>
          <w:szCs w:val="36"/>
        </w:rPr>
      </w:pPr>
    </w:p>
    <w:p w14:paraId="4D8F34EA" w14:textId="77777777" w:rsidR="008375B5" w:rsidRPr="00C301C7" w:rsidRDefault="008375B5" w:rsidP="00372089">
      <w:pPr>
        <w:spacing w:line="360" w:lineRule="auto"/>
        <w:jc w:val="center"/>
        <w:rPr>
          <w:rStyle w:val="Strong"/>
          <w:rFonts w:ascii="Arial" w:hAnsi="Arial" w:cs="Arial"/>
          <w:b w:val="0"/>
          <w:bCs w:val="0"/>
          <w:color w:val="1D2125"/>
          <w:sz w:val="36"/>
          <w:szCs w:val="36"/>
        </w:rPr>
      </w:pPr>
    </w:p>
    <w:p w14:paraId="09EDD2AC" w14:textId="77777777" w:rsidR="008375B5" w:rsidRPr="00C301C7" w:rsidRDefault="008375B5" w:rsidP="00372089">
      <w:pPr>
        <w:spacing w:line="360" w:lineRule="auto"/>
        <w:rPr>
          <w:rStyle w:val="Strong"/>
          <w:rFonts w:ascii="Arial" w:hAnsi="Arial" w:cs="Arial"/>
          <w:b w:val="0"/>
          <w:bCs w:val="0"/>
          <w:color w:val="1D2125"/>
          <w:sz w:val="32"/>
          <w:szCs w:val="32"/>
        </w:rPr>
      </w:pPr>
      <w:r w:rsidRPr="00C301C7">
        <w:rPr>
          <w:rFonts w:ascii="Arial" w:hAnsi="Arial" w:cs="Arial"/>
          <w:color w:val="000000"/>
          <w:sz w:val="32"/>
          <w:szCs w:val="32"/>
        </w:rPr>
        <w:t>Component 1: Written Report</w:t>
      </w:r>
    </w:p>
    <w:p w14:paraId="03B7C5EA" w14:textId="77777777" w:rsidR="008375B5" w:rsidRPr="00C301C7" w:rsidRDefault="008375B5" w:rsidP="00372089">
      <w:pPr>
        <w:spacing w:line="360" w:lineRule="auto"/>
        <w:rPr>
          <w:rStyle w:val="Strong"/>
          <w:rFonts w:ascii="Arial" w:hAnsi="Arial" w:cs="Arial"/>
          <w:b w:val="0"/>
          <w:bCs w:val="0"/>
          <w:color w:val="1D2125"/>
          <w:sz w:val="32"/>
          <w:szCs w:val="32"/>
        </w:rPr>
      </w:pPr>
    </w:p>
    <w:p w14:paraId="3C3042AD" w14:textId="1BB6C0AC" w:rsidR="008375B5" w:rsidRPr="00C301C7" w:rsidRDefault="008375B5" w:rsidP="00372089">
      <w:pPr>
        <w:spacing w:line="360" w:lineRule="auto"/>
        <w:rPr>
          <w:rStyle w:val="Strong"/>
          <w:rFonts w:ascii="Arial" w:hAnsi="Arial" w:cs="Arial"/>
          <w:b w:val="0"/>
          <w:bCs w:val="0"/>
          <w:color w:val="1D2125"/>
          <w:sz w:val="32"/>
          <w:szCs w:val="32"/>
        </w:rPr>
      </w:pPr>
      <w:r w:rsidRPr="00C301C7">
        <w:rPr>
          <w:rStyle w:val="Strong"/>
          <w:rFonts w:ascii="Arial" w:hAnsi="Arial" w:cs="Arial"/>
          <w:b w:val="0"/>
          <w:bCs w:val="0"/>
          <w:color w:val="1D2125"/>
          <w:sz w:val="32"/>
          <w:szCs w:val="32"/>
        </w:rPr>
        <w:t>Student name:</w:t>
      </w:r>
      <w:r w:rsidR="00926BFB" w:rsidRPr="00C301C7">
        <w:rPr>
          <w:rStyle w:val="Strong"/>
          <w:rFonts w:ascii="Arial" w:hAnsi="Arial" w:cs="Arial"/>
          <w:b w:val="0"/>
          <w:bCs w:val="0"/>
          <w:color w:val="1D2125"/>
          <w:sz w:val="32"/>
          <w:szCs w:val="32"/>
        </w:rPr>
        <w:t xml:space="preserve"> Sara Panicocolo</w:t>
      </w:r>
    </w:p>
    <w:p w14:paraId="227AC82E" w14:textId="412782BC" w:rsidR="008375B5" w:rsidRPr="00C301C7" w:rsidRDefault="008375B5" w:rsidP="00372089">
      <w:pPr>
        <w:spacing w:line="360" w:lineRule="auto"/>
        <w:rPr>
          <w:rStyle w:val="Strong"/>
          <w:rFonts w:ascii="Arial" w:hAnsi="Arial" w:cs="Arial"/>
          <w:b w:val="0"/>
          <w:bCs w:val="0"/>
          <w:color w:val="1D2125"/>
          <w:sz w:val="32"/>
          <w:szCs w:val="32"/>
        </w:rPr>
      </w:pPr>
      <w:r w:rsidRPr="00C301C7">
        <w:rPr>
          <w:rStyle w:val="Strong"/>
          <w:rFonts w:ascii="Arial" w:hAnsi="Arial" w:cs="Arial"/>
          <w:b w:val="0"/>
          <w:bCs w:val="0"/>
          <w:color w:val="1D2125"/>
          <w:sz w:val="32"/>
          <w:szCs w:val="32"/>
        </w:rPr>
        <w:t>Student number:</w:t>
      </w:r>
      <w:r w:rsidR="00926BFB" w:rsidRPr="00C301C7">
        <w:rPr>
          <w:rStyle w:val="Strong"/>
          <w:rFonts w:ascii="Arial" w:hAnsi="Arial" w:cs="Arial"/>
          <w:b w:val="0"/>
          <w:bCs w:val="0"/>
          <w:color w:val="1D2125"/>
          <w:sz w:val="32"/>
          <w:szCs w:val="32"/>
        </w:rPr>
        <w:t xml:space="preserve"> 2322396</w:t>
      </w:r>
    </w:p>
    <w:p w14:paraId="5B5E64AD" w14:textId="2A963F05" w:rsidR="008375B5" w:rsidRPr="00C301C7" w:rsidRDefault="008375B5" w:rsidP="00372089">
      <w:pPr>
        <w:spacing w:line="360" w:lineRule="auto"/>
        <w:rPr>
          <w:rStyle w:val="Strong"/>
          <w:rFonts w:ascii="Arial" w:hAnsi="Arial" w:cs="Arial"/>
          <w:b w:val="0"/>
          <w:bCs w:val="0"/>
          <w:color w:val="1D2125"/>
          <w:sz w:val="32"/>
          <w:szCs w:val="32"/>
        </w:rPr>
      </w:pPr>
      <w:r w:rsidRPr="00C301C7">
        <w:rPr>
          <w:rStyle w:val="Strong"/>
          <w:rFonts w:ascii="Arial" w:hAnsi="Arial" w:cs="Arial"/>
          <w:b w:val="0"/>
          <w:bCs w:val="0"/>
          <w:color w:val="1D2125"/>
          <w:sz w:val="32"/>
          <w:szCs w:val="32"/>
        </w:rPr>
        <w:t>Lecturer’s name:</w:t>
      </w:r>
      <w:r w:rsidR="00926BFB" w:rsidRPr="00C301C7">
        <w:rPr>
          <w:rStyle w:val="Strong"/>
          <w:rFonts w:ascii="Arial" w:hAnsi="Arial" w:cs="Arial"/>
          <w:b w:val="0"/>
          <w:bCs w:val="0"/>
          <w:color w:val="1D2125"/>
          <w:sz w:val="32"/>
          <w:szCs w:val="32"/>
        </w:rPr>
        <w:t xml:space="preserve"> Layla Surani</w:t>
      </w:r>
    </w:p>
    <w:p w14:paraId="4F492421" w14:textId="77777777" w:rsidR="008375B5" w:rsidRPr="00C301C7" w:rsidRDefault="008375B5" w:rsidP="00372089">
      <w:pPr>
        <w:spacing w:line="360" w:lineRule="auto"/>
        <w:rPr>
          <w:sz w:val="36"/>
          <w:szCs w:val="36"/>
        </w:rPr>
      </w:pPr>
    </w:p>
    <w:p w14:paraId="43FBD350" w14:textId="77777777" w:rsidR="008375B5" w:rsidRPr="00C301C7" w:rsidRDefault="008375B5" w:rsidP="00372089">
      <w:pPr>
        <w:spacing w:line="360" w:lineRule="auto"/>
        <w:rPr>
          <w:rFonts w:ascii="Arial" w:hAnsi="Arial" w:cs="Arial"/>
          <w:sz w:val="36"/>
          <w:szCs w:val="36"/>
        </w:rPr>
      </w:pPr>
    </w:p>
    <w:p w14:paraId="2EE68F49" w14:textId="77777777" w:rsidR="008375B5" w:rsidRPr="00C301C7" w:rsidRDefault="008375B5" w:rsidP="00372089">
      <w:pPr>
        <w:spacing w:line="360" w:lineRule="auto"/>
        <w:rPr>
          <w:rFonts w:ascii="Arial" w:hAnsi="Arial" w:cs="Arial"/>
          <w:sz w:val="36"/>
          <w:szCs w:val="36"/>
        </w:rPr>
      </w:pPr>
    </w:p>
    <w:p w14:paraId="5E13BA96" w14:textId="77777777" w:rsidR="008375B5" w:rsidRPr="00C301C7" w:rsidRDefault="008375B5" w:rsidP="00372089">
      <w:pPr>
        <w:spacing w:line="360" w:lineRule="auto"/>
        <w:rPr>
          <w:rFonts w:ascii="Arial" w:hAnsi="Arial" w:cs="Arial"/>
          <w:sz w:val="36"/>
          <w:szCs w:val="36"/>
        </w:rPr>
      </w:pPr>
    </w:p>
    <w:p w14:paraId="35E9E8E1" w14:textId="77777777" w:rsidR="008375B5" w:rsidRPr="00C301C7" w:rsidRDefault="008375B5" w:rsidP="00372089">
      <w:pPr>
        <w:pStyle w:val="NormalWeb"/>
        <w:spacing w:line="360" w:lineRule="auto"/>
        <w:rPr>
          <w:rFonts w:ascii="Arial" w:hAnsi="Arial" w:cs="Arial"/>
          <w:color w:val="000000"/>
          <w:sz w:val="28"/>
          <w:szCs w:val="28"/>
        </w:rPr>
      </w:pPr>
      <w:r w:rsidRPr="00C301C7">
        <w:rPr>
          <w:rFonts w:ascii="Arial" w:hAnsi="Arial" w:cs="Arial"/>
          <w:color w:val="000000"/>
          <w:sz w:val="28"/>
          <w:szCs w:val="28"/>
        </w:rPr>
        <w:lastRenderedPageBreak/>
        <w:t>Table of contents</w:t>
      </w:r>
    </w:p>
    <w:p w14:paraId="2B72DADD" w14:textId="5F25E219"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Introduction</w:t>
      </w:r>
    </w:p>
    <w:p w14:paraId="70432866" w14:textId="3A15E87B"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Impact on Workforce</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2.1 Changes in Job Roles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2.2 Skills and Competency Requirements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2.3 Staff Experience and Wellbeing</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2.4 Organisational and Workforce Culture</w:t>
      </w:r>
    </w:p>
    <w:p w14:paraId="5B71C245" w14:textId="0DC3C08B"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Impact on Service Delivery</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3.1 Changes to Daily Clinical Workflow</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3.2 Efficiency and Continuity of Care</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3.3 Communication and Information Sharing</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3.4 Access and Responsiveness of Services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3.5 Quality and Safety of Service Delivery</w:t>
      </w:r>
    </w:p>
    <w:p w14:paraId="3636BC97" w14:textId="20CC14EA"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Impact on Patients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4.1 Patient Experience and Quality of Care</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4.2 Patient Safety and Confidence in Care</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4.3 Empowerment and Involvement in Care</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4.4 Accessibility and Digital Inclusion</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4.5 Emotional and Psychological Impact</w:t>
      </w:r>
    </w:p>
    <w:p w14:paraId="6CEDB96E" w14:textId="3B8B56CA"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Impact on Community</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5.1 Patient and Service Location (Access Across Communities)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5.2 Impact on Families and Carers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5.3 Co-production and Patient Involvement in Services</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5.4 Public Health and Population-Level Impact</w:t>
      </w:r>
      <w:r w:rsidRPr="00C301C7">
        <w:rPr>
          <w:rFonts w:ascii="Arial" w:hAnsi="Arial" w:cs="Arial"/>
          <w:color w:val="000000"/>
        </w:rPr>
        <w:br/>
      </w:r>
      <w:r w:rsidRPr="00C301C7">
        <w:rPr>
          <w:rFonts w:ascii="Arial" w:hAnsi="Arial" w:cs="Arial"/>
          <w:color w:val="000000"/>
          <w:lang w:val="it-IT"/>
        </w:rPr>
        <w:t> </w:t>
      </w:r>
      <w:r w:rsidRPr="00C301C7">
        <w:rPr>
          <w:rFonts w:ascii="Arial" w:hAnsi="Arial" w:cs="Arial"/>
          <w:color w:val="000000"/>
        </w:rPr>
        <w:t>5.5 Digital Inclusion and Community Inequality</w:t>
      </w:r>
    </w:p>
    <w:p w14:paraId="76EFA339" w14:textId="738A79EC"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Conclusion</w:t>
      </w:r>
    </w:p>
    <w:p w14:paraId="6255C20F" w14:textId="51C43089" w:rsidR="00F229CB" w:rsidRPr="00C301C7" w:rsidRDefault="00F229CB" w:rsidP="00372089">
      <w:pPr>
        <w:pStyle w:val="NormalWeb"/>
        <w:numPr>
          <w:ilvl w:val="0"/>
          <w:numId w:val="49"/>
        </w:numPr>
        <w:spacing w:line="360" w:lineRule="auto"/>
        <w:rPr>
          <w:rFonts w:ascii="Arial" w:hAnsi="Arial" w:cs="Arial"/>
          <w:color w:val="000000"/>
        </w:rPr>
      </w:pPr>
      <w:r w:rsidRPr="00C301C7">
        <w:rPr>
          <w:rFonts w:ascii="Arial" w:hAnsi="Arial" w:cs="Arial"/>
          <w:color w:val="000000"/>
        </w:rPr>
        <w:t>References</w:t>
      </w:r>
    </w:p>
    <w:p w14:paraId="6997D827" w14:textId="77777777" w:rsidR="008375B5" w:rsidRPr="00C301C7" w:rsidRDefault="008375B5" w:rsidP="00372089">
      <w:pPr>
        <w:pStyle w:val="NormalWeb"/>
        <w:spacing w:line="360" w:lineRule="auto"/>
        <w:rPr>
          <w:rFonts w:ascii="Arial" w:hAnsi="Arial" w:cs="Arial"/>
          <w:color w:val="000000"/>
        </w:rPr>
      </w:pPr>
    </w:p>
    <w:p w14:paraId="014C36E6" w14:textId="77777777" w:rsidR="008375B5" w:rsidRPr="00C301C7" w:rsidRDefault="008375B5" w:rsidP="00372089">
      <w:pPr>
        <w:pStyle w:val="NormalWeb"/>
        <w:spacing w:line="360" w:lineRule="auto"/>
        <w:rPr>
          <w:rFonts w:ascii="Arial" w:hAnsi="Arial" w:cs="Arial"/>
          <w:color w:val="000000"/>
        </w:rPr>
      </w:pPr>
    </w:p>
    <w:p w14:paraId="63E2CA27" w14:textId="77777777" w:rsidR="008375B5" w:rsidRPr="00C301C7" w:rsidRDefault="008375B5" w:rsidP="00372089">
      <w:pPr>
        <w:pStyle w:val="NormalWeb"/>
        <w:spacing w:line="360" w:lineRule="auto"/>
        <w:rPr>
          <w:rFonts w:ascii="Arial" w:hAnsi="Arial" w:cs="Arial"/>
          <w:color w:val="000000"/>
        </w:rPr>
      </w:pPr>
    </w:p>
    <w:p w14:paraId="73DE395B" w14:textId="6830E9F7" w:rsidR="00C301C7" w:rsidRPr="00C301C7" w:rsidRDefault="00C301C7" w:rsidP="00372089">
      <w:pPr>
        <w:pStyle w:val="NormalWeb"/>
        <w:spacing w:line="360" w:lineRule="auto"/>
        <w:rPr>
          <w:rFonts w:ascii="Arial" w:hAnsi="Arial" w:cs="Arial"/>
          <w:b/>
          <w:bCs/>
          <w:color w:val="000000"/>
        </w:rPr>
      </w:pPr>
      <w:r w:rsidRPr="00C301C7">
        <w:rPr>
          <w:rFonts w:ascii="Arial" w:hAnsi="Arial" w:cs="Arial"/>
          <w:b/>
          <w:bCs/>
          <w:color w:val="000000"/>
        </w:rPr>
        <w:lastRenderedPageBreak/>
        <w:t>Introduction</w:t>
      </w:r>
    </w:p>
    <w:p w14:paraId="2F4B5D0F"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Digital transformation has become a key priority in modern healthcare systems, particularly within the United Kingdom’s National Health Service (NHS). One of the most significant developments is the implementation of Electronic Patient Records (EPR), which replace traditional paper-based documentation with integrated digital systems designed to store and manage patient information electronically. These systems aim to improve the accessibility, accuracy, and efficiency of clinical information, allowing healthcare professionals to access patient data quickly and support informed decision-making (Department of Health and Social Care, 2016; NHS England, 2025).</w:t>
      </w:r>
    </w:p>
    <w:p w14:paraId="793DCBCE"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EPR systems also support more integrated healthcare delivery by enabling professionals across different services to access shared patient information. This improved communication can enhance continuity of care, reduce duplication of diagnostic tests, and support more coordinated treatment planning (The King’s Fund, 2018). However, the transition to digital systems also presents challenges, including changes to clinical workflows, increased training requirements, and the need for new digital competencies among healthcare professionals (Health Education England, 2019).</w:t>
      </w:r>
    </w:p>
    <w:p w14:paraId="52C0A95A"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This report critically evaluates the implementation of Electronic Patient Records in NHS healthcare settings, examining their impact on the workforce, service delivery, patient experience, and the wider community.</w:t>
      </w:r>
    </w:p>
    <w:p w14:paraId="7C369BB6" w14:textId="3A984618" w:rsidR="00C301C7" w:rsidRPr="00C301C7" w:rsidRDefault="00C301C7" w:rsidP="00372089">
      <w:pPr>
        <w:pStyle w:val="NormalWeb"/>
        <w:spacing w:line="360" w:lineRule="auto"/>
        <w:rPr>
          <w:rFonts w:ascii="Arial" w:hAnsi="Arial" w:cs="Arial"/>
          <w:color w:val="000000"/>
        </w:rPr>
      </w:pPr>
    </w:p>
    <w:p w14:paraId="56008FDA" w14:textId="77777777" w:rsidR="00C301C7" w:rsidRPr="00C301C7" w:rsidRDefault="00C301C7" w:rsidP="00372089">
      <w:pPr>
        <w:pStyle w:val="NormalWeb"/>
        <w:spacing w:line="360" w:lineRule="auto"/>
        <w:rPr>
          <w:rFonts w:ascii="Arial" w:hAnsi="Arial" w:cs="Arial"/>
          <w:b/>
          <w:bCs/>
          <w:color w:val="000000"/>
        </w:rPr>
      </w:pPr>
      <w:r w:rsidRPr="00C301C7">
        <w:rPr>
          <w:rFonts w:ascii="Arial" w:hAnsi="Arial" w:cs="Arial"/>
          <w:b/>
          <w:bCs/>
          <w:color w:val="000000"/>
        </w:rPr>
        <w:t>Impact on Workforce</w:t>
      </w:r>
    </w:p>
    <w:p w14:paraId="6E9B7170"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Changes in Job Roles</w:t>
      </w:r>
    </w:p>
    <w:p w14:paraId="5C5BCE52"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 xml:space="preserve">The introduction of Electronic Patient Records has significantly transformed the roles and responsibilities of healthcare professionals. By enabling immediate access to patient information, EPR systems support faster clinical decision-making and improve the coordination of care among multidisciplinary teams. Healthcare </w:t>
      </w:r>
      <w:r w:rsidRPr="00C301C7">
        <w:rPr>
          <w:rFonts w:ascii="Arial" w:hAnsi="Arial" w:cs="Arial"/>
          <w:color w:val="000000"/>
        </w:rPr>
        <w:lastRenderedPageBreak/>
        <w:t>professionals can review medical histories, laboratory results, and treatment plans in real time, allowing them to collaborate more effectively and provide more informed patient care (NHS England, 2025).</w:t>
      </w:r>
    </w:p>
    <w:p w14:paraId="49070AB6" w14:textId="7B67F2FF"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 xml:space="preserve">In addition to improving information accessibility, digital transformation has also contributed to the development of new professional roles within healthcare organisations. Positions such as clinical informatics specialists, digital champions, and data quality officers have </w:t>
      </w:r>
      <w:r w:rsidR="009A170F" w:rsidRPr="00C301C7">
        <w:rPr>
          <w:rFonts w:ascii="Arial" w:hAnsi="Arial" w:cs="Arial"/>
          <w:color w:val="000000"/>
        </w:rPr>
        <w:t>appeared</w:t>
      </w:r>
      <w:r w:rsidRPr="00C301C7">
        <w:rPr>
          <w:rFonts w:ascii="Arial" w:hAnsi="Arial" w:cs="Arial"/>
          <w:color w:val="000000"/>
        </w:rPr>
        <w:t xml:space="preserve"> to support the implementation and maintenance of digital systems. These roles focus on ensuring that digital data is used</w:t>
      </w:r>
      <w:r w:rsidR="009A170F">
        <w:rPr>
          <w:rFonts w:ascii="Arial" w:hAnsi="Arial" w:cs="Arial"/>
          <w:color w:val="000000"/>
        </w:rPr>
        <w:t xml:space="preserve"> by healthcare professionals</w:t>
      </w:r>
      <w:r w:rsidRPr="00C301C7">
        <w:rPr>
          <w:rFonts w:ascii="Arial" w:hAnsi="Arial" w:cs="Arial"/>
          <w:color w:val="000000"/>
        </w:rPr>
        <w:t xml:space="preserve"> effectively and accurately within clinical practice, reflecting the growing importance of technology in healthcare environments (Health Education England, 2019).</w:t>
      </w:r>
    </w:p>
    <w:p w14:paraId="2E32C9AD" w14:textId="12934D3E"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 xml:space="preserve">However, the introduction of EPR systems has also raised concerns </w:t>
      </w:r>
      <w:r w:rsidR="009A170F" w:rsidRPr="00C301C7">
        <w:rPr>
          <w:rFonts w:ascii="Arial" w:hAnsi="Arial" w:cs="Arial"/>
          <w:color w:val="000000"/>
        </w:rPr>
        <w:t>about</w:t>
      </w:r>
      <w:r w:rsidRPr="00C301C7">
        <w:rPr>
          <w:rFonts w:ascii="Arial" w:hAnsi="Arial" w:cs="Arial"/>
          <w:color w:val="000000"/>
        </w:rPr>
        <w:t xml:space="preserve"> increased administrative workload for clinicians. </w:t>
      </w:r>
      <w:r w:rsidR="009A170F">
        <w:rPr>
          <w:rFonts w:ascii="Arial" w:hAnsi="Arial" w:cs="Arial"/>
          <w:color w:val="000000"/>
        </w:rPr>
        <w:t>A different number of</w:t>
      </w:r>
      <w:r w:rsidRPr="00C301C7">
        <w:rPr>
          <w:rFonts w:ascii="Arial" w:hAnsi="Arial" w:cs="Arial"/>
          <w:color w:val="000000"/>
        </w:rPr>
        <w:t xml:space="preserve"> healthcare professionals report spending considerable time entering data into digital systems, which may reduce opportunities for direct interaction with patients. While digital records are intended to streamline healthcare processes, evidence suggests that poorly designed systems can unintentionally increase documentation requirements for frontline staff (The King’s Fund, 2018). Consequently, the impact of EPR systems on job roles is complex, offering both improvements in information access and potential challenges related to workload distribution.</w:t>
      </w:r>
    </w:p>
    <w:p w14:paraId="6DE38DEC" w14:textId="77777777" w:rsidR="00372089" w:rsidRPr="003A084A" w:rsidRDefault="00372089" w:rsidP="00372089">
      <w:pPr>
        <w:pStyle w:val="NormalWeb"/>
        <w:spacing w:line="360" w:lineRule="auto"/>
        <w:rPr>
          <w:rFonts w:ascii="Arial" w:hAnsi="Arial" w:cs="Arial"/>
          <w:b/>
          <w:bCs/>
          <w:color w:val="000000"/>
        </w:rPr>
      </w:pPr>
      <w:r w:rsidRPr="003A084A">
        <w:rPr>
          <w:rFonts w:ascii="Arial" w:hAnsi="Arial" w:cs="Arial"/>
          <w:b/>
          <w:bCs/>
          <w:color w:val="000000"/>
        </w:rPr>
        <w:t>Skills and Competency Requirements</w:t>
      </w:r>
    </w:p>
    <w:p w14:paraId="4DC88E65" w14:textId="7777777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The shift toward digital healthcare systems has significantly increased the importance of digital literacy among healthcare professionals. Staff are now expected to develop competencies in electronic documentation, data security, and digital communication, which are essential for modern clinical practice as healthcare organisations adopt technology-driven approaches to patient care (Health Education England, 2019; Department of Health and Social Care, 2016).</w:t>
      </w:r>
    </w:p>
    <w:p w14:paraId="220B95AE" w14:textId="43B1624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To support this transition, </w:t>
      </w:r>
      <w:r w:rsidR="003A69A9">
        <w:rPr>
          <w:rFonts w:ascii="Arial" w:hAnsi="Arial" w:cs="Arial"/>
          <w:color w:val="000000"/>
        </w:rPr>
        <w:t>a big amount of</w:t>
      </w:r>
      <w:r w:rsidRPr="003A084A">
        <w:rPr>
          <w:rFonts w:ascii="Arial" w:hAnsi="Arial" w:cs="Arial"/>
          <w:color w:val="000000"/>
        </w:rPr>
        <w:t xml:space="preserve"> healthcare organisations </w:t>
      </w:r>
      <w:r w:rsidR="003A69A9" w:rsidRPr="003A084A">
        <w:rPr>
          <w:rFonts w:ascii="Arial" w:hAnsi="Arial" w:cs="Arial"/>
          <w:color w:val="000000"/>
        </w:rPr>
        <w:t>has</w:t>
      </w:r>
      <w:r w:rsidRPr="003A084A">
        <w:rPr>
          <w:rFonts w:ascii="Arial" w:hAnsi="Arial" w:cs="Arial"/>
          <w:color w:val="000000"/>
        </w:rPr>
        <w:t xml:space="preserve"> implemented structured training programmes designed to improve staff confidence and competence in using EPR systems. These programmes aim to ensure that digital </w:t>
      </w:r>
      <w:r w:rsidRPr="003A084A">
        <w:rPr>
          <w:rFonts w:ascii="Arial" w:hAnsi="Arial" w:cs="Arial"/>
          <w:color w:val="000000"/>
        </w:rPr>
        <w:lastRenderedPageBreak/>
        <w:t xml:space="preserve">tools are used effectively while </w:t>
      </w:r>
      <w:r w:rsidR="009A170F" w:rsidRPr="003A084A">
        <w:rPr>
          <w:rFonts w:ascii="Arial" w:hAnsi="Arial" w:cs="Arial"/>
          <w:color w:val="000000"/>
        </w:rPr>
        <w:t>supporting</w:t>
      </w:r>
      <w:r w:rsidRPr="003A084A">
        <w:rPr>
          <w:rFonts w:ascii="Arial" w:hAnsi="Arial" w:cs="Arial"/>
          <w:color w:val="000000"/>
        </w:rPr>
        <w:t xml:space="preserve"> high clinical standards, supporting evidence-based decision-making by enabling staff to analyse and interpret clinical data efficiently (Health Education England, 2019).</w:t>
      </w:r>
    </w:p>
    <w:p w14:paraId="3179F7A6" w14:textId="3E0EE1C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However, challenges </w:t>
      </w:r>
      <w:r w:rsidR="009A170F" w:rsidRPr="003A084A">
        <w:rPr>
          <w:rFonts w:ascii="Arial" w:hAnsi="Arial" w:cs="Arial"/>
          <w:color w:val="000000"/>
        </w:rPr>
        <w:t>are still</w:t>
      </w:r>
      <w:r w:rsidRPr="003A084A">
        <w:rPr>
          <w:rFonts w:ascii="Arial" w:hAnsi="Arial" w:cs="Arial"/>
          <w:color w:val="000000"/>
        </w:rPr>
        <w:t>. Healthcare professionals with limited experience using digital technologies may struggle to adapt during early implementation stages. Training programmes require organisational resources and time, which can temporarily reduce productivity. These challenges highlight the need for continuous professional development and ongoing organisational support to ensure successful digital transformation (Health Education England, 2019).</w:t>
      </w:r>
    </w:p>
    <w:p w14:paraId="2F1E6110" w14:textId="5F1A69E8" w:rsidR="00372089" w:rsidRPr="003A084A" w:rsidRDefault="00372089" w:rsidP="00372089">
      <w:pPr>
        <w:pStyle w:val="NormalWeb"/>
        <w:spacing w:line="360" w:lineRule="auto"/>
        <w:rPr>
          <w:rFonts w:ascii="Arial" w:hAnsi="Arial" w:cs="Arial"/>
          <w:color w:val="000000"/>
        </w:rPr>
      </w:pPr>
    </w:p>
    <w:p w14:paraId="3B7E80C6" w14:textId="77777777" w:rsidR="00372089" w:rsidRPr="003A084A" w:rsidRDefault="00372089" w:rsidP="00372089">
      <w:pPr>
        <w:pStyle w:val="NormalWeb"/>
        <w:spacing w:line="360" w:lineRule="auto"/>
        <w:rPr>
          <w:rFonts w:ascii="Arial" w:hAnsi="Arial" w:cs="Arial"/>
          <w:b/>
          <w:bCs/>
          <w:color w:val="000000"/>
        </w:rPr>
      </w:pPr>
      <w:r w:rsidRPr="003A084A">
        <w:rPr>
          <w:rFonts w:ascii="Arial" w:hAnsi="Arial" w:cs="Arial"/>
          <w:b/>
          <w:bCs/>
          <w:color w:val="000000"/>
        </w:rPr>
        <w:t>Staff Experience and Wellbeing</w:t>
      </w:r>
    </w:p>
    <w:p w14:paraId="7F1EFD39" w14:textId="2F7C593B"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EPR adoption has influenced staff wellbeing in </w:t>
      </w:r>
      <w:r w:rsidR="003A69A9">
        <w:rPr>
          <w:rFonts w:ascii="Arial" w:hAnsi="Arial" w:cs="Arial"/>
          <w:color w:val="000000"/>
        </w:rPr>
        <w:t>separate ways</w:t>
      </w:r>
      <w:r w:rsidRPr="003A084A">
        <w:rPr>
          <w:rFonts w:ascii="Arial" w:hAnsi="Arial" w:cs="Arial"/>
          <w:color w:val="000000"/>
        </w:rPr>
        <w:t>. Benefits include reduced duplication of administrative tasks and improved communication across departments, which can alleviate stress and support efficient workflows (NHS England, 2025).</w:t>
      </w:r>
    </w:p>
    <w:p w14:paraId="62E576FB" w14:textId="5137F7CD"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Conversely, reliance on digital systems introduces challenges. </w:t>
      </w:r>
      <w:r w:rsidR="003A69A9">
        <w:rPr>
          <w:rFonts w:ascii="Arial" w:hAnsi="Arial" w:cs="Arial"/>
          <w:color w:val="000000"/>
        </w:rPr>
        <w:t xml:space="preserve">Different cases of </w:t>
      </w:r>
      <w:r w:rsidRPr="003A084A">
        <w:rPr>
          <w:rFonts w:ascii="Arial" w:hAnsi="Arial" w:cs="Arial"/>
          <w:color w:val="000000"/>
        </w:rPr>
        <w:t>healthcare professionals report “digital fatigue,” a form of physical and mental exhaustion caused by prolonged interaction with electronic systems. Technical issues such as slow software performance or system outages can disrupt workflows, causing frustration and stress (The King’s Fund, 2018).</w:t>
      </w:r>
    </w:p>
    <w:p w14:paraId="18125E04" w14:textId="64803414" w:rsidR="00372089" w:rsidRPr="003A084A" w:rsidRDefault="00372089" w:rsidP="00372089">
      <w:pPr>
        <w:pStyle w:val="NormalWeb"/>
        <w:spacing w:line="360" w:lineRule="auto"/>
        <w:rPr>
          <w:rFonts w:ascii="Arial" w:hAnsi="Arial" w:cs="Arial"/>
          <w:color w:val="000000"/>
        </w:rPr>
      </w:pPr>
      <w:r w:rsidRPr="00372089">
        <w:rPr>
          <w:rFonts w:ascii="Arial" w:hAnsi="Arial" w:cs="Arial"/>
          <w:color w:val="000000"/>
        </w:rPr>
        <w:t xml:space="preserve">These findings emphasise that digital system implementation must consider staff wellbeing. </w:t>
      </w:r>
      <w:r w:rsidRPr="003A084A">
        <w:rPr>
          <w:rFonts w:ascii="Arial" w:hAnsi="Arial" w:cs="Arial"/>
          <w:color w:val="000000"/>
        </w:rPr>
        <w:t xml:space="preserve">Poorly designed or unsupported systems can negatively </w:t>
      </w:r>
      <w:r w:rsidR="009A170F" w:rsidRPr="003A084A">
        <w:rPr>
          <w:rFonts w:ascii="Arial" w:hAnsi="Arial" w:cs="Arial"/>
          <w:color w:val="000000"/>
        </w:rPr>
        <w:t>affect</w:t>
      </w:r>
      <w:r w:rsidRPr="003A084A">
        <w:rPr>
          <w:rFonts w:ascii="Arial" w:hAnsi="Arial" w:cs="Arial"/>
          <w:color w:val="000000"/>
        </w:rPr>
        <w:t xml:space="preserve"> morale and job satisfaction. Organisations should prioritise user-friendly interfaces, technical support, and continuous engagement to enhance the positive effects of digital transformation on staff experience (NHS England, 2025).</w:t>
      </w:r>
    </w:p>
    <w:p w14:paraId="13AD8956" w14:textId="023C51CA" w:rsidR="00372089" w:rsidRPr="003A084A" w:rsidRDefault="00372089" w:rsidP="00372089">
      <w:pPr>
        <w:pStyle w:val="NormalWeb"/>
        <w:spacing w:line="360" w:lineRule="auto"/>
        <w:rPr>
          <w:rFonts w:ascii="Arial" w:hAnsi="Arial" w:cs="Arial"/>
          <w:color w:val="000000"/>
        </w:rPr>
      </w:pPr>
    </w:p>
    <w:p w14:paraId="037A5F78" w14:textId="77777777" w:rsidR="00372089" w:rsidRPr="003A084A" w:rsidRDefault="00372089" w:rsidP="00372089">
      <w:pPr>
        <w:pStyle w:val="NormalWeb"/>
        <w:spacing w:line="360" w:lineRule="auto"/>
        <w:rPr>
          <w:rFonts w:ascii="Arial" w:hAnsi="Arial" w:cs="Arial"/>
          <w:b/>
          <w:bCs/>
          <w:color w:val="000000"/>
        </w:rPr>
      </w:pPr>
      <w:r w:rsidRPr="003A084A">
        <w:rPr>
          <w:rFonts w:ascii="Arial" w:hAnsi="Arial" w:cs="Arial"/>
          <w:b/>
          <w:bCs/>
          <w:color w:val="000000"/>
        </w:rPr>
        <w:t>Organisational and Workforce Culture</w:t>
      </w:r>
    </w:p>
    <w:p w14:paraId="08AD2D0E" w14:textId="77777777" w:rsidR="00372089" w:rsidRPr="00372089" w:rsidRDefault="00372089" w:rsidP="00372089">
      <w:pPr>
        <w:pStyle w:val="NormalWeb"/>
        <w:spacing w:line="360" w:lineRule="auto"/>
        <w:rPr>
          <w:rFonts w:ascii="Arial" w:hAnsi="Arial" w:cs="Arial"/>
          <w:color w:val="000000"/>
        </w:rPr>
      </w:pPr>
      <w:r w:rsidRPr="00372089">
        <w:rPr>
          <w:rFonts w:ascii="Arial" w:hAnsi="Arial" w:cs="Arial"/>
          <w:color w:val="000000"/>
        </w:rPr>
        <w:lastRenderedPageBreak/>
        <w:t>EPR implementation drives a more data-driven organisational culture, encouraging evidence-based decision-making and greater collaboration among professionals. This culture supports continuous improvement and innovation through shared information and integrated digital systems (Department of Health and Social Care, 2016).</w:t>
      </w:r>
    </w:p>
    <w:p w14:paraId="76A616DF" w14:textId="77777777" w:rsidR="00372089" w:rsidRPr="003A084A" w:rsidRDefault="00372089" w:rsidP="00372089">
      <w:pPr>
        <w:pStyle w:val="NormalWeb"/>
        <w:spacing w:line="360" w:lineRule="auto"/>
        <w:rPr>
          <w:rFonts w:ascii="Arial" w:hAnsi="Arial" w:cs="Arial"/>
          <w:color w:val="000000"/>
        </w:rPr>
      </w:pPr>
      <w:r w:rsidRPr="00372089">
        <w:rPr>
          <w:rFonts w:ascii="Arial" w:hAnsi="Arial" w:cs="Arial"/>
          <w:color w:val="000000"/>
        </w:rPr>
        <w:t xml:space="preserve">Nevertheless, organisational change can generate resistance, particularly when workflows and professional routines are altered. Staff may feel uncertain about adopting unfamiliar systems, especially if they perceive digital technologies as increasing workload or reducing patient contact. </w:t>
      </w:r>
      <w:r w:rsidRPr="003A084A">
        <w:rPr>
          <w:rFonts w:ascii="Arial" w:hAnsi="Arial" w:cs="Arial"/>
          <w:color w:val="000000"/>
        </w:rPr>
        <w:t>Resistance is more likely when staff feel excluded from planning or unsupported during implementation (The King’s Fund, 2018).</w:t>
      </w:r>
    </w:p>
    <w:p w14:paraId="5CC87055" w14:textId="264358E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Effective leadership and active staff engagement are therefore critical. Organisations that involve staff in decision-making, </w:t>
      </w:r>
      <w:r w:rsidR="009A170F" w:rsidRPr="003A084A">
        <w:rPr>
          <w:rFonts w:ascii="Arial" w:hAnsi="Arial" w:cs="Arial"/>
          <w:color w:val="000000"/>
        </w:rPr>
        <w:t>offer</w:t>
      </w:r>
      <w:r w:rsidRPr="003A084A">
        <w:rPr>
          <w:rFonts w:ascii="Arial" w:hAnsi="Arial" w:cs="Arial"/>
          <w:color w:val="000000"/>
        </w:rPr>
        <w:t xml:space="preserve"> clear guidance, and promote a culture of learning and adaptability are more likely to achieve positive outcomes from digital transformation initiatives (Health Education England, 2019).</w:t>
      </w:r>
    </w:p>
    <w:p w14:paraId="108A4885" w14:textId="00601CC5" w:rsidR="00372089" w:rsidRPr="003A084A" w:rsidRDefault="00372089" w:rsidP="00372089">
      <w:pPr>
        <w:pStyle w:val="NormalWeb"/>
        <w:spacing w:line="360" w:lineRule="auto"/>
        <w:rPr>
          <w:rFonts w:ascii="Arial" w:hAnsi="Arial" w:cs="Arial"/>
          <w:color w:val="000000"/>
        </w:rPr>
      </w:pPr>
    </w:p>
    <w:p w14:paraId="240CCF6A" w14:textId="77777777" w:rsidR="00372089" w:rsidRPr="003A084A" w:rsidRDefault="00372089" w:rsidP="00372089">
      <w:pPr>
        <w:pStyle w:val="NormalWeb"/>
        <w:spacing w:line="360" w:lineRule="auto"/>
        <w:rPr>
          <w:rFonts w:ascii="Arial" w:hAnsi="Arial" w:cs="Arial"/>
          <w:b/>
          <w:bCs/>
          <w:color w:val="000000"/>
        </w:rPr>
      </w:pPr>
      <w:r w:rsidRPr="003A084A">
        <w:rPr>
          <w:rFonts w:ascii="Arial" w:hAnsi="Arial" w:cs="Arial"/>
          <w:b/>
          <w:bCs/>
          <w:color w:val="000000"/>
        </w:rPr>
        <w:t>Impact on Service Delivery</w:t>
      </w:r>
    </w:p>
    <w:p w14:paraId="1A7DD8B9" w14:textId="703DEA6A"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EPRs enhance service delivery primarily by improving access to patient information. Healthcare professionals can instantly review medical histories, test results, and treatment plans, supporting faster and more </w:t>
      </w:r>
      <w:r w:rsidR="009A170F" w:rsidRPr="003A084A">
        <w:rPr>
          <w:rFonts w:ascii="Arial" w:hAnsi="Arial" w:cs="Arial"/>
          <w:color w:val="000000"/>
        </w:rPr>
        <w:t>correct</w:t>
      </w:r>
      <w:r w:rsidRPr="003A084A">
        <w:rPr>
          <w:rFonts w:ascii="Arial" w:hAnsi="Arial" w:cs="Arial"/>
          <w:color w:val="000000"/>
        </w:rPr>
        <w:t xml:space="preserve"> clinical decisions (NHS England, 2025). This improves coordination across departments and reduces delays associated with paper-based records.</w:t>
      </w:r>
    </w:p>
    <w:p w14:paraId="68EFE20F" w14:textId="7777777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Digital records also support continuity of care across multiple healthcare settings. Shared access ensures consistent information, reducing duplicate testing and enabling more coordinated treatment (The King’s Fund, 2018).</w:t>
      </w:r>
    </w:p>
    <w:p w14:paraId="55C043C5" w14:textId="415BFD02" w:rsidR="00372089" w:rsidRPr="003A084A" w:rsidRDefault="003A084A" w:rsidP="00372089">
      <w:pPr>
        <w:pStyle w:val="NormalWeb"/>
        <w:spacing w:line="360" w:lineRule="auto"/>
        <w:rPr>
          <w:rFonts w:ascii="Arial" w:hAnsi="Arial" w:cs="Arial"/>
          <w:color w:val="000000"/>
        </w:rPr>
      </w:pPr>
      <w:r w:rsidRPr="003A084A">
        <w:rPr>
          <w:rFonts w:ascii="Arial" w:hAnsi="Arial" w:cs="Arial"/>
          <w:color w:val="000000"/>
        </w:rPr>
        <w:t>Initial stages</w:t>
      </w:r>
      <w:r w:rsidR="00372089" w:rsidRPr="003A084A">
        <w:rPr>
          <w:rFonts w:ascii="Arial" w:hAnsi="Arial" w:cs="Arial"/>
          <w:color w:val="000000"/>
        </w:rPr>
        <w:t xml:space="preserve"> of digital implementation may disrupt workflows, increase consultation times due to data entry, and require adaptation to new systems (NHS England, 2025). </w:t>
      </w:r>
      <w:r>
        <w:rPr>
          <w:rFonts w:ascii="Arial" w:hAnsi="Arial" w:cs="Arial"/>
          <w:color w:val="000000"/>
        </w:rPr>
        <w:t>The</w:t>
      </w:r>
      <w:r w:rsidR="00372089" w:rsidRPr="003A084A">
        <w:rPr>
          <w:rFonts w:ascii="Arial" w:hAnsi="Arial" w:cs="Arial"/>
          <w:color w:val="000000"/>
        </w:rPr>
        <w:t xml:space="preserve"> </w:t>
      </w:r>
      <w:r>
        <w:rPr>
          <w:rFonts w:ascii="Arial" w:hAnsi="Arial" w:cs="Arial"/>
          <w:color w:val="000000"/>
        </w:rPr>
        <w:t xml:space="preserve">shared records improve interprofessional communication, though risks </w:t>
      </w:r>
      <w:r>
        <w:rPr>
          <w:rFonts w:ascii="Arial" w:hAnsi="Arial" w:cs="Arial"/>
          <w:color w:val="000000"/>
        </w:rPr>
        <w:lastRenderedPageBreak/>
        <w:t xml:space="preserve">such as information overload or the </w:t>
      </w:r>
      <w:r w:rsidR="00372089" w:rsidRPr="003A084A">
        <w:rPr>
          <w:rFonts w:ascii="Arial" w:hAnsi="Arial" w:cs="Arial"/>
          <w:color w:val="000000"/>
        </w:rPr>
        <w:t>propagation of incorrect data exist if errors occur (NHS England, 2025).</w:t>
      </w:r>
    </w:p>
    <w:p w14:paraId="4BF4D31A" w14:textId="7777777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EPRs also improve safety through automated alerts and reminders, reducing medication errors and standardising documentation. However, excessive reliance on alerts can cause “alert fatigue,” where staff begin ignoring frequent warnings, underscoring the need for balanced system design that complements professional judgement (NHS England, 2025).</w:t>
      </w:r>
    </w:p>
    <w:p w14:paraId="0A5373ED" w14:textId="2E835BA9" w:rsidR="00372089" w:rsidRPr="003A084A" w:rsidRDefault="00372089" w:rsidP="00372089">
      <w:pPr>
        <w:pStyle w:val="NormalWeb"/>
        <w:spacing w:line="360" w:lineRule="auto"/>
        <w:rPr>
          <w:rFonts w:ascii="Arial" w:hAnsi="Arial" w:cs="Arial"/>
          <w:color w:val="000000"/>
        </w:rPr>
      </w:pPr>
    </w:p>
    <w:p w14:paraId="3E92F8A8" w14:textId="77777777" w:rsidR="00372089" w:rsidRPr="003A084A" w:rsidRDefault="00372089" w:rsidP="00372089">
      <w:pPr>
        <w:pStyle w:val="NormalWeb"/>
        <w:spacing w:line="360" w:lineRule="auto"/>
        <w:rPr>
          <w:rFonts w:ascii="Arial" w:hAnsi="Arial" w:cs="Arial"/>
          <w:b/>
          <w:bCs/>
          <w:color w:val="000000"/>
        </w:rPr>
      </w:pPr>
      <w:r w:rsidRPr="003A084A">
        <w:rPr>
          <w:rFonts w:ascii="Arial" w:hAnsi="Arial" w:cs="Arial"/>
          <w:b/>
          <w:bCs/>
          <w:color w:val="000000"/>
        </w:rPr>
        <w:t>Impact on Patients</w:t>
      </w:r>
    </w:p>
    <w:p w14:paraId="275A094B" w14:textId="2A8857B8"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EPRs enable clinicians to deliver more informed, personalised care by providing immediate access to comprehensive patient data. They reduce repetition, improve safety through </w:t>
      </w:r>
      <w:r w:rsidR="009A170F" w:rsidRPr="003A084A">
        <w:rPr>
          <w:rFonts w:ascii="Arial" w:hAnsi="Arial" w:cs="Arial"/>
          <w:color w:val="000000"/>
        </w:rPr>
        <w:t>correct</w:t>
      </w:r>
      <w:r w:rsidRPr="003A084A">
        <w:rPr>
          <w:rFonts w:ascii="Arial" w:hAnsi="Arial" w:cs="Arial"/>
          <w:color w:val="000000"/>
        </w:rPr>
        <w:t xml:space="preserve"> documentation, and increase patient confidence in services (NHS England, 2025; Department of Health and Social Care, 2016).</w:t>
      </w:r>
    </w:p>
    <w:p w14:paraId="442347EE" w14:textId="77777777"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Challenges include potential impacts on patient–professional interaction, as excessive screen time can reduce personal engagement (The King’s Fund, 2018). Privacy and confidentiality remain crucial, as trust depends on secure systems and transparent communication. Digital inclusion is another concern, with older adults, people with disabilities, and socioeconomically disadvantaged groups potentially facing barriers to access.</w:t>
      </w:r>
    </w:p>
    <w:p w14:paraId="188B4C75" w14:textId="661AD5A7" w:rsidR="00372089" w:rsidRPr="003A084A" w:rsidRDefault="00372089" w:rsidP="00372089">
      <w:pPr>
        <w:pStyle w:val="NormalWeb"/>
        <w:spacing w:line="360" w:lineRule="auto"/>
        <w:rPr>
          <w:rFonts w:ascii="Arial" w:hAnsi="Arial" w:cs="Arial"/>
          <w:color w:val="000000"/>
        </w:rPr>
      </w:pPr>
    </w:p>
    <w:p w14:paraId="3300D38F" w14:textId="77777777" w:rsidR="00372089" w:rsidRPr="003A084A" w:rsidRDefault="00372089" w:rsidP="00372089">
      <w:pPr>
        <w:pStyle w:val="NormalWeb"/>
        <w:spacing w:line="360" w:lineRule="auto"/>
        <w:rPr>
          <w:rFonts w:ascii="Arial" w:hAnsi="Arial" w:cs="Arial"/>
          <w:b/>
          <w:bCs/>
          <w:color w:val="000000"/>
        </w:rPr>
      </w:pPr>
      <w:r w:rsidRPr="003A084A">
        <w:rPr>
          <w:rFonts w:ascii="Arial" w:hAnsi="Arial" w:cs="Arial"/>
          <w:b/>
          <w:bCs/>
          <w:color w:val="000000"/>
        </w:rPr>
        <w:t>Impact on Communities</w:t>
      </w:r>
    </w:p>
    <w:p w14:paraId="41C0F17C" w14:textId="6B06A5B5"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t xml:space="preserve">EPRs have a broader impact on communities beyond individual patients. By enabling shared access across hospitals, primary care, and community services, EPRs improve coordination, continuity of care, and communication with families and carers (NHS England, 2025). Aggregated digital health data can support population health management by </w:t>
      </w:r>
      <w:r w:rsidR="009A170F" w:rsidRPr="003A084A">
        <w:rPr>
          <w:rFonts w:ascii="Arial" w:hAnsi="Arial" w:cs="Arial"/>
          <w:color w:val="000000"/>
        </w:rPr>
        <w:t>naming</w:t>
      </w:r>
      <w:r w:rsidRPr="003A084A">
        <w:rPr>
          <w:rFonts w:ascii="Arial" w:hAnsi="Arial" w:cs="Arial"/>
          <w:color w:val="000000"/>
        </w:rPr>
        <w:t xml:space="preserve"> trends, informing public health strategies, and guiding preventative measures (Department of Health and Social Care, 2016).</w:t>
      </w:r>
    </w:p>
    <w:p w14:paraId="21FD0867" w14:textId="108F1FB3" w:rsidR="00372089" w:rsidRPr="003A084A" w:rsidRDefault="00372089" w:rsidP="00372089">
      <w:pPr>
        <w:pStyle w:val="NormalWeb"/>
        <w:spacing w:line="360" w:lineRule="auto"/>
        <w:rPr>
          <w:rFonts w:ascii="Arial" w:hAnsi="Arial" w:cs="Arial"/>
          <w:color w:val="000000"/>
        </w:rPr>
      </w:pPr>
      <w:r w:rsidRPr="003A084A">
        <w:rPr>
          <w:rFonts w:ascii="Arial" w:hAnsi="Arial" w:cs="Arial"/>
          <w:color w:val="000000"/>
        </w:rPr>
        <w:lastRenderedPageBreak/>
        <w:t xml:space="preserve">However, unequal access to digital technologies can </w:t>
      </w:r>
      <w:r w:rsidR="009A170F">
        <w:rPr>
          <w:rFonts w:ascii="Arial" w:hAnsi="Arial" w:cs="Arial"/>
          <w:color w:val="000000"/>
        </w:rPr>
        <w:t>worsen</w:t>
      </w:r>
      <w:r w:rsidRPr="003A084A">
        <w:rPr>
          <w:rFonts w:ascii="Arial" w:hAnsi="Arial" w:cs="Arial"/>
          <w:color w:val="000000"/>
        </w:rPr>
        <w:t xml:space="preserve"> health inequalities. Communities with poor digital infrastructure or low digital literacy may struggle to </w:t>
      </w:r>
      <w:r w:rsidR="009A170F" w:rsidRPr="003A084A">
        <w:rPr>
          <w:rFonts w:ascii="Arial" w:hAnsi="Arial" w:cs="Arial"/>
          <w:color w:val="000000"/>
        </w:rPr>
        <w:t>receive help</w:t>
      </w:r>
      <w:r w:rsidRPr="003A084A">
        <w:rPr>
          <w:rFonts w:ascii="Arial" w:hAnsi="Arial" w:cs="Arial"/>
          <w:color w:val="000000"/>
        </w:rPr>
        <w:t xml:space="preserve"> from digital healthcare innovations. Addressing these disparities requires investment in infrastructure, inclusive training programmes, and initiatives to support digital literacy across the population. By prioritising accessibility and inclusivity, healthcare organisations can ensure that digital transformation delivers </w:t>
      </w:r>
      <w:r w:rsidR="009A170F" w:rsidRPr="003A084A">
        <w:rPr>
          <w:rFonts w:ascii="Arial" w:hAnsi="Arial" w:cs="Arial"/>
          <w:color w:val="000000"/>
        </w:rPr>
        <w:t>fair</w:t>
      </w:r>
      <w:r w:rsidRPr="003A084A">
        <w:rPr>
          <w:rFonts w:ascii="Arial" w:hAnsi="Arial" w:cs="Arial"/>
          <w:color w:val="000000"/>
        </w:rPr>
        <w:t xml:space="preserve"> benefits to all patients and communities (The King’s Fund, 2018; NHS England, 2025).</w:t>
      </w:r>
    </w:p>
    <w:p w14:paraId="6D6FB85A" w14:textId="69714CB2" w:rsidR="00C301C7" w:rsidRPr="003A084A" w:rsidRDefault="00C301C7" w:rsidP="00372089">
      <w:pPr>
        <w:pStyle w:val="NormalWeb"/>
        <w:spacing w:line="360" w:lineRule="auto"/>
        <w:rPr>
          <w:rFonts w:ascii="Arial" w:hAnsi="Arial" w:cs="Arial"/>
          <w:color w:val="000000"/>
        </w:rPr>
      </w:pPr>
    </w:p>
    <w:p w14:paraId="4A43F835" w14:textId="20437B51" w:rsidR="00C301C7" w:rsidRPr="00C301C7" w:rsidRDefault="00C301C7" w:rsidP="00372089">
      <w:pPr>
        <w:pStyle w:val="NormalWeb"/>
        <w:spacing w:line="360" w:lineRule="auto"/>
        <w:rPr>
          <w:rFonts w:ascii="Arial" w:hAnsi="Arial" w:cs="Arial"/>
          <w:color w:val="000000"/>
        </w:rPr>
      </w:pPr>
      <w:r w:rsidRPr="00C301C7">
        <w:rPr>
          <w:rFonts w:ascii="Arial" w:hAnsi="Arial" w:cs="Arial"/>
          <w:b/>
          <w:bCs/>
          <w:color w:val="000000"/>
        </w:rPr>
        <w:t>Impact on Communities</w:t>
      </w:r>
      <w:r w:rsidRPr="00C301C7">
        <w:rPr>
          <w:rFonts w:ascii="Arial" w:hAnsi="Arial" w:cs="Arial"/>
          <w:color w:val="000000"/>
        </w:rPr>
        <w:br/>
        <w:t xml:space="preserve">EPRs support continuity of care across hospitals, primary care, and community services by allowing shared access to patient information, improving coordination, and supporting family communication (NHS England, 2025). Aggregated digital health data can inform public health planning, </w:t>
      </w:r>
      <w:r w:rsidR="009A170F" w:rsidRPr="00C301C7">
        <w:rPr>
          <w:rFonts w:ascii="Arial" w:hAnsi="Arial" w:cs="Arial"/>
          <w:color w:val="000000"/>
        </w:rPr>
        <w:t>check</w:t>
      </w:r>
      <w:r w:rsidRPr="00C301C7">
        <w:rPr>
          <w:rFonts w:ascii="Arial" w:hAnsi="Arial" w:cs="Arial"/>
          <w:color w:val="000000"/>
        </w:rPr>
        <w:t xml:space="preserve"> trends, and guide preventative strategies (Department of Health and Social Care, 2016).</w:t>
      </w:r>
    </w:p>
    <w:p w14:paraId="2C95EAAA" w14:textId="0F4DBA63"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 xml:space="preserve">Nevertheless, uneven access to digital technologies can </w:t>
      </w:r>
      <w:r w:rsidR="009A170F" w:rsidRPr="00C301C7">
        <w:rPr>
          <w:rFonts w:ascii="Arial" w:hAnsi="Arial" w:cs="Arial"/>
          <w:color w:val="000000"/>
        </w:rPr>
        <w:t>worsen</w:t>
      </w:r>
      <w:r w:rsidRPr="00C301C7">
        <w:rPr>
          <w:rFonts w:ascii="Arial" w:hAnsi="Arial" w:cs="Arial"/>
          <w:color w:val="000000"/>
        </w:rPr>
        <w:t xml:space="preserve"> health inequalities. Communities with limited digital infrastructure or low digital literacy may be</w:t>
      </w:r>
      <w:r w:rsidR="0092056C">
        <w:rPr>
          <w:rFonts w:ascii="Arial" w:hAnsi="Arial" w:cs="Arial"/>
          <w:color w:val="000000"/>
        </w:rPr>
        <w:t xml:space="preserve"> </w:t>
      </w:r>
      <w:r w:rsidRPr="00C301C7">
        <w:rPr>
          <w:rFonts w:ascii="Arial" w:hAnsi="Arial" w:cs="Arial"/>
          <w:color w:val="000000"/>
        </w:rPr>
        <w:t>disadvantaged. Ensuring inclusive, accessible digital healthcare is therefore critical to maximising benefits for all patients and communities.</w:t>
      </w:r>
    </w:p>
    <w:p w14:paraId="311AA163" w14:textId="77777777" w:rsidR="00C301C7" w:rsidRPr="00C301C7" w:rsidRDefault="00C301C7" w:rsidP="00372089">
      <w:pPr>
        <w:pStyle w:val="NormalWeb"/>
        <w:spacing w:line="360" w:lineRule="auto"/>
        <w:rPr>
          <w:rFonts w:ascii="Arial" w:hAnsi="Arial" w:cs="Arial"/>
          <w:color w:val="000000"/>
        </w:rPr>
      </w:pPr>
    </w:p>
    <w:p w14:paraId="3B9AAEEC" w14:textId="5B373C87" w:rsidR="00C301C7" w:rsidRPr="003A084A" w:rsidRDefault="00C301C7" w:rsidP="00372089">
      <w:pPr>
        <w:pStyle w:val="NormalWeb"/>
        <w:spacing w:line="360" w:lineRule="auto"/>
        <w:rPr>
          <w:rFonts w:ascii="Arial" w:hAnsi="Arial" w:cs="Arial"/>
          <w:b/>
          <w:bCs/>
          <w:color w:val="000000"/>
        </w:rPr>
      </w:pPr>
      <w:r w:rsidRPr="003A084A">
        <w:rPr>
          <w:rFonts w:ascii="Arial" w:hAnsi="Arial" w:cs="Arial"/>
          <w:b/>
          <w:bCs/>
          <w:color w:val="000000"/>
        </w:rPr>
        <w:t>Conclusion</w:t>
      </w:r>
    </w:p>
    <w:p w14:paraId="79C0BBE6"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This report evaluated the implementation of Electronic Patient Records (EPR) within NHS healthcare services, highlighting their role in digital transformation. EPR systems improve access to patient information, enhance communication among healthcare professionals, and support coordinated care, contributing to safer clinical decisions and continuity of care.</w:t>
      </w:r>
    </w:p>
    <w:p w14:paraId="71F550BA" w14:textId="77777777" w:rsidR="00C301C7" w:rsidRPr="00C301C7" w:rsidRDefault="00C301C7" w:rsidP="00372089">
      <w:pPr>
        <w:pStyle w:val="NormalWeb"/>
        <w:spacing w:line="360" w:lineRule="auto"/>
        <w:rPr>
          <w:rFonts w:ascii="Arial" w:hAnsi="Arial" w:cs="Arial"/>
          <w:color w:val="000000"/>
        </w:rPr>
      </w:pPr>
      <w:r w:rsidRPr="00C301C7">
        <w:rPr>
          <w:rFonts w:ascii="Arial" w:hAnsi="Arial" w:cs="Arial"/>
          <w:color w:val="000000"/>
        </w:rPr>
        <w:t xml:space="preserve">Despite these benefits, challenges persist. Healthcare staff must adapt to new digital skills and workflows, while organisations face issues of training, usability, and staff </w:t>
      </w:r>
      <w:r w:rsidRPr="00C301C7">
        <w:rPr>
          <w:rFonts w:ascii="Arial" w:hAnsi="Arial" w:cs="Arial"/>
          <w:color w:val="000000"/>
        </w:rPr>
        <w:lastRenderedPageBreak/>
        <w:t>wellbeing. Data privacy, digital inclusion, and the impact on patient–professional relationships also require careful consideration.</w:t>
      </w:r>
    </w:p>
    <w:p w14:paraId="6B26D83E" w14:textId="388A6C99" w:rsidR="00C301C7" w:rsidRPr="00C301C7" w:rsidRDefault="00C301C7" w:rsidP="00372089">
      <w:pPr>
        <w:pStyle w:val="NormalWeb"/>
        <w:spacing w:line="360" w:lineRule="auto"/>
        <w:rPr>
          <w:rFonts w:ascii="Arial" w:hAnsi="Arial" w:cs="Arial"/>
          <w:b/>
          <w:bCs/>
          <w:color w:val="000000"/>
        </w:rPr>
      </w:pPr>
      <w:r w:rsidRPr="00C301C7">
        <w:rPr>
          <w:rFonts w:ascii="Arial" w:hAnsi="Arial" w:cs="Arial"/>
          <w:color w:val="000000"/>
        </w:rPr>
        <w:t>Ultimately</w:t>
      </w:r>
      <w:r w:rsidR="009A170F">
        <w:rPr>
          <w:rFonts w:ascii="Arial" w:hAnsi="Arial" w:cs="Arial"/>
          <w:color w:val="000000"/>
        </w:rPr>
        <w:t xml:space="preserve"> The </w:t>
      </w:r>
      <w:r w:rsidRPr="00C301C7">
        <w:rPr>
          <w:rFonts w:ascii="Arial" w:hAnsi="Arial" w:cs="Arial"/>
          <w:color w:val="000000"/>
        </w:rPr>
        <w:t>success of EPR systems relies not only on technology but on workforce readiness, organisational support, and inclusive service design. Sustainable improvements in healthcare delivery depend on integrating these factors to ensure that digital tools enhance care quality without compromising accessibility or patient trust</w:t>
      </w:r>
      <w:r w:rsidRPr="00C301C7">
        <w:rPr>
          <w:rFonts w:ascii="Arial" w:hAnsi="Arial" w:cs="Arial"/>
          <w:b/>
          <w:bCs/>
          <w:color w:val="000000"/>
        </w:rPr>
        <w:t>.</w:t>
      </w:r>
    </w:p>
    <w:p w14:paraId="098FE75F" w14:textId="77777777" w:rsidR="00C301C7" w:rsidRPr="00C301C7" w:rsidRDefault="00C301C7" w:rsidP="00372089">
      <w:pPr>
        <w:pStyle w:val="NormalWeb"/>
        <w:spacing w:line="360" w:lineRule="auto"/>
        <w:rPr>
          <w:rFonts w:ascii="Arial" w:hAnsi="Arial" w:cs="Arial"/>
          <w:b/>
          <w:bCs/>
          <w:color w:val="000000"/>
        </w:rPr>
      </w:pPr>
    </w:p>
    <w:p w14:paraId="4C678BFB" w14:textId="77777777" w:rsidR="008375B5" w:rsidRPr="00C301C7" w:rsidRDefault="008375B5" w:rsidP="00372089">
      <w:pPr>
        <w:pStyle w:val="NormalWeb"/>
        <w:spacing w:line="360" w:lineRule="auto"/>
        <w:rPr>
          <w:rFonts w:ascii="Arial" w:hAnsi="Arial" w:cs="Arial"/>
          <w:color w:val="000000"/>
        </w:rPr>
      </w:pPr>
    </w:p>
    <w:p w14:paraId="3B71E803" w14:textId="77777777" w:rsidR="008375B5" w:rsidRPr="00C301C7" w:rsidRDefault="008375B5" w:rsidP="00372089">
      <w:pPr>
        <w:pStyle w:val="NormalWeb"/>
        <w:spacing w:line="360" w:lineRule="auto"/>
        <w:rPr>
          <w:rFonts w:ascii="Arial" w:hAnsi="Arial" w:cs="Arial"/>
          <w:color w:val="000000"/>
        </w:rPr>
      </w:pPr>
    </w:p>
    <w:p w14:paraId="1BDE8E0A" w14:textId="77777777" w:rsidR="008375B5" w:rsidRPr="00C301C7" w:rsidRDefault="008375B5" w:rsidP="00372089">
      <w:pPr>
        <w:pStyle w:val="NormalWeb"/>
        <w:spacing w:line="360" w:lineRule="auto"/>
        <w:rPr>
          <w:rFonts w:ascii="Arial" w:hAnsi="Arial" w:cs="Arial"/>
          <w:color w:val="000000"/>
        </w:rPr>
      </w:pPr>
    </w:p>
    <w:p w14:paraId="76C39D96" w14:textId="77777777" w:rsidR="003D6E47" w:rsidRDefault="003D6E47" w:rsidP="00372089">
      <w:pPr>
        <w:spacing w:line="360" w:lineRule="auto"/>
        <w:rPr>
          <w:rFonts w:ascii="Arial" w:hAnsi="Arial" w:cs="Arial"/>
          <w:sz w:val="28"/>
          <w:szCs w:val="28"/>
        </w:rPr>
      </w:pPr>
    </w:p>
    <w:p w14:paraId="63857A30" w14:textId="09BB6FFB" w:rsidR="008375B5" w:rsidRPr="00C301C7" w:rsidRDefault="008375B5" w:rsidP="00372089">
      <w:pPr>
        <w:spacing w:line="360" w:lineRule="auto"/>
        <w:rPr>
          <w:rFonts w:ascii="Arial" w:hAnsi="Arial" w:cs="Arial"/>
          <w:sz w:val="28"/>
          <w:szCs w:val="28"/>
        </w:rPr>
      </w:pPr>
      <w:r w:rsidRPr="00C301C7">
        <w:rPr>
          <w:rFonts w:ascii="Arial" w:hAnsi="Arial" w:cs="Arial"/>
          <w:sz w:val="28"/>
          <w:szCs w:val="28"/>
        </w:rPr>
        <w:t>References</w:t>
      </w:r>
    </w:p>
    <w:p w14:paraId="7ECD4CDB" w14:textId="77777777" w:rsidR="00AF086B" w:rsidRPr="00C301C7" w:rsidRDefault="006F1785" w:rsidP="00372089">
      <w:pPr>
        <w:spacing w:line="360" w:lineRule="auto"/>
        <w:rPr>
          <w:rFonts w:ascii="Arial" w:hAnsi="Arial" w:cs="Arial"/>
        </w:rPr>
      </w:pPr>
      <w:r w:rsidRPr="00C301C7">
        <w:rPr>
          <w:rFonts w:ascii="Arial" w:hAnsi="Arial" w:cs="Arial"/>
        </w:rPr>
        <w:t xml:space="preserve">Department of Health and Social Care (2016) </w:t>
      </w:r>
      <w:r w:rsidRPr="00C301C7">
        <w:rPr>
          <w:rFonts w:ascii="Arial" w:hAnsi="Arial" w:cs="Arial"/>
          <w:i/>
          <w:iCs/>
        </w:rPr>
        <w:t>Making IT work: Harnessing the power of health information technology to improve care in England</w:t>
      </w:r>
      <w:r w:rsidRPr="00C301C7">
        <w:rPr>
          <w:rFonts w:ascii="Arial" w:hAnsi="Arial" w:cs="Arial"/>
        </w:rPr>
        <w:t xml:space="preserve">. London: GOV.UK. Available at: </w:t>
      </w:r>
      <w:hyperlink r:id="rId9" w:tgtFrame="_new" w:history="1">
        <w:r w:rsidRPr="00C301C7">
          <w:rPr>
            <w:rStyle w:val="Hyperlink"/>
            <w:rFonts w:ascii="Arial" w:hAnsi="Arial" w:cs="Arial"/>
          </w:rPr>
          <w:t>https://www.gov.uk/government/publications/using-information-technology-to-improve-the-nhs</w:t>
        </w:r>
      </w:hyperlink>
      <w:r w:rsidRPr="00C301C7">
        <w:rPr>
          <w:rFonts w:ascii="Arial" w:hAnsi="Arial" w:cs="Arial"/>
        </w:rPr>
        <w:t>.</w:t>
      </w:r>
    </w:p>
    <w:p w14:paraId="3836F3C0" w14:textId="54DDC1B9" w:rsidR="00AF086B" w:rsidRPr="00C301C7" w:rsidRDefault="00AF086B" w:rsidP="00372089">
      <w:pPr>
        <w:spacing w:line="360" w:lineRule="auto"/>
        <w:rPr>
          <w:rFonts w:ascii="Arial" w:hAnsi="Arial" w:cs="Arial"/>
        </w:rPr>
      </w:pPr>
      <w:r w:rsidRPr="00C301C7">
        <w:rPr>
          <w:rFonts w:ascii="Arial" w:hAnsi="Arial" w:cs="Arial"/>
        </w:rPr>
        <w:t xml:space="preserve">Department of Health and Social Care (2016) </w:t>
      </w:r>
      <w:r w:rsidRPr="00C301C7">
        <w:rPr>
          <w:rFonts w:ascii="Arial" w:hAnsi="Arial" w:cs="Arial"/>
          <w:i/>
          <w:iCs/>
        </w:rPr>
        <w:t>Review of information technology in NHS</w:t>
      </w:r>
      <w:r w:rsidRPr="00C301C7">
        <w:rPr>
          <w:rFonts w:ascii="Arial" w:hAnsi="Arial" w:cs="Arial"/>
        </w:rPr>
        <w:t xml:space="preserve">. Available at: </w:t>
      </w:r>
      <w:hyperlink r:id="rId10" w:tgtFrame="_new" w:history="1">
        <w:r w:rsidRPr="00C301C7">
          <w:rPr>
            <w:rStyle w:val="Hyperlink"/>
            <w:rFonts w:ascii="Arial" w:hAnsi="Arial" w:cs="Arial"/>
          </w:rPr>
          <w:t>https://www.gov.uk/government/news/review-of-information-technology-in-nhs</w:t>
        </w:r>
      </w:hyperlink>
      <w:r w:rsidRPr="00C301C7">
        <w:rPr>
          <w:rFonts w:ascii="Arial" w:hAnsi="Arial" w:cs="Arial"/>
        </w:rPr>
        <w:t xml:space="preserve"> . </w:t>
      </w:r>
    </w:p>
    <w:p w14:paraId="05B02332" w14:textId="250A6572" w:rsidR="006F1785" w:rsidRPr="00C301C7" w:rsidRDefault="00AF086B" w:rsidP="00372089">
      <w:pPr>
        <w:spacing w:line="360" w:lineRule="auto"/>
        <w:rPr>
          <w:rFonts w:ascii="Arial" w:hAnsi="Arial" w:cs="Arial"/>
        </w:rPr>
      </w:pPr>
      <w:r w:rsidRPr="00C301C7">
        <w:rPr>
          <w:rFonts w:ascii="Arial" w:hAnsi="Arial" w:cs="Arial"/>
        </w:rPr>
        <w:t xml:space="preserve">Health Education England (2019) </w:t>
      </w:r>
      <w:r w:rsidRPr="00C301C7">
        <w:rPr>
          <w:rFonts w:ascii="Arial" w:hAnsi="Arial" w:cs="Arial"/>
          <w:i/>
          <w:iCs/>
        </w:rPr>
        <w:t>The Topol Review: Preparing the healthcare workforce to deliver the digital future</w:t>
      </w:r>
      <w:r w:rsidRPr="00C301C7">
        <w:rPr>
          <w:rFonts w:ascii="Arial" w:hAnsi="Arial" w:cs="Arial"/>
        </w:rPr>
        <w:t xml:space="preserve">. London: HEE. Available at: </w:t>
      </w:r>
      <w:hyperlink r:id="rId11" w:tgtFrame="_new" w:history="1">
        <w:r w:rsidRPr="00C301C7">
          <w:rPr>
            <w:rStyle w:val="Hyperlink"/>
            <w:rFonts w:ascii="Arial" w:hAnsi="Arial" w:cs="Arial"/>
          </w:rPr>
          <w:t>https://topol.hee.nhs.uk/the-topol-review/</w:t>
        </w:r>
      </w:hyperlink>
      <w:r w:rsidR="006F1785" w:rsidRPr="00C301C7">
        <w:rPr>
          <w:rFonts w:ascii="Arial" w:hAnsi="Arial" w:cs="Arial"/>
        </w:rPr>
        <w:t xml:space="preserve"> </w:t>
      </w:r>
    </w:p>
    <w:p w14:paraId="5142EFC2" w14:textId="27169716" w:rsidR="006F1785" w:rsidRPr="00C301C7" w:rsidRDefault="006F17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Digitising the frontline</w:t>
      </w:r>
      <w:r w:rsidRPr="00C301C7">
        <w:rPr>
          <w:rFonts w:ascii="Arial" w:hAnsi="Arial" w:cs="Arial"/>
        </w:rPr>
        <w:t xml:space="preserve">. Available at: </w:t>
      </w:r>
      <w:hyperlink r:id="rId12" w:tgtFrame="_new" w:history="1">
        <w:r w:rsidRPr="00C301C7">
          <w:rPr>
            <w:rStyle w:val="Hyperlink"/>
            <w:rFonts w:ascii="Arial" w:hAnsi="Arial" w:cs="Arial"/>
          </w:rPr>
          <w:t>https://www.england.nhs.uk/digitaltechnology/digitising-the-frontline/</w:t>
        </w:r>
      </w:hyperlink>
      <w:r w:rsidRPr="00C301C7">
        <w:rPr>
          <w:rFonts w:ascii="Arial" w:hAnsi="Arial" w:cs="Arial"/>
        </w:rPr>
        <w:t xml:space="preserve"> . </w:t>
      </w:r>
    </w:p>
    <w:p w14:paraId="0FF4C0F8" w14:textId="5C139366" w:rsidR="006F1785" w:rsidRPr="00C301C7" w:rsidRDefault="006F1785" w:rsidP="00372089">
      <w:pPr>
        <w:spacing w:line="360" w:lineRule="auto"/>
        <w:rPr>
          <w:rFonts w:ascii="Arial" w:hAnsi="Arial" w:cs="Arial"/>
        </w:rPr>
      </w:pPr>
      <w:r w:rsidRPr="00C301C7">
        <w:rPr>
          <w:rFonts w:ascii="Arial" w:hAnsi="Arial" w:cs="Arial"/>
        </w:rPr>
        <w:lastRenderedPageBreak/>
        <w:t xml:space="preserve">NHS England (2025) </w:t>
      </w:r>
      <w:r w:rsidRPr="00C301C7">
        <w:rPr>
          <w:rFonts w:ascii="Arial" w:hAnsi="Arial" w:cs="Arial"/>
          <w:i/>
          <w:iCs/>
        </w:rPr>
        <w:t>The Single Patient Record</w:t>
      </w:r>
      <w:r w:rsidRPr="00C301C7">
        <w:rPr>
          <w:rFonts w:ascii="Arial" w:hAnsi="Arial" w:cs="Arial"/>
        </w:rPr>
        <w:t xml:space="preserve">. Available at: </w:t>
      </w:r>
      <w:hyperlink r:id="rId13" w:tgtFrame="_new" w:history="1">
        <w:r w:rsidRPr="00C301C7">
          <w:rPr>
            <w:rStyle w:val="Hyperlink"/>
            <w:rFonts w:ascii="Arial" w:hAnsi="Arial" w:cs="Arial"/>
          </w:rPr>
          <w:t>https://www.england.nhs.uk/digitaltechnology/the-single-patient-record/</w:t>
        </w:r>
      </w:hyperlink>
      <w:r w:rsidRPr="00C301C7">
        <w:rPr>
          <w:rFonts w:ascii="Arial" w:hAnsi="Arial" w:cs="Arial"/>
        </w:rPr>
        <w:t xml:space="preserve">. </w:t>
      </w:r>
    </w:p>
    <w:p w14:paraId="4B0B40A2" w14:textId="77777777" w:rsidR="003D6E47" w:rsidRDefault="006F17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Summary Care Records (SCR)</w:t>
      </w:r>
      <w:r w:rsidRPr="00C301C7">
        <w:rPr>
          <w:rFonts w:ascii="Arial" w:hAnsi="Arial" w:cs="Arial"/>
        </w:rPr>
        <w:t xml:space="preserve">. Available at: </w:t>
      </w:r>
      <w:hyperlink r:id="rId14" w:tgtFrame="_new" w:history="1">
        <w:r w:rsidRPr="00C301C7">
          <w:rPr>
            <w:rStyle w:val="Hyperlink"/>
            <w:rFonts w:ascii="Arial" w:hAnsi="Arial" w:cs="Arial"/>
          </w:rPr>
          <w:t>https://www.england.nhs.uk/long-read/summary-care-records-scr/</w:t>
        </w:r>
      </w:hyperlink>
      <w:r w:rsidRPr="00C301C7">
        <w:rPr>
          <w:rFonts w:ascii="Arial" w:hAnsi="Arial" w:cs="Arial"/>
        </w:rPr>
        <w:t xml:space="preserve"> . </w:t>
      </w:r>
    </w:p>
    <w:p w14:paraId="5AB9AA11" w14:textId="6E945199" w:rsidR="006F1785" w:rsidRPr="00C301C7" w:rsidRDefault="006F17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Purpose of the GP electronic health record</w:t>
      </w:r>
      <w:r w:rsidRPr="00C301C7">
        <w:rPr>
          <w:rFonts w:ascii="Arial" w:hAnsi="Arial" w:cs="Arial"/>
        </w:rPr>
        <w:t xml:space="preserve">. Available at: </w:t>
      </w:r>
      <w:hyperlink r:id="rId15" w:tgtFrame="_new" w:history="1">
        <w:r w:rsidRPr="00C301C7">
          <w:rPr>
            <w:rStyle w:val="Hyperlink"/>
            <w:rFonts w:ascii="Arial" w:hAnsi="Arial" w:cs="Arial"/>
          </w:rPr>
          <w:t>https://www.england.nhs.uk/long-read/purpose-of-the-gp-electronic-health-record/</w:t>
        </w:r>
      </w:hyperlink>
      <w:r w:rsidRPr="00C301C7">
        <w:rPr>
          <w:rFonts w:ascii="Arial" w:hAnsi="Arial" w:cs="Arial"/>
        </w:rPr>
        <w:t xml:space="preserve"> . </w:t>
      </w:r>
    </w:p>
    <w:p w14:paraId="1FBE24A5" w14:textId="3892952C" w:rsidR="006F1785" w:rsidRPr="00C301C7" w:rsidRDefault="006F17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Connecting Care Records Programme</w:t>
      </w:r>
      <w:r w:rsidRPr="00C301C7">
        <w:rPr>
          <w:rFonts w:ascii="Arial" w:hAnsi="Arial" w:cs="Arial"/>
        </w:rPr>
        <w:t xml:space="preserve">. Available at: </w:t>
      </w:r>
      <w:hyperlink r:id="rId16" w:tgtFrame="_new" w:history="1">
        <w:r w:rsidRPr="00C301C7">
          <w:rPr>
            <w:rStyle w:val="Hyperlink"/>
            <w:rFonts w:ascii="Arial" w:hAnsi="Arial" w:cs="Arial"/>
          </w:rPr>
          <w:t>https://www.england.nhs.uk/digitaltechnology/connecting-care-records-programme/</w:t>
        </w:r>
      </w:hyperlink>
      <w:r w:rsidRPr="00C301C7">
        <w:rPr>
          <w:rFonts w:ascii="Arial" w:hAnsi="Arial" w:cs="Arial"/>
        </w:rPr>
        <w:t xml:space="preserve"> . </w:t>
      </w:r>
    </w:p>
    <w:p w14:paraId="44E6BA5C" w14:textId="5F2C4550" w:rsidR="006F1785" w:rsidRPr="00C301C7" w:rsidRDefault="006F17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Electronic prescription service (EPS)</w:t>
      </w:r>
      <w:r w:rsidRPr="00C301C7">
        <w:rPr>
          <w:rFonts w:ascii="Arial" w:hAnsi="Arial" w:cs="Arial"/>
        </w:rPr>
        <w:t xml:space="preserve">. Available at: </w:t>
      </w:r>
      <w:hyperlink r:id="rId17" w:tgtFrame="_new" w:history="1">
        <w:r w:rsidRPr="00C301C7">
          <w:rPr>
            <w:rStyle w:val="Hyperlink"/>
            <w:rFonts w:ascii="Arial" w:hAnsi="Arial" w:cs="Arial"/>
          </w:rPr>
          <w:t>https://www.england.nhs.uk/long-read/electronic-prescription-service-eps/</w:t>
        </w:r>
      </w:hyperlink>
      <w:r w:rsidRPr="00C301C7">
        <w:rPr>
          <w:rFonts w:ascii="Arial" w:hAnsi="Arial" w:cs="Arial"/>
        </w:rPr>
        <w:t xml:space="preserve"> </w:t>
      </w:r>
      <w:r w:rsidR="00AF086B" w:rsidRPr="00C301C7">
        <w:rPr>
          <w:rFonts w:ascii="Arial" w:hAnsi="Arial" w:cs="Arial"/>
        </w:rPr>
        <w:t>.</w:t>
      </w:r>
    </w:p>
    <w:p w14:paraId="1D5669B0" w14:textId="232C0732" w:rsidR="006F1785" w:rsidRPr="00C301C7" w:rsidRDefault="006F1785" w:rsidP="00372089">
      <w:pPr>
        <w:spacing w:line="360" w:lineRule="auto"/>
        <w:rPr>
          <w:rFonts w:ascii="Arial" w:hAnsi="Arial" w:cs="Arial"/>
        </w:rPr>
      </w:pPr>
      <w:r w:rsidRPr="00C301C7">
        <w:rPr>
          <w:rFonts w:ascii="Arial" w:hAnsi="Arial" w:cs="Arial"/>
        </w:rPr>
        <w:t xml:space="preserve">NHS England (Workforce, Training and Education) (2023) </w:t>
      </w:r>
      <w:r w:rsidRPr="00C301C7">
        <w:rPr>
          <w:rFonts w:ascii="Arial" w:hAnsi="Arial" w:cs="Arial"/>
          <w:i/>
          <w:iCs/>
        </w:rPr>
        <w:t>Topol Review – progress on the recommendations</w:t>
      </w:r>
      <w:r w:rsidRPr="00C301C7">
        <w:rPr>
          <w:rFonts w:ascii="Arial" w:hAnsi="Arial" w:cs="Arial"/>
        </w:rPr>
        <w:t xml:space="preserve">. Available at: </w:t>
      </w:r>
      <w:hyperlink r:id="rId18" w:tgtFrame="_new" w:history="1">
        <w:r w:rsidRPr="00C301C7">
          <w:rPr>
            <w:rStyle w:val="Hyperlink"/>
            <w:rFonts w:ascii="Arial" w:hAnsi="Arial" w:cs="Arial"/>
          </w:rPr>
          <w:t>https://www.hee.nhs.uk/digital-readiness/topol-review-progress-on-the-recommendations</w:t>
        </w:r>
      </w:hyperlink>
      <w:r w:rsidRPr="00C301C7">
        <w:rPr>
          <w:rFonts w:ascii="Arial" w:hAnsi="Arial" w:cs="Arial"/>
        </w:rPr>
        <w:t xml:space="preserve"> . </w:t>
      </w:r>
    </w:p>
    <w:p w14:paraId="5C42ACB9" w14:textId="2E8297AF" w:rsidR="007D5E85" w:rsidRPr="00C301C7" w:rsidRDefault="007D5E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Subject access requests (SAR): Good practice guidelines for GP electronic patient records</w:t>
      </w:r>
      <w:r w:rsidRPr="00C301C7">
        <w:rPr>
          <w:rFonts w:ascii="Arial" w:hAnsi="Arial" w:cs="Arial"/>
        </w:rPr>
        <w:t xml:space="preserve">. Available at: </w:t>
      </w:r>
      <w:hyperlink r:id="rId19" w:tgtFrame="_new" w:history="1">
        <w:r w:rsidRPr="00C301C7">
          <w:rPr>
            <w:rStyle w:val="Hyperlink"/>
            <w:rFonts w:ascii="Arial" w:hAnsi="Arial" w:cs="Arial"/>
          </w:rPr>
          <w:t>https://www.england.nhs.uk/long-read/subject-access-requests-sar/</w:t>
        </w:r>
      </w:hyperlink>
      <w:r w:rsidRPr="00C301C7">
        <w:rPr>
          <w:rFonts w:ascii="Arial" w:hAnsi="Arial" w:cs="Arial"/>
        </w:rPr>
        <w:t xml:space="preserve"> . </w:t>
      </w:r>
    </w:p>
    <w:p w14:paraId="7CA26924" w14:textId="03807CD3" w:rsidR="007D5E85" w:rsidRPr="00C301C7" w:rsidRDefault="007D5E85" w:rsidP="00372089">
      <w:pPr>
        <w:spacing w:line="360" w:lineRule="auto"/>
        <w:rPr>
          <w:rFonts w:ascii="Arial" w:hAnsi="Arial" w:cs="Arial"/>
        </w:rPr>
      </w:pPr>
      <w:r w:rsidRPr="00C301C7">
        <w:rPr>
          <w:rFonts w:ascii="Arial" w:hAnsi="Arial" w:cs="Arial"/>
        </w:rPr>
        <w:t xml:space="preserve">NHS England (2025) </w:t>
      </w:r>
      <w:r w:rsidRPr="00C301C7">
        <w:rPr>
          <w:rFonts w:ascii="Arial" w:hAnsi="Arial" w:cs="Arial"/>
          <w:i/>
          <w:iCs/>
        </w:rPr>
        <w:t>NHS approves new IT system for GPs to help transform care</w:t>
      </w:r>
      <w:r w:rsidRPr="00C301C7">
        <w:rPr>
          <w:rFonts w:ascii="Arial" w:hAnsi="Arial" w:cs="Arial"/>
        </w:rPr>
        <w:t xml:space="preserve">. Available at: </w:t>
      </w:r>
      <w:hyperlink r:id="rId20" w:tgtFrame="_new" w:history="1">
        <w:r w:rsidRPr="00C301C7">
          <w:rPr>
            <w:rStyle w:val="Hyperlink"/>
            <w:rFonts w:ascii="Arial" w:hAnsi="Arial" w:cs="Arial"/>
          </w:rPr>
          <w:t>https://www.england.nhs.uk/2025/06/nhs-approves-new-it-system-for-gps-to-help-transform-care/</w:t>
        </w:r>
      </w:hyperlink>
      <w:r w:rsidRPr="00C301C7">
        <w:rPr>
          <w:rFonts w:ascii="Arial" w:hAnsi="Arial" w:cs="Arial"/>
        </w:rPr>
        <w:t xml:space="preserve"> .</w:t>
      </w:r>
    </w:p>
    <w:p w14:paraId="7374EA09" w14:textId="72E7BA32" w:rsidR="006F1785" w:rsidRPr="00C301C7" w:rsidRDefault="006F1785" w:rsidP="00372089">
      <w:pPr>
        <w:spacing w:line="360" w:lineRule="auto"/>
        <w:rPr>
          <w:rFonts w:ascii="Arial" w:hAnsi="Arial" w:cs="Arial"/>
        </w:rPr>
      </w:pPr>
      <w:r w:rsidRPr="00C301C7">
        <w:rPr>
          <w:rFonts w:ascii="Arial" w:hAnsi="Arial" w:cs="Arial"/>
        </w:rPr>
        <w:t xml:space="preserve">The King’s Fund (2018) </w:t>
      </w:r>
      <w:r w:rsidRPr="00C301C7">
        <w:rPr>
          <w:rFonts w:ascii="Arial" w:hAnsi="Arial" w:cs="Arial"/>
          <w:i/>
          <w:iCs/>
        </w:rPr>
        <w:t>Digital change in health and social care</w:t>
      </w:r>
      <w:r w:rsidRPr="00C301C7">
        <w:rPr>
          <w:rFonts w:ascii="Arial" w:hAnsi="Arial" w:cs="Arial"/>
        </w:rPr>
        <w:t xml:space="preserve">. London: The King’s Fund. Available at: </w:t>
      </w:r>
      <w:hyperlink r:id="rId21" w:tgtFrame="_new" w:history="1">
        <w:r w:rsidRPr="00C301C7">
          <w:rPr>
            <w:rStyle w:val="Hyperlink"/>
            <w:rFonts w:ascii="Arial" w:hAnsi="Arial" w:cs="Arial"/>
          </w:rPr>
          <w:t>https://www.kingsfund.org.uk/insight-and-analysis/reports/digital-change-health-social-care</w:t>
        </w:r>
      </w:hyperlink>
      <w:r w:rsidRPr="00C301C7">
        <w:rPr>
          <w:rFonts w:ascii="Arial" w:hAnsi="Arial" w:cs="Arial"/>
        </w:rPr>
        <w:t xml:space="preserve"> . </w:t>
      </w:r>
    </w:p>
    <w:p w14:paraId="6846FC85" w14:textId="008C0B48" w:rsidR="006F1785" w:rsidRPr="00C301C7" w:rsidRDefault="006F1785" w:rsidP="00372089">
      <w:pPr>
        <w:spacing w:line="360" w:lineRule="auto"/>
        <w:rPr>
          <w:rFonts w:ascii="Arial" w:hAnsi="Arial" w:cs="Arial"/>
        </w:rPr>
      </w:pPr>
      <w:r w:rsidRPr="00C301C7">
        <w:rPr>
          <w:rFonts w:ascii="Arial" w:hAnsi="Arial" w:cs="Arial"/>
        </w:rPr>
        <w:t xml:space="preserve">The King’s Fund (2018) </w:t>
      </w:r>
      <w:r w:rsidRPr="00C301C7">
        <w:rPr>
          <w:rFonts w:ascii="Arial" w:hAnsi="Arial" w:cs="Arial"/>
          <w:i/>
          <w:iCs/>
        </w:rPr>
        <w:t>Managing digital change in health and social care</w:t>
      </w:r>
      <w:r w:rsidRPr="00C301C7">
        <w:rPr>
          <w:rFonts w:ascii="Arial" w:hAnsi="Arial" w:cs="Arial"/>
        </w:rPr>
        <w:t xml:space="preserve">. Available at: </w:t>
      </w:r>
      <w:hyperlink r:id="rId22" w:tgtFrame="_new" w:history="1">
        <w:r w:rsidRPr="00C301C7">
          <w:rPr>
            <w:rStyle w:val="Hyperlink"/>
            <w:rFonts w:ascii="Arial" w:hAnsi="Arial" w:cs="Arial"/>
          </w:rPr>
          <w:t>https://www.kingsfund.org.uk/projects/managing-digital-change-health-social-care</w:t>
        </w:r>
      </w:hyperlink>
      <w:r w:rsidRPr="00C301C7">
        <w:rPr>
          <w:rFonts w:ascii="Arial" w:hAnsi="Arial" w:cs="Arial"/>
        </w:rPr>
        <w:t xml:space="preserve"> .</w:t>
      </w:r>
    </w:p>
    <w:sectPr w:rsidR="006F1785" w:rsidRPr="00C301C7" w:rsidSect="008375B5">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9C91D" w14:textId="77777777" w:rsidR="00DC0452" w:rsidRDefault="00DC0452" w:rsidP="008375B5">
      <w:pPr>
        <w:spacing w:after="0" w:line="240" w:lineRule="auto"/>
      </w:pPr>
      <w:r>
        <w:separator/>
      </w:r>
    </w:p>
  </w:endnote>
  <w:endnote w:type="continuationSeparator" w:id="0">
    <w:p w14:paraId="0376F8A9" w14:textId="77777777" w:rsidR="00DC0452" w:rsidRDefault="00DC0452"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35FC2" w14:textId="77777777" w:rsidR="00DC0452" w:rsidRDefault="00DC0452" w:rsidP="008375B5">
      <w:pPr>
        <w:spacing w:after="0" w:line="240" w:lineRule="auto"/>
      </w:pPr>
      <w:r>
        <w:separator/>
      </w:r>
    </w:p>
  </w:footnote>
  <w:footnote w:type="continuationSeparator" w:id="0">
    <w:p w14:paraId="4A9F2A2B" w14:textId="77777777" w:rsidR="00DC0452" w:rsidRDefault="00DC0452"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0D72"/>
    <w:multiLevelType w:val="multilevel"/>
    <w:tmpl w:val="02E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D54E3"/>
    <w:multiLevelType w:val="multilevel"/>
    <w:tmpl w:val="BAE6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C4726"/>
    <w:multiLevelType w:val="multilevel"/>
    <w:tmpl w:val="9264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B76EF"/>
    <w:multiLevelType w:val="multilevel"/>
    <w:tmpl w:val="0C54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A41AC"/>
    <w:multiLevelType w:val="multilevel"/>
    <w:tmpl w:val="36A8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2696C"/>
    <w:multiLevelType w:val="multilevel"/>
    <w:tmpl w:val="5116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FE1FBB"/>
    <w:multiLevelType w:val="multilevel"/>
    <w:tmpl w:val="F9C8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B551E"/>
    <w:multiLevelType w:val="multilevel"/>
    <w:tmpl w:val="6610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FC181F"/>
    <w:multiLevelType w:val="multilevel"/>
    <w:tmpl w:val="074E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58671B"/>
    <w:multiLevelType w:val="multilevel"/>
    <w:tmpl w:val="8048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3C0FE4"/>
    <w:multiLevelType w:val="multilevel"/>
    <w:tmpl w:val="952A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FA55DD"/>
    <w:multiLevelType w:val="multilevel"/>
    <w:tmpl w:val="ACFC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6B37F9"/>
    <w:multiLevelType w:val="multilevel"/>
    <w:tmpl w:val="F236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315930"/>
    <w:multiLevelType w:val="multilevel"/>
    <w:tmpl w:val="AF88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3876FB"/>
    <w:multiLevelType w:val="multilevel"/>
    <w:tmpl w:val="888C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9E5F34"/>
    <w:multiLevelType w:val="multilevel"/>
    <w:tmpl w:val="118C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212171"/>
    <w:multiLevelType w:val="multilevel"/>
    <w:tmpl w:val="31B6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A6046A"/>
    <w:multiLevelType w:val="multilevel"/>
    <w:tmpl w:val="295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872F9E"/>
    <w:multiLevelType w:val="multilevel"/>
    <w:tmpl w:val="157E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BF4F4A"/>
    <w:multiLevelType w:val="multilevel"/>
    <w:tmpl w:val="27BC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1D2561"/>
    <w:multiLevelType w:val="multilevel"/>
    <w:tmpl w:val="88D4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B1491A"/>
    <w:multiLevelType w:val="multilevel"/>
    <w:tmpl w:val="398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68168B"/>
    <w:multiLevelType w:val="multilevel"/>
    <w:tmpl w:val="2452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14742C"/>
    <w:multiLevelType w:val="multilevel"/>
    <w:tmpl w:val="35A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2C31BE"/>
    <w:multiLevelType w:val="multilevel"/>
    <w:tmpl w:val="1A32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FC207C"/>
    <w:multiLevelType w:val="multilevel"/>
    <w:tmpl w:val="DA3E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2667FF"/>
    <w:multiLevelType w:val="multilevel"/>
    <w:tmpl w:val="BF3E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F031B5"/>
    <w:multiLevelType w:val="hybridMultilevel"/>
    <w:tmpl w:val="8976F5AE"/>
    <w:lvl w:ilvl="0" w:tplc="0410000F">
      <w:start w:val="1"/>
      <w:numFmt w:val="decimal"/>
      <w:lvlText w:val="%1."/>
      <w:lvlJc w:val="left"/>
      <w:pPr>
        <w:ind w:left="852" w:hanging="360"/>
      </w:pPr>
    </w:lvl>
    <w:lvl w:ilvl="1" w:tplc="04100019" w:tentative="1">
      <w:start w:val="1"/>
      <w:numFmt w:val="lowerLetter"/>
      <w:lvlText w:val="%2."/>
      <w:lvlJc w:val="left"/>
      <w:pPr>
        <w:ind w:left="1572" w:hanging="360"/>
      </w:pPr>
    </w:lvl>
    <w:lvl w:ilvl="2" w:tplc="0410001B" w:tentative="1">
      <w:start w:val="1"/>
      <w:numFmt w:val="lowerRoman"/>
      <w:lvlText w:val="%3."/>
      <w:lvlJc w:val="right"/>
      <w:pPr>
        <w:ind w:left="2292" w:hanging="180"/>
      </w:pPr>
    </w:lvl>
    <w:lvl w:ilvl="3" w:tplc="0410000F" w:tentative="1">
      <w:start w:val="1"/>
      <w:numFmt w:val="decimal"/>
      <w:lvlText w:val="%4."/>
      <w:lvlJc w:val="left"/>
      <w:pPr>
        <w:ind w:left="3012" w:hanging="360"/>
      </w:pPr>
    </w:lvl>
    <w:lvl w:ilvl="4" w:tplc="04100019" w:tentative="1">
      <w:start w:val="1"/>
      <w:numFmt w:val="lowerLetter"/>
      <w:lvlText w:val="%5."/>
      <w:lvlJc w:val="left"/>
      <w:pPr>
        <w:ind w:left="3732" w:hanging="360"/>
      </w:pPr>
    </w:lvl>
    <w:lvl w:ilvl="5" w:tplc="0410001B" w:tentative="1">
      <w:start w:val="1"/>
      <w:numFmt w:val="lowerRoman"/>
      <w:lvlText w:val="%6."/>
      <w:lvlJc w:val="right"/>
      <w:pPr>
        <w:ind w:left="4452" w:hanging="180"/>
      </w:pPr>
    </w:lvl>
    <w:lvl w:ilvl="6" w:tplc="0410000F" w:tentative="1">
      <w:start w:val="1"/>
      <w:numFmt w:val="decimal"/>
      <w:lvlText w:val="%7."/>
      <w:lvlJc w:val="left"/>
      <w:pPr>
        <w:ind w:left="5172" w:hanging="360"/>
      </w:pPr>
    </w:lvl>
    <w:lvl w:ilvl="7" w:tplc="04100019" w:tentative="1">
      <w:start w:val="1"/>
      <w:numFmt w:val="lowerLetter"/>
      <w:lvlText w:val="%8."/>
      <w:lvlJc w:val="left"/>
      <w:pPr>
        <w:ind w:left="5892" w:hanging="360"/>
      </w:pPr>
    </w:lvl>
    <w:lvl w:ilvl="8" w:tplc="0410001B" w:tentative="1">
      <w:start w:val="1"/>
      <w:numFmt w:val="lowerRoman"/>
      <w:lvlText w:val="%9."/>
      <w:lvlJc w:val="right"/>
      <w:pPr>
        <w:ind w:left="6612" w:hanging="180"/>
      </w:pPr>
    </w:lvl>
  </w:abstractNum>
  <w:abstractNum w:abstractNumId="34"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DB494C"/>
    <w:multiLevelType w:val="multilevel"/>
    <w:tmpl w:val="498E5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BC6530"/>
    <w:multiLevelType w:val="multilevel"/>
    <w:tmpl w:val="80F0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CD16EC"/>
    <w:multiLevelType w:val="multilevel"/>
    <w:tmpl w:val="414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F31481"/>
    <w:multiLevelType w:val="multilevel"/>
    <w:tmpl w:val="9F94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044B75"/>
    <w:multiLevelType w:val="multilevel"/>
    <w:tmpl w:val="28B0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7E6857"/>
    <w:multiLevelType w:val="multilevel"/>
    <w:tmpl w:val="5A12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CC14B2"/>
    <w:multiLevelType w:val="multilevel"/>
    <w:tmpl w:val="52D6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E174AC"/>
    <w:multiLevelType w:val="multilevel"/>
    <w:tmpl w:val="6CA4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9B27E1"/>
    <w:multiLevelType w:val="multilevel"/>
    <w:tmpl w:val="3544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E244D9"/>
    <w:multiLevelType w:val="multilevel"/>
    <w:tmpl w:val="E58E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35508A"/>
    <w:multiLevelType w:val="multilevel"/>
    <w:tmpl w:val="1E6A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7F7414"/>
    <w:multiLevelType w:val="multilevel"/>
    <w:tmpl w:val="D38E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1C63C1"/>
    <w:multiLevelType w:val="multilevel"/>
    <w:tmpl w:val="4360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109961">
    <w:abstractNumId w:val="16"/>
  </w:num>
  <w:num w:numId="2" w16cid:durableId="1722706951">
    <w:abstractNumId w:val="17"/>
  </w:num>
  <w:num w:numId="3" w16cid:durableId="335810324">
    <w:abstractNumId w:val="20"/>
  </w:num>
  <w:num w:numId="4" w16cid:durableId="808743765">
    <w:abstractNumId w:val="9"/>
  </w:num>
  <w:num w:numId="5" w16cid:durableId="1356345100">
    <w:abstractNumId w:val="10"/>
  </w:num>
  <w:num w:numId="6" w16cid:durableId="409356113">
    <w:abstractNumId w:val="24"/>
  </w:num>
  <w:num w:numId="7" w16cid:durableId="1013411307">
    <w:abstractNumId w:val="34"/>
  </w:num>
  <w:num w:numId="8" w16cid:durableId="704909136">
    <w:abstractNumId w:val="37"/>
  </w:num>
  <w:num w:numId="9" w16cid:durableId="52509991">
    <w:abstractNumId w:val="35"/>
  </w:num>
  <w:num w:numId="10" w16cid:durableId="1333682702">
    <w:abstractNumId w:val="31"/>
  </w:num>
  <w:num w:numId="11" w16cid:durableId="1909807842">
    <w:abstractNumId w:val="2"/>
  </w:num>
  <w:num w:numId="12" w16cid:durableId="1487088586">
    <w:abstractNumId w:val="40"/>
  </w:num>
  <w:num w:numId="13" w16cid:durableId="1114593495">
    <w:abstractNumId w:val="26"/>
  </w:num>
  <w:num w:numId="14" w16cid:durableId="1628773550">
    <w:abstractNumId w:val="38"/>
  </w:num>
  <w:num w:numId="15" w16cid:durableId="713774797">
    <w:abstractNumId w:val="0"/>
  </w:num>
  <w:num w:numId="16" w16cid:durableId="1056122605">
    <w:abstractNumId w:val="29"/>
  </w:num>
  <w:num w:numId="17" w16cid:durableId="1338655213">
    <w:abstractNumId w:val="7"/>
  </w:num>
  <w:num w:numId="18" w16cid:durableId="1150560835">
    <w:abstractNumId w:val="42"/>
  </w:num>
  <w:num w:numId="19" w16cid:durableId="446778102">
    <w:abstractNumId w:val="13"/>
  </w:num>
  <w:num w:numId="20" w16cid:durableId="1998455877">
    <w:abstractNumId w:val="8"/>
  </w:num>
  <w:num w:numId="21" w16cid:durableId="1002704581">
    <w:abstractNumId w:val="43"/>
  </w:num>
  <w:num w:numId="22" w16cid:durableId="1130323459">
    <w:abstractNumId w:val="32"/>
  </w:num>
  <w:num w:numId="23" w16cid:durableId="1909195254">
    <w:abstractNumId w:val="45"/>
  </w:num>
  <w:num w:numId="24" w16cid:durableId="1205361407">
    <w:abstractNumId w:val="46"/>
  </w:num>
  <w:num w:numId="25" w16cid:durableId="888343348">
    <w:abstractNumId w:val="23"/>
  </w:num>
  <w:num w:numId="26" w16cid:durableId="1236403852">
    <w:abstractNumId w:val="4"/>
  </w:num>
  <w:num w:numId="27" w16cid:durableId="1103694667">
    <w:abstractNumId w:val="5"/>
  </w:num>
  <w:num w:numId="28" w16cid:durableId="179243257">
    <w:abstractNumId w:val="44"/>
  </w:num>
  <w:num w:numId="29" w16cid:durableId="1051853557">
    <w:abstractNumId w:val="39"/>
  </w:num>
  <w:num w:numId="30" w16cid:durableId="1495297104">
    <w:abstractNumId w:val="15"/>
  </w:num>
  <w:num w:numId="31" w16cid:durableId="741679770">
    <w:abstractNumId w:val="47"/>
  </w:num>
  <w:num w:numId="32" w16cid:durableId="776364294">
    <w:abstractNumId w:val="28"/>
  </w:num>
  <w:num w:numId="33" w16cid:durableId="2066223847">
    <w:abstractNumId w:val="41"/>
  </w:num>
  <w:num w:numId="34" w16cid:durableId="333069689">
    <w:abstractNumId w:val="36"/>
  </w:num>
  <w:num w:numId="35" w16cid:durableId="2108382338">
    <w:abstractNumId w:val="3"/>
  </w:num>
  <w:num w:numId="36" w16cid:durableId="1406099947">
    <w:abstractNumId w:val="25"/>
  </w:num>
  <w:num w:numId="37" w16cid:durableId="1639413028">
    <w:abstractNumId w:val="27"/>
  </w:num>
  <w:num w:numId="38" w16cid:durableId="1057701088">
    <w:abstractNumId w:val="48"/>
  </w:num>
  <w:num w:numId="39" w16cid:durableId="306664209">
    <w:abstractNumId w:val="6"/>
  </w:num>
  <w:num w:numId="40" w16cid:durableId="1680038284">
    <w:abstractNumId w:val="1"/>
  </w:num>
  <w:num w:numId="41" w16cid:durableId="1234968122">
    <w:abstractNumId w:val="14"/>
  </w:num>
  <w:num w:numId="42" w16cid:durableId="18358808">
    <w:abstractNumId w:val="30"/>
  </w:num>
  <w:num w:numId="43" w16cid:durableId="1010370927">
    <w:abstractNumId w:val="18"/>
  </w:num>
  <w:num w:numId="44" w16cid:durableId="328558406">
    <w:abstractNumId w:val="19"/>
  </w:num>
  <w:num w:numId="45" w16cid:durableId="843521075">
    <w:abstractNumId w:val="22"/>
  </w:num>
  <w:num w:numId="46" w16cid:durableId="23556124">
    <w:abstractNumId w:val="12"/>
  </w:num>
  <w:num w:numId="47" w16cid:durableId="1994216827">
    <w:abstractNumId w:val="21"/>
  </w:num>
  <w:num w:numId="48" w16cid:durableId="374083443">
    <w:abstractNumId w:val="11"/>
  </w:num>
  <w:num w:numId="49" w16cid:durableId="24349675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166B79"/>
    <w:rsid w:val="00255D51"/>
    <w:rsid w:val="002F7382"/>
    <w:rsid w:val="00372089"/>
    <w:rsid w:val="003A084A"/>
    <w:rsid w:val="003A69A9"/>
    <w:rsid w:val="003D6E47"/>
    <w:rsid w:val="004A0665"/>
    <w:rsid w:val="0058254B"/>
    <w:rsid w:val="0058413E"/>
    <w:rsid w:val="005B6830"/>
    <w:rsid w:val="006206F7"/>
    <w:rsid w:val="006E40AB"/>
    <w:rsid w:val="006F1785"/>
    <w:rsid w:val="00784F56"/>
    <w:rsid w:val="007D5E85"/>
    <w:rsid w:val="008265EC"/>
    <w:rsid w:val="008375B5"/>
    <w:rsid w:val="008C3C52"/>
    <w:rsid w:val="008E31E6"/>
    <w:rsid w:val="008F1D9B"/>
    <w:rsid w:val="0092056C"/>
    <w:rsid w:val="00926BFB"/>
    <w:rsid w:val="009334D8"/>
    <w:rsid w:val="00987802"/>
    <w:rsid w:val="009A170F"/>
    <w:rsid w:val="00A40BAD"/>
    <w:rsid w:val="00A875D4"/>
    <w:rsid w:val="00A9474F"/>
    <w:rsid w:val="00AC2DCE"/>
    <w:rsid w:val="00AC3FDE"/>
    <w:rsid w:val="00AF086B"/>
    <w:rsid w:val="00B826BD"/>
    <w:rsid w:val="00BC1EEA"/>
    <w:rsid w:val="00C301C7"/>
    <w:rsid w:val="00C80D0F"/>
    <w:rsid w:val="00CB2744"/>
    <w:rsid w:val="00D13BAB"/>
    <w:rsid w:val="00D251EA"/>
    <w:rsid w:val="00D40915"/>
    <w:rsid w:val="00DC0452"/>
    <w:rsid w:val="00E06AC2"/>
    <w:rsid w:val="00E87C3B"/>
    <w:rsid w:val="00F07268"/>
    <w:rsid w:val="00F229CB"/>
    <w:rsid w:val="00FB49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6F1785"/>
    <w:rPr>
      <w:color w:val="467886" w:themeColor="hyperlink"/>
      <w:u w:val="single"/>
    </w:rPr>
  </w:style>
  <w:style w:type="character" w:styleId="UnresolvedMention">
    <w:name w:val="Unresolved Mention"/>
    <w:basedOn w:val="DefaultParagraphFont"/>
    <w:uiPriority w:val="99"/>
    <w:semiHidden/>
    <w:unhideWhenUsed/>
    <w:rsid w:val="006F1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england.nhs.uk/digitaltechnology/the-single-patient-record/" TargetMode="External"/><Relationship Id="rId18" Type="http://schemas.openxmlformats.org/officeDocument/2006/relationships/hyperlink" Target="https://www.hee.nhs.uk/digital-readiness/topol-review-progress-on-the-recommendations" TargetMode="External"/><Relationship Id="rId3" Type="http://schemas.openxmlformats.org/officeDocument/2006/relationships/settings" Target="settings.xml"/><Relationship Id="rId21" Type="http://schemas.openxmlformats.org/officeDocument/2006/relationships/hyperlink" Target="https://www.kingsfund.org.uk/insight-and-analysis/reports/digital-change-health-social-care" TargetMode="External"/><Relationship Id="rId7" Type="http://schemas.openxmlformats.org/officeDocument/2006/relationships/image" Target="media/image1.jpeg"/><Relationship Id="rId12" Type="http://schemas.openxmlformats.org/officeDocument/2006/relationships/hyperlink" Target="https://www.england.nhs.uk/digitaltechnology/digitising-the-frontline/" TargetMode="External"/><Relationship Id="rId17" Type="http://schemas.openxmlformats.org/officeDocument/2006/relationships/hyperlink" Target="https://www.england.nhs.uk/long-read/electronic-prescription-service-ep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digitaltechnology/connecting-care-records-programme/" TargetMode="External"/><Relationship Id="rId20" Type="http://schemas.openxmlformats.org/officeDocument/2006/relationships/hyperlink" Target="https://www.england.nhs.uk/2025/06/nhs-approves-new-it-system-for-gps-to-help-transform-c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opol.hee.nhs.uk/the-topol-review/"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long-read/purpose-of-the-gp-electronic-health-record/" TargetMode="External"/><Relationship Id="rId23" Type="http://schemas.openxmlformats.org/officeDocument/2006/relationships/footer" Target="footer1.xml"/><Relationship Id="rId10" Type="http://schemas.openxmlformats.org/officeDocument/2006/relationships/hyperlink" Target="https://www.gov.uk/government/news/review-of-information-technology-in-nhs" TargetMode="External"/><Relationship Id="rId19" Type="http://schemas.openxmlformats.org/officeDocument/2006/relationships/hyperlink" Target="https://www.england.nhs.uk/long-read/subject-access-requests-sar/" TargetMode="External"/><Relationship Id="rId4" Type="http://schemas.openxmlformats.org/officeDocument/2006/relationships/webSettings" Target="webSettings.xml"/><Relationship Id="rId9" Type="http://schemas.openxmlformats.org/officeDocument/2006/relationships/hyperlink" Target="https://www.gov.uk/government/publications/using-information-technology-to-improve-the-nhs?utm_source=chatgpt.com" TargetMode="External"/><Relationship Id="rId14" Type="http://schemas.openxmlformats.org/officeDocument/2006/relationships/hyperlink" Target="https://www.england.nhs.uk/long-read/summary-care-records-scr/" TargetMode="External"/><Relationship Id="rId22" Type="http://schemas.openxmlformats.org/officeDocument/2006/relationships/hyperlink" Target="https://www.kingsfund.org.uk/projects/managing-digital-change-health-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2506</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16758</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Sara Panicocolo (2322396)</cp:lastModifiedBy>
  <cp:revision>2</cp:revision>
  <dcterms:created xsi:type="dcterms:W3CDTF">2026-03-17T11:20:00Z</dcterms:created>
  <dcterms:modified xsi:type="dcterms:W3CDTF">2026-03-17T11:20:00Z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e1ba4bac-5d99-470d-b0d3-18f59fb4cd8a</vt:lpwstr>
  </property>
</Properties>
</file>