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2DC513" w14:textId="77777777" w:rsidR="00005D78" w:rsidRDefault="00F850D8">
      <w:pPr>
        <w:rPr>
          <w:b/>
          <w:sz w:val="24"/>
          <w:szCs w:val="24"/>
        </w:rPr>
      </w:pPr>
      <w:r>
        <w:rPr>
          <w:b/>
          <w:sz w:val="24"/>
          <w:szCs w:val="24"/>
        </w:rPr>
        <w:t>COMMON LAW</w:t>
      </w:r>
    </w:p>
    <w:p w14:paraId="19EE71FA" w14:textId="77777777" w:rsidR="00EA2036" w:rsidRDefault="00FB26D6">
      <w:pPr>
        <w:rPr>
          <w:b/>
          <w:sz w:val="24"/>
          <w:szCs w:val="24"/>
        </w:rPr>
      </w:pPr>
      <w:r>
        <w:rPr>
          <w:b/>
          <w:sz w:val="24"/>
          <w:szCs w:val="24"/>
        </w:rPr>
        <w:t xml:space="preserve">Common law is a judge-made </w:t>
      </w:r>
      <w:r w:rsidR="00E44A21">
        <w:rPr>
          <w:b/>
          <w:sz w:val="24"/>
          <w:szCs w:val="24"/>
        </w:rPr>
        <w:t>law</w:t>
      </w:r>
      <w:r w:rsidR="00273CBB">
        <w:rPr>
          <w:b/>
          <w:sz w:val="24"/>
          <w:szCs w:val="24"/>
        </w:rPr>
        <w:t>. It originated with the legal reforms of King Henry 11 in the 12</w:t>
      </w:r>
      <w:r w:rsidR="00273CBB" w:rsidRPr="00273CBB">
        <w:rPr>
          <w:b/>
          <w:sz w:val="24"/>
          <w:szCs w:val="24"/>
          <w:vertAlign w:val="superscript"/>
        </w:rPr>
        <w:t>th</w:t>
      </w:r>
      <w:r w:rsidR="00273CBB">
        <w:rPr>
          <w:b/>
          <w:sz w:val="24"/>
          <w:szCs w:val="24"/>
        </w:rPr>
        <w:t xml:space="preserve"> century and was called “common” because it applied equally across the</w:t>
      </w:r>
      <w:r w:rsidR="007B3A35">
        <w:rPr>
          <w:b/>
          <w:sz w:val="24"/>
          <w:szCs w:val="24"/>
        </w:rPr>
        <w:t xml:space="preserve"> whole country. It is based on judicial precedents emerging </w:t>
      </w:r>
      <w:r w:rsidR="00EA2036">
        <w:rPr>
          <w:b/>
          <w:sz w:val="24"/>
          <w:szCs w:val="24"/>
        </w:rPr>
        <w:t>from disputes between one person and another.</w:t>
      </w:r>
    </w:p>
    <w:p w14:paraId="6B9731E6" w14:textId="074AFA57" w:rsidR="00EA2036" w:rsidRDefault="00EA2036">
      <w:pPr>
        <w:rPr>
          <w:b/>
          <w:sz w:val="24"/>
          <w:szCs w:val="24"/>
        </w:rPr>
      </w:pPr>
      <w:r>
        <w:rPr>
          <w:b/>
          <w:sz w:val="24"/>
          <w:szCs w:val="24"/>
        </w:rPr>
        <w:t>Common law is an unwritten body of law</w:t>
      </w:r>
      <w:r w:rsidR="003C629A">
        <w:rPr>
          <w:b/>
          <w:sz w:val="24"/>
          <w:szCs w:val="24"/>
        </w:rPr>
        <w:t>. This has serve as the bases for new law making to be written. An example of common law is in February 2019, the U.K. parliament passed the voyeurism (offences) act that officially make</w:t>
      </w:r>
      <w:r w:rsidR="00894F41">
        <w:rPr>
          <w:b/>
          <w:sz w:val="24"/>
          <w:szCs w:val="24"/>
        </w:rPr>
        <w:t>s u</w:t>
      </w:r>
      <w:r w:rsidR="003C629A">
        <w:rPr>
          <w:b/>
          <w:sz w:val="24"/>
          <w:szCs w:val="24"/>
        </w:rPr>
        <w:t>pskirting a crime, punishable by up to two years in prison and the possibility of planning a convicted individual of the sex offenders register.</w:t>
      </w:r>
    </w:p>
    <w:p w14:paraId="22623998" w14:textId="77777777" w:rsidR="003C629A" w:rsidRDefault="00E44A21">
      <w:pPr>
        <w:rPr>
          <w:b/>
          <w:sz w:val="24"/>
          <w:szCs w:val="24"/>
        </w:rPr>
      </w:pPr>
      <w:r>
        <w:rPr>
          <w:b/>
          <w:sz w:val="24"/>
          <w:szCs w:val="24"/>
        </w:rPr>
        <w:t>Common law is established by courts. Because of</w:t>
      </w:r>
      <w:r w:rsidR="004F6104">
        <w:rPr>
          <w:b/>
          <w:sz w:val="24"/>
          <w:szCs w:val="24"/>
        </w:rPr>
        <w:t xml:space="preserve"> that, judges decide cases based</w:t>
      </w:r>
      <w:r>
        <w:rPr>
          <w:b/>
          <w:sz w:val="24"/>
          <w:szCs w:val="24"/>
        </w:rPr>
        <w:t xml:space="preserve"> on case law.</w:t>
      </w:r>
      <w:r w:rsidR="004F6104">
        <w:rPr>
          <w:b/>
          <w:sz w:val="24"/>
          <w:szCs w:val="24"/>
        </w:rPr>
        <w:t xml:space="preserve"> The case of Ryland and Fletcher in the early 19</w:t>
      </w:r>
      <w:r w:rsidR="004F6104" w:rsidRPr="004F6104">
        <w:rPr>
          <w:b/>
          <w:sz w:val="24"/>
          <w:szCs w:val="24"/>
          <w:vertAlign w:val="superscript"/>
        </w:rPr>
        <w:t>th</w:t>
      </w:r>
      <w:r w:rsidR="004F6104">
        <w:rPr>
          <w:b/>
          <w:sz w:val="24"/>
          <w:szCs w:val="24"/>
        </w:rPr>
        <w:t xml:space="preserve"> century which</w:t>
      </w:r>
      <w:r w:rsidR="000B4F47">
        <w:rPr>
          <w:b/>
          <w:sz w:val="24"/>
          <w:szCs w:val="24"/>
        </w:rPr>
        <w:t xml:space="preserve"> the common law provided solutions for environmentally pollution and</w:t>
      </w:r>
      <w:r w:rsidR="004F6104">
        <w:rPr>
          <w:b/>
          <w:sz w:val="24"/>
          <w:szCs w:val="24"/>
        </w:rPr>
        <w:t xml:space="preserve"> remain useful for many years</w:t>
      </w:r>
      <w:r w:rsidR="000B4F47">
        <w:rPr>
          <w:b/>
          <w:sz w:val="24"/>
          <w:szCs w:val="24"/>
        </w:rPr>
        <w:t>.</w:t>
      </w:r>
    </w:p>
    <w:p w14:paraId="6B38F18E" w14:textId="13BBD0F4" w:rsidR="00A24EED" w:rsidRDefault="00C62705" w:rsidP="00A24EED">
      <w:pPr>
        <w:rPr>
          <w:b/>
          <w:sz w:val="24"/>
          <w:szCs w:val="24"/>
        </w:rPr>
      </w:pPr>
      <w:r>
        <w:rPr>
          <w:b/>
          <w:sz w:val="24"/>
          <w:szCs w:val="24"/>
        </w:rPr>
        <w:t xml:space="preserve"> One can be confident of what will happen in his / her case if si</w:t>
      </w:r>
      <w:r w:rsidR="00894F41">
        <w:rPr>
          <w:b/>
          <w:sz w:val="24"/>
          <w:szCs w:val="24"/>
        </w:rPr>
        <w:t>milar case has been heard previously</w:t>
      </w:r>
      <w:r>
        <w:rPr>
          <w:b/>
          <w:sz w:val="24"/>
          <w:szCs w:val="24"/>
        </w:rPr>
        <w:t>. But with an unusual case, there is nothing to stop a judge</w:t>
      </w:r>
      <w:r w:rsidR="00F46CB7">
        <w:rPr>
          <w:b/>
          <w:sz w:val="24"/>
          <w:szCs w:val="24"/>
        </w:rPr>
        <w:t xml:space="preserve"> from</w:t>
      </w:r>
      <w:r>
        <w:rPr>
          <w:b/>
          <w:sz w:val="24"/>
          <w:szCs w:val="24"/>
        </w:rPr>
        <w:t xml:space="preserve"> creating a new</w:t>
      </w:r>
      <w:r w:rsidR="00F46CB7">
        <w:rPr>
          <w:b/>
          <w:sz w:val="24"/>
          <w:szCs w:val="24"/>
        </w:rPr>
        <w:t xml:space="preserve"> law and applying it</w:t>
      </w:r>
      <w:r w:rsidR="00245767">
        <w:rPr>
          <w:b/>
          <w:sz w:val="24"/>
          <w:szCs w:val="24"/>
        </w:rPr>
        <w:t xml:space="preserve"> to</w:t>
      </w:r>
      <w:r w:rsidR="00F46CB7">
        <w:rPr>
          <w:b/>
          <w:sz w:val="24"/>
          <w:szCs w:val="24"/>
        </w:rPr>
        <w:t xml:space="preserve"> a case. </w:t>
      </w:r>
      <w:r w:rsidR="00A24EED">
        <w:rPr>
          <w:b/>
          <w:sz w:val="24"/>
          <w:szCs w:val="24"/>
        </w:rPr>
        <w:t xml:space="preserve">                                </w:t>
      </w:r>
    </w:p>
    <w:p w14:paraId="2E5B7CA8" w14:textId="77777777" w:rsidR="00A24EED" w:rsidRDefault="00A24EED" w:rsidP="00A24EED">
      <w:pPr>
        <w:rPr>
          <w:b/>
          <w:sz w:val="24"/>
          <w:szCs w:val="24"/>
        </w:rPr>
      </w:pPr>
    </w:p>
    <w:p w14:paraId="3C54C445" w14:textId="2D8537BA" w:rsidR="00A24EED" w:rsidRDefault="00A24EED" w:rsidP="00A24EED">
      <w:pPr>
        <w:rPr>
          <w:b/>
          <w:sz w:val="24"/>
          <w:szCs w:val="24"/>
        </w:rPr>
      </w:pPr>
      <w:r>
        <w:rPr>
          <w:b/>
          <w:sz w:val="24"/>
          <w:szCs w:val="24"/>
        </w:rPr>
        <w:t>References</w:t>
      </w:r>
    </w:p>
    <w:p w14:paraId="475F4920" w14:textId="4CAF56BC" w:rsidR="00A24EED" w:rsidRDefault="00894F41" w:rsidP="00A24EED">
      <w:pPr>
        <w:rPr>
          <w:b/>
          <w:sz w:val="24"/>
          <w:szCs w:val="24"/>
        </w:rPr>
      </w:pPr>
      <w:r>
        <w:rPr>
          <w:b/>
          <w:sz w:val="24"/>
          <w:szCs w:val="24"/>
        </w:rPr>
        <w:t>Law T</w:t>
      </w:r>
      <w:r w:rsidR="00A24EED">
        <w:rPr>
          <w:b/>
          <w:sz w:val="24"/>
          <w:szCs w:val="24"/>
        </w:rPr>
        <w:t xml:space="preserve">eacher. November 2013. </w:t>
      </w:r>
      <w:r>
        <w:rPr>
          <w:b/>
          <w:sz w:val="24"/>
          <w:szCs w:val="24"/>
        </w:rPr>
        <w:t xml:space="preserve">Ryland v Fletcher Case Summary </w:t>
      </w:r>
      <w:r w:rsidR="00A24EED">
        <w:rPr>
          <w:b/>
          <w:sz w:val="24"/>
          <w:szCs w:val="24"/>
        </w:rPr>
        <w:t>(online).</w:t>
      </w:r>
    </w:p>
    <w:p w14:paraId="5EA29AB7" w14:textId="62693662" w:rsidR="00A24EED" w:rsidRDefault="00A24EED" w:rsidP="00A24EED">
      <w:pPr>
        <w:rPr>
          <w:b/>
          <w:sz w:val="24"/>
          <w:szCs w:val="24"/>
        </w:rPr>
      </w:pPr>
      <w:r>
        <w:rPr>
          <w:b/>
          <w:sz w:val="24"/>
          <w:szCs w:val="24"/>
        </w:rPr>
        <w:t xml:space="preserve">Available from: </w:t>
      </w:r>
      <w:hyperlink r:id="rId4" w:history="1">
        <w:r w:rsidR="0095520B" w:rsidRPr="00F830A6">
          <w:rPr>
            <w:rStyle w:val="Hyperlink"/>
            <w:b/>
            <w:sz w:val="24"/>
            <w:szCs w:val="24"/>
          </w:rPr>
          <w:t>https://www.lawteacher.net/cases/rylands-v-fletcher.php?vref=1</w:t>
        </w:r>
      </w:hyperlink>
    </w:p>
    <w:p w14:paraId="2A3800EA" w14:textId="7D9F5A89" w:rsidR="0095520B" w:rsidRPr="00A24EED" w:rsidRDefault="0095520B" w:rsidP="00A24EED">
      <w:pPr>
        <w:rPr>
          <w:b/>
          <w:sz w:val="24"/>
          <w:szCs w:val="24"/>
        </w:rPr>
      </w:pPr>
      <w:r>
        <w:rPr>
          <w:b/>
          <w:sz w:val="24"/>
          <w:szCs w:val="24"/>
        </w:rPr>
        <w:t>(Accessed: 24 May 2022)</w:t>
      </w:r>
      <w:r w:rsidR="00894F41">
        <w:rPr>
          <w:b/>
          <w:sz w:val="24"/>
          <w:szCs w:val="24"/>
        </w:rPr>
        <w:t>.</w:t>
      </w:r>
      <w:bookmarkStart w:id="0" w:name="_GoBack"/>
      <w:bookmarkEnd w:id="0"/>
    </w:p>
    <w:p w14:paraId="4C55289B" w14:textId="7E485176" w:rsidR="00A24EED" w:rsidRDefault="00A24EED" w:rsidP="00A24EED">
      <w:pPr>
        <w:jc w:val="center"/>
        <w:rPr>
          <w:b/>
          <w:sz w:val="24"/>
          <w:szCs w:val="24"/>
          <w:u w:val="single"/>
        </w:rPr>
      </w:pPr>
      <w:r>
        <w:rPr>
          <w:b/>
          <w:sz w:val="24"/>
          <w:szCs w:val="24"/>
          <w:u w:val="single"/>
        </w:rPr>
        <w:t xml:space="preserve">                                                                                                              </w:t>
      </w:r>
    </w:p>
    <w:p w14:paraId="27518AD8" w14:textId="7A3E7CFF" w:rsidR="00A24EED" w:rsidRPr="00A24EED" w:rsidRDefault="00A24EED" w:rsidP="00A24EED">
      <w:pPr>
        <w:jc w:val="center"/>
        <w:rPr>
          <w:b/>
          <w:sz w:val="24"/>
          <w:szCs w:val="24"/>
          <w:u w:val="single"/>
        </w:rPr>
      </w:pPr>
      <w:r>
        <w:rPr>
          <w:b/>
          <w:sz w:val="24"/>
          <w:szCs w:val="24"/>
          <w:u w:val="single"/>
        </w:rPr>
        <w:t xml:space="preserve">       </w:t>
      </w:r>
    </w:p>
    <w:sectPr w:rsidR="00A24EED" w:rsidRPr="00A24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0D8"/>
    <w:rsid w:val="00005D78"/>
    <w:rsid w:val="000B4F47"/>
    <w:rsid w:val="00245767"/>
    <w:rsid w:val="00273CBB"/>
    <w:rsid w:val="003447E0"/>
    <w:rsid w:val="003C629A"/>
    <w:rsid w:val="004F6104"/>
    <w:rsid w:val="005F2505"/>
    <w:rsid w:val="007B3A35"/>
    <w:rsid w:val="00894F41"/>
    <w:rsid w:val="008B341B"/>
    <w:rsid w:val="0095520B"/>
    <w:rsid w:val="00A24EED"/>
    <w:rsid w:val="00C35DF5"/>
    <w:rsid w:val="00C62705"/>
    <w:rsid w:val="00D71E85"/>
    <w:rsid w:val="00E44A21"/>
    <w:rsid w:val="00EA2036"/>
    <w:rsid w:val="00F46CB7"/>
    <w:rsid w:val="00F850D8"/>
    <w:rsid w:val="00FB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6E110"/>
  <w15:chartTrackingRefBased/>
  <w15:docId w15:val="{00673B24-4889-4D7D-8F3F-B63A95EE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2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lawteacher.net/cases/rylands-v-fletcher.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Boateng</dc:creator>
  <cp:keywords/>
  <dc:description/>
  <cp:lastModifiedBy>Portia Boateng</cp:lastModifiedBy>
  <cp:revision>2</cp:revision>
  <dcterms:created xsi:type="dcterms:W3CDTF">2022-05-25T13:23:00Z</dcterms:created>
  <dcterms:modified xsi:type="dcterms:W3CDTF">2022-05-25T13:23:00Z</dcterms:modified>
</cp:coreProperties>
</file>