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B07B05" w14:textId="77777777" w:rsidR="000221E2" w:rsidRDefault="000221E2">
      <w:pPr>
        <w:jc w:val="center"/>
        <w:rPr>
          <w:b/>
          <w:sz w:val="36"/>
          <w:szCs w:val="36"/>
        </w:rPr>
      </w:pPr>
      <w:bookmarkStart w:id="0" w:name="_heading=h.akhru68oohdm" w:colFirst="0" w:colLast="0"/>
      <w:bookmarkEnd w:id="0"/>
    </w:p>
    <w:p w14:paraId="356C4B5B" w14:textId="77777777" w:rsidR="000221E2" w:rsidRDefault="000221E2">
      <w:pPr>
        <w:rPr>
          <w:b/>
          <w:sz w:val="36"/>
          <w:szCs w:val="36"/>
        </w:rPr>
      </w:pPr>
    </w:p>
    <w:p w14:paraId="1693A20D" w14:textId="77777777" w:rsidR="000221E2" w:rsidRDefault="00C435F0">
      <w:pPr>
        <w:jc w:val="center"/>
        <w:rPr>
          <w:b/>
          <w:sz w:val="36"/>
          <w:szCs w:val="36"/>
        </w:rPr>
      </w:pPr>
      <w:r>
        <w:rPr>
          <w:b/>
          <w:sz w:val="36"/>
          <w:szCs w:val="36"/>
        </w:rPr>
        <w:t xml:space="preserve">BA (Hons) Leadership and Management Skills for the Workplace </w:t>
      </w:r>
    </w:p>
    <w:p w14:paraId="38BC84D8" w14:textId="77777777" w:rsidR="000221E2" w:rsidRDefault="00C435F0">
      <w:pPr>
        <w:jc w:val="center"/>
        <w:rPr>
          <w:b/>
          <w:sz w:val="36"/>
          <w:szCs w:val="36"/>
        </w:rPr>
      </w:pPr>
      <w:r>
        <w:rPr>
          <w:b/>
          <w:sz w:val="36"/>
          <w:szCs w:val="36"/>
        </w:rPr>
        <w:t>Strategic Management for Business</w:t>
      </w:r>
    </w:p>
    <w:p w14:paraId="33412E2F" w14:textId="77777777" w:rsidR="000221E2" w:rsidRDefault="00C435F0">
      <w:pPr>
        <w:jc w:val="center"/>
        <w:rPr>
          <w:b/>
          <w:sz w:val="36"/>
          <w:szCs w:val="36"/>
        </w:rPr>
      </w:pPr>
      <w:r>
        <w:rPr>
          <w:b/>
          <w:sz w:val="36"/>
          <w:szCs w:val="36"/>
        </w:rPr>
        <w:t>LCLM 6001</w:t>
      </w:r>
    </w:p>
    <w:p w14:paraId="66958123" w14:textId="77777777" w:rsidR="000221E2" w:rsidRDefault="000221E2">
      <w:pPr>
        <w:rPr>
          <w:sz w:val="36"/>
          <w:szCs w:val="36"/>
        </w:rPr>
      </w:pPr>
    </w:p>
    <w:p w14:paraId="1088012C" w14:textId="77777777" w:rsidR="000221E2" w:rsidRDefault="000221E2">
      <w:pPr>
        <w:jc w:val="center"/>
        <w:rPr>
          <w:sz w:val="36"/>
          <w:szCs w:val="36"/>
        </w:rPr>
      </w:pPr>
    </w:p>
    <w:p w14:paraId="4CA1A636" w14:textId="77777777" w:rsidR="000221E2" w:rsidRDefault="000221E2">
      <w:pPr>
        <w:jc w:val="center"/>
        <w:rPr>
          <w:sz w:val="36"/>
          <w:szCs w:val="36"/>
        </w:rPr>
      </w:pPr>
    </w:p>
    <w:p w14:paraId="70724C6B" w14:textId="07F3F9A5" w:rsidR="000221E2" w:rsidRDefault="00C435F0">
      <w:pPr>
        <w:jc w:val="center"/>
        <w:rPr>
          <w:b/>
        </w:rPr>
      </w:pPr>
      <w:r>
        <w:rPr>
          <w:b/>
        </w:rPr>
        <w:t xml:space="preserve">Student </w:t>
      </w:r>
      <w:r w:rsidR="00EF088F">
        <w:rPr>
          <w:b/>
        </w:rPr>
        <w:t>N</w:t>
      </w:r>
      <w:r>
        <w:rPr>
          <w:b/>
        </w:rPr>
        <w:t>ame:</w:t>
      </w:r>
      <w:r w:rsidR="00BA5891">
        <w:rPr>
          <w:b/>
        </w:rPr>
        <w:t xml:space="preserve"> Ilie Bucur</w:t>
      </w:r>
    </w:p>
    <w:p w14:paraId="6BEA86CD" w14:textId="33CC4A2E" w:rsidR="000221E2" w:rsidRDefault="00C435F0">
      <w:pPr>
        <w:jc w:val="center"/>
        <w:rPr>
          <w:b/>
        </w:rPr>
      </w:pPr>
      <w:r>
        <w:rPr>
          <w:b/>
        </w:rPr>
        <w:t xml:space="preserve">Student </w:t>
      </w:r>
      <w:r w:rsidR="00EF088F">
        <w:rPr>
          <w:b/>
        </w:rPr>
        <w:t>ID</w:t>
      </w:r>
      <w:r>
        <w:rPr>
          <w:b/>
        </w:rPr>
        <w:t>:</w:t>
      </w:r>
      <w:r w:rsidR="00BA5891">
        <w:rPr>
          <w:b/>
        </w:rPr>
        <w:t xml:space="preserve"> </w:t>
      </w:r>
      <w:r w:rsidR="009C44C0">
        <w:rPr>
          <w:b/>
        </w:rPr>
        <w:t>2310918</w:t>
      </w:r>
    </w:p>
    <w:p w14:paraId="75ACB729" w14:textId="355C84C9" w:rsidR="00EF088F" w:rsidRDefault="00EF088F">
      <w:pPr>
        <w:jc w:val="center"/>
        <w:rPr>
          <w:b/>
        </w:rPr>
      </w:pPr>
      <w:r>
        <w:rPr>
          <w:b/>
        </w:rPr>
        <w:t>Lecturer Name: Ibrahim Rufai</w:t>
      </w:r>
    </w:p>
    <w:p w14:paraId="1F424FE6" w14:textId="77777777" w:rsidR="000221E2" w:rsidRDefault="00C435F0">
      <w:pPr>
        <w:rPr>
          <w:sz w:val="36"/>
          <w:szCs w:val="36"/>
        </w:rPr>
      </w:pPr>
      <w:r>
        <w:br w:type="page"/>
      </w:r>
    </w:p>
    <w:p w14:paraId="4DFFF3E9" w14:textId="77777777" w:rsidR="000221E2" w:rsidRDefault="00C435F0">
      <w:pPr>
        <w:rPr>
          <w:b/>
        </w:rPr>
      </w:pPr>
      <w:r>
        <w:rPr>
          <w:b/>
        </w:rPr>
        <w:lastRenderedPageBreak/>
        <w:t xml:space="preserve">Executive Summary </w:t>
      </w:r>
    </w:p>
    <w:p w14:paraId="6F3D04D0" w14:textId="77777777" w:rsidR="000221E2" w:rsidRDefault="00C435F0">
      <w:r>
        <w:t>This report gives a strategic analysis of Gail’s Bakery, which is a London based chain of artisan bakery with more than 100 branches throughout the UK. Gail’s was founded in 2005 and has developed a solid reputation of creating quality, hand-made bakery products and encouraging community involvement and sustainability. Sustainability, high-quality products, and neighbourhood-like customer experiences are the focus of the strategic direction of the company, which makes it a leader in the artisanal bakery ind</w:t>
      </w:r>
      <w:r>
        <w:t>ustry.</w:t>
      </w:r>
    </w:p>
    <w:p w14:paraId="12EE913B" w14:textId="77777777" w:rsidR="000221E2" w:rsidRDefault="00C435F0">
      <w:r>
        <w:t>A PESTEL and Porter's Five Forces environmental analysis established that Gails is subjected to a very competitive market, which has been influenced by the economic pressures, evolving consumer tastes and preferences and technological innovation. The internal SWOT analysis revealed that strong brand reputation and sustainability focus were the main strengths of the company and high operational costs and the lack of market diversification are the challenges.</w:t>
      </w:r>
    </w:p>
    <w:p w14:paraId="65464D0A" w14:textId="77777777" w:rsidR="000221E2" w:rsidRDefault="00C435F0">
      <w:r>
        <w:t>The report proposes a digital growth and sustainable sourcing strategy to motivate long-term growth. This focuses on the investment of the digital ordering systems, loyalty apps, and green supply chain partners to maximize efficiency and reach to the customers. As one of the leading companies in the changing UK food and beverage market, Gail can enhance its competitive advantage, customer retention, and achieve long-lasting growth by applying its artisanal expertise and sustainability values.</w:t>
      </w:r>
    </w:p>
    <w:p w14:paraId="550652D8" w14:textId="77777777" w:rsidR="000221E2" w:rsidRDefault="00C435F0">
      <w:pPr>
        <w:rPr>
          <w:i/>
        </w:rPr>
      </w:pPr>
      <w:r>
        <w:br w:type="page"/>
      </w:r>
    </w:p>
    <w:p w14:paraId="6EA51CFB" w14:textId="77777777" w:rsidR="000221E2" w:rsidRDefault="00C435F0">
      <w:pPr>
        <w:keepNext/>
        <w:keepLines/>
        <w:pBdr>
          <w:top w:val="nil"/>
          <w:left w:val="nil"/>
          <w:bottom w:val="nil"/>
          <w:right w:val="nil"/>
          <w:between w:val="nil"/>
        </w:pBdr>
        <w:spacing w:before="240" w:after="0" w:line="259" w:lineRule="auto"/>
        <w:jc w:val="center"/>
        <w:rPr>
          <w:rFonts w:ascii="Calibri" w:eastAsia="Calibri" w:hAnsi="Calibri" w:cs="Calibri"/>
          <w:b/>
          <w:color w:val="000000"/>
          <w:sz w:val="32"/>
          <w:szCs w:val="32"/>
        </w:rPr>
      </w:pPr>
      <w:r>
        <w:rPr>
          <w:rFonts w:ascii="Calibri" w:eastAsia="Calibri" w:hAnsi="Calibri" w:cs="Calibri"/>
          <w:b/>
          <w:color w:val="000000"/>
          <w:sz w:val="32"/>
          <w:szCs w:val="32"/>
        </w:rPr>
        <w:lastRenderedPageBreak/>
        <w:t>Table of Contents</w:t>
      </w:r>
    </w:p>
    <w:sdt>
      <w:sdtPr>
        <w:id w:val="-1742728982"/>
        <w:docPartObj>
          <w:docPartGallery w:val="Table of Contents"/>
          <w:docPartUnique/>
        </w:docPartObj>
      </w:sdtPr>
      <w:sdtEndPr/>
      <w:sdtContent>
        <w:p w14:paraId="4F55B455" w14:textId="77777777" w:rsidR="000221E2" w:rsidRDefault="00C435F0">
          <w:pPr>
            <w:pBdr>
              <w:top w:val="nil"/>
              <w:left w:val="nil"/>
              <w:bottom w:val="nil"/>
              <w:right w:val="nil"/>
              <w:between w:val="nil"/>
            </w:pBdr>
            <w:tabs>
              <w:tab w:val="right" w:leader="dot" w:pos="9350"/>
            </w:tabs>
            <w:spacing w:after="100"/>
            <w:rPr>
              <w:rFonts w:ascii="Cambria" w:eastAsia="Cambria" w:hAnsi="Cambria" w:cs="Cambria"/>
              <w:color w:val="000000"/>
            </w:rPr>
          </w:pPr>
          <w:r>
            <w:fldChar w:fldCharType="begin"/>
          </w:r>
          <w:r>
            <w:instrText xml:space="preserve"> TOC \h \u \z \t "Heading 1,1,Heading 2,2,Heading 3,3,"</w:instrText>
          </w:r>
          <w:r>
            <w:fldChar w:fldCharType="separate"/>
          </w:r>
          <w:hyperlink w:anchor="_heading=h.5hgfg7wstz69">
            <w:r>
              <w:rPr>
                <w:color w:val="000000"/>
              </w:rPr>
              <w:t>1. Introduction of the Organisation</w:t>
            </w:r>
            <w:r>
              <w:rPr>
                <w:color w:val="000000"/>
              </w:rPr>
              <w:tab/>
              <w:t>4</w:t>
            </w:r>
          </w:hyperlink>
        </w:p>
        <w:p w14:paraId="25F3F0FB" w14:textId="77777777" w:rsidR="000221E2" w:rsidRDefault="00C435F0">
          <w:pPr>
            <w:pBdr>
              <w:top w:val="nil"/>
              <w:left w:val="nil"/>
              <w:bottom w:val="nil"/>
              <w:right w:val="nil"/>
              <w:between w:val="nil"/>
            </w:pBdr>
            <w:tabs>
              <w:tab w:val="right" w:leader="dot" w:pos="9350"/>
            </w:tabs>
            <w:spacing w:after="100"/>
            <w:rPr>
              <w:rFonts w:ascii="Cambria" w:eastAsia="Cambria" w:hAnsi="Cambria" w:cs="Cambria"/>
              <w:color w:val="000000"/>
            </w:rPr>
          </w:pPr>
          <w:hyperlink w:anchor="_heading=h.hq4037ydibnc">
            <w:r>
              <w:rPr>
                <w:color w:val="000000"/>
              </w:rPr>
              <w:t>2. Appraisal of Current Strategic Direction</w:t>
            </w:r>
            <w:r>
              <w:rPr>
                <w:color w:val="000000"/>
              </w:rPr>
              <w:tab/>
              <w:t>5</w:t>
            </w:r>
          </w:hyperlink>
        </w:p>
        <w:p w14:paraId="1A708755" w14:textId="77777777" w:rsidR="000221E2" w:rsidRDefault="00C435F0">
          <w:pPr>
            <w:pBdr>
              <w:top w:val="nil"/>
              <w:left w:val="nil"/>
              <w:bottom w:val="nil"/>
              <w:right w:val="nil"/>
              <w:between w:val="nil"/>
            </w:pBdr>
            <w:tabs>
              <w:tab w:val="right" w:leader="dot" w:pos="9350"/>
            </w:tabs>
            <w:spacing w:after="100"/>
            <w:rPr>
              <w:rFonts w:ascii="Cambria" w:eastAsia="Cambria" w:hAnsi="Cambria" w:cs="Cambria"/>
              <w:color w:val="000000"/>
            </w:rPr>
          </w:pPr>
          <w:hyperlink w:anchor="_heading=h.be9lgl2i5emv">
            <w:r>
              <w:rPr>
                <w:color w:val="000000"/>
              </w:rPr>
              <w:t>3. Environmental Scan &amp; Competitive Analysis</w:t>
            </w:r>
            <w:r>
              <w:rPr>
                <w:color w:val="000000"/>
              </w:rPr>
              <w:tab/>
              <w:t>7</w:t>
            </w:r>
          </w:hyperlink>
        </w:p>
        <w:p w14:paraId="6A04798E" w14:textId="77777777" w:rsidR="000221E2" w:rsidRDefault="00C435F0">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ocfesaw50pba">
            <w:r>
              <w:rPr>
                <w:color w:val="000000"/>
              </w:rPr>
              <w:t>3.1. External Environment</w:t>
            </w:r>
            <w:r>
              <w:rPr>
                <w:color w:val="000000"/>
              </w:rPr>
              <w:tab/>
              <w:t>7</w:t>
            </w:r>
          </w:hyperlink>
        </w:p>
        <w:p w14:paraId="48B826D6" w14:textId="77777777" w:rsidR="000221E2" w:rsidRDefault="00C435F0">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heading=h.dyuuxhkj4bj8">
            <w:r>
              <w:rPr>
                <w:color w:val="000000"/>
              </w:rPr>
              <w:t>3.2. Internal Environment</w:t>
            </w:r>
            <w:r>
              <w:rPr>
                <w:color w:val="000000"/>
              </w:rPr>
              <w:tab/>
              <w:t>9</w:t>
            </w:r>
          </w:hyperlink>
        </w:p>
        <w:p w14:paraId="5BB6A8F2" w14:textId="77777777" w:rsidR="000221E2" w:rsidRDefault="00C435F0">
          <w:pPr>
            <w:pBdr>
              <w:top w:val="nil"/>
              <w:left w:val="nil"/>
              <w:bottom w:val="nil"/>
              <w:right w:val="nil"/>
              <w:between w:val="nil"/>
            </w:pBdr>
            <w:tabs>
              <w:tab w:val="right" w:leader="dot" w:pos="9350"/>
            </w:tabs>
            <w:spacing w:after="100"/>
            <w:rPr>
              <w:rFonts w:ascii="Cambria" w:eastAsia="Cambria" w:hAnsi="Cambria" w:cs="Cambria"/>
              <w:color w:val="000000"/>
            </w:rPr>
          </w:pPr>
          <w:hyperlink w:anchor="_heading=h.xycqvb4gk2e">
            <w:r>
              <w:rPr>
                <w:color w:val="000000"/>
              </w:rPr>
              <w:t>4. Decisions for Strategic Growth</w:t>
            </w:r>
            <w:r>
              <w:rPr>
                <w:color w:val="000000"/>
              </w:rPr>
              <w:tab/>
              <w:t>10</w:t>
            </w:r>
          </w:hyperlink>
        </w:p>
        <w:p w14:paraId="097C3784" w14:textId="77777777" w:rsidR="000221E2" w:rsidRDefault="00C435F0">
          <w:pPr>
            <w:pBdr>
              <w:top w:val="nil"/>
              <w:left w:val="nil"/>
              <w:bottom w:val="nil"/>
              <w:right w:val="nil"/>
              <w:between w:val="nil"/>
            </w:pBdr>
            <w:tabs>
              <w:tab w:val="right" w:leader="dot" w:pos="9350"/>
            </w:tabs>
            <w:spacing w:after="100"/>
            <w:rPr>
              <w:rFonts w:ascii="Cambria" w:eastAsia="Cambria" w:hAnsi="Cambria" w:cs="Cambria"/>
              <w:color w:val="000000"/>
            </w:rPr>
          </w:pPr>
          <w:hyperlink w:anchor="_heading=h.mikwz3jjatp1">
            <w:r>
              <w:rPr>
                <w:color w:val="000000"/>
              </w:rPr>
              <w:t>5. Evaluation and Analysis of Stakeholders</w:t>
            </w:r>
            <w:r>
              <w:rPr>
                <w:color w:val="000000"/>
              </w:rPr>
              <w:tab/>
              <w:t>13</w:t>
            </w:r>
          </w:hyperlink>
        </w:p>
        <w:p w14:paraId="7D6A7022" w14:textId="77777777" w:rsidR="000221E2" w:rsidRDefault="00C435F0">
          <w:pPr>
            <w:pBdr>
              <w:top w:val="nil"/>
              <w:left w:val="nil"/>
              <w:bottom w:val="nil"/>
              <w:right w:val="nil"/>
              <w:between w:val="nil"/>
            </w:pBdr>
            <w:tabs>
              <w:tab w:val="right" w:leader="dot" w:pos="9350"/>
            </w:tabs>
            <w:spacing w:after="100"/>
            <w:rPr>
              <w:rFonts w:ascii="Cambria" w:eastAsia="Cambria" w:hAnsi="Cambria" w:cs="Cambria"/>
              <w:color w:val="000000"/>
            </w:rPr>
          </w:pPr>
          <w:hyperlink w:anchor="_heading=h.3iibgwoyg54z">
            <w:r>
              <w:rPr>
                <w:color w:val="000000"/>
              </w:rPr>
              <w:t>6. Implementing Strategic Recommendations</w:t>
            </w:r>
            <w:r>
              <w:rPr>
                <w:color w:val="000000"/>
              </w:rPr>
              <w:tab/>
              <w:t>16</w:t>
            </w:r>
          </w:hyperlink>
        </w:p>
        <w:p w14:paraId="775CB67E" w14:textId="77777777" w:rsidR="000221E2" w:rsidRDefault="00C435F0">
          <w:pPr>
            <w:pBdr>
              <w:top w:val="nil"/>
              <w:left w:val="nil"/>
              <w:bottom w:val="nil"/>
              <w:right w:val="nil"/>
              <w:between w:val="nil"/>
            </w:pBdr>
            <w:tabs>
              <w:tab w:val="right" w:leader="dot" w:pos="9350"/>
            </w:tabs>
            <w:spacing w:after="100"/>
            <w:rPr>
              <w:rFonts w:ascii="Cambria" w:eastAsia="Cambria" w:hAnsi="Cambria" w:cs="Cambria"/>
              <w:color w:val="000000"/>
            </w:rPr>
          </w:pPr>
          <w:hyperlink w:anchor="_heading=h.tswcvl3pjbsa">
            <w:r>
              <w:rPr>
                <w:color w:val="000000"/>
              </w:rPr>
              <w:t>7. Conclusion</w:t>
            </w:r>
            <w:r>
              <w:rPr>
                <w:color w:val="000000"/>
              </w:rPr>
              <w:tab/>
              <w:t>17</w:t>
            </w:r>
          </w:hyperlink>
        </w:p>
        <w:p w14:paraId="3AD2006D" w14:textId="77777777" w:rsidR="000221E2" w:rsidRDefault="00C435F0">
          <w:pPr>
            <w:pBdr>
              <w:top w:val="nil"/>
              <w:left w:val="nil"/>
              <w:bottom w:val="nil"/>
              <w:right w:val="nil"/>
              <w:between w:val="nil"/>
            </w:pBdr>
            <w:tabs>
              <w:tab w:val="right" w:leader="dot" w:pos="9350"/>
            </w:tabs>
            <w:spacing w:after="100"/>
            <w:rPr>
              <w:rFonts w:ascii="Cambria" w:eastAsia="Cambria" w:hAnsi="Cambria" w:cs="Cambria"/>
              <w:color w:val="000000"/>
            </w:rPr>
          </w:pPr>
          <w:hyperlink w:anchor="_heading=h.hlh8vzkii4gb">
            <w:r>
              <w:rPr>
                <w:color w:val="000000"/>
              </w:rPr>
              <w:t>Reference List</w:t>
            </w:r>
            <w:r>
              <w:rPr>
                <w:color w:val="000000"/>
              </w:rPr>
              <w:tab/>
              <w:t>18</w:t>
            </w:r>
          </w:hyperlink>
        </w:p>
        <w:p w14:paraId="25672ACB" w14:textId="77777777" w:rsidR="000221E2" w:rsidRDefault="00C435F0">
          <w:r>
            <w:fldChar w:fldCharType="end"/>
          </w:r>
        </w:p>
      </w:sdtContent>
    </w:sdt>
    <w:p w14:paraId="01E17562" w14:textId="77777777" w:rsidR="000221E2" w:rsidRDefault="00C435F0">
      <w:pPr>
        <w:rPr>
          <w:i/>
        </w:rPr>
      </w:pPr>
      <w:r>
        <w:br w:type="page"/>
      </w:r>
    </w:p>
    <w:p w14:paraId="4160D697" w14:textId="77777777" w:rsidR="000221E2" w:rsidRDefault="00C435F0">
      <w:pPr>
        <w:pStyle w:val="Titlu1"/>
      </w:pPr>
      <w:bookmarkStart w:id="1" w:name="_heading=h.5hgfg7wstz69" w:colFirst="0" w:colLast="0"/>
      <w:bookmarkEnd w:id="1"/>
      <w:r>
        <w:lastRenderedPageBreak/>
        <w:t xml:space="preserve">1. Introduction of the Organisation </w:t>
      </w:r>
    </w:p>
    <w:p w14:paraId="3B153C38" w14:textId="77777777" w:rsidR="000221E2" w:rsidRDefault="00C435F0">
      <w:pPr>
        <w:spacing w:before="240" w:after="240"/>
      </w:pPr>
      <w:bookmarkStart w:id="2" w:name="_heading=h.gyby3anpn5ac" w:colFirst="0" w:colLast="0"/>
      <w:bookmarkEnd w:id="2"/>
      <w:r>
        <w:t>Gail Bakery is a famous London-based artisan bakery and cafe chain which opened its gates in 2005 in the hands of Tom Molnar and Gail Mejia (Gail’s Bakery, 2023). The company was started in 1999 as a small artisan bakery in Hampstead, North London, and it has grown to a network of more than 100 neighbourhood bakeries in the UK (Gail’s Bakery, 2025). It has established itself as a luxury brand that glorifies craftsmanship, community, and sustainability. Gail has been associated with freshly baked bread, past</w:t>
      </w:r>
      <w:r>
        <w:t>ry, cakes and specialty coffee which is made using high quality, locally sourced ingredients. Its motto is to make good food that does good, which is an indication of its ethical operation and long-term growth (Gail’s Bakery, 2025).</w:t>
      </w:r>
    </w:p>
    <w:p w14:paraId="38B40743" w14:textId="77777777" w:rsidR="000221E2" w:rsidRDefault="00C435F0">
      <w:pPr>
        <w:spacing w:before="240" w:after="240"/>
      </w:pPr>
      <w:bookmarkStart w:id="3" w:name="_heading=h.r2asuc54ej74" w:colFirst="0" w:colLast="0"/>
      <w:bookmarkEnd w:id="3"/>
      <w:r>
        <w:t>This is the character of the business that Gail operates, as it is a mixture of in-store dining and takeaway service with the focus on sustainable practices and ethical sourcing growing. The business model of the bakery encourages reduced food wastage, collaboration with responsible suppliers, and the encouragement of community efforts. An example is that Gail works with The Felix Project and gives away excess food to combat hunger and minimize wastage (Bamford, 2023). Further, the brand uses packaging that</w:t>
      </w:r>
      <w:r>
        <w:t xml:space="preserve"> is eco-friendly and constantly invests in lowering its carbon footprint, which is in line with the increasing demand by consumers to use environmentally responsible brands.</w:t>
      </w:r>
    </w:p>
    <w:p w14:paraId="6D8763CA" w14:textId="77777777" w:rsidR="000221E2" w:rsidRDefault="00C435F0">
      <w:pPr>
        <w:spacing w:before="240" w:after="240"/>
      </w:pPr>
      <w:r>
        <w:t xml:space="preserve">The business model of the company is founded on value-differentiation strategy, whereby the company considers quality and craftsmanship as opposed to competition in terms of price. Compared to other mass-market chains of bakeries like Greggs, Gail’s provides a higher level of customer experience due to its rustic bakery atmosphere, hot food and personalised service (Sebouai, 2023). This will allow it to defend high-pricing, but still have a base of loyal customers who prioritize authenticity, locality, and </w:t>
      </w:r>
      <w:r>
        <w:t>sustainability. The neighbourhood bakery concept of the company makes every branch be part of the local community, giving the outlets a sense of belonging and customer relationship resulting in a stronger brand loyalty.</w:t>
      </w:r>
    </w:p>
    <w:p w14:paraId="7E0C1D09" w14:textId="77777777" w:rsidR="000221E2" w:rsidRDefault="00C435F0">
      <w:pPr>
        <w:spacing w:before="240" w:after="240"/>
      </w:pPr>
      <w:r>
        <w:lastRenderedPageBreak/>
        <w:t>The main target market of Gail includes the urban professionals, as well as students and consumers with middle and upper-income brackets and health-awareness. The values of quality, convenience, and ethical consumption are usually the driving factors behind these customers. The bakery is also targeted at the socially conscious consumers who like transparency in sourcing and production.</w:t>
      </w:r>
    </w:p>
    <w:p w14:paraId="31C2EE9D" w14:textId="77777777" w:rsidR="000221E2" w:rsidRDefault="00C435F0">
      <w:pPr>
        <w:spacing w:before="240" w:after="240"/>
      </w:pPr>
      <w:r>
        <w:t>The lack of mechanization, the artisanal quality, the sustainability, and the community-based mentality make the company have a unique selling proposition (USP) that makes it distinctive. These attributes have helped distinguish Gail about commercial competitors as well as creating long term brand trust and loyalty. The present strategic direction and competitive environment of Gail’s Bakery will be critically analysed in this report and sustainable growth strategies will be identified. Such strategic frame</w:t>
      </w:r>
      <w:r>
        <w:t>works like SWOT, PESET, and Ansoff Matrix are to be implemented in order to analyse its performance and suggest further actions that can affect the development of this situation.</w:t>
      </w:r>
    </w:p>
    <w:p w14:paraId="1E48B8C1" w14:textId="77777777" w:rsidR="000221E2" w:rsidRDefault="00C435F0">
      <w:pPr>
        <w:pStyle w:val="Titlu1"/>
      </w:pPr>
      <w:bookmarkStart w:id="4" w:name="_heading=h.hq4037ydibnc" w:colFirst="0" w:colLast="0"/>
      <w:bookmarkEnd w:id="4"/>
      <w:r>
        <w:t xml:space="preserve">2. Appraisal of Current Strategic Direction </w:t>
      </w:r>
    </w:p>
    <w:p w14:paraId="66E49509" w14:textId="77777777" w:rsidR="000221E2" w:rsidRDefault="00C435F0">
      <w:pPr>
        <w:spacing w:before="240" w:after="240"/>
      </w:pPr>
      <w:bookmarkStart w:id="5" w:name="_heading=h.4s8ecr43lgi7" w:colFirst="0" w:colLast="0"/>
      <w:bookmarkEnd w:id="5"/>
      <w:r>
        <w:t>Gail in bakery has developed a strategic direction that is clear and purposeful as it has integrated its business operations with its values of quality, community, and sustainability. The mission statement of the company, which is to make good food that does good, summarizes the effort to make high-quality baked products and contribute to the overall well-being of the community and ethical sourcing (Gail’s Bakery, 2025). This mission is based on two aspects of the mission of the organisation: culinary excel</w:t>
      </w:r>
      <w:r>
        <w:t>lence and social responsibility; both of which are the pillars of the business strategy. Even though the strategic intent is not highly publicised, Gail tries to achieve its goal of being the top neighbourhood bakery that integrates craftsmanship and sustainable practices in the UK (Gail’s Bakery, 2025).</w:t>
      </w:r>
    </w:p>
    <w:p w14:paraId="6A365AB3" w14:textId="77777777" w:rsidR="000221E2" w:rsidRDefault="00C435F0">
      <w:pPr>
        <w:spacing w:before="240" w:after="240"/>
      </w:pPr>
      <w:r>
        <w:t xml:space="preserve">Gail's strategic objectives are based on three key pillars namely, sustainability, by minimising food waste and carbon emission; (2) artisan quality, by manufacturing handcrafted and using high quality ingredients; and (3) expansion by opening new bakeries in the major urban hubs throughout the UK like Manchester and Bristol. Such </w:t>
      </w:r>
      <w:r>
        <w:lastRenderedPageBreak/>
        <w:t>ambitions demonstrate the way in which the company would like to balance development and ethical and ecological sustainability. An example of brand efforts to ensure everything remains authentic is the low waste baking operations and cooperation with local suppliers in its quest to grow its activities.</w:t>
      </w:r>
    </w:p>
    <w:p w14:paraId="42427C77" w14:textId="77777777" w:rsidR="000221E2" w:rsidRDefault="00C435F0">
      <w:pPr>
        <w:spacing w:before="240" w:after="240"/>
      </w:pPr>
      <w:r>
        <w:t>Gail also does not compete in price but differentiation as far as strategic positioning is concerned. The bakery aims at a specific segment of consumers that attach importance to quality, experience and social impact. Its cafes are supposed to be inviting and home-like, which would support its vision of its cafes as a community joint, but not a commercial one. This strategy has helped Gail to maintain customer loyalty and brand equity among the challenges of the mainstream chains such as Greggs and Pret a M</w:t>
      </w:r>
      <w:r>
        <w:t>anger.</w:t>
      </w:r>
    </w:p>
    <w:p w14:paraId="0BADA93D" w14:textId="77777777" w:rsidR="000221E2" w:rsidRDefault="00C435F0">
      <w:pPr>
        <w:spacing w:before="240" w:after="240"/>
      </w:pPr>
      <w:r>
        <w:t>According to the SMART framework, the goals are quite Specific and Achievable in the case of Gail, its sustainability plans and expansion strategies can be measured in terms of the number of store openings, data on waste reduction, and information on suppliers’ performance. Nevertheless, it is possible to make some of the goals more Time-bound with strict deadlines of carbon neutrality or expansion values, which would hold strategic responsibility.</w:t>
      </w:r>
    </w:p>
    <w:p w14:paraId="204251FE" w14:textId="77777777" w:rsidR="000221E2" w:rsidRDefault="00C435F0">
      <w:r>
        <w:t>Using the Strategic Direction Model by Johnson, Scholes, and Whittington (2017), the demonstration of Gail shows that this company is close to the right direction with its purpose (ethical food production), environment (growing demand on sustainability), and resources (skilled bakers, brand reputation, local partnerships). Moreover, the theory of intended vs. emergent strategy by Mintzberg can be traced in the adaptive strategy of Gail, who responds to the changing consumer trends and delivers dynamic respo</w:t>
      </w:r>
      <w:r>
        <w:t>nses to them, including the plant-based diets and the digital order. Such balance between the planned and adaptive strategy highlights that Gail is resilient and strategic in a changing bakery market.</w:t>
      </w:r>
    </w:p>
    <w:p w14:paraId="2B504608" w14:textId="77777777" w:rsidR="000221E2" w:rsidRDefault="00C435F0">
      <w:pPr>
        <w:pStyle w:val="Titlu1"/>
      </w:pPr>
      <w:bookmarkStart w:id="6" w:name="_heading=h.be9lgl2i5emv" w:colFirst="0" w:colLast="0"/>
      <w:bookmarkEnd w:id="6"/>
      <w:r>
        <w:t xml:space="preserve">3. Environmental Scan &amp; Competitive Analysis </w:t>
      </w:r>
    </w:p>
    <w:p w14:paraId="419B62B2" w14:textId="77777777" w:rsidR="000221E2" w:rsidRDefault="00C435F0">
      <w:pPr>
        <w:pStyle w:val="Titlu2"/>
        <w:rPr>
          <w:b w:val="0"/>
        </w:rPr>
      </w:pPr>
      <w:bookmarkStart w:id="7" w:name="_heading=h.ocfesaw50pba" w:colFirst="0" w:colLast="0"/>
      <w:bookmarkEnd w:id="7"/>
      <w:r>
        <w:t xml:space="preserve">3.1. External Environment </w:t>
      </w:r>
    </w:p>
    <w:p w14:paraId="01260C94" w14:textId="77777777" w:rsidR="000221E2" w:rsidRDefault="00C435F0">
      <w:pPr>
        <w:pStyle w:val="Titlu5"/>
        <w:keepNext w:val="0"/>
        <w:keepLines w:val="0"/>
        <w:spacing w:before="220" w:after="40"/>
        <w:jc w:val="left"/>
      </w:pPr>
      <w:bookmarkStart w:id="8" w:name="_heading=h.yo2es350y4ld" w:colFirst="0" w:colLast="0"/>
      <w:bookmarkEnd w:id="8"/>
      <w:r>
        <w:rPr>
          <w:b/>
          <w:color w:val="000000"/>
          <w:sz w:val="20"/>
          <w:szCs w:val="20"/>
        </w:rPr>
        <w:t>PESTEL Analysis</w:t>
      </w:r>
    </w:p>
    <w:tbl>
      <w:tblPr>
        <w:tblStyle w:val="a"/>
        <w:tblW w:w="9360" w:type="dxa"/>
        <w:jc w:val="center"/>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600" w:firstRow="0" w:lastRow="0" w:firstColumn="0" w:lastColumn="0" w:noHBand="1" w:noVBand="1"/>
      </w:tblPr>
      <w:tblGrid>
        <w:gridCol w:w="1680"/>
        <w:gridCol w:w="7680"/>
      </w:tblGrid>
      <w:tr w:rsidR="000221E2" w14:paraId="0E585BB0" w14:textId="77777777" w:rsidTr="000221E2">
        <w:trPr>
          <w:jc w:val="center"/>
        </w:trPr>
        <w:tc>
          <w:tcPr>
            <w:tcW w:w="1680" w:type="dxa"/>
          </w:tcPr>
          <w:p w14:paraId="2BBD28F0" w14:textId="77777777" w:rsidR="000221E2" w:rsidRDefault="00C435F0">
            <w:pPr>
              <w:widowControl w:val="0"/>
              <w:pBdr>
                <w:top w:val="nil"/>
                <w:left w:val="nil"/>
                <w:bottom w:val="nil"/>
                <w:right w:val="nil"/>
                <w:between w:val="nil"/>
              </w:pBdr>
              <w:spacing w:before="0" w:line="276" w:lineRule="auto"/>
              <w:jc w:val="center"/>
              <w:rPr>
                <w:b/>
              </w:rPr>
            </w:pPr>
            <w:r>
              <w:rPr>
                <w:b/>
              </w:rPr>
              <w:t>Factors</w:t>
            </w:r>
          </w:p>
        </w:tc>
        <w:tc>
          <w:tcPr>
            <w:tcW w:w="7680" w:type="dxa"/>
          </w:tcPr>
          <w:p w14:paraId="12D8483F" w14:textId="77777777" w:rsidR="000221E2" w:rsidRDefault="00C435F0">
            <w:pPr>
              <w:widowControl w:val="0"/>
              <w:pBdr>
                <w:top w:val="nil"/>
                <w:left w:val="nil"/>
                <w:bottom w:val="nil"/>
                <w:right w:val="nil"/>
                <w:between w:val="nil"/>
              </w:pBdr>
              <w:spacing w:before="0" w:line="276" w:lineRule="auto"/>
              <w:jc w:val="center"/>
            </w:pPr>
            <w:r>
              <w:rPr>
                <w:b/>
              </w:rPr>
              <w:t>Descriptions</w:t>
            </w:r>
          </w:p>
        </w:tc>
      </w:tr>
      <w:tr w:rsidR="000221E2" w14:paraId="48AC72EB" w14:textId="77777777" w:rsidTr="000221E2">
        <w:trPr>
          <w:jc w:val="center"/>
        </w:trPr>
        <w:tc>
          <w:tcPr>
            <w:tcW w:w="1680" w:type="dxa"/>
          </w:tcPr>
          <w:p w14:paraId="6EC23302" w14:textId="77777777" w:rsidR="000221E2" w:rsidRDefault="00C435F0">
            <w:pPr>
              <w:spacing w:before="240" w:after="240" w:line="276" w:lineRule="auto"/>
              <w:jc w:val="left"/>
              <w:rPr>
                <w:b/>
              </w:rPr>
            </w:pPr>
            <w:r>
              <w:rPr>
                <w:b/>
              </w:rPr>
              <w:t>Political:</w:t>
            </w:r>
          </w:p>
        </w:tc>
        <w:tc>
          <w:tcPr>
            <w:tcW w:w="7680" w:type="dxa"/>
          </w:tcPr>
          <w:p w14:paraId="2B2BC189" w14:textId="77777777" w:rsidR="000221E2" w:rsidRDefault="00C435F0">
            <w:pPr>
              <w:widowControl w:val="0"/>
              <w:pBdr>
                <w:top w:val="nil"/>
                <w:left w:val="nil"/>
                <w:bottom w:val="nil"/>
                <w:right w:val="nil"/>
                <w:between w:val="nil"/>
              </w:pBdr>
              <w:spacing w:before="0" w:line="276" w:lineRule="auto"/>
            </w:pPr>
            <w:r>
              <w:t xml:space="preserve">UK bakery business is subjected to strict food safety and hygiene standards which are enforced by the Food Standards Agency (FSA). The laws on allergen labelling, ingredients tracing, and food handling practices are obligatory (Buckley, and Lewis, 2022). Moreover, supply chain shocks resulting in Brexit have further caused high costs of imports and long lead time of major ingredients like flour and dairy products (Bakker, </w:t>
            </w:r>
            <w:r>
              <w:rPr>
                <w:i/>
              </w:rPr>
              <w:t xml:space="preserve">et al., </w:t>
            </w:r>
            <w:r>
              <w:t>2022). These aspects have promoted Gail to reinforce its domestic sourcing strategy in order to be stable and retain quality standards.</w:t>
            </w:r>
          </w:p>
        </w:tc>
      </w:tr>
      <w:tr w:rsidR="000221E2" w14:paraId="2C88B504" w14:textId="77777777" w:rsidTr="000221E2">
        <w:trPr>
          <w:jc w:val="center"/>
        </w:trPr>
        <w:tc>
          <w:tcPr>
            <w:tcW w:w="1680" w:type="dxa"/>
          </w:tcPr>
          <w:p w14:paraId="1AC18C85" w14:textId="77777777" w:rsidR="000221E2" w:rsidRDefault="00C435F0">
            <w:pPr>
              <w:widowControl w:val="0"/>
              <w:pBdr>
                <w:top w:val="nil"/>
                <w:left w:val="nil"/>
                <w:bottom w:val="nil"/>
                <w:right w:val="nil"/>
                <w:between w:val="nil"/>
              </w:pBdr>
              <w:spacing w:before="0" w:line="276" w:lineRule="auto"/>
              <w:jc w:val="left"/>
              <w:rPr>
                <w:b/>
              </w:rPr>
            </w:pPr>
            <w:r>
              <w:rPr>
                <w:b/>
              </w:rPr>
              <w:t>Economic</w:t>
            </w:r>
          </w:p>
        </w:tc>
        <w:tc>
          <w:tcPr>
            <w:tcW w:w="7680" w:type="dxa"/>
          </w:tcPr>
          <w:p w14:paraId="0E389A6B" w14:textId="77777777" w:rsidR="000221E2" w:rsidRDefault="00C435F0">
            <w:pPr>
              <w:widowControl w:val="0"/>
              <w:pBdr>
                <w:top w:val="nil"/>
                <w:left w:val="nil"/>
                <w:bottom w:val="nil"/>
                <w:right w:val="nil"/>
                <w:between w:val="nil"/>
              </w:pBdr>
              <w:spacing w:before="0" w:line="276" w:lineRule="auto"/>
            </w:pPr>
            <w:r>
              <w:t>The United Kingdom bakery sector is controlled by strict food safety and hygienic rules that are imposed by the Food Standards Agency (FSA) (Nollet, 2024). Allergen labelling regulations, ingredient traceability and food handling is required. Also, suppliers of main ingredients like flour and dairy products have caused disruptions in supply chains due to Brexit and have caused higher prices and longer lead times of these products (Coleman, Dhaif,  and Oyebode,  2022). All these have forced Gail to reinforce</w:t>
            </w:r>
            <w:r>
              <w:t xml:space="preserve"> its domestic sourcing strategy so as to achieve stability and preservation of the quality standards.</w:t>
            </w:r>
          </w:p>
        </w:tc>
      </w:tr>
      <w:tr w:rsidR="000221E2" w14:paraId="01F10D64" w14:textId="77777777" w:rsidTr="000221E2">
        <w:trPr>
          <w:jc w:val="center"/>
        </w:trPr>
        <w:tc>
          <w:tcPr>
            <w:tcW w:w="1680" w:type="dxa"/>
          </w:tcPr>
          <w:p w14:paraId="1395327F" w14:textId="77777777" w:rsidR="000221E2" w:rsidRDefault="00C435F0">
            <w:pPr>
              <w:widowControl w:val="0"/>
              <w:pBdr>
                <w:top w:val="nil"/>
                <w:left w:val="nil"/>
                <w:bottom w:val="nil"/>
                <w:right w:val="nil"/>
                <w:between w:val="nil"/>
              </w:pBdr>
              <w:spacing w:before="0" w:line="276" w:lineRule="auto"/>
              <w:jc w:val="left"/>
              <w:rPr>
                <w:b/>
              </w:rPr>
            </w:pPr>
            <w:r>
              <w:rPr>
                <w:b/>
              </w:rPr>
              <w:t>Social:</w:t>
            </w:r>
          </w:p>
        </w:tc>
        <w:tc>
          <w:tcPr>
            <w:tcW w:w="7680" w:type="dxa"/>
          </w:tcPr>
          <w:p w14:paraId="5DBEF605" w14:textId="77777777" w:rsidR="000221E2" w:rsidRDefault="00C435F0">
            <w:pPr>
              <w:widowControl w:val="0"/>
              <w:pBdr>
                <w:top w:val="nil"/>
                <w:left w:val="nil"/>
                <w:bottom w:val="nil"/>
                <w:right w:val="nil"/>
                <w:between w:val="nil"/>
              </w:pBdr>
              <w:spacing w:before="0" w:line="276" w:lineRule="auto"/>
            </w:pPr>
            <w:r>
              <w:t>There is a social trend that highly predisposes Gail to the market positioning. Contemporary consumers are putting more and more emphasis on artisan, locally sourced, and sustainable food (Lingham,  Hill and Manning,  2022). There is also the growing popularity of ethical consumption and the customers are showing preference to businesses that are ecofriendly and socially responsible. These new demands are rather consistent with the shifting emphasis of the community engagement, ethical sourcing, and food wa</w:t>
            </w:r>
            <w:r>
              <w:t>ste reduction priority that Gail has layered onto its community that increases brand loyalty.</w:t>
            </w:r>
          </w:p>
        </w:tc>
      </w:tr>
      <w:tr w:rsidR="000221E2" w14:paraId="5D4843AF" w14:textId="77777777" w:rsidTr="000221E2">
        <w:trPr>
          <w:jc w:val="center"/>
        </w:trPr>
        <w:tc>
          <w:tcPr>
            <w:tcW w:w="1680" w:type="dxa"/>
          </w:tcPr>
          <w:p w14:paraId="179B5434" w14:textId="77777777" w:rsidR="000221E2" w:rsidRDefault="00C435F0">
            <w:pPr>
              <w:widowControl w:val="0"/>
              <w:pBdr>
                <w:top w:val="nil"/>
                <w:left w:val="nil"/>
                <w:bottom w:val="nil"/>
                <w:right w:val="nil"/>
                <w:between w:val="nil"/>
              </w:pBdr>
              <w:spacing w:before="0" w:line="276" w:lineRule="auto"/>
              <w:jc w:val="left"/>
              <w:rPr>
                <w:b/>
              </w:rPr>
            </w:pPr>
            <w:r>
              <w:rPr>
                <w:b/>
              </w:rPr>
              <w:t>Technological:</w:t>
            </w:r>
          </w:p>
        </w:tc>
        <w:tc>
          <w:tcPr>
            <w:tcW w:w="7680" w:type="dxa"/>
          </w:tcPr>
          <w:p w14:paraId="3CF9FC13" w14:textId="77777777" w:rsidR="000221E2" w:rsidRDefault="00C435F0">
            <w:pPr>
              <w:widowControl w:val="0"/>
              <w:pBdr>
                <w:top w:val="nil"/>
                <w:left w:val="nil"/>
                <w:bottom w:val="nil"/>
                <w:right w:val="nil"/>
                <w:between w:val="nil"/>
              </w:pBdr>
              <w:spacing w:before="0" w:line="276" w:lineRule="auto"/>
            </w:pPr>
            <w:r>
              <w:t>Technological innovation is transforming the food service industry. Gail is utilizing digital distributions, such as Deliveroo and Uber Eats, to communicate to more consumers and streamline it (Furlan, 2021). There are also alternatives such as digital loyalty programmes and mobile payment systems, which the company is considering to enhance interaction with customers. The technologies of Bakery automation and inventory management in production can help to maintain the consistency and as much as possible re</w:t>
            </w:r>
            <w:r>
              <w:t>duce waste. However, to be competitive one has to invest in the digital infrastructure continuously.</w:t>
            </w:r>
          </w:p>
        </w:tc>
      </w:tr>
      <w:tr w:rsidR="000221E2" w14:paraId="11E192B2" w14:textId="77777777" w:rsidTr="000221E2">
        <w:trPr>
          <w:jc w:val="center"/>
        </w:trPr>
        <w:tc>
          <w:tcPr>
            <w:tcW w:w="1680" w:type="dxa"/>
          </w:tcPr>
          <w:p w14:paraId="38598829" w14:textId="77777777" w:rsidR="000221E2" w:rsidRDefault="00C435F0">
            <w:pPr>
              <w:widowControl w:val="0"/>
              <w:pBdr>
                <w:top w:val="nil"/>
                <w:left w:val="nil"/>
                <w:bottom w:val="nil"/>
                <w:right w:val="nil"/>
                <w:between w:val="nil"/>
              </w:pBdr>
              <w:spacing w:before="0" w:line="276" w:lineRule="auto"/>
              <w:jc w:val="left"/>
              <w:rPr>
                <w:b/>
              </w:rPr>
            </w:pPr>
            <w:r>
              <w:rPr>
                <w:b/>
              </w:rPr>
              <w:t>Environmental:</w:t>
            </w:r>
          </w:p>
        </w:tc>
        <w:tc>
          <w:tcPr>
            <w:tcW w:w="7680" w:type="dxa"/>
          </w:tcPr>
          <w:p w14:paraId="5DC962D6" w14:textId="77777777" w:rsidR="000221E2" w:rsidRDefault="00C435F0">
            <w:pPr>
              <w:widowControl w:val="0"/>
              <w:pBdr>
                <w:top w:val="nil"/>
                <w:left w:val="nil"/>
                <w:bottom w:val="nil"/>
                <w:right w:val="nil"/>
                <w:between w:val="nil"/>
              </w:pBdr>
              <w:spacing w:before="0" w:line="276" w:lineRule="auto"/>
            </w:pPr>
            <w:r>
              <w:t>The strategy of Gail is focused on sustainability. The corporation works on the reduction of waste, presents the carbon-neutral operation and uses the ecofriendly packaging. The Felix Project contributes to such initiatives as donating surplus food; it is possible to prove the fact that this corporation cares about the environment and social impact (Jong, and Ganzaroli, 2024). Not only do such practices satisfy the demands of ethics, but also contribute to differentiation of Gail as a sustainable brand.</w:t>
            </w:r>
          </w:p>
        </w:tc>
      </w:tr>
      <w:tr w:rsidR="000221E2" w14:paraId="36EB12FF" w14:textId="77777777" w:rsidTr="000221E2">
        <w:trPr>
          <w:jc w:val="center"/>
        </w:trPr>
        <w:tc>
          <w:tcPr>
            <w:tcW w:w="1680" w:type="dxa"/>
          </w:tcPr>
          <w:p w14:paraId="15C5802C" w14:textId="77777777" w:rsidR="000221E2" w:rsidRDefault="00C435F0">
            <w:pPr>
              <w:widowControl w:val="0"/>
              <w:pBdr>
                <w:top w:val="nil"/>
                <w:left w:val="nil"/>
                <w:bottom w:val="nil"/>
                <w:right w:val="nil"/>
                <w:between w:val="nil"/>
              </w:pBdr>
              <w:spacing w:before="0" w:line="276" w:lineRule="auto"/>
              <w:jc w:val="left"/>
              <w:rPr>
                <w:b/>
              </w:rPr>
            </w:pPr>
            <w:r>
              <w:rPr>
                <w:b/>
              </w:rPr>
              <w:t>Legal</w:t>
            </w:r>
          </w:p>
        </w:tc>
        <w:tc>
          <w:tcPr>
            <w:tcW w:w="7680" w:type="dxa"/>
          </w:tcPr>
          <w:p w14:paraId="54D2D2BA" w14:textId="77777777" w:rsidR="000221E2" w:rsidRDefault="00C435F0">
            <w:pPr>
              <w:widowControl w:val="0"/>
              <w:pBdr>
                <w:top w:val="nil"/>
                <w:left w:val="nil"/>
                <w:bottom w:val="nil"/>
                <w:right w:val="nil"/>
                <w:between w:val="nil"/>
              </w:pBdr>
              <w:spacing w:before="0" w:line="276" w:lineRule="auto"/>
            </w:pPr>
            <w:r>
              <w:t>The bakery is expected to follow the UK food labeling policies, employment and environmental policies. Food Information Regulations (2014) has stringent rules regarding allergens disclosure, thus the employees are to be instructed continuously and monitored in compliance with the regulations (McWatt2023). Secondly, another aspect with regards to sustainability is the sustainability law on packaging waste and recycling that influences the procurement and good practice operation, which constitutes the overall</w:t>
            </w:r>
            <w:r>
              <w:t xml:space="preserve"> environmental commitment of Gail.</w:t>
            </w:r>
          </w:p>
        </w:tc>
      </w:tr>
    </w:tbl>
    <w:p w14:paraId="734489EA" w14:textId="77777777" w:rsidR="000221E2" w:rsidRDefault="00C435F0">
      <w:pPr>
        <w:pStyle w:val="Titlu5"/>
        <w:keepNext w:val="0"/>
        <w:keepLines w:val="0"/>
        <w:spacing w:before="220" w:after="40"/>
        <w:jc w:val="left"/>
        <w:rPr>
          <w:b/>
          <w:i/>
          <w:color w:val="000000"/>
          <w:sz w:val="24"/>
          <w:szCs w:val="24"/>
          <w:u w:val="single"/>
        </w:rPr>
      </w:pPr>
      <w:bookmarkStart w:id="9" w:name="_heading=h.jqd34qb1je3b" w:colFirst="0" w:colLast="0"/>
      <w:bookmarkEnd w:id="9"/>
      <w:r>
        <w:rPr>
          <w:b/>
          <w:i/>
          <w:color w:val="000000"/>
          <w:sz w:val="24"/>
          <w:szCs w:val="24"/>
          <w:u w:val="single"/>
        </w:rPr>
        <w:t>Porter’s Five Forces Analysis</w:t>
      </w:r>
    </w:p>
    <w:tbl>
      <w:tblPr>
        <w:tblStyle w:val="a0"/>
        <w:tblW w:w="9360" w:type="dxa"/>
        <w:jc w:val="center"/>
        <w:tblBorders>
          <w:top w:val="single" w:sz="4" w:space="0" w:color="B7DDE8"/>
          <w:left w:val="single" w:sz="4" w:space="0" w:color="B7DDE8"/>
          <w:bottom w:val="single" w:sz="4" w:space="0" w:color="B7DDE8"/>
          <w:right w:val="single" w:sz="4" w:space="0" w:color="B7DDE8"/>
          <w:insideH w:val="single" w:sz="4" w:space="0" w:color="B7DDE8"/>
          <w:insideV w:val="single" w:sz="4" w:space="0" w:color="B7DDE8"/>
        </w:tblBorders>
        <w:tblLayout w:type="fixed"/>
        <w:tblLook w:val="0600" w:firstRow="0" w:lastRow="0" w:firstColumn="0" w:lastColumn="0" w:noHBand="1" w:noVBand="1"/>
      </w:tblPr>
      <w:tblGrid>
        <w:gridCol w:w="2595"/>
        <w:gridCol w:w="5235"/>
        <w:gridCol w:w="1530"/>
      </w:tblGrid>
      <w:tr w:rsidR="000221E2" w14:paraId="0729FFA5" w14:textId="77777777" w:rsidTr="000221E2">
        <w:trPr>
          <w:jc w:val="center"/>
        </w:trPr>
        <w:tc>
          <w:tcPr>
            <w:tcW w:w="2595" w:type="dxa"/>
          </w:tcPr>
          <w:p w14:paraId="276BC893" w14:textId="77777777" w:rsidR="000221E2" w:rsidRDefault="00C435F0">
            <w:pPr>
              <w:widowControl w:val="0"/>
              <w:pBdr>
                <w:top w:val="nil"/>
                <w:left w:val="nil"/>
                <w:bottom w:val="nil"/>
                <w:right w:val="nil"/>
                <w:between w:val="nil"/>
              </w:pBdr>
              <w:spacing w:before="0" w:line="276" w:lineRule="auto"/>
              <w:jc w:val="center"/>
              <w:rPr>
                <w:b/>
              </w:rPr>
            </w:pPr>
            <w:r>
              <w:rPr>
                <w:b/>
              </w:rPr>
              <w:t>Factors</w:t>
            </w:r>
          </w:p>
        </w:tc>
        <w:tc>
          <w:tcPr>
            <w:tcW w:w="5235" w:type="dxa"/>
          </w:tcPr>
          <w:p w14:paraId="6CFA7EE6" w14:textId="77777777" w:rsidR="000221E2" w:rsidRDefault="00C435F0">
            <w:pPr>
              <w:widowControl w:val="0"/>
              <w:pBdr>
                <w:top w:val="nil"/>
                <w:left w:val="nil"/>
                <w:bottom w:val="nil"/>
                <w:right w:val="nil"/>
                <w:between w:val="nil"/>
              </w:pBdr>
              <w:spacing w:before="0" w:line="276" w:lineRule="auto"/>
              <w:jc w:val="center"/>
              <w:rPr>
                <w:b/>
              </w:rPr>
            </w:pPr>
            <w:r>
              <w:rPr>
                <w:b/>
              </w:rPr>
              <w:t>Discission</w:t>
            </w:r>
          </w:p>
        </w:tc>
        <w:tc>
          <w:tcPr>
            <w:tcW w:w="1530" w:type="dxa"/>
          </w:tcPr>
          <w:p w14:paraId="60E3330A" w14:textId="77777777" w:rsidR="000221E2" w:rsidRDefault="00C435F0">
            <w:pPr>
              <w:widowControl w:val="0"/>
              <w:pBdr>
                <w:top w:val="nil"/>
                <w:left w:val="nil"/>
                <w:bottom w:val="nil"/>
                <w:right w:val="nil"/>
                <w:between w:val="nil"/>
              </w:pBdr>
              <w:spacing w:before="0" w:line="276" w:lineRule="auto"/>
              <w:jc w:val="center"/>
              <w:rPr>
                <w:b/>
              </w:rPr>
            </w:pPr>
            <w:r>
              <w:rPr>
                <w:b/>
              </w:rPr>
              <w:t>Degree</w:t>
            </w:r>
          </w:p>
        </w:tc>
      </w:tr>
      <w:tr w:rsidR="000221E2" w14:paraId="3BD619DB" w14:textId="77777777" w:rsidTr="000221E2">
        <w:trPr>
          <w:trHeight w:val="2723"/>
          <w:jc w:val="center"/>
        </w:trPr>
        <w:tc>
          <w:tcPr>
            <w:tcW w:w="2595" w:type="dxa"/>
          </w:tcPr>
          <w:p w14:paraId="71411DD4" w14:textId="77777777" w:rsidR="000221E2" w:rsidRDefault="00C435F0">
            <w:pPr>
              <w:spacing w:before="240" w:after="240" w:line="276" w:lineRule="auto"/>
              <w:jc w:val="left"/>
            </w:pPr>
            <w:r>
              <w:rPr>
                <w:b/>
              </w:rPr>
              <w:t>Competitive Rivalry</w:t>
            </w:r>
          </w:p>
        </w:tc>
        <w:tc>
          <w:tcPr>
            <w:tcW w:w="5235" w:type="dxa"/>
          </w:tcPr>
          <w:p w14:paraId="6A223364" w14:textId="77777777" w:rsidR="000221E2" w:rsidRDefault="00C435F0">
            <w:pPr>
              <w:widowControl w:val="0"/>
              <w:pBdr>
                <w:top w:val="nil"/>
                <w:left w:val="nil"/>
                <w:bottom w:val="nil"/>
                <w:right w:val="nil"/>
                <w:between w:val="nil"/>
              </w:pBdr>
              <w:spacing w:before="0" w:line="276" w:lineRule="auto"/>
            </w:pPr>
            <w:r>
              <w:t>The bakery and cafe market in the UK is very competitive and has major participants, including Pret A Manger, Costa coffee, and Greggs, and local independent players. Gail distinguishes itself by high quality and sustainability and neighbourhood appeal. However, high fixed expenses and the existence of powerful competitors increase the competition.</w:t>
            </w:r>
          </w:p>
        </w:tc>
        <w:tc>
          <w:tcPr>
            <w:tcW w:w="1530" w:type="dxa"/>
          </w:tcPr>
          <w:p w14:paraId="3D1A7A64" w14:textId="77777777" w:rsidR="000221E2" w:rsidRDefault="00C435F0">
            <w:pPr>
              <w:widowControl w:val="0"/>
              <w:pBdr>
                <w:top w:val="nil"/>
                <w:left w:val="nil"/>
                <w:bottom w:val="nil"/>
                <w:right w:val="nil"/>
                <w:between w:val="nil"/>
              </w:pBdr>
              <w:spacing w:before="0" w:line="276" w:lineRule="auto"/>
              <w:jc w:val="left"/>
            </w:pPr>
            <w:r>
              <w:t>High</w:t>
            </w:r>
          </w:p>
        </w:tc>
      </w:tr>
      <w:tr w:rsidR="000221E2" w14:paraId="5533B766" w14:textId="77777777" w:rsidTr="000221E2">
        <w:trPr>
          <w:jc w:val="center"/>
        </w:trPr>
        <w:tc>
          <w:tcPr>
            <w:tcW w:w="2595" w:type="dxa"/>
          </w:tcPr>
          <w:p w14:paraId="1FAAC3FF" w14:textId="77777777" w:rsidR="000221E2" w:rsidRDefault="00C435F0">
            <w:pPr>
              <w:widowControl w:val="0"/>
              <w:pBdr>
                <w:top w:val="nil"/>
                <w:left w:val="nil"/>
                <w:bottom w:val="nil"/>
                <w:right w:val="nil"/>
                <w:between w:val="nil"/>
              </w:pBdr>
              <w:spacing w:before="0" w:line="276" w:lineRule="auto"/>
              <w:jc w:val="left"/>
              <w:rPr>
                <w:b/>
              </w:rPr>
            </w:pPr>
            <w:r>
              <w:rPr>
                <w:b/>
              </w:rPr>
              <w:t>Threat of New Entrants</w:t>
            </w:r>
          </w:p>
        </w:tc>
        <w:tc>
          <w:tcPr>
            <w:tcW w:w="5235" w:type="dxa"/>
          </w:tcPr>
          <w:p w14:paraId="752DD484" w14:textId="77777777" w:rsidR="000221E2" w:rsidRDefault="00C435F0">
            <w:pPr>
              <w:widowControl w:val="0"/>
              <w:pBdr>
                <w:top w:val="nil"/>
                <w:left w:val="nil"/>
                <w:bottom w:val="nil"/>
                <w:right w:val="nil"/>
                <w:between w:val="nil"/>
              </w:pBdr>
              <w:spacing w:before="0" w:line="276" w:lineRule="auto"/>
            </w:pPr>
            <w:r>
              <w:t>Although the bakery market may seem easy to venture in, it is a huge investment to attain the kind of quality, brand name, and supply chain reliability, which Gail has attained. Brand recognition, prime retail locations, and artisan production expertise are some of the barriers facing new entrants and moderate this threat.</w:t>
            </w:r>
          </w:p>
        </w:tc>
        <w:tc>
          <w:tcPr>
            <w:tcW w:w="1530" w:type="dxa"/>
          </w:tcPr>
          <w:p w14:paraId="7A3EC5B5" w14:textId="77777777" w:rsidR="000221E2" w:rsidRDefault="00C435F0">
            <w:pPr>
              <w:widowControl w:val="0"/>
              <w:pBdr>
                <w:top w:val="nil"/>
                <w:left w:val="nil"/>
                <w:bottom w:val="nil"/>
                <w:right w:val="nil"/>
                <w:between w:val="nil"/>
              </w:pBdr>
              <w:spacing w:before="0" w:line="276" w:lineRule="auto"/>
              <w:jc w:val="left"/>
            </w:pPr>
            <w:r>
              <w:t>Moderate</w:t>
            </w:r>
          </w:p>
        </w:tc>
      </w:tr>
      <w:tr w:rsidR="000221E2" w14:paraId="4A2F03A7" w14:textId="77777777" w:rsidTr="000221E2">
        <w:trPr>
          <w:jc w:val="center"/>
        </w:trPr>
        <w:tc>
          <w:tcPr>
            <w:tcW w:w="2595" w:type="dxa"/>
          </w:tcPr>
          <w:p w14:paraId="3C0FADA1" w14:textId="77777777" w:rsidR="000221E2" w:rsidRDefault="00C435F0">
            <w:pPr>
              <w:widowControl w:val="0"/>
              <w:pBdr>
                <w:top w:val="nil"/>
                <w:left w:val="nil"/>
                <w:bottom w:val="nil"/>
                <w:right w:val="nil"/>
                <w:between w:val="nil"/>
              </w:pBdr>
              <w:spacing w:before="0" w:line="276" w:lineRule="auto"/>
              <w:jc w:val="left"/>
              <w:rPr>
                <w:b/>
              </w:rPr>
            </w:pPr>
            <w:r>
              <w:rPr>
                <w:b/>
              </w:rPr>
              <w:t>Bargaining Power of Suppliers</w:t>
            </w:r>
          </w:p>
        </w:tc>
        <w:tc>
          <w:tcPr>
            <w:tcW w:w="5235" w:type="dxa"/>
          </w:tcPr>
          <w:p w14:paraId="4084D0B5" w14:textId="77777777" w:rsidR="000221E2" w:rsidRDefault="00C435F0">
            <w:pPr>
              <w:widowControl w:val="0"/>
              <w:pBdr>
                <w:top w:val="nil"/>
                <w:left w:val="nil"/>
                <w:bottom w:val="nil"/>
                <w:right w:val="nil"/>
                <w:between w:val="nil"/>
              </w:pBdr>
              <w:spacing w:before="0" w:line="276" w:lineRule="auto"/>
            </w:pPr>
            <w:r>
              <w:t>Gail relies on the local suppliers of flour, dairy and coffee beans who are specialised. Even though such suppliers provide a higher quality and sustainability level, the lack of sourcing opportunities strengthens reliance. This risk can be addressed through long-term relationships and ethical purchasing practices.</w:t>
            </w:r>
          </w:p>
        </w:tc>
        <w:tc>
          <w:tcPr>
            <w:tcW w:w="1530" w:type="dxa"/>
          </w:tcPr>
          <w:p w14:paraId="424773B7" w14:textId="77777777" w:rsidR="000221E2" w:rsidRDefault="00C435F0">
            <w:pPr>
              <w:widowControl w:val="0"/>
              <w:spacing w:before="0" w:line="276" w:lineRule="auto"/>
              <w:jc w:val="left"/>
            </w:pPr>
            <w:r>
              <w:t>Moderate</w:t>
            </w:r>
          </w:p>
        </w:tc>
      </w:tr>
      <w:tr w:rsidR="000221E2" w14:paraId="4B4DA60B" w14:textId="77777777" w:rsidTr="000221E2">
        <w:trPr>
          <w:jc w:val="center"/>
        </w:trPr>
        <w:tc>
          <w:tcPr>
            <w:tcW w:w="2595" w:type="dxa"/>
          </w:tcPr>
          <w:p w14:paraId="08AC0526" w14:textId="77777777" w:rsidR="000221E2" w:rsidRDefault="00C435F0">
            <w:pPr>
              <w:widowControl w:val="0"/>
              <w:pBdr>
                <w:top w:val="nil"/>
                <w:left w:val="nil"/>
                <w:bottom w:val="nil"/>
                <w:right w:val="nil"/>
                <w:between w:val="nil"/>
              </w:pBdr>
              <w:spacing w:before="0" w:line="276" w:lineRule="auto"/>
              <w:jc w:val="left"/>
              <w:rPr>
                <w:b/>
              </w:rPr>
            </w:pPr>
            <w:r>
              <w:rPr>
                <w:b/>
              </w:rPr>
              <w:t>Bargaining Power of Buyers</w:t>
            </w:r>
          </w:p>
        </w:tc>
        <w:tc>
          <w:tcPr>
            <w:tcW w:w="5235" w:type="dxa"/>
          </w:tcPr>
          <w:p w14:paraId="4A4E305C" w14:textId="77777777" w:rsidR="000221E2" w:rsidRDefault="00C435F0">
            <w:pPr>
              <w:widowControl w:val="0"/>
              <w:pBdr>
                <w:top w:val="nil"/>
                <w:left w:val="nil"/>
                <w:bottom w:val="nil"/>
                <w:right w:val="nil"/>
                <w:between w:val="nil"/>
              </w:pBdr>
              <w:spacing w:before="0" w:line="276" w:lineRule="auto"/>
            </w:pPr>
            <w:r>
              <w:t>There are many bakery and cafe options available to the consumers. Although the Gail has a high brand loyalty, the customers can readily switch to cheaper alternatives, particularly when economies are at a slow pace. The challenge is on maintaining its customer base through quality and experience which will ensure its continuation.</w:t>
            </w:r>
          </w:p>
        </w:tc>
        <w:tc>
          <w:tcPr>
            <w:tcW w:w="1530" w:type="dxa"/>
          </w:tcPr>
          <w:p w14:paraId="34A2240C" w14:textId="77777777" w:rsidR="000221E2" w:rsidRDefault="00C435F0">
            <w:pPr>
              <w:widowControl w:val="0"/>
              <w:pBdr>
                <w:top w:val="nil"/>
                <w:left w:val="nil"/>
                <w:bottom w:val="nil"/>
                <w:right w:val="nil"/>
                <w:between w:val="nil"/>
              </w:pBdr>
              <w:spacing w:before="0" w:line="276" w:lineRule="auto"/>
              <w:jc w:val="left"/>
            </w:pPr>
            <w:r>
              <w:t>High</w:t>
            </w:r>
          </w:p>
        </w:tc>
      </w:tr>
      <w:tr w:rsidR="000221E2" w14:paraId="11918914" w14:textId="77777777" w:rsidTr="000221E2">
        <w:trPr>
          <w:jc w:val="center"/>
        </w:trPr>
        <w:tc>
          <w:tcPr>
            <w:tcW w:w="2595" w:type="dxa"/>
          </w:tcPr>
          <w:p w14:paraId="7CE7CAFC" w14:textId="77777777" w:rsidR="000221E2" w:rsidRDefault="00C435F0">
            <w:pPr>
              <w:widowControl w:val="0"/>
              <w:pBdr>
                <w:top w:val="nil"/>
                <w:left w:val="nil"/>
                <w:bottom w:val="nil"/>
                <w:right w:val="nil"/>
                <w:between w:val="nil"/>
              </w:pBdr>
              <w:spacing w:before="0" w:line="276" w:lineRule="auto"/>
              <w:jc w:val="left"/>
              <w:rPr>
                <w:b/>
              </w:rPr>
            </w:pPr>
            <w:r>
              <w:rPr>
                <w:b/>
              </w:rPr>
              <w:t>Threat of Substitutes</w:t>
            </w:r>
          </w:p>
        </w:tc>
        <w:tc>
          <w:tcPr>
            <w:tcW w:w="5235" w:type="dxa"/>
          </w:tcPr>
          <w:p w14:paraId="63632154" w14:textId="77777777" w:rsidR="000221E2" w:rsidRDefault="00C435F0">
            <w:pPr>
              <w:widowControl w:val="0"/>
              <w:pBdr>
                <w:top w:val="nil"/>
                <w:left w:val="nil"/>
                <w:bottom w:val="nil"/>
                <w:right w:val="nil"/>
                <w:between w:val="nil"/>
              </w:pBdr>
              <w:spacing w:before="0" w:line="276" w:lineRule="auto"/>
            </w:pPr>
            <w:r>
              <w:t>They can also take ready-to-eat bakery products, which are sold in supermarkets, coffee stores, and convenience stores hence the customers have convenient substitutes. Gail should then continue emphasizing on freshness, artistry, and customer experience to retain its competitive advantage.</w:t>
            </w:r>
          </w:p>
        </w:tc>
        <w:tc>
          <w:tcPr>
            <w:tcW w:w="1530" w:type="dxa"/>
          </w:tcPr>
          <w:p w14:paraId="6D02700D" w14:textId="77777777" w:rsidR="000221E2" w:rsidRDefault="00C435F0">
            <w:pPr>
              <w:widowControl w:val="0"/>
              <w:pBdr>
                <w:top w:val="nil"/>
                <w:left w:val="nil"/>
                <w:bottom w:val="nil"/>
                <w:right w:val="nil"/>
                <w:between w:val="nil"/>
              </w:pBdr>
              <w:spacing w:before="0" w:line="276" w:lineRule="auto"/>
              <w:jc w:val="left"/>
            </w:pPr>
            <w:r>
              <w:t>High</w:t>
            </w:r>
          </w:p>
        </w:tc>
      </w:tr>
    </w:tbl>
    <w:p w14:paraId="17447C64" w14:textId="77777777" w:rsidR="000221E2" w:rsidRDefault="00C435F0">
      <w:pPr>
        <w:pStyle w:val="Titlu2"/>
      </w:pPr>
      <w:bookmarkStart w:id="10" w:name="_heading=h.dyuuxhkj4bj8" w:colFirst="0" w:colLast="0"/>
      <w:bookmarkEnd w:id="10"/>
      <w:r>
        <w:t>3.2. Internal Environment</w:t>
      </w:r>
    </w:p>
    <w:p w14:paraId="3964BDAE" w14:textId="77777777" w:rsidR="000221E2" w:rsidRDefault="00C435F0">
      <w:pPr>
        <w:rPr>
          <w:b/>
          <w:i/>
          <w:u w:val="single"/>
        </w:rPr>
      </w:pPr>
      <w:bookmarkStart w:id="11" w:name="_heading=h.w7kqux4jdh7g" w:colFirst="0" w:colLast="0"/>
      <w:bookmarkEnd w:id="11"/>
      <w:r>
        <w:rPr>
          <w:b/>
          <w:i/>
          <w:u w:val="single"/>
        </w:rPr>
        <w:t>SWOT Analysis</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221E2" w14:paraId="6D1BABB1" w14:textId="77777777">
        <w:trPr>
          <w:trHeight w:val="504"/>
        </w:trPr>
        <w:tc>
          <w:tcPr>
            <w:tcW w:w="4680" w:type="dxa"/>
            <w:tcMar>
              <w:top w:w="100" w:type="dxa"/>
              <w:left w:w="100" w:type="dxa"/>
              <w:bottom w:w="100" w:type="dxa"/>
              <w:right w:w="100" w:type="dxa"/>
            </w:tcMar>
          </w:tcPr>
          <w:p w14:paraId="68CD7C46" w14:textId="77777777" w:rsidR="000221E2" w:rsidRDefault="00C435F0">
            <w:pPr>
              <w:spacing w:before="240" w:after="240"/>
              <w:jc w:val="center"/>
            </w:pPr>
            <w:r>
              <w:rPr>
                <w:b/>
              </w:rPr>
              <w:t>Strengths</w:t>
            </w:r>
          </w:p>
        </w:tc>
        <w:tc>
          <w:tcPr>
            <w:tcW w:w="4680" w:type="dxa"/>
            <w:tcMar>
              <w:top w:w="100" w:type="dxa"/>
              <w:left w:w="100" w:type="dxa"/>
              <w:bottom w:w="100" w:type="dxa"/>
              <w:right w:w="100" w:type="dxa"/>
            </w:tcMar>
          </w:tcPr>
          <w:p w14:paraId="2E256EE2" w14:textId="77777777" w:rsidR="000221E2" w:rsidRDefault="00C435F0">
            <w:pPr>
              <w:spacing w:before="240" w:after="240"/>
              <w:ind w:left="720"/>
              <w:jc w:val="center"/>
            </w:pPr>
            <w:r>
              <w:rPr>
                <w:b/>
              </w:rPr>
              <w:t>Weaknesses</w:t>
            </w:r>
          </w:p>
        </w:tc>
      </w:tr>
      <w:tr w:rsidR="000221E2" w14:paraId="5E4D8339" w14:textId="77777777">
        <w:tc>
          <w:tcPr>
            <w:tcW w:w="4680" w:type="dxa"/>
            <w:tcMar>
              <w:top w:w="100" w:type="dxa"/>
              <w:left w:w="100" w:type="dxa"/>
              <w:bottom w:w="100" w:type="dxa"/>
              <w:right w:w="100" w:type="dxa"/>
            </w:tcMar>
          </w:tcPr>
          <w:p w14:paraId="59968C1A" w14:textId="77777777" w:rsidR="000221E2" w:rsidRDefault="00C435F0">
            <w:pPr>
              <w:spacing w:before="240" w:after="240"/>
            </w:pPr>
            <w:r>
              <w:t>Good brand name, customer loyalty, high quality of products and sustainability-based practices.</w:t>
            </w:r>
          </w:p>
        </w:tc>
        <w:tc>
          <w:tcPr>
            <w:tcW w:w="4680" w:type="dxa"/>
            <w:tcMar>
              <w:top w:w="100" w:type="dxa"/>
              <w:left w:w="100" w:type="dxa"/>
              <w:bottom w:w="100" w:type="dxa"/>
              <w:right w:w="100" w:type="dxa"/>
            </w:tcMar>
          </w:tcPr>
          <w:p w14:paraId="7F89A35F" w14:textId="77777777" w:rsidR="000221E2" w:rsidRDefault="00C435F0">
            <w:pPr>
              <w:spacing w:before="240" w:after="240"/>
            </w:pPr>
            <w:r>
              <w:t>They are high operating costs, few international presences and relying on the UK market.</w:t>
            </w:r>
          </w:p>
        </w:tc>
      </w:tr>
      <w:tr w:rsidR="000221E2" w14:paraId="4EA15025" w14:textId="77777777">
        <w:trPr>
          <w:trHeight w:val="735"/>
        </w:trPr>
        <w:tc>
          <w:tcPr>
            <w:tcW w:w="4680" w:type="dxa"/>
            <w:tcMar>
              <w:top w:w="100" w:type="dxa"/>
              <w:left w:w="100" w:type="dxa"/>
              <w:bottom w:w="100" w:type="dxa"/>
              <w:right w:w="100" w:type="dxa"/>
            </w:tcMar>
          </w:tcPr>
          <w:p w14:paraId="5EB00A61" w14:textId="77777777" w:rsidR="000221E2" w:rsidRDefault="00C435F0">
            <w:pPr>
              <w:spacing w:before="240" w:after="240"/>
              <w:jc w:val="center"/>
            </w:pPr>
            <w:r>
              <w:rPr>
                <w:b/>
              </w:rPr>
              <w:t>Opportunities</w:t>
            </w:r>
          </w:p>
        </w:tc>
        <w:tc>
          <w:tcPr>
            <w:tcW w:w="4680" w:type="dxa"/>
            <w:tcMar>
              <w:top w:w="100" w:type="dxa"/>
              <w:left w:w="100" w:type="dxa"/>
              <w:bottom w:w="100" w:type="dxa"/>
              <w:right w:w="100" w:type="dxa"/>
            </w:tcMar>
          </w:tcPr>
          <w:p w14:paraId="228B21ED" w14:textId="77777777" w:rsidR="000221E2" w:rsidRDefault="00C435F0">
            <w:pPr>
              <w:spacing w:before="240" w:after="240"/>
              <w:jc w:val="center"/>
            </w:pPr>
            <w:r>
              <w:rPr>
                <w:b/>
              </w:rPr>
              <w:t>Threats</w:t>
            </w:r>
          </w:p>
        </w:tc>
      </w:tr>
      <w:tr w:rsidR="000221E2" w14:paraId="592CF780" w14:textId="77777777">
        <w:trPr>
          <w:trHeight w:val="2040"/>
        </w:trPr>
        <w:tc>
          <w:tcPr>
            <w:tcW w:w="4680" w:type="dxa"/>
            <w:tcMar>
              <w:top w:w="100" w:type="dxa"/>
              <w:left w:w="100" w:type="dxa"/>
              <w:bottom w:w="100" w:type="dxa"/>
              <w:right w:w="100" w:type="dxa"/>
            </w:tcMar>
          </w:tcPr>
          <w:p w14:paraId="1D8C8D7C" w14:textId="77777777" w:rsidR="000221E2" w:rsidRDefault="00C435F0">
            <w:pPr>
              <w:spacing w:before="240" w:after="240"/>
            </w:pPr>
            <w:r>
              <w:t>Expansion into the region, online ordering, and launching new vegan or health-conscious lines of products.</w:t>
            </w:r>
          </w:p>
        </w:tc>
        <w:tc>
          <w:tcPr>
            <w:tcW w:w="4680" w:type="dxa"/>
            <w:tcMar>
              <w:top w:w="100" w:type="dxa"/>
              <w:left w:w="100" w:type="dxa"/>
              <w:bottom w:w="100" w:type="dxa"/>
              <w:right w:w="100" w:type="dxa"/>
            </w:tcMar>
          </w:tcPr>
          <w:p w14:paraId="341C930F" w14:textId="77777777" w:rsidR="000221E2" w:rsidRDefault="00C435F0">
            <w:pPr>
              <w:spacing w:before="240" w:after="240"/>
            </w:pPr>
            <w:r>
              <w:t>The inflation, volatility in costs, heightened competition as well as the possible recessionary effects on leisure spending money.</w:t>
            </w:r>
            <w:r>
              <w:br/>
            </w:r>
          </w:p>
          <w:p w14:paraId="47426517" w14:textId="77777777" w:rsidR="000221E2" w:rsidRDefault="000221E2">
            <w:pPr>
              <w:widowControl w:val="0"/>
              <w:pBdr>
                <w:top w:val="nil"/>
                <w:left w:val="nil"/>
                <w:bottom w:val="nil"/>
                <w:right w:val="nil"/>
                <w:between w:val="nil"/>
              </w:pBdr>
              <w:spacing w:before="0" w:after="0" w:line="240" w:lineRule="auto"/>
            </w:pPr>
          </w:p>
        </w:tc>
      </w:tr>
    </w:tbl>
    <w:p w14:paraId="2D1FC2AB" w14:textId="77777777" w:rsidR="000221E2" w:rsidRDefault="00C435F0">
      <w:r>
        <w:t>According to this review, Gail has a strategic fundamental position of artisanal fabrics and moral distinction but it can be observed that cost-optimisation and market diversification are needed.</w:t>
      </w:r>
    </w:p>
    <w:p w14:paraId="367BD371" w14:textId="77777777" w:rsidR="000221E2" w:rsidRDefault="00C435F0">
      <w:r>
        <w:t>Such activities aid Gail to create differentiation-based competitive advantage by the way it is capable of integrating the values of craftsmanship, sustainability, and local community in all its operations. It is very competitive in the industry that it has achieved this unified strategy upon which its success lies.</w:t>
      </w:r>
    </w:p>
    <w:p w14:paraId="476B6E2B" w14:textId="77777777" w:rsidR="000221E2" w:rsidRDefault="00C435F0">
      <w:pPr>
        <w:pStyle w:val="Titlu1"/>
      </w:pPr>
      <w:bookmarkStart w:id="12" w:name="_heading=h.xycqvb4gk2e" w:colFirst="0" w:colLast="0"/>
      <w:bookmarkEnd w:id="12"/>
      <w:r>
        <w:t>4. Decisions for Strategic Growth</w:t>
      </w:r>
    </w:p>
    <w:p w14:paraId="7F6E3279" w14:textId="77777777" w:rsidR="000221E2" w:rsidRDefault="00C435F0">
      <w:r>
        <w:t xml:space="preserve">The Ansoff Matrix and Porter's Generic Strategies are both important strategy models that are beneficial to successfully assess growth opportunities for Gail's Bakery to identify opportunities for growth that is viable and sustainable.  They clarify how the bakery stays committed to its artisan and ethical values while improving its competitive position, achieving market share and sustainable profits. </w:t>
      </w:r>
    </w:p>
    <w:p w14:paraId="41933768" w14:textId="77777777" w:rsidR="000221E2" w:rsidRDefault="00C435F0">
      <w:pPr>
        <w:numPr>
          <w:ilvl w:val="0"/>
          <w:numId w:val="2"/>
        </w:numPr>
        <w:pBdr>
          <w:top w:val="nil"/>
          <w:left w:val="nil"/>
          <w:bottom w:val="nil"/>
          <w:right w:val="nil"/>
          <w:between w:val="nil"/>
        </w:pBdr>
        <w:spacing w:before="0" w:after="160"/>
        <w:rPr>
          <w:b/>
          <w:color w:val="000000"/>
        </w:rPr>
      </w:pPr>
      <w:r>
        <w:rPr>
          <w:b/>
          <w:color w:val="000000"/>
        </w:rPr>
        <w:t xml:space="preserve">The Ansoff Matrix </w:t>
      </w:r>
    </w:p>
    <w:p w14:paraId="47C15664" w14:textId="77777777" w:rsidR="000221E2" w:rsidRDefault="00C435F0">
      <w:r>
        <w:t xml:space="preserve">Gail's Bakery's primary four routes to growth via the Ansoff Matrix are diversification, product development, market expansion and market penetration. </w:t>
      </w:r>
    </w:p>
    <w:p w14:paraId="5F1C0A5A" w14:textId="77777777" w:rsidR="000221E2" w:rsidRDefault="00C435F0">
      <w:r>
        <w:rPr>
          <w:b/>
        </w:rPr>
        <w:t>Market penetration:</w:t>
      </w:r>
      <w:r>
        <w:t xml:space="preserve"> Gail's can enhance customer loyalty and strengthen brand engagement by integrating mobile ordering, tailor-made offers, and rewards points into a digital loyalty app (Tarumingkeng, 2025).  This type of initiative would enhance customer convenience, encourage repeat purchases and improve overall customer experience. By personalizing offers and promotions through the use of customer data and analytics - Gail's could increase frequency of purchases and total sales volume in existing metropolitan like location</w:t>
      </w:r>
      <w:r>
        <w:t>s such as London.</w:t>
      </w:r>
    </w:p>
    <w:p w14:paraId="51C5F83C" w14:textId="77777777" w:rsidR="000221E2" w:rsidRDefault="00C435F0">
      <w:r>
        <w:rPr>
          <w:b/>
        </w:rPr>
        <w:t>Product Development:</w:t>
      </w:r>
      <w:r>
        <w:t xml:space="preserve"> Developing vegan, gluten-free, and seasonal menu items shows changing consumer demand than includes, ethical, and healthy food options.  This development will further strengthen Gail's awareness as an innovative, sustainable company that cares for its customers and the environment (Danieli, 2025).  Moreover, limited-edition seasonal menus will create a sense of excitement, and increase foot traffic, while keep customers engaged throughout the seasons.</w:t>
      </w:r>
    </w:p>
    <w:p w14:paraId="32D0F1F6" w14:textId="77777777" w:rsidR="000221E2" w:rsidRDefault="00C435F0">
      <w:pPr>
        <w:jc w:val="center"/>
      </w:pPr>
      <w:r>
        <w:rPr>
          <w:noProof/>
        </w:rPr>
        <w:drawing>
          <wp:inline distT="0" distB="0" distL="0" distR="0" wp14:anchorId="67415401" wp14:editId="5040A638">
            <wp:extent cx="3188293" cy="2491009"/>
            <wp:effectExtent l="0" t="0" r="0" b="0"/>
            <wp:docPr id="795664385" name="image2.png" descr="The Ansoff Matrix - Strategy Training from EPM"/>
            <wp:cNvGraphicFramePr/>
            <a:graphic xmlns:a="http://schemas.openxmlformats.org/drawingml/2006/main">
              <a:graphicData uri="http://schemas.openxmlformats.org/drawingml/2006/picture">
                <pic:pic xmlns:pic="http://schemas.openxmlformats.org/drawingml/2006/picture">
                  <pic:nvPicPr>
                    <pic:cNvPr id="0" name="image2.png" descr="The Ansoff Matrix - Strategy Training from EPM"/>
                    <pic:cNvPicPr preferRelativeResize="0"/>
                  </pic:nvPicPr>
                  <pic:blipFill>
                    <a:blip r:embed="rId8"/>
                    <a:srcRect/>
                    <a:stretch>
                      <a:fillRect/>
                    </a:stretch>
                  </pic:blipFill>
                  <pic:spPr>
                    <a:xfrm>
                      <a:off x="0" y="0"/>
                      <a:ext cx="3188293" cy="2491009"/>
                    </a:xfrm>
                    <a:prstGeom prst="rect">
                      <a:avLst/>
                    </a:prstGeom>
                    <a:ln/>
                  </pic:spPr>
                </pic:pic>
              </a:graphicData>
            </a:graphic>
          </wp:inline>
        </w:drawing>
      </w:r>
    </w:p>
    <w:p w14:paraId="14DF2DE1" w14:textId="77777777" w:rsidR="000221E2" w:rsidRDefault="00C435F0">
      <w:pPr>
        <w:jc w:val="center"/>
      </w:pPr>
      <w:r>
        <w:t>(Source: Tarumingkeng, 2025)</w:t>
      </w:r>
    </w:p>
    <w:p w14:paraId="50EFDD77" w14:textId="77777777" w:rsidR="000221E2" w:rsidRDefault="00C435F0">
      <w:r>
        <w:rPr>
          <w:b/>
        </w:rPr>
        <w:t>Market Development:</w:t>
      </w:r>
      <w:r>
        <w:t xml:space="preserve"> Building on its strong base of successful London establishments, which may be developed into regional UK sites within places such as Bristol and Manchester, which has a strong café culture and growing appetite for high-end eating (Goncharuk </w:t>
      </w:r>
      <w:r>
        <w:rPr>
          <w:i/>
        </w:rPr>
        <w:t>et al</w:t>
      </w:r>
      <w:r>
        <w:t>., 2023).  This approach keeps the brand's focus on artisan, while aiming for a new regional market.  Before investing in a permanent location, Gail's may wish to explore short-run pop-up bakeries, or smaller venues, in regional areas, to gauge interest without the</w:t>
      </w:r>
      <w:r>
        <w:t xml:space="preserve"> financial risk of a permanent location.  All of this will lend itself to entering local supplier relationships that contribute to sustainability and neighbourhood inclusion.</w:t>
      </w:r>
    </w:p>
    <w:p w14:paraId="1D0FF812" w14:textId="77777777" w:rsidR="000221E2" w:rsidRDefault="00C435F0">
      <w:r>
        <w:rPr>
          <w:b/>
        </w:rPr>
        <w:t>Diversification</w:t>
      </w:r>
      <w:r>
        <w:t>: Gail's could grow its business by offering packaged bakery items, such as bread, cookies, and granola, through supermarkets and online channels. This would allow customers to become aware of the Gail's brand beyond the cafe space and provide new income streams (Mickiewicz and Britchenko, 2022). The diversification strategy should be cautiously executed to promote quality control and operational challenges while preserving the brand image of artisanal, handmade products associated with high price points.</w:t>
      </w:r>
    </w:p>
    <w:p w14:paraId="08AC9C37" w14:textId="77777777" w:rsidR="000221E2" w:rsidRDefault="00C435F0">
      <w:pPr>
        <w:numPr>
          <w:ilvl w:val="0"/>
          <w:numId w:val="2"/>
        </w:numPr>
        <w:pBdr>
          <w:top w:val="nil"/>
          <w:left w:val="nil"/>
          <w:bottom w:val="nil"/>
          <w:right w:val="nil"/>
          <w:between w:val="nil"/>
        </w:pBdr>
        <w:spacing w:before="0" w:after="160"/>
        <w:rPr>
          <w:b/>
          <w:color w:val="000000"/>
        </w:rPr>
      </w:pPr>
      <w:r>
        <w:rPr>
          <w:b/>
          <w:color w:val="000000"/>
        </w:rPr>
        <w:t>Porter's Generic Strategy</w:t>
      </w:r>
    </w:p>
    <w:p w14:paraId="60F19D01" w14:textId="77777777" w:rsidR="000221E2" w:rsidRDefault="00C435F0">
      <w:r>
        <w:t>Gail's must employ a differentiation strategy, by providing superior customer experience, sustainable practices, and handmade quality over price competition. This allows the firm to charge high prices while establishing repeat customers (Ali and Anwar, 2021). For the firm to sustain its differentiation strategy, it will have to continue to innovate on their menu, develop upgrades to the aesthetics of packaging, and add digital technology that enhances the traditional in-store experience. In addition, better</w:t>
      </w:r>
      <w:r>
        <w:t xml:space="preserve"> communicating their sustainable initiatives will deepen emotional ties with ethical customers.</w:t>
      </w:r>
    </w:p>
    <w:p w14:paraId="302123F4" w14:textId="77777777" w:rsidR="000221E2" w:rsidRDefault="00C435F0">
      <w:pPr>
        <w:rPr>
          <w:b/>
        </w:rPr>
      </w:pPr>
      <w:r>
        <w:rPr>
          <w:b/>
        </w:rPr>
        <w:t>Proposed Idea for a Sustainable Strategy: Market Expansion through Digitally-Driven Growth and International Expansion</w:t>
      </w:r>
    </w:p>
    <w:p w14:paraId="026D1366" w14:textId="77777777" w:rsidR="000221E2" w:rsidRDefault="00C435F0">
      <w:r>
        <w:t xml:space="preserve">The most sustainable growth option for Gail’s Bakery from the options available is growing the market through digital transformation.  The proposal to build Gail's community bakeries in more communities throughout the UK, while reducing reliance on the London market, is consistent with the proposed expansion into regional markets of Bristol and Manchester (Królak </w:t>
      </w:r>
      <w:r>
        <w:rPr>
          <w:i/>
        </w:rPr>
        <w:t>et al.,</w:t>
      </w:r>
      <w:r>
        <w:t xml:space="preserve"> 2022). Digital transformation will create improved customer engagement and operational efficiencies through the implementation of a customer loyalty app, online ordering, and targeted marketing highly specific to its neighbour of customers. This enables Gail's to pursue long-range, ethical improvements to the business; and continue to strengthen its position as the UK's leading sustainable artisan baker, while expanding core features of business around sustainability, expandability, and community en</w:t>
      </w:r>
      <w:r>
        <w:t xml:space="preserve">gagement (Monteiro </w:t>
      </w:r>
      <w:r>
        <w:rPr>
          <w:i/>
        </w:rPr>
        <w:t>et al</w:t>
      </w:r>
      <w:r>
        <w:t>., 2022).</w:t>
      </w:r>
    </w:p>
    <w:p w14:paraId="2D8DD5AC" w14:textId="77777777" w:rsidR="000221E2" w:rsidRDefault="00C435F0">
      <w:pPr>
        <w:pStyle w:val="Titlu1"/>
      </w:pPr>
      <w:bookmarkStart w:id="13" w:name="_heading=h.mikwz3jjatp1" w:colFirst="0" w:colLast="0"/>
      <w:bookmarkEnd w:id="13"/>
      <w:r>
        <w:t xml:space="preserve">5. Evaluation and Analysis of Stakeholders </w:t>
      </w:r>
    </w:p>
    <w:p w14:paraId="354AE202" w14:textId="77777777" w:rsidR="000221E2" w:rsidRDefault="00C435F0">
      <w:r>
        <w:t>To successfully implement its plan, Gail's Bakery needs to understand the wants and influence of key stakeholders.  By using Mendelow's Matrix, and the RACI model, the organisation can identify the important stakeholders with the appropriate level of power, interest and their support, or resistance to the growth plan of regional expansion backed by digital transformation.</w:t>
      </w:r>
    </w:p>
    <w:p w14:paraId="14CD2BE3" w14:textId="77777777" w:rsidR="000221E2" w:rsidRDefault="00C435F0">
      <w:r>
        <w:t>Gail's Bakery's Primary Stakeholders are customers, employees, suppliers, investors, local communities, government and their regulatory body and senior management.  Each stakeholder group is interested in the bakery operations based on their involvement and the influence on business outcomes.</w:t>
      </w:r>
    </w:p>
    <w:p w14:paraId="1E19700B" w14:textId="77777777" w:rsidR="000221E2" w:rsidRDefault="00C435F0">
      <w:pPr>
        <w:numPr>
          <w:ilvl w:val="0"/>
          <w:numId w:val="1"/>
        </w:numPr>
        <w:pBdr>
          <w:top w:val="nil"/>
          <w:left w:val="nil"/>
          <w:bottom w:val="nil"/>
          <w:right w:val="nil"/>
          <w:between w:val="nil"/>
        </w:pBdr>
        <w:spacing w:before="0" w:after="160"/>
        <w:rPr>
          <w:b/>
          <w:color w:val="000000"/>
        </w:rPr>
      </w:pPr>
      <w:r>
        <w:rPr>
          <w:b/>
          <w:color w:val="000000"/>
        </w:rPr>
        <w:t>Mendelow’s Matrix Analysis</w:t>
      </w:r>
    </w:p>
    <w:p w14:paraId="50EC21E6" w14:textId="77777777" w:rsidR="000221E2" w:rsidRDefault="00C435F0">
      <w:pPr>
        <w:rPr>
          <w:b/>
        </w:rPr>
      </w:pPr>
      <w:r>
        <w:rPr>
          <w:b/>
        </w:rPr>
        <w:t>1. High Interest, High Power: Manage With Care</w:t>
      </w:r>
    </w:p>
    <w:p w14:paraId="0DDD4E79" w14:textId="77777777" w:rsidR="000221E2" w:rsidRDefault="00C435F0">
      <w:r>
        <w:rPr>
          <w:b/>
        </w:rPr>
        <w:t>Investors And Senior Management</w:t>
      </w:r>
      <w:r>
        <w:t xml:space="preserve">: Parties such as investors and senior management shape strategic direction and financial alternatives. Their interest is in brand development, operational efficiency, and long-term profitability (da Anunciação, </w:t>
      </w:r>
      <w:r>
        <w:rPr>
          <w:i/>
        </w:rPr>
        <w:t>n.d</w:t>
      </w:r>
      <w:r>
        <w:t>). If they are not on-board in terms of financing and cash flow for digital infrastructure and regional expansion, their interests are to be certain that the return-on-investment (ROI) and performance measurement are revealed and communicated regularly.</w:t>
      </w:r>
    </w:p>
    <w:p w14:paraId="7E182A3B" w14:textId="77777777" w:rsidR="000221E2" w:rsidRDefault="00C435F0">
      <w:r>
        <w:rPr>
          <w:b/>
        </w:rPr>
        <w:t>Key customers</w:t>
      </w:r>
      <w:r>
        <w:t>: Loyal customers are the company's most important asset, exhibiting high levels of interest and impact indirectly through word-of-mouth brand advocacy and purchase decisions. Key customers expect quality products, easy to work with digital devices, and environmentally sustainable principles (Rahmat, 2025). Engaging those customers is necessary through loyalty programs, communication channels, and consistent quality.</w:t>
      </w:r>
    </w:p>
    <w:p w14:paraId="00191512" w14:textId="77777777" w:rsidR="000221E2" w:rsidRDefault="00C435F0">
      <w:pPr>
        <w:jc w:val="center"/>
      </w:pPr>
      <w:r>
        <w:rPr>
          <w:noProof/>
        </w:rPr>
        <w:drawing>
          <wp:inline distT="0" distB="0" distL="0" distR="0" wp14:anchorId="5B3595D9" wp14:editId="31C28810">
            <wp:extent cx="3761269" cy="2106311"/>
            <wp:effectExtent l="0" t="0" r="0" b="0"/>
            <wp:docPr id="795664386" name="image1.png" descr="Mendelow's Matrix,"/>
            <wp:cNvGraphicFramePr/>
            <a:graphic xmlns:a="http://schemas.openxmlformats.org/drawingml/2006/main">
              <a:graphicData uri="http://schemas.openxmlformats.org/drawingml/2006/picture">
                <pic:pic xmlns:pic="http://schemas.openxmlformats.org/drawingml/2006/picture">
                  <pic:nvPicPr>
                    <pic:cNvPr id="0" name="image1.png" descr="Mendelow's Matrix,"/>
                    <pic:cNvPicPr preferRelativeResize="0"/>
                  </pic:nvPicPr>
                  <pic:blipFill>
                    <a:blip r:embed="rId9"/>
                    <a:srcRect/>
                    <a:stretch>
                      <a:fillRect/>
                    </a:stretch>
                  </pic:blipFill>
                  <pic:spPr>
                    <a:xfrm>
                      <a:off x="0" y="0"/>
                      <a:ext cx="3761269" cy="2106311"/>
                    </a:xfrm>
                    <a:prstGeom prst="rect">
                      <a:avLst/>
                    </a:prstGeom>
                    <a:ln/>
                  </pic:spPr>
                </pic:pic>
              </a:graphicData>
            </a:graphic>
          </wp:inline>
        </w:drawing>
      </w:r>
    </w:p>
    <w:p w14:paraId="5D49FBC6" w14:textId="77777777" w:rsidR="000221E2" w:rsidRDefault="00C435F0">
      <w:pPr>
        <w:jc w:val="center"/>
      </w:pPr>
      <w:r>
        <w:t>(Source: Rahmat, 2025)</w:t>
      </w:r>
    </w:p>
    <w:p w14:paraId="7A4CC986" w14:textId="77777777" w:rsidR="000221E2" w:rsidRDefault="00C435F0">
      <w:pPr>
        <w:rPr>
          <w:b/>
        </w:rPr>
      </w:pPr>
      <w:r>
        <w:rPr>
          <w:b/>
        </w:rPr>
        <w:t>2. High Power, Low Interest: Keep Satisfied</w:t>
      </w:r>
    </w:p>
    <w:p w14:paraId="6EDC050D" w14:textId="77777777" w:rsidR="000221E2" w:rsidRDefault="00C435F0">
      <w:r>
        <w:rPr>
          <w:b/>
        </w:rPr>
        <w:t xml:space="preserve">Government and Regulatory Organizations: </w:t>
      </w:r>
      <w:r>
        <w:t>These organizations have an impact on operational practices through laws pertaining to employment, environmental protections, and food safety (Goncharuk, Figurek and Markou, 2023). Their main expectation is to be in compliance with federal laws and regulations. Keeping communications open and being compliant to laws/regulations on labour and sustainability while being considerate, will afford them satisfaction and negative disputes.</w:t>
      </w:r>
    </w:p>
    <w:p w14:paraId="09BAA8CE" w14:textId="77777777" w:rsidR="000221E2" w:rsidRDefault="00C435F0">
      <w:pPr>
        <w:rPr>
          <w:b/>
        </w:rPr>
      </w:pPr>
      <w:r>
        <w:rPr>
          <w:b/>
        </w:rPr>
        <w:t>3. Low Power, Moderate Interest: Remain Informed</w:t>
      </w:r>
    </w:p>
    <w:p w14:paraId="58EA9BA9" w14:textId="77777777" w:rsidR="000221E2" w:rsidRDefault="00C435F0">
      <w:r>
        <w:rPr>
          <w:b/>
        </w:rPr>
        <w:t>Employees</w:t>
      </w:r>
      <w:r>
        <w:t>: Employees have limited individual power, but they care about their training, job security, and fair pay. Keeping them informed by communicating regularly and involving them in regional and digital transition activities can preserve their motivation and productivity (Mints and Kamyshnykova, 2019).</w:t>
      </w:r>
    </w:p>
    <w:p w14:paraId="3B627E68" w14:textId="77777777" w:rsidR="000221E2" w:rsidRDefault="00C435F0">
      <w:r>
        <w:rPr>
          <w:b/>
        </w:rPr>
        <w:t>Host Communities</w:t>
      </w:r>
      <w:r>
        <w:t>: As Gail's expands their business regionally, community members expect ethical business practices, jobs for locals, and environmental responsibility. Collaborating with nearby businesses and nonprofits to help the community can also foster goodwill and build a relationship with the community.</w:t>
      </w:r>
    </w:p>
    <w:p w14:paraId="4C9837B8" w14:textId="77777777" w:rsidR="000221E2" w:rsidRDefault="00C435F0">
      <w:pPr>
        <w:rPr>
          <w:b/>
        </w:rPr>
      </w:pPr>
      <w:r>
        <w:rPr>
          <w:b/>
        </w:rPr>
        <w:t xml:space="preserve">4. Low Interest, Low Power – Monitor: </w:t>
      </w:r>
    </w:p>
    <w:p w14:paraId="069E62D1" w14:textId="77777777" w:rsidR="000221E2" w:rsidRDefault="00C435F0">
      <w:r>
        <w:rPr>
          <w:b/>
        </w:rPr>
        <w:t>Delivery partners and peripheral providers:</w:t>
      </w:r>
      <w:r>
        <w:t xml:space="preserve"> While they have little power, treating them fairly in your contracts and keeping personal relationships will help continuity as the business grows (Rahmat, 2025).</w:t>
      </w:r>
    </w:p>
    <w:p w14:paraId="05419EA8" w14:textId="77777777" w:rsidR="000221E2" w:rsidRDefault="00C435F0">
      <w:pPr>
        <w:numPr>
          <w:ilvl w:val="0"/>
          <w:numId w:val="1"/>
        </w:numPr>
        <w:pBdr>
          <w:top w:val="nil"/>
          <w:left w:val="nil"/>
          <w:bottom w:val="nil"/>
          <w:right w:val="nil"/>
          <w:between w:val="nil"/>
        </w:pBdr>
        <w:spacing w:before="0" w:after="160"/>
        <w:rPr>
          <w:b/>
          <w:color w:val="000000"/>
        </w:rPr>
      </w:pPr>
      <w:r>
        <w:rPr>
          <w:b/>
          <w:color w:val="000000"/>
        </w:rPr>
        <w:t>RACI application</w:t>
      </w:r>
    </w:p>
    <w:p w14:paraId="41704562" w14:textId="77777777" w:rsidR="000221E2" w:rsidRDefault="00C435F0">
      <w:r>
        <w:rPr>
          <w:b/>
        </w:rPr>
        <w:t>Responsible</w:t>
      </w:r>
      <w:r>
        <w:t>: Operations teams and regional managers are responsible for implementing the growth and digital initiatives.</w:t>
      </w:r>
    </w:p>
    <w:p w14:paraId="0B229CD8" w14:textId="77777777" w:rsidR="000221E2" w:rsidRDefault="00C435F0">
      <w:r>
        <w:rPr>
          <w:b/>
        </w:rPr>
        <w:t>Accountable</w:t>
      </w:r>
      <w:r>
        <w:t>: Senior management has budget responsibility for strategic direction (Lignell, 2024).</w:t>
      </w:r>
    </w:p>
    <w:p w14:paraId="49E7AE95" w14:textId="77777777" w:rsidR="000221E2" w:rsidRDefault="00C435F0">
      <w:r>
        <w:rPr>
          <w:b/>
        </w:rPr>
        <w:t>Consulted</w:t>
      </w:r>
      <w:r>
        <w:t>: Consultation with customers, employees, and important suppliers for implementation suggestions and comments (Mints and Kamyshnykova, 2019).</w:t>
      </w:r>
    </w:p>
    <w:p w14:paraId="58217919" w14:textId="77777777" w:rsidR="000221E2" w:rsidRDefault="00C435F0">
      <w:r>
        <w:rPr>
          <w:b/>
        </w:rPr>
        <w:t>Informed</w:t>
      </w:r>
      <w:r>
        <w:t>: Communities, investors, and regulatory bodies to maintain openness and confidence.</w:t>
      </w:r>
    </w:p>
    <w:p w14:paraId="172F8E4C" w14:textId="77777777" w:rsidR="000221E2" w:rsidRDefault="00C435F0">
      <w:pPr>
        <w:pStyle w:val="Titlu1"/>
      </w:pPr>
      <w:bookmarkStart w:id="14" w:name="_heading=h.3iibgwoyg54z" w:colFirst="0" w:colLast="0"/>
      <w:bookmarkEnd w:id="14"/>
      <w:r>
        <w:t xml:space="preserve">6. Implementing Strategic Recommendations </w:t>
      </w:r>
    </w:p>
    <w:p w14:paraId="1672C7C3" w14:textId="77777777" w:rsidR="000221E2" w:rsidRDefault="00C435F0">
      <w:r>
        <w:t>Gail’s Bakery must prioritize four interconnected strategic goals in order to ensure long-term, sustainable growth. These goals include product innovation, regional development, sustainable supply chain improvement, and digital transformation.</w:t>
      </w:r>
    </w:p>
    <w:p w14:paraId="4C6648A0" w14:textId="77777777" w:rsidR="000221E2" w:rsidRDefault="00C435F0">
      <w:r>
        <w:rPr>
          <w:b/>
        </w:rPr>
        <w:t>1. Digital Transformation:</w:t>
      </w:r>
      <w:r>
        <w:t xml:space="preserve"> Gail’s should develop a smartphone app that provides click and collect, online ordering, and a loyalty scheme. This will enhance customer convenience and retention, while also generating valuable consumer data that can be used for personalized marketing (Herbertsson and Mahlberg, 2020). Increasing brand awareness and new customer acquisition can be accomplished through enhanced social media engagement via engaging campaigns and working with influencers.</w:t>
      </w:r>
    </w:p>
    <w:p w14:paraId="0AFCF23A" w14:textId="77777777" w:rsidR="000221E2" w:rsidRDefault="00C435F0">
      <w:r>
        <w:rPr>
          <w:b/>
        </w:rPr>
        <w:t>2. Sustainable Supply Chain:</w:t>
      </w:r>
      <w:r>
        <w:t xml:space="preserve"> The bakery needs to develop its partnerships with ethical and local suppliers to ensure ingredient quality, reduce transport emissions, and stimulate local economies (Sîrbu, 2023). Moving to biodegradable packaging and implementing waste management practices will strengthen Gail's commitment to environmental sustainability and meet customer and regulatory requirements.</w:t>
      </w:r>
    </w:p>
    <w:p w14:paraId="24E55537" w14:textId="77777777" w:rsidR="000221E2" w:rsidRDefault="00C435F0">
      <w:r>
        <w:rPr>
          <w:b/>
        </w:rPr>
        <w:t>3. Thoughtful Expansion:</w:t>
      </w:r>
      <w:r>
        <w:t xml:space="preserve"> They could expand regionally, using a franchise or joint venture model, in areas of anticipated high demand, such as Bristol and Manchester (Zavertany, 2018). This would maintain the neighbourhood focus and adjunct the brand while allowing for more rapid market entry with reduced financial exposure.</w:t>
      </w:r>
    </w:p>
    <w:p w14:paraId="0D02F706" w14:textId="77777777" w:rsidR="000221E2" w:rsidRDefault="00C435F0">
      <w:r>
        <w:rPr>
          <w:b/>
        </w:rPr>
        <w:t>4. Product Innovation:</w:t>
      </w:r>
      <w:r>
        <w:t xml:space="preserve"> In response to the growth in demand for sustainable and better food alternatives, the menu should be modified and include plant-based, gluten-free, and low-sugar products. Seasonal product lines will create more brand loyalty and consumer excitement (Semenova and Semenov, 2023).</w:t>
      </w:r>
    </w:p>
    <w:p w14:paraId="45CB6511" w14:textId="77777777" w:rsidR="000221E2" w:rsidRDefault="00C435F0">
      <w:r>
        <w:rPr>
          <w:b/>
        </w:rPr>
        <w:t>Implementation and Monitoring:</w:t>
      </w:r>
      <w:r>
        <w:t xml:space="preserve">  Key performance indicators (KPI's) should include 10% increased revenue, 15% reduced waste, and 90% customer satisfaction to monitor success. Possible barriers to effective implementation will be funding, competition, and technology acceptance, and a successful food service operation will use employee training, staggered investments in equipment and systems, and apply for green business awards as means to mitigate these barriers and develop a systematic, sustainable process.</w:t>
      </w:r>
    </w:p>
    <w:p w14:paraId="26F10662" w14:textId="77777777" w:rsidR="000221E2" w:rsidRDefault="00C435F0">
      <w:pPr>
        <w:pStyle w:val="Titlu1"/>
      </w:pPr>
      <w:bookmarkStart w:id="15" w:name="_heading=h.tswcvl3pjbsa" w:colFirst="0" w:colLast="0"/>
      <w:bookmarkEnd w:id="15"/>
      <w:r>
        <w:t xml:space="preserve">7. Conclusion </w:t>
      </w:r>
    </w:p>
    <w:p w14:paraId="078EA2D7" w14:textId="77777777" w:rsidR="000221E2" w:rsidRDefault="00C435F0">
      <w:r>
        <w:t>Gail's Bakery has built a respected artisan brand based on sustainability, quality and community involvement. While Gail's Bakery already has a strong brand with loyal customers, the strategic analysis suggests that a geographical expansion strategy and digital innovation will be required to achieve continued success. The company can expand beyond London, achieve operational resilience, and access new client segments using a market expansion strategy combined with digital transformation. Complementary initi</w:t>
      </w:r>
      <w:r>
        <w:t>atives will further bolster competitive positioning and ethical legitimacy, including plant-based product introductions, supply-chain sustainability improvements, and technology enhancements, using digital tools and improved customer contact learning and engagement. Investing in technology, local partnerships and innovation will enable sustainable growth and resilience in the face of obstacles posed by changing finance and competition in the market. Overall, the strategies are poised to set Gail's Bakery up</w:t>
      </w:r>
      <w:r>
        <w:t xml:space="preserve"> for ethical and sustainable growth and long-term leadership in the premium baking sector in the UK.</w:t>
      </w:r>
    </w:p>
    <w:p w14:paraId="0609BF4B" w14:textId="77777777" w:rsidR="000221E2" w:rsidRDefault="000221E2"/>
    <w:p w14:paraId="3EFC41AA" w14:textId="77777777" w:rsidR="000221E2" w:rsidRDefault="000221E2"/>
    <w:p w14:paraId="6E6FF10B" w14:textId="77777777" w:rsidR="000221E2" w:rsidRDefault="00C435F0">
      <w:r>
        <w:br w:type="page"/>
      </w:r>
    </w:p>
    <w:p w14:paraId="577F2E7A" w14:textId="77777777" w:rsidR="000221E2" w:rsidRDefault="00C435F0">
      <w:pPr>
        <w:pStyle w:val="Titlu1"/>
      </w:pPr>
      <w:bookmarkStart w:id="16" w:name="_heading=h.hlh8vzkii4gb" w:colFirst="0" w:colLast="0"/>
      <w:bookmarkEnd w:id="16"/>
      <w:r>
        <w:t xml:space="preserve">Reference List </w:t>
      </w:r>
    </w:p>
    <w:p w14:paraId="4526E559" w14:textId="77777777" w:rsidR="000221E2" w:rsidRDefault="00C435F0">
      <w:r>
        <w:t>Ali, B.J. and Anwar, G., 2021. Porter’s Generic Competitive Strategies and its influence on the Competitive Advantage. </w:t>
      </w:r>
      <w:r>
        <w:rPr>
          <w:i/>
        </w:rPr>
        <w:t>International Journal of Advanced Engineering, Management and Science</w:t>
      </w:r>
      <w:r>
        <w:t>, </w:t>
      </w:r>
      <w:r>
        <w:rPr>
          <w:i/>
        </w:rPr>
        <w:t>7</w:t>
      </w:r>
      <w:r>
        <w:t>(6), pp.42-51.</w:t>
      </w:r>
    </w:p>
    <w:p w14:paraId="003957CF" w14:textId="77777777" w:rsidR="000221E2" w:rsidRDefault="00C435F0">
      <w:r>
        <w:t>Bakker, J.D., Datta, N., De Lyon, J., Opitz, L. and Yang, D., 2022. </w:t>
      </w:r>
      <w:r>
        <w:rPr>
          <w:i/>
        </w:rPr>
        <w:t>Post-Brexit imports, supply chains, and the effect on consumer prices</w:t>
      </w:r>
      <w:r>
        <w:t>. UK in a Changing Europe.</w:t>
      </w:r>
    </w:p>
    <w:p w14:paraId="32EA56D3" w14:textId="77777777" w:rsidR="000221E2" w:rsidRDefault="00C435F0">
      <w:r>
        <w:t xml:space="preserve">Bamford, V., 2023. Gail’s partners with nighbourly to distribute surplus food. Available At: </w:t>
      </w:r>
      <w:hyperlink r:id="rId10" w:anchor="toggle">
        <w:r>
          <w:rPr>
            <w:color w:val="0000FF"/>
            <w:u w:val="single"/>
          </w:rPr>
          <w:t>https://bakeryinfo.co.uk/retail/gails-partners-with-neighbourly-to-distribute-surplus-food/684799.article#toggle</w:t>
        </w:r>
      </w:hyperlink>
      <w:r>
        <w:t xml:space="preserve">   [Accessed On: 12/10/2025]</w:t>
      </w:r>
    </w:p>
    <w:p w14:paraId="6311A016" w14:textId="77777777" w:rsidR="000221E2" w:rsidRDefault="00C435F0">
      <w:r>
        <w:t>Buckley, S. and Lewis, T., 2022. The influence of society on the UK's food and food regulatory systems. In </w:t>
      </w:r>
      <w:r>
        <w:rPr>
          <w:i/>
        </w:rPr>
        <w:t>Clay's Handbook of Environmental Health</w:t>
      </w:r>
      <w:r>
        <w:t> (pp. 516-566). Routledge.</w:t>
      </w:r>
    </w:p>
    <w:p w14:paraId="36376680" w14:textId="77777777" w:rsidR="000221E2" w:rsidRDefault="00C435F0">
      <w:r>
        <w:t>Coleman, P.C., Dhaif, F. and Oyebode, O., 2022. Food shortages, stockpiling and panic buying ahead of Brexit as reported by the British media: a mixed methods content analysis. </w:t>
      </w:r>
      <w:r>
        <w:rPr>
          <w:i/>
        </w:rPr>
        <w:t>BMC Public Health</w:t>
      </w:r>
      <w:r>
        <w:t>, </w:t>
      </w:r>
      <w:r>
        <w:rPr>
          <w:i/>
        </w:rPr>
        <w:t>22</w:t>
      </w:r>
      <w:r>
        <w:t>(1), p.206.</w:t>
      </w:r>
    </w:p>
    <w:p w14:paraId="066415AB" w14:textId="77777777" w:rsidR="000221E2" w:rsidRDefault="00C435F0">
      <w:bookmarkStart w:id="17" w:name="_heading=h.mf9ekc6jq7zc" w:colFirst="0" w:colLast="0"/>
      <w:bookmarkEnd w:id="17"/>
      <w:r>
        <w:t>da Anunciação, P.F., Chasqueira, C.S.C., do Couto Gonçalves, F.M. and Peñalver, A.J.B., Digital Transformation in the Bakery Industry. Innovation and Sustainability in the Digital Era, p.231.</w:t>
      </w:r>
    </w:p>
    <w:p w14:paraId="489FFA71" w14:textId="77777777" w:rsidR="000221E2" w:rsidRDefault="00C435F0">
      <w:r>
        <w:t>Danieli, A., 2025. Consumers' perception of personalized marketing content and its impact on their engagement.</w:t>
      </w:r>
    </w:p>
    <w:p w14:paraId="3C57992B" w14:textId="77777777" w:rsidR="000221E2" w:rsidRDefault="00C435F0">
      <w:r>
        <w:t>Furlan, A., 2021. Food delivery: An analysis of existing and future business models based on digital platforms.</w:t>
      </w:r>
    </w:p>
    <w:p w14:paraId="079BD17A" w14:textId="77777777" w:rsidR="000221E2" w:rsidRDefault="00C435F0">
      <w:r>
        <w:t>Gail’s Bakery, 2023</w:t>
      </w:r>
      <w:r>
        <w:rPr>
          <w:i/>
        </w:rPr>
        <w:t>. Past, Present And Future Of GAIL's</w:t>
      </w:r>
      <w:r>
        <w:t xml:space="preserve"> [Online] Available At: </w:t>
      </w:r>
      <w:hyperlink r:id="rId11">
        <w:r>
          <w:rPr>
            <w:color w:val="0000FF"/>
            <w:u w:val="single"/>
          </w:rPr>
          <w:t>https://gails.com/blogs/journal/past-present-and-future-of-gails?srsltid=AfmBOoqKCxH91NaEjMon9F2vV8voSRPzkUqERahyfRXEBwQ14LUHEIBN</w:t>
        </w:r>
      </w:hyperlink>
      <w:r>
        <w:t xml:space="preserve"> [Accessed On: 12/10/2025]</w:t>
      </w:r>
    </w:p>
    <w:p w14:paraId="7FBFFA67" w14:textId="77777777" w:rsidR="000221E2" w:rsidRDefault="00C435F0">
      <w:r>
        <w:t>Gail’s Bakery, 2025</w:t>
      </w:r>
      <w:r>
        <w:rPr>
          <w:i/>
        </w:rPr>
        <w:t>. About Us</w:t>
      </w:r>
      <w:r>
        <w:t xml:space="preserve"> [Online] Available At: </w:t>
      </w:r>
      <w:hyperlink r:id="rId12">
        <w:r>
          <w:rPr>
            <w:color w:val="0000FF"/>
            <w:u w:val="single"/>
          </w:rPr>
          <w:t>https://gails.com/pages/about-us?srsltid=AfmBOoqXmbLtczV-TFepxBmWR5tFmg8iwKaP2u_wGZlkoyHwG2GfP2Am</w:t>
        </w:r>
      </w:hyperlink>
      <w:r>
        <w:t xml:space="preserve">   [Accessed On: 12/10/2025]</w:t>
      </w:r>
    </w:p>
    <w:p w14:paraId="02F62D65" w14:textId="77777777" w:rsidR="000221E2" w:rsidRDefault="00C435F0">
      <w:bookmarkStart w:id="18" w:name="_heading=h.sxm90oh0wio5" w:colFirst="0" w:colLast="0"/>
      <w:bookmarkEnd w:id="18"/>
      <w:r>
        <w:t>Goncharuk, A.G., Figurek, A. and Markou, M., 2023. Forming the Efficient Business Model for Bakery. In Baking Business Sustainability Through Life Cycle Management (pp. 187-202). Cham: Springer International Publishing.</w:t>
      </w:r>
    </w:p>
    <w:p w14:paraId="3938256D" w14:textId="77777777" w:rsidR="000221E2" w:rsidRDefault="00C435F0">
      <w:bookmarkStart w:id="19" w:name="_heading=h.o4ymwn4yuhl4" w:colFirst="0" w:colLast="0"/>
      <w:bookmarkEnd w:id="19"/>
      <w:r>
        <w:t>Herbertsson, E. and Mahlberg, M., 2020. Exploring the Enablement of a Digitized Bakery-A case study.</w:t>
      </w:r>
    </w:p>
    <w:p w14:paraId="3A00A71C" w14:textId="77777777" w:rsidR="000221E2" w:rsidRDefault="00C435F0">
      <w:r>
        <w:t>Jong, C.L.K. and Ganzaroli, A., 2024. Managing digital transformation for social good in non-profit organizations: The case of The Felix Project zeroing hunger in London. </w:t>
      </w:r>
      <w:r>
        <w:rPr>
          <w:i/>
        </w:rPr>
        <w:t>VOLUNTAS: International Journal of Voluntary and Nonprofit Organizations</w:t>
      </w:r>
      <w:r>
        <w:t>, </w:t>
      </w:r>
      <w:r>
        <w:rPr>
          <w:i/>
        </w:rPr>
        <w:t>35</w:t>
      </w:r>
      <w:r>
        <w:t>(3), pp.417-427.</w:t>
      </w:r>
    </w:p>
    <w:p w14:paraId="4617A5DA" w14:textId="77777777" w:rsidR="000221E2" w:rsidRDefault="00C435F0">
      <w:r>
        <w:t>Królak, M., Górska-Warsewicz, H., Mądra-Sawicka, M., Rejman, K., Żakowska-Biemans, S., Szlachciuk, J., Czeczotko, M., Kwiatkowski, B., Zaremba, R. and Wojtaszek, M., 2022. Towards sustainable innovation in the bakery sector—An example of fibre-enriched bread. </w:t>
      </w:r>
      <w:r>
        <w:rPr>
          <w:i/>
        </w:rPr>
        <w:t>Sustainability</w:t>
      </w:r>
      <w:r>
        <w:t>, </w:t>
      </w:r>
      <w:r>
        <w:rPr>
          <w:i/>
        </w:rPr>
        <w:t>14</w:t>
      </w:r>
      <w:r>
        <w:t>(5), p.2743.</w:t>
      </w:r>
    </w:p>
    <w:p w14:paraId="14427D61" w14:textId="77777777" w:rsidR="000221E2" w:rsidRDefault="00C435F0">
      <w:r>
        <w:t>Lignell, T., 2024. Identifying the key actions of cross-functional process management in a confectionery manufacturing company.</w:t>
      </w:r>
    </w:p>
    <w:p w14:paraId="55D0BC44" w14:textId="77777777" w:rsidR="000221E2" w:rsidRDefault="00C435F0">
      <w:r>
        <w:t>Lingham, S., Hill, I. and Manning, L., 2022. Artisan food production: What makes food ‘artisan’?. In </w:t>
      </w:r>
      <w:r>
        <w:rPr>
          <w:i/>
        </w:rPr>
        <w:t>Artisan and handicraft entrepreneurs: Past, present, and future</w:t>
      </w:r>
      <w:r>
        <w:t> (pp. 101-117). Cham: Springer International Publishing.</w:t>
      </w:r>
    </w:p>
    <w:p w14:paraId="43D3683A" w14:textId="77777777" w:rsidR="000221E2" w:rsidRDefault="00C435F0">
      <w:r>
        <w:t>McWatt, I., 2023. Food Law Delivery Assurance in Scotlandw. </w:t>
      </w:r>
      <w:r>
        <w:rPr>
          <w:i/>
        </w:rPr>
        <w:t>Food Law &amp; Policy</w:t>
      </w:r>
      <w:r>
        <w:t>, </w:t>
      </w:r>
      <w:r>
        <w:rPr>
          <w:i/>
        </w:rPr>
        <w:t>4</w:t>
      </w:r>
      <w:r>
        <w:t>(1), pp.31-66.</w:t>
      </w:r>
    </w:p>
    <w:p w14:paraId="205245A6" w14:textId="77777777" w:rsidR="000221E2" w:rsidRDefault="00C435F0">
      <w:bookmarkStart w:id="20" w:name="_heading=h.l8v4uaif87ww" w:colFirst="0" w:colLast="0"/>
      <w:bookmarkEnd w:id="20"/>
      <w:r>
        <w:t>Mickiewicz, B. and Britchenko, I., 2022. Main trends and development forecast of bread and bakery products market.</w:t>
      </w:r>
    </w:p>
    <w:p w14:paraId="0F46BD36" w14:textId="77777777" w:rsidR="000221E2" w:rsidRDefault="00C435F0">
      <w:bookmarkStart w:id="21" w:name="_heading=h.h3kmbhu85pdi" w:colFirst="0" w:colLast="0"/>
      <w:bookmarkEnd w:id="21"/>
      <w:r>
        <w:t>Mints, A. and Kamyshnykova, E., 2019. Methods of stakeholder prioritisation in the context of stakeholder management.</w:t>
      </w:r>
    </w:p>
    <w:p w14:paraId="27D5742B" w14:textId="77777777" w:rsidR="000221E2" w:rsidRDefault="00C435F0">
      <w:r>
        <w:t>Monteiro, N.B.R., Moita Neto, J.M. and da Silva, E.A., 2022. Life cycle management in bakeries: a proposed roadmap towards sustainability. </w:t>
      </w:r>
      <w:r>
        <w:rPr>
          <w:i/>
        </w:rPr>
        <w:t>The international journal of life cycle assessment</w:t>
      </w:r>
      <w:r>
        <w:t>, </w:t>
      </w:r>
      <w:r>
        <w:rPr>
          <w:i/>
        </w:rPr>
        <w:t>27</w:t>
      </w:r>
      <w:r>
        <w:t>(1), pp.82-97.</w:t>
      </w:r>
    </w:p>
    <w:p w14:paraId="42D66E43" w14:textId="77777777" w:rsidR="000221E2" w:rsidRDefault="00C435F0">
      <w:r>
        <w:t>Nollet, L.M., 2024. Food Products Regulations in the United Kingdom. In </w:t>
      </w:r>
      <w:r>
        <w:rPr>
          <w:i/>
        </w:rPr>
        <w:t>Global Regulations of Medicinal, Pharmaceutical, and Food Products</w:t>
      </w:r>
      <w:r>
        <w:t> (pp. 302-309). CRC Press.</w:t>
      </w:r>
    </w:p>
    <w:p w14:paraId="3750D59C" w14:textId="77777777" w:rsidR="000221E2" w:rsidRDefault="00C435F0">
      <w:bookmarkStart w:id="22" w:name="_heading=h.j6mju1dlfwdt" w:colFirst="0" w:colLast="0"/>
      <w:bookmarkEnd w:id="22"/>
      <w:r>
        <w:t>Rahmat, M.A.Z., 2025. Business Plan and its Implementation on Bakery Business: A Case Study of Laziza Bakery. </w:t>
      </w:r>
      <w:r>
        <w:rPr>
          <w:i/>
        </w:rPr>
        <w:t>Indonesian Journal of Economics, Business, Accounting, and Management (IJEBAM)</w:t>
      </w:r>
      <w:r>
        <w:t>, </w:t>
      </w:r>
      <w:r>
        <w:rPr>
          <w:i/>
        </w:rPr>
        <w:t>3</w:t>
      </w:r>
      <w:r>
        <w:t>(3), pp.30-46.</w:t>
      </w:r>
    </w:p>
    <w:p w14:paraId="331F9046" w14:textId="77777777" w:rsidR="000221E2" w:rsidRDefault="00C435F0">
      <w:r>
        <w:t xml:space="preserve">Sebouai, L., 2023. Gail’s vs Greggs-is paying three times the price for a doughnut worth it? Available At: </w:t>
      </w:r>
      <w:hyperlink r:id="rId13">
        <w:r>
          <w:rPr>
            <w:color w:val="0000FF"/>
            <w:u w:val="single"/>
          </w:rPr>
          <w:t>https://www.telegraph.co.uk/food-and-drink/features/gails-v-greggs-rate-super-successful-high-street-bakers/#</w:t>
        </w:r>
      </w:hyperlink>
      <w:r>
        <w:t>:  [Accessed On: 12/10/2025]</w:t>
      </w:r>
    </w:p>
    <w:p w14:paraId="5CEE95A9" w14:textId="77777777" w:rsidR="000221E2" w:rsidRDefault="00C435F0">
      <w:bookmarkStart w:id="23" w:name="_heading=h.hg4iccfd3ga6" w:colFirst="0" w:colLast="0"/>
      <w:bookmarkEnd w:id="23"/>
      <w:r>
        <w:t>Semenova, E.I. and Semenov, A.V., 2023. Impact of bakery innovation on business resilience growth. In Baking business sustainability through life cycle management (pp. 241-259). Cham: Springer International Publishing.</w:t>
      </w:r>
    </w:p>
    <w:p w14:paraId="47F05221" w14:textId="77777777" w:rsidR="000221E2" w:rsidRDefault="00C435F0">
      <w:bookmarkStart w:id="24" w:name="_heading=h.c3c76vj17squ" w:colFirst="0" w:colLast="0"/>
      <w:bookmarkEnd w:id="24"/>
      <w:r>
        <w:t>Sîrbu, A., 2023. Sustainability Approach of the Baking Industry Along the Food Supply Chain. In Baking Business Sustainability Through Life Cycle Management (pp. 53-77). Cham: Springer International Publishing.</w:t>
      </w:r>
    </w:p>
    <w:p w14:paraId="698B9EBE" w14:textId="77777777" w:rsidR="000221E2" w:rsidRDefault="00C435F0">
      <w:r>
        <w:t>Tarumingkeng, I.R.C., 2025. Building Customer Loyalty.</w:t>
      </w:r>
    </w:p>
    <w:p w14:paraId="2C55C84D" w14:textId="77777777" w:rsidR="000221E2" w:rsidRDefault="00C435F0">
      <w:bookmarkStart w:id="25" w:name="_heading=h.3c82hx5exuse" w:colFirst="0" w:colLast="0"/>
      <w:bookmarkEnd w:id="25"/>
      <w:r>
        <w:t>Zavertany, D.V., 2018. Features of the formation and implementation of a dynamic competitive strategy of the bakery industry enterprises. </w:t>
      </w:r>
      <w:r>
        <w:rPr>
          <w:i/>
        </w:rPr>
        <w:t>Evropský časopis ekonomiky a managementu</w:t>
      </w:r>
      <w:r>
        <w:t>, </w:t>
      </w:r>
      <w:r>
        <w:rPr>
          <w:i/>
        </w:rPr>
        <w:t>4</w:t>
      </w:r>
      <w:r>
        <w:t>(2), pp.78-83.</w:t>
      </w:r>
    </w:p>
    <w:p w14:paraId="71F1ED50" w14:textId="77777777" w:rsidR="000221E2" w:rsidRDefault="000221E2"/>
    <w:p w14:paraId="692A10DE" w14:textId="77777777" w:rsidR="000221E2" w:rsidRDefault="000221E2"/>
    <w:p w14:paraId="0DD609C4" w14:textId="77777777" w:rsidR="000221E2" w:rsidRDefault="000221E2"/>
    <w:sectPr w:rsidR="000221E2">
      <w:footerReference w:type="default" r:id="rId14"/>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6CCBCC" w14:textId="77777777" w:rsidR="00C435F0" w:rsidRDefault="00C435F0">
      <w:pPr>
        <w:spacing w:before="0" w:after="0" w:line="240" w:lineRule="auto"/>
      </w:pPr>
      <w:r>
        <w:separator/>
      </w:r>
    </w:p>
  </w:endnote>
  <w:endnote w:type="continuationSeparator" w:id="0">
    <w:p w14:paraId="36131847" w14:textId="77777777" w:rsidR="00C435F0" w:rsidRDefault="00C435F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B29EE6" w14:textId="350F100E" w:rsidR="000221E2" w:rsidRDefault="00C435F0">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sidR="00856DEC">
      <w:rPr>
        <w:noProof/>
        <w:color w:val="000000"/>
      </w:rPr>
      <w:t>2</w:t>
    </w:r>
    <w:r>
      <w:rPr>
        <w:color w:val="000000"/>
      </w:rPr>
      <w:fldChar w:fldCharType="end"/>
    </w:r>
    <w:r>
      <w:rPr>
        <w:color w:val="000000"/>
      </w:rPr>
      <w:t xml:space="preserve"> </w:t>
    </w:r>
  </w:p>
  <w:p w14:paraId="1C86B8AC" w14:textId="77777777" w:rsidR="000221E2" w:rsidRDefault="000221E2">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DF30AA" w14:textId="77777777" w:rsidR="00C435F0" w:rsidRDefault="00C435F0">
      <w:pPr>
        <w:spacing w:before="0" w:after="0" w:line="240" w:lineRule="auto"/>
      </w:pPr>
      <w:r>
        <w:separator/>
      </w:r>
    </w:p>
  </w:footnote>
  <w:footnote w:type="continuationSeparator" w:id="0">
    <w:p w14:paraId="63D3BCD5" w14:textId="77777777" w:rsidR="00C435F0" w:rsidRDefault="00C435F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B87E1F"/>
    <w:multiLevelType w:val="multilevel"/>
    <w:tmpl w:val="FFFFFFFF"/>
    <w:lvl w:ilvl="0">
      <w:start w:val="1"/>
      <w:numFmt w:val="upp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4F2A3A5F"/>
    <w:multiLevelType w:val="multilevel"/>
    <w:tmpl w:val="FFFFFFFF"/>
    <w:lvl w:ilvl="0">
      <w:start w:val="1"/>
      <w:numFmt w:val="upp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643389451">
    <w:abstractNumId w:val="1"/>
  </w:num>
  <w:num w:numId="2" w16cid:durableId="1361272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21E2"/>
    <w:rsid w:val="000221E2"/>
    <w:rsid w:val="007764DD"/>
    <w:rsid w:val="00856DEC"/>
    <w:rsid w:val="009C44C0"/>
    <w:rsid w:val="00BA5891"/>
    <w:rsid w:val="00C435F0"/>
    <w:rsid w:val="00EF088F"/>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59D6C3BC"/>
  <w15:docId w15:val="{24B329D1-B4BE-2F42-8122-22D4B6EA3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ro-RO" w:bidi="ar-SA"/>
      </w:rPr>
    </w:rPrDefault>
    <w:pPrDefault>
      <w:pPr>
        <w:spacing w:before="40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sz w:val="32"/>
      <w:szCs w:val="32"/>
    </w:rPr>
  </w:style>
  <w:style w:type="paragraph" w:styleId="Titlu2">
    <w:name w:val="heading 2"/>
    <w:basedOn w:val="Normal"/>
    <w:next w:val="Normal"/>
    <w:uiPriority w:val="9"/>
    <w:unhideWhenUsed/>
    <w:qFormat/>
    <w:pPr>
      <w:keepNext/>
      <w:keepLines/>
      <w:spacing w:before="360"/>
      <w:outlineLvl w:val="1"/>
    </w:pPr>
    <w:rPr>
      <w:b/>
      <w:color w:val="1E1C11"/>
      <w:sz w:val="28"/>
      <w:szCs w:val="28"/>
    </w:rPr>
  </w:style>
  <w:style w:type="paragraph" w:styleId="Titlu3">
    <w:name w:val="heading 3"/>
    <w:basedOn w:val="Normal"/>
    <w:next w:val="Normal"/>
    <w:uiPriority w:val="9"/>
    <w:unhideWhenUsed/>
    <w:qFormat/>
    <w:pPr>
      <w:keepNext/>
      <w:keepLines/>
      <w:spacing w:before="320" w:after="80"/>
      <w:outlineLvl w:val="2"/>
    </w:pPr>
    <w:rPr>
      <w:color w:val="434343"/>
      <w:sz w:val="28"/>
      <w:szCs w:val="28"/>
    </w:rPr>
  </w:style>
  <w:style w:type="paragraph" w:styleId="Titlu4">
    <w:name w:val="heading 4"/>
    <w:basedOn w:val="Normal"/>
    <w:next w:val="Normal"/>
    <w:uiPriority w:val="9"/>
    <w:unhideWhenUsed/>
    <w:qFormat/>
    <w:pPr>
      <w:keepNext/>
      <w:keepLines/>
      <w:spacing w:before="280" w:after="80"/>
      <w:outlineLvl w:val="3"/>
    </w:pPr>
    <w:rPr>
      <w:color w:val="666666"/>
    </w:rPr>
  </w:style>
  <w:style w:type="paragraph" w:styleId="Titlu5">
    <w:name w:val="heading 5"/>
    <w:basedOn w:val="Normal"/>
    <w:next w:val="Normal"/>
    <w:uiPriority w:val="9"/>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b/>
      <w:sz w:val="50"/>
      <w:szCs w:val="50"/>
    </w:rPr>
  </w:style>
  <w:style w:type="table" w:customStyle="1" w:styleId="TableNormal0">
    <w:name w:val="TableNormal"/>
    <w:tblPr>
      <w:tblCellMar>
        <w:top w:w="100" w:type="dxa"/>
        <w:left w:w="100" w:type="dxa"/>
        <w:bottom w:w="100" w:type="dxa"/>
        <w:right w:w="100" w:type="dxa"/>
      </w:tblCellMar>
    </w:tblPr>
  </w:style>
  <w:style w:type="paragraph" w:styleId="Titlucuprins">
    <w:name w:val="TOC Heading"/>
    <w:basedOn w:val="Titlu1"/>
    <w:next w:val="Normal"/>
    <w:uiPriority w:val="39"/>
    <w:unhideWhenUsed/>
    <w:qFormat/>
    <w:rsid w:val="00827B05"/>
    <w:pPr>
      <w:spacing w:before="240" w:after="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Cuprins1">
    <w:name w:val="toc 1"/>
    <w:basedOn w:val="Normal"/>
    <w:next w:val="Normal"/>
    <w:autoRedefine/>
    <w:uiPriority w:val="39"/>
    <w:unhideWhenUsed/>
    <w:rsid w:val="00827B05"/>
    <w:pPr>
      <w:spacing w:after="100"/>
    </w:pPr>
    <w:rPr>
      <w:szCs w:val="30"/>
    </w:rPr>
  </w:style>
  <w:style w:type="character" w:styleId="Hyperlink">
    <w:name w:val="Hyperlink"/>
    <w:basedOn w:val="Fontdeparagrafimplicit"/>
    <w:uiPriority w:val="99"/>
    <w:unhideWhenUsed/>
    <w:rsid w:val="00827B05"/>
    <w:rPr>
      <w:color w:val="0000FF" w:themeColor="hyperlink"/>
      <w:u w:val="single"/>
    </w:rPr>
  </w:style>
  <w:style w:type="paragraph" w:styleId="Antet">
    <w:name w:val="header"/>
    <w:basedOn w:val="Normal"/>
    <w:link w:val="AntetCaracter"/>
    <w:uiPriority w:val="99"/>
    <w:unhideWhenUsed/>
    <w:rsid w:val="00827B05"/>
    <w:pPr>
      <w:tabs>
        <w:tab w:val="center" w:pos="4513"/>
        <w:tab w:val="right" w:pos="9026"/>
      </w:tabs>
      <w:spacing w:before="0" w:after="0" w:line="240" w:lineRule="auto"/>
    </w:pPr>
    <w:rPr>
      <w:szCs w:val="30"/>
    </w:rPr>
  </w:style>
  <w:style w:type="character" w:customStyle="1" w:styleId="AntetCaracter">
    <w:name w:val="Antet Caracter"/>
    <w:basedOn w:val="Fontdeparagrafimplicit"/>
    <w:link w:val="Antet"/>
    <w:uiPriority w:val="99"/>
    <w:rsid w:val="00827B05"/>
    <w:rPr>
      <w:szCs w:val="30"/>
    </w:rPr>
  </w:style>
  <w:style w:type="paragraph" w:styleId="Subsol">
    <w:name w:val="footer"/>
    <w:basedOn w:val="Normal"/>
    <w:link w:val="SubsolCaracter"/>
    <w:uiPriority w:val="99"/>
    <w:unhideWhenUsed/>
    <w:rsid w:val="00827B05"/>
    <w:pPr>
      <w:tabs>
        <w:tab w:val="center" w:pos="4513"/>
        <w:tab w:val="right" w:pos="9026"/>
      </w:tabs>
      <w:spacing w:before="0" w:after="0" w:line="240" w:lineRule="auto"/>
    </w:pPr>
    <w:rPr>
      <w:szCs w:val="30"/>
    </w:rPr>
  </w:style>
  <w:style w:type="character" w:customStyle="1" w:styleId="SubsolCaracter">
    <w:name w:val="Subsol Caracter"/>
    <w:basedOn w:val="Fontdeparagrafimplicit"/>
    <w:link w:val="Subsol"/>
    <w:uiPriority w:val="99"/>
    <w:rsid w:val="00827B05"/>
    <w:rPr>
      <w:szCs w:val="30"/>
    </w:rPr>
  </w:style>
  <w:style w:type="paragraph" w:styleId="Cuprins2">
    <w:name w:val="toc 2"/>
    <w:basedOn w:val="Normal"/>
    <w:next w:val="Normal"/>
    <w:autoRedefine/>
    <w:uiPriority w:val="39"/>
    <w:unhideWhenUsed/>
    <w:rsid w:val="00E30A4D"/>
    <w:pPr>
      <w:spacing w:after="100"/>
      <w:ind w:left="240"/>
    </w:pPr>
    <w:rPr>
      <w:szCs w:val="30"/>
    </w:rPr>
  </w:style>
  <w:style w:type="paragraph" w:styleId="Listparagraf">
    <w:name w:val="List Paragraph"/>
    <w:basedOn w:val="Normal"/>
    <w:uiPriority w:val="34"/>
    <w:qFormat/>
    <w:rsid w:val="00E30A4D"/>
    <w:pPr>
      <w:spacing w:before="0" w:after="160"/>
      <w:ind w:left="720"/>
      <w:contextualSpacing/>
    </w:pPr>
    <w:rPr>
      <w:rFonts w:eastAsiaTheme="minorHAnsi" w:cstheme="minorBidi"/>
      <w:szCs w:val="22"/>
      <w:lang w:eastAsia="en-US"/>
    </w:rPr>
  </w:style>
  <w:style w:type="table" w:styleId="Tabelcugril3">
    <w:name w:val="Grid Table 3"/>
    <w:basedOn w:val="TabelNormal"/>
    <w:uiPriority w:val="48"/>
    <w:rsid w:val="000A6BA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Tabelgril1Luminos-Accentuare5">
    <w:name w:val="Grid Table 1 Light Accent 5"/>
    <w:basedOn w:val="TabelNormal"/>
    <w:uiPriority w:val="46"/>
    <w:rsid w:val="000A6BA0"/>
    <w:pPr>
      <w:spacing w:after="0"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paragraph" w:styleId="Subtitlu">
    <w:name w:val="Subtitle"/>
    <w:basedOn w:val="Normal"/>
    <w:next w:val="Normal"/>
    <w:uiPriority w:val="11"/>
    <w:qFormat/>
    <w:pPr>
      <w:keepNext/>
      <w:keepLines/>
      <w:spacing w:before="0" w:after="320"/>
    </w:pPr>
    <w:rPr>
      <w:color w:val="666666"/>
      <w:sz w:val="30"/>
      <w:szCs w:val="30"/>
    </w:rPr>
  </w:style>
  <w:style w:type="table" w:customStyle="1" w:styleId="a">
    <w:basedOn w:val="TabelNormal"/>
    <w:pPr>
      <w:spacing w:after="0" w:line="240" w:lineRule="auto"/>
    </w:pPr>
    <w:tblPr>
      <w:tblStyleRowBandSize w:val="1"/>
      <w:tblStyleColBandSize w:val="1"/>
    </w:tblPr>
    <w:tblStylePr w:type="firstRow">
      <w:rPr>
        <w:b/>
      </w:rPr>
      <w:tblPr/>
      <w:tcPr>
        <w:tcBorders>
          <w:top w:val="nil"/>
          <w:left w:val="nil"/>
          <w:right w:val="nil"/>
          <w:insideH w:val="nil"/>
          <w:insideV w:val="nil"/>
        </w:tcBorders>
        <w:shd w:val="clear" w:color="auto" w:fill="FFFFFF"/>
      </w:tcPr>
    </w:tblStylePr>
    <w:tblStylePr w:type="lastRow">
      <w:rPr>
        <w:b/>
      </w:rPr>
      <w:tblPr/>
      <w:tcPr>
        <w:tcBorders>
          <w:left w:val="nil"/>
          <w:bottom w:val="nil"/>
          <w:right w:val="nil"/>
          <w:insideH w:val="nil"/>
          <w:insideV w:val="nil"/>
        </w:tcBorders>
        <w:shd w:val="clear" w:color="auto" w:fill="FFFFFF"/>
      </w:tcPr>
    </w:tblStylePr>
    <w:tblStylePr w:type="firstCol">
      <w:pPr>
        <w:jc w:val="right"/>
      </w:pPr>
      <w:rPr>
        <w:i/>
      </w:rPr>
      <w:tblPr/>
      <w:tcPr>
        <w:tcBorders>
          <w:top w:val="nil"/>
          <w:left w:val="nil"/>
          <w:bottom w:val="nil"/>
          <w:insideH w:val="nil"/>
          <w:insideV w:val="nil"/>
        </w:tcBorders>
        <w:shd w:val="clear" w:color="auto" w:fill="FFFFFF"/>
      </w:tcPr>
    </w:tblStylePr>
    <w:tblStylePr w:type="lastCol">
      <w:rPr>
        <w:i/>
      </w:rPr>
      <w:tblPr/>
      <w:tcPr>
        <w:tcBorders>
          <w:top w:val="nil"/>
          <w:bottom w:val="nil"/>
          <w:right w:val="nil"/>
          <w:insideH w:val="nil"/>
          <w:insideV w:val="nil"/>
        </w:tcBorders>
        <w:shd w:val="clear" w:color="auto" w:fill="FFFFFF"/>
      </w:tcPr>
    </w:tblStylePr>
    <w:tblStylePr w:type="band1Vert">
      <w:tblPr/>
      <w:tcPr>
        <w:shd w:val="clear" w:color="auto" w:fill="CCCCCC"/>
      </w:tcPr>
    </w:tblStylePr>
    <w:tblStylePr w:type="band1Horz">
      <w:tblPr/>
      <w:tcPr>
        <w:shd w:val="clear" w:color="auto" w:fill="CCCCCC"/>
      </w:tcPr>
    </w:tblStylePr>
    <w:tblStylePr w:type="neCell">
      <w:tblPr/>
      <w:tcPr>
        <w:tcBorders>
          <w:bottom w:val="single" w:sz="4" w:space="0" w:color="666666"/>
        </w:tcBorders>
      </w:tcPr>
    </w:tblStylePr>
    <w:tblStylePr w:type="nwCell">
      <w:tblPr/>
      <w:tcPr>
        <w:tcBorders>
          <w:bottom w:val="single" w:sz="4" w:space="0" w:color="666666"/>
        </w:tcBorders>
      </w:tcPr>
    </w:tblStylePr>
    <w:tblStylePr w:type="seCell">
      <w:tblPr/>
      <w:tcPr>
        <w:tcBorders>
          <w:top w:val="single" w:sz="4" w:space="0" w:color="666666"/>
        </w:tcBorders>
      </w:tcPr>
    </w:tblStylePr>
    <w:tblStylePr w:type="swCell">
      <w:tblPr/>
      <w:tcPr>
        <w:tcBorders>
          <w:top w:val="single" w:sz="4" w:space="0" w:color="666666"/>
        </w:tcBorders>
      </w:tcPr>
    </w:tblStylePr>
  </w:style>
  <w:style w:type="table" w:customStyle="1" w:styleId="a0">
    <w:basedOn w:val="TabelNormal"/>
    <w:pPr>
      <w:spacing w:after="0" w:line="240" w:lineRule="auto"/>
    </w:pPr>
    <w:tblPr>
      <w:tblStyleRowBandSize w:val="1"/>
      <w:tblStyleColBandSize w:val="1"/>
    </w:tblPr>
    <w:tblStylePr w:type="firstRow">
      <w:rPr>
        <w:b/>
      </w:rPr>
      <w:tblPr/>
      <w:tcPr>
        <w:tcBorders>
          <w:bottom w:val="single" w:sz="12" w:space="0" w:color="93CDDC"/>
        </w:tcBorders>
      </w:tcPr>
    </w:tblStylePr>
    <w:tblStylePr w:type="lastRow">
      <w:rPr>
        <w:b/>
      </w:rPr>
      <w:tblPr/>
      <w:tcPr>
        <w:tcBorders>
          <w:top w:val="single" w:sz="4" w:space="0" w:color="93CDDC"/>
        </w:tcBorders>
      </w:tcPr>
    </w:tblStylePr>
    <w:tblStylePr w:type="firstCol">
      <w:rPr>
        <w:b/>
      </w:rPr>
    </w:tblStylePr>
    <w:tblStylePr w:type="lastCol">
      <w:rPr>
        <w:b/>
      </w:rPr>
    </w:tblStylePr>
  </w:style>
  <w:style w:type="table" w:customStyle="1" w:styleId="a1">
    <w:basedOn w:val="Tabel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elegraph.co.uk/food-and-drink/features/gails-v-greggs-rate-super-successful-high-street-baker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gails.com/pages/about-us?srsltid=AfmBOoqXmbLtczV-TFepxBmWR5tFmg8iwKaP2u_wGZlkoyHwG2GfP2A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ails.com/blogs/journal/past-present-and-future-of-gails?srsltid=AfmBOoqKCxH91NaEjMon9F2vV8voSRPzkUqERahyfRXEBwQ14LUHEIB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bakeryinfo.co.uk/retail/gails-partners-with-neighbourly-to-distribute-surplus-food/684799.artic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JV/kuFiImp41hRYblh8dxudVM9A==">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4799</Words>
  <Characters>27840</Characters>
  <Application>Microsoft Office Word</Application>
  <DocSecurity>0</DocSecurity>
  <Lines>232</Lines>
  <Paragraphs>65</Paragraphs>
  <ScaleCrop>false</ScaleCrop>
  <Company/>
  <LinksUpToDate>false</LinksUpToDate>
  <CharactersWithSpaces>32574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Petronela-Claudia Bucur (2240860)</cp:lastModifiedBy>
  <cp:revision>2</cp:revision>
  <dcterms:created xsi:type="dcterms:W3CDTF">2025-11-12T12:19:00Z</dcterms:created>
  <dcterms:modified xsi:type="dcterms:W3CDTF">2025-11-12T12:19:00Z</dcterms:modified>
</cp:coreProperties>
</file>