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9ABDAF0" wp14:paraId="29F247C9" wp14:textId="2516BBBF">
      <w:pPr>
        <w:shd w:val="clear" w:color="auto" w:fill="FFFFFF" w:themeFill="background1"/>
        <w:spacing w:before="0" w:beforeAutospacing="off" w:after="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Chapter 4: John Dewey – Experience, Inquiry, Democracy, and Community in Coaching</w:t>
      </w:r>
    </w:p>
    <w:p xmlns:wp14="http://schemas.microsoft.com/office/word/2010/wordml" w:rsidP="49ABDAF0" wp14:paraId="2F9AA1D9" wp14:textId="482713B5">
      <w:pPr>
        <w:shd w:val="clear" w:color="auto" w:fill="FFFFFF" w:themeFill="background1"/>
        <w:spacing w:before="0" w:beforeAutospacing="off" w:after="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From:</w:t>
      </w: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9ABDAF0" w:rsidR="5F84CF0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Learning in Sports Coaching: Theory and Application</w:t>
      </w:r>
      <w:r>
        <w:br/>
      </w:r>
      <w:r w:rsidRPr="49ABDAF0" w:rsidR="5F84CF0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Authors of Chapter:</w:t>
      </w: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David Day with Jackie Newton</w:t>
      </w:r>
    </w:p>
    <w:p xmlns:wp14="http://schemas.microsoft.com/office/word/2010/wordml" w:rsidP="49ABDAF0" wp14:paraId="0523570A" wp14:textId="6298032E">
      <w:pPr>
        <w:shd w:val="clear" w:color="auto" w:fill="FFFFFF" w:themeFill="background1"/>
        <w:spacing w:before="0" w:beforeAutospacing="off" w:after="0" w:afterAutospacing="off" w:line="311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9ABDAF0" wp14:paraId="29A28A19" wp14:textId="6090B870">
      <w:pPr>
        <w:shd w:val="clear" w:color="auto" w:fill="FFFFFF" w:themeFill="background1"/>
        <w:spacing w:before="0" w:beforeAutospacing="off" w:after="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chapter applies John Dewey’s educational philosophy to sports coaching, emphasizing how learning is best achieved through experience, reflective inquiry, democratic relationships, and community involvement.</w:t>
      </w:r>
    </w:p>
    <w:p xmlns:wp14="http://schemas.microsoft.com/office/word/2010/wordml" w:rsidP="49ABDAF0" wp14:paraId="62DD6C3E" wp14:textId="3AFB9B9F">
      <w:pPr>
        <w:shd w:val="clear" w:color="auto" w:fill="FFFFFF" w:themeFill="background1"/>
        <w:spacing w:before="0" w:beforeAutospacing="off" w:after="0" w:afterAutospacing="off" w:line="311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9ABDAF0" wp14:paraId="69AB96B8" wp14:textId="27B31647">
      <w:pPr>
        <w:shd w:val="clear" w:color="auto" w:fill="FFFFFF" w:themeFill="background1"/>
        <w:spacing w:before="0" w:beforeAutospacing="off" w:after="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1. Learning Through Experience</w:t>
      </w:r>
    </w:p>
    <w:p xmlns:wp14="http://schemas.microsoft.com/office/word/2010/wordml" w:rsidP="49ABDAF0" wp14:paraId="093E4460" wp14:textId="52C67B9C">
      <w:pPr>
        <w:pStyle w:val="ListParagraph"/>
        <w:numPr>
          <w:ilvl w:val="0"/>
          <w:numId w:val="1"/>
        </w:numPr>
        <w:shd w:val="clear" w:color="auto" w:fill="FFFFFF" w:themeFill="background1"/>
        <w:spacing w:before="240" w:beforeAutospacing="off" w:after="24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Dewey argues that meaningful learning is grounded in experience.</w:t>
      </w:r>
    </w:p>
    <w:p xmlns:wp14="http://schemas.microsoft.com/office/word/2010/wordml" w:rsidP="49ABDAF0" wp14:paraId="7033C44B" wp14:textId="50AA9128">
      <w:pPr>
        <w:pStyle w:val="ListParagraph"/>
        <w:numPr>
          <w:ilvl w:val="0"/>
          <w:numId w:val="1"/>
        </w:numPr>
        <w:shd w:val="clear" w:color="auto" w:fill="FFFFFF" w:themeFill="background1"/>
        <w:spacing w:before="240" w:beforeAutospacing="off" w:after="24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Coaches should design opportunities for athletes to actively engage, make decisions, and reflect on outcomes.</w:t>
      </w:r>
    </w:p>
    <w:p xmlns:wp14="http://schemas.microsoft.com/office/word/2010/wordml" w:rsidP="49ABDAF0" wp14:paraId="064242F7" wp14:textId="07F265A0">
      <w:pPr>
        <w:shd w:val="clear" w:color="auto" w:fill="FFFFFF" w:themeFill="background1"/>
        <w:spacing w:before="0" w:beforeAutospacing="off" w:after="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2. Reflective Inquiry</w:t>
      </w:r>
    </w:p>
    <w:p xmlns:wp14="http://schemas.microsoft.com/office/word/2010/wordml" w:rsidP="49ABDAF0" wp14:paraId="5E2CC7B2" wp14:textId="191FB8FF">
      <w:pPr>
        <w:pStyle w:val="ListParagraph"/>
        <w:numPr>
          <w:ilvl w:val="0"/>
          <w:numId w:val="2"/>
        </w:numPr>
        <w:shd w:val="clear" w:color="auto" w:fill="FFFFFF" w:themeFill="background1"/>
        <w:spacing w:before="240" w:beforeAutospacing="off" w:after="24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Learning involves identifying problems, testing solutions, and evaluating results.</w:t>
      </w:r>
    </w:p>
    <w:p xmlns:wp14="http://schemas.microsoft.com/office/word/2010/wordml" w:rsidP="49ABDAF0" wp14:paraId="250EFDA4" wp14:textId="05F77A83">
      <w:pPr>
        <w:pStyle w:val="ListParagraph"/>
        <w:numPr>
          <w:ilvl w:val="0"/>
          <w:numId w:val="2"/>
        </w:numPr>
        <w:shd w:val="clear" w:color="auto" w:fill="FFFFFF" w:themeFill="background1"/>
        <w:spacing w:before="240" w:beforeAutospacing="off" w:after="24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Coaches can support athlete development by encouraging critical thinking and self-reflection.</w:t>
      </w:r>
    </w:p>
    <w:p xmlns:wp14="http://schemas.microsoft.com/office/word/2010/wordml" w:rsidP="49ABDAF0" wp14:paraId="31554E4E" wp14:textId="4E9910DE">
      <w:pPr>
        <w:shd w:val="clear" w:color="auto" w:fill="FFFFFF" w:themeFill="background1"/>
        <w:spacing w:before="0" w:beforeAutospacing="off" w:after="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3. Democratic Learning Environment</w:t>
      </w:r>
    </w:p>
    <w:p xmlns:wp14="http://schemas.microsoft.com/office/word/2010/wordml" w:rsidP="49ABDAF0" wp14:paraId="25EDFE08" wp14:textId="380F4BB1">
      <w:pPr>
        <w:pStyle w:val="ListParagraph"/>
        <w:numPr>
          <w:ilvl w:val="0"/>
          <w:numId w:val="3"/>
        </w:numPr>
        <w:shd w:val="clear" w:color="auto" w:fill="FFFFFF" w:themeFill="background1"/>
        <w:spacing w:before="240" w:beforeAutospacing="off" w:after="24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Dewey promotes participation, communication, and respect in learning settings.</w:t>
      </w:r>
    </w:p>
    <w:p xmlns:wp14="http://schemas.microsoft.com/office/word/2010/wordml" w:rsidP="49ABDAF0" wp14:paraId="02DFD112" wp14:textId="7E4ED276">
      <w:pPr>
        <w:pStyle w:val="ListParagraph"/>
        <w:numPr>
          <w:ilvl w:val="0"/>
          <w:numId w:val="3"/>
        </w:numPr>
        <w:shd w:val="clear" w:color="auto" w:fill="FFFFFF" w:themeFill="background1"/>
        <w:spacing w:before="240" w:beforeAutospacing="off" w:after="24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Coaches should involve athletes in discussions and decisions, building a collaborative team culture.</w:t>
      </w:r>
    </w:p>
    <w:p xmlns:wp14="http://schemas.microsoft.com/office/word/2010/wordml" w:rsidP="49ABDAF0" wp14:paraId="71A1371D" wp14:textId="6A40F9B9">
      <w:pPr>
        <w:shd w:val="clear" w:color="auto" w:fill="FFFFFF" w:themeFill="background1"/>
        <w:spacing w:before="0" w:beforeAutospacing="off" w:after="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4. Educative vs. Mis-Educative Experiences</w:t>
      </w:r>
    </w:p>
    <w:p xmlns:wp14="http://schemas.microsoft.com/office/word/2010/wordml" w:rsidP="49ABDAF0" wp14:paraId="4D544889" wp14:textId="2312EC4B">
      <w:pPr>
        <w:pStyle w:val="ListParagraph"/>
        <w:numPr>
          <w:ilvl w:val="0"/>
          <w:numId w:val="4"/>
        </w:numPr>
        <w:shd w:val="clear" w:color="auto" w:fill="FFFFFF" w:themeFill="background1"/>
        <w:spacing w:before="240" w:beforeAutospacing="off" w:after="24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Not all experiences support growth. Poorly structured or overly rigid coaching can hinder learning.</w:t>
      </w:r>
    </w:p>
    <w:p xmlns:wp14="http://schemas.microsoft.com/office/word/2010/wordml" w:rsidP="49ABDAF0" wp14:paraId="16A9A5DF" wp14:textId="07B58273">
      <w:pPr>
        <w:pStyle w:val="ListParagraph"/>
        <w:numPr>
          <w:ilvl w:val="0"/>
          <w:numId w:val="4"/>
        </w:numPr>
        <w:shd w:val="clear" w:color="auto" w:fill="FFFFFF" w:themeFill="background1"/>
        <w:spacing w:before="240" w:beforeAutospacing="off" w:after="24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Coaches need to ensure experiences are constructive, challenging, and relevant.</w:t>
      </w:r>
    </w:p>
    <w:p xmlns:wp14="http://schemas.microsoft.com/office/word/2010/wordml" w:rsidP="49ABDAF0" wp14:paraId="435DB0E2" wp14:textId="6BAE2EDD">
      <w:pPr>
        <w:shd w:val="clear" w:color="auto" w:fill="FFFFFF" w:themeFill="background1"/>
        <w:spacing w:before="0" w:beforeAutospacing="off" w:after="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5. Role of the Coach</w:t>
      </w:r>
    </w:p>
    <w:p xmlns:wp14="http://schemas.microsoft.com/office/word/2010/wordml" w:rsidP="49ABDAF0" wp14:paraId="74C36DD2" wp14:textId="4E243754">
      <w:pPr>
        <w:pStyle w:val="ListParagraph"/>
        <w:numPr>
          <w:ilvl w:val="0"/>
          <w:numId w:val="5"/>
        </w:numPr>
        <w:shd w:val="clear" w:color="auto" w:fill="FFFFFF" w:themeFill="background1"/>
        <w:spacing w:before="240" w:beforeAutospacing="off" w:after="24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Rather than acting solely as an instructor, the coach becomes a facilitator and guide.</w:t>
      </w:r>
    </w:p>
    <w:p xmlns:wp14="http://schemas.microsoft.com/office/word/2010/wordml" w:rsidP="49ABDAF0" wp14:paraId="0DDFF979" wp14:textId="546CCA58">
      <w:pPr>
        <w:pStyle w:val="ListParagraph"/>
        <w:numPr>
          <w:ilvl w:val="0"/>
          <w:numId w:val="5"/>
        </w:numPr>
        <w:shd w:val="clear" w:color="auto" w:fill="FFFFFF" w:themeFill="background1"/>
        <w:spacing w:before="240" w:beforeAutospacing="off" w:after="24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focus is on creating meaningful learning environments, encouraging autonomy, and fostering shared responsibility.</w:t>
      </w:r>
    </w:p>
    <w:p xmlns:wp14="http://schemas.microsoft.com/office/word/2010/wordml" w:rsidP="49ABDAF0" wp14:paraId="69DBECBF" wp14:textId="3A5B87EC">
      <w:pPr>
        <w:shd w:val="clear" w:color="auto" w:fill="FFFFFF" w:themeFill="background1"/>
        <w:spacing w:before="0" w:beforeAutospacing="off" w:after="0" w:afterAutospacing="off" w:line="311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</w:p>
    <w:p xmlns:wp14="http://schemas.microsoft.com/office/word/2010/wordml" w:rsidP="49ABDAF0" wp14:paraId="2D99B75B" wp14:textId="57CB22CA">
      <w:pPr>
        <w:shd w:val="clear" w:color="auto" w:fill="FFFFFF" w:themeFill="background1"/>
        <w:spacing w:before="0" w:beforeAutospacing="off" w:after="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Challenges and Considerations</w:t>
      </w:r>
    </w:p>
    <w:p xmlns:wp14="http://schemas.microsoft.com/office/word/2010/wordml" w:rsidP="49ABDAF0" wp14:paraId="5A397ABA" wp14:textId="268422EC">
      <w:pPr>
        <w:pStyle w:val="ListParagraph"/>
        <w:numPr>
          <w:ilvl w:val="0"/>
          <w:numId w:val="6"/>
        </w:numPr>
        <w:shd w:val="clear" w:color="auto" w:fill="FFFFFF" w:themeFill="background1"/>
        <w:spacing w:before="240" w:beforeAutospacing="off" w:after="24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Competitive and performance-driven environments may limit time for inquiry-based approaches.</w:t>
      </w:r>
    </w:p>
    <w:p xmlns:wp14="http://schemas.microsoft.com/office/word/2010/wordml" w:rsidP="49ABDAF0" wp14:paraId="6D200EF0" wp14:textId="194B29E8">
      <w:pPr>
        <w:pStyle w:val="ListParagraph"/>
        <w:numPr>
          <w:ilvl w:val="0"/>
          <w:numId w:val="6"/>
        </w:numPr>
        <w:shd w:val="clear" w:color="auto" w:fill="FFFFFF" w:themeFill="background1"/>
        <w:spacing w:before="240" w:beforeAutospacing="off" w:after="24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Traditional coach-athlete power dynamics can conflict with Dewey’s democratic ideals.</w:t>
      </w:r>
    </w:p>
    <w:p xmlns:wp14="http://schemas.microsoft.com/office/word/2010/wordml" w:rsidP="49ABDAF0" wp14:paraId="06514CFC" wp14:textId="6A74D2F5">
      <w:pPr>
        <w:pStyle w:val="ListParagraph"/>
        <w:numPr>
          <w:ilvl w:val="0"/>
          <w:numId w:val="6"/>
        </w:numPr>
        <w:shd w:val="clear" w:color="auto" w:fill="FFFFFF" w:themeFill="background1"/>
        <w:spacing w:before="240" w:beforeAutospacing="off" w:after="24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Implementing reflective and experience-based learning requires time, planning, and adaptability.</w:t>
      </w:r>
    </w:p>
    <w:p xmlns:wp14="http://schemas.microsoft.com/office/word/2010/wordml" w:rsidP="49ABDAF0" wp14:paraId="198D4689" wp14:textId="45DD54AD">
      <w:pPr>
        <w:shd w:val="clear" w:color="auto" w:fill="FFFFFF" w:themeFill="background1"/>
        <w:spacing w:before="0" w:beforeAutospacing="off" w:after="0" w:afterAutospacing="off" w:line="311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Design sessions that promote exploration and decision-making.</w:t>
      </w:r>
    </w:p>
    <w:p xmlns:wp14="http://schemas.microsoft.com/office/word/2010/wordml" w:rsidP="49ABDAF0" wp14:paraId="5E2C5D09" wp14:textId="50BB77E1">
      <w:pPr>
        <w:pStyle w:val="ListParagraph"/>
        <w:numPr>
          <w:ilvl w:val="0"/>
          <w:numId w:val="7"/>
        </w:numPr>
        <w:shd w:val="clear" w:color="auto" w:fill="FFFFFF" w:themeFill="background1"/>
        <w:spacing w:before="240" w:beforeAutospacing="off" w:after="24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Use reflection regularly to deepen learning.</w:t>
      </w:r>
    </w:p>
    <w:p xmlns:wp14="http://schemas.microsoft.com/office/word/2010/wordml" w:rsidP="49ABDAF0" wp14:paraId="30571776" wp14:textId="214DE605">
      <w:pPr>
        <w:pStyle w:val="ListParagraph"/>
        <w:numPr>
          <w:ilvl w:val="0"/>
          <w:numId w:val="7"/>
        </w:numPr>
        <w:shd w:val="clear" w:color="auto" w:fill="FFFFFF" w:themeFill="background1"/>
        <w:spacing w:before="240" w:beforeAutospacing="off" w:after="24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Encourage open communication and peer learning within the team.</w:t>
      </w:r>
    </w:p>
    <w:p xmlns:wp14="http://schemas.microsoft.com/office/word/2010/wordml" w:rsidP="49ABDAF0" wp14:paraId="5C0E44ED" wp14:textId="47B398F5">
      <w:pPr>
        <w:pStyle w:val="ListParagraph"/>
        <w:numPr>
          <w:ilvl w:val="0"/>
          <w:numId w:val="7"/>
        </w:numPr>
        <w:shd w:val="clear" w:color="auto" w:fill="FFFFFF" w:themeFill="background1"/>
        <w:spacing w:before="240" w:beforeAutospacing="off" w:after="24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Structure experiences progressively to build understanding over time.</w:t>
      </w:r>
    </w:p>
    <w:p xmlns:wp14="http://schemas.microsoft.com/office/word/2010/wordml" w:rsidP="49ABDAF0" wp14:paraId="479F7F55" wp14:textId="2F0C4DC6">
      <w:pPr>
        <w:shd w:val="clear" w:color="auto" w:fill="FFFFFF" w:themeFill="background1"/>
        <w:spacing w:before="0" w:beforeAutospacing="off" w:after="0" w:afterAutospacing="off" w:line="311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</w:p>
    <w:p xmlns:wp14="http://schemas.microsoft.com/office/word/2010/wordml" w:rsidP="49ABDAF0" wp14:paraId="43373C44" wp14:textId="3C77B880">
      <w:pPr>
        <w:shd w:val="clear" w:color="auto" w:fill="FFFFFF" w:themeFill="background1"/>
        <w:spacing w:before="0" w:beforeAutospacing="off" w:after="0" w:afterAutospacing="off" w:line="328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ABDAF0" w:rsidR="5F84C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Dewey’s framework offers a valuable lens for rethinking sports coaching. Learning is most effective when athletes actively participate in their development, reflect on their experiences, and contribute within a supportive, democratic community. The coach’s role is to create environments where these elements can thrive.</w:t>
      </w:r>
    </w:p>
    <w:p xmlns:wp14="http://schemas.microsoft.com/office/word/2010/wordml" wp14:paraId="5E5787A5" wp14:textId="5944C1EE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17ac54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0c2ef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b8f28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cb92b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37de9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9bf8c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b82cf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83F267"/>
    <w:rsid w:val="3B83F267"/>
    <w:rsid w:val="49ABDAF0"/>
    <w:rsid w:val="5F84CF05"/>
    <w:rsid w:val="6EF56CD7"/>
    <w:rsid w:val="7C8A89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83F267"/>
  <w15:chartTrackingRefBased/>
  <w15:docId w15:val="{E7877ACE-7401-444A-AE0B-0724FEC5C8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9ABDAF0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348d1fea7ff843d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Brychan Thomas (2306610)</dc:creator>
  <keywords/>
  <dc:description/>
  <lastModifiedBy>Brychan Thomas (2306610)</lastModifiedBy>
  <revision>2</revision>
  <dcterms:created xsi:type="dcterms:W3CDTF">2025-10-16T12:47:05.9136239Z</dcterms:created>
  <dcterms:modified xsi:type="dcterms:W3CDTF">2025-10-16T13:03:32.2222206Z</dcterms:modified>
</coreProperties>
</file>