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Hello and welcome to my scrapbook. My names Rosalyn Silvers and I’m going to introduce my scrapbook and reflect upon how this has taught me about sustainability in the early years and really discuss how it’s shown me what needs to happen in the early years and the changes we can make. As well as the kind of work we can do with sustainability to allow children to understand the impact that we can have on the environment and the way that we can make a positive change.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Let’s take a look and work through some of the things that I did in my sustainability scrapbook.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is the front page of my scrapbook. As you can see I got a few pictures of an allotment, we went to an allotment and I really wanted to try and get some lovely pictures of the wildlife that was going on here as well as some of the creative ways people have used lots of recycled materials. Such as plastic bottles to help water the plants, as well as collecting crops with the plastic tubs, and just being really resourceful and mindful of their waste throughout their allotment progress. As you can see there is the use of plastic - however it is being used in a mindful way which is really insightful.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idea behind coming to an allotment was to show that sustainability can be achieved when we nurture community, when we move on to the rest of the scrapbook you can see how. Here we have got a communal water tap which allows everyone to use water for their plants and that’s such a nice community initiative. It allows people to feel the sense of community as well as remember what water they use, they have to be responsible for allowing others to use that water aswell.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This is really cool - it’s a new technology that we are seeing someone use on their allotment plot. It has a solar panel and a system which actually waters the plants for him in the greenhouse so he was getting really big cucumbers out of this! It was a really bountiful harvest for him. We were seeing lettuces. This was a communal greenhouse and a cute little scarecrow in there which was really child friendly.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There were all sorts of tried and tested techniques such as using this weed to make nutritious plant feed and this big row of corn and this inspired me because it allowed me to see that if everyone just had one allotment plot or if everyone just grew one crop we would be able to share and enjoy our crops together in turn reducing the plastic waste by going to shops all the time to buy our fruits and veggies. So it would actually be a brilliant initiative to roll out.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Then we have people who just enjoy planting roses like that rose garden we saw. Here we've got even more crops, even more vegetables, spring onions, here we've got tomato plants and they're all doing really well. So we've got our harvest here and we've got our little harvest song that children would be able to sing to really encourage them to get harvesting and really enjoy their time in the allotment.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Then we move on to wildlife at home and sustainability at home and then you've got my own garden and in my own garden this is a video from back in march when i started planting out. We've got wildlife as I would add bird seed to the bird feeder. We've got my own plants that were growing inside and I started putting them outside, we've got carrots, we've got potatoes and even if I get too busy that I’m letting it grow out - wildlife is still eating them! We've got hidden strawberries all around here, slugs are eating them, and that's okay! If I don’t get to harvest them the slugs are eating them, that's giving back to nature and I'm okay with that! Weeds growing and the weeds were feeding the bees.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Then here we go into our community section of the scrapbook and I have a neighbour who has chickens in her back garden so she produces these really lovely pink blue yellow white eggs speckled eggs. It’s really nice to know that this is where they're coming from, in her back garden. It really does inspire me to become a community for the sake of sustainability. Then at the end here we've got a little new life starting.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Then to really get this into children I've included in my scrapbook the lorax movie because it's such an inspirational movie about the environment as well as the songs I've included it's just a nice way to end the scrapbook with this quote.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Early Years Alliance (2021) asks a few interesting questions - such as how can early years practitioners embed sustainability, eco-ethos, environmental accountability and the child’s voice into their settings curriculum to support the nurturing of a next generation of sustainable children? </w:t>
      </w:r>
      <w:r w:rsidDel="00000000" w:rsidR="00000000" w:rsidRPr="00000000">
        <w:rPr>
          <w:rtl w:val="0"/>
        </w:rPr>
        <w:t xml:space="preserve">Using exciting initiatives such as the process used to create this scrapbook in early years settings can support children to nurture their understanding of global citizenship -</w:t>
      </w:r>
      <w:r w:rsidDel="00000000" w:rsidR="00000000" w:rsidRPr="00000000">
        <w:rPr>
          <w:rtl w:val="0"/>
        </w:rPr>
        <w:t xml:space="preserve"> According to OXFAM (2024) g</w:t>
      </w:r>
      <w:r w:rsidDel="00000000" w:rsidR="00000000" w:rsidRPr="00000000">
        <w:rPr>
          <w:rtl w:val="0"/>
        </w:rPr>
        <w:t xml:space="preserve">lobal citizenship is the term used to recognise that we are all part of a collective community, each holding some responsibility for social, economical and environmental factors. Deepening the children’s understanding of their actions affecting others around their world, part of giving children the understanding to really grasp this concept is about giving them the chance to apply the knowledge they learn to the real world - which is why going out into the real world and undertaking real life experiences and activities such as putting together scrapbooks, working in an allotment, or a nursery vegetable plot, or finding, partnering and making links with local community sustainable projects develops a child’s global citizenship.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 United Nations Sustainable Development Goals (United Nations, 2025) are designed to move toward a cleaner, safer, greener, more sustainable and happier world for all. A utopia we can only strive for however when early years practitioners understand the goals they are able to see a bigger more global picture in their own early years practice - how nurturing the sustainable practices of the children in their setting in turn effects children all over the world. For example, goal 11 ‘sustainable cities and communities’ maybe a practitioner from a very privileged sustainable city educates a child that grows up to become an architect whos passion for sustainability was driven by the sustainability work the practitioner implemented, who in the future went on to innovate sustainable communities in deprived areas. In a world where National Children's Bureau (2023) identifies that children from urban poor backgrounds suffer from food poverty in turn not consuming enough vegetables or connections to nature - for various reasons including dislike of the sensory experience of vegetables due to lack of exposure as young children - it is increasingly more important to curate early years initiatives to teach sustainability.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highlight w:val="white"/>
        </w:rPr>
      </w:pPr>
      <w:r w:rsidDel="00000000" w:rsidR="00000000" w:rsidRPr="00000000">
        <w:rPr>
          <w:highlight w:val="white"/>
          <w:rtl w:val="0"/>
        </w:rPr>
        <w:t xml:space="preserve">Duhn (2011) explores the theory that innocent childhood cannot coincide with the nurturing of sustainability in early years - strikingly this brings to the forefront the harrowing issue that we are in a climate crisis which needs tackling to be able to make any real change, therefore the only way to make change is by teaching the younger generation how to become responsible global citizens. Making this a fun, child friendly topic for children must be carefully curated to create positive memories and associations that children will grow up with. Positive associations according to Skinner’s operant conditioning theory (Skinner, 1988) can be used for good when used alongside other theorists ideas such as Frederich Froebel's nurturing style kindergarten theory (Tovey, 2017). For example, positive conditioning used to teach children that when they plant a seed, grow a fruit or vegetable, they nurture it, watch it thrive, give it what it needs, learn how to care for it, in the end they are rewarded with a food to eat. Here a basic human instinct and need is met according to Maslow's hierarchy of needs McLeod (2025).Moreover the UNCRC identifies the rights of a child in regards to having healthy, nutritious food - educating children with this hands on approach gives them a greater understanding of the importance of food and where it comes from (Bahr, 2024) Furthermore throughout the process the practitioners are giving the child bountiful praise to positively reinforce the behaviours of nurturing and empathy for the environment. Expanding further, a wise practitioner will continue this positive reinforcement throughout the setting giving praise and rewards with all acts of kindness, empathy, and global citizenship as a whole. Creating this cultural ethos in the entire nursery setting. </w:t>
      </w:r>
    </w:p>
    <w:p w:rsidR="00000000" w:rsidDel="00000000" w:rsidP="00000000" w:rsidRDefault="00000000" w:rsidRPr="00000000" w14:paraId="0000001A">
      <w:pPr>
        <w:rPr>
          <w:highlight w:val="white"/>
        </w:rPr>
      </w:pPr>
      <w:r w:rsidDel="00000000" w:rsidR="00000000" w:rsidRPr="00000000">
        <w:rPr>
          <w:rtl w:val="0"/>
        </w:rPr>
      </w:r>
    </w:p>
    <w:p w:rsidR="00000000" w:rsidDel="00000000" w:rsidP="00000000" w:rsidRDefault="00000000" w:rsidRPr="00000000" w14:paraId="0000001B">
      <w:pPr>
        <w:rPr>
          <w:highlight w:val="white"/>
        </w:rPr>
      </w:pPr>
      <w:r w:rsidDel="00000000" w:rsidR="00000000" w:rsidRPr="00000000">
        <w:rPr>
          <w:highlight w:val="white"/>
          <w:rtl w:val="0"/>
        </w:rPr>
        <w:t xml:space="preserve">Baik et al. (2024) moreover explores how using techniques such as gardening boosts children’s long term wellbeing and can be therapeutic in many cases - reducing depression, anxiety and stress. </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Let’s Grow is an early years resource focused on connecting with nature and promoting the understanding of how plants grow. Their innovative activities use real vegetables to give children real life, hands on experiences with nature and their packages come pre - planned and easy to use which assures practitioners can easily use the resources. (Lets grow, 2025a) Looking at their ‘success stories’ (Let's Grow, 2025b) nurseries have reported that children have developed healthier eating habits, communication skills, social skills, the programme boosts the children’s school readiness and it also brings out a nurturing side to the children as they must care for the fruits and vegetables for them to grow. However it could be difficult to tackle the issue of where to find green spaces in urban areas - Sharp et al (2024) notes the value school gardens have for increased student interest in sustainability and environmental concerns amongst other positives for the child's overall wellbeing. The research supports the need for urban spaces to develop green spaces within their schools to allow children to access those benefits.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However, focusing on Frederich Froebel’s theory as mentioned earlier - there are many aspects which can be directly linked to sustainability which are worth noting. According to Tovey (2017) Froebel believed that all things were connected, nature, humans, the earth, like a circle. When theorising the child he spoke of the child being one unified being - encompassing emotions, thoughts, actions and relationships. When all things work together in harmony then we thrive. Just as a child will thrive when all their aspects are working in harmony. Frobel would encourage children in his kindergarten to give fruits and vegetables from their gardens to feed the poor, United Nations (2025) has goals 1: no poverty and 2: zero hunger to encourage this behavior.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Creating the culturally empathetic environment in the early years setting is crucial for global citizenship and sustainability. Syme and Ritterman (n.d.) touches on the impact of a social hierarchy on the wellbeing of the people, indicating that community and one feeling as though they belong to a community is an important factor in creating a sustainable future. There are models such as the Reggio Emilia model that have proven just how successful this is in early years. According to Kelly and Brannlund (2025) not only do community gardens tackle childhood obesity, they also tackle the mental and physical wellbeing issues present in todays society. With the garden aspects targeting healthy eating habits in communities effortlessly. Wright et al (2012) express how to build upon community in the early years settings through storytelling techniques. Including sociodramatic opportunities through dramatic play, role play areas, literacy rich areas and play making opportunities allows children to nurture their creativity and build stronger community links with their peers. Relating this to the environment can be easily streamlined, offering children natural role play resources such as sea shells, sand, non-chokeable rocks and pebbles, buckets and spades made from natural materials. Or bringing nature inside, plants, bug hotels, creating stories and creative forms of art through this further nurtures that community aspect.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Something can be said about the technique of forming long term sustainable behaviours throughout the early years setting through parent partnership. As demonstrated by Sihvonen et al. (2024) their research project used recycling as a way to involve families into sustainability early years initiatives to tackle the unresolved climate crisis - using environmental pillars to promote environmental education within the early years sector. Their study proved that environmental literacy, as previously mentioned, referenced by Wright et al (2012) and connection with nature again mentioned earlier and referenced by Let’s grow (2025b) has a substantial positive impact on children’s well being, pro-environmental attitude and ecological behaviours. Their findings suggest that with parental engagement and documentation of activities and knowledge collection then environmental appreciation and recycling can be implemented throughout the setting and wider community. Learning and Teaching Scotland (2006) co-oberates the studies findings to express how the Reggio Emilia approach greatly values family collaboration with constant discussions and viewing the entire community as ‘the school’ which creates empathy for each other and the environment they all live in.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In conclusion Kelly and Brannlund (2025) suggest that the earlier and more involved community gardens are in early years education the healthier children’s eating habits become, their studies demonstrating children asking for more fruits and vegetables at home when they had more exposure to them growing up. Whereas National Children's Bureau (2023) identifies the contrast in children from urban poor areas who do not have this diverse diet and ecologically diverse background. United Nations (2025) Sustainable Development Goals are important blueprints for a more sustainable future and when used alongside the UNCRC rights of a child they can support sustainability even more so. Thank you very much for listening to my presentation today and looking through my scrapbook I hope you enjoyed it.</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hd w:fill="ffffff" w:val="clear"/>
        <w:rPr>
          <w:highlight w:val="white"/>
        </w:rPr>
      </w:pPr>
      <w:r w:rsidDel="00000000" w:rsidR="00000000" w:rsidRPr="00000000">
        <w:rPr>
          <w:rtl w:val="0"/>
        </w:rPr>
      </w:r>
    </w:p>
    <w:p w:rsidR="00000000" w:rsidDel="00000000" w:rsidP="00000000" w:rsidRDefault="00000000" w:rsidRPr="00000000" w14:paraId="00000028">
      <w:pPr>
        <w:pStyle w:val="Heading1"/>
        <w:keepNext w:val="0"/>
        <w:keepLines w:val="0"/>
        <w:spacing w:after="340" w:before="0" w:line="360" w:lineRule="auto"/>
        <w:rPr>
          <w:b w:val="1"/>
          <w:sz w:val="22"/>
          <w:szCs w:val="22"/>
          <w:highlight w:val="white"/>
          <w:u w:val="single"/>
        </w:rPr>
      </w:pPr>
      <w:bookmarkStart w:colFirst="0" w:colLast="0" w:name="_y72frrraaiv0" w:id="0"/>
      <w:bookmarkEnd w:id="0"/>
      <w:r w:rsidDel="00000000" w:rsidR="00000000" w:rsidRPr="00000000">
        <w:rPr>
          <w:rtl w:val="0"/>
        </w:rPr>
      </w:r>
    </w:p>
    <w:p w:rsidR="00000000" w:rsidDel="00000000" w:rsidP="00000000" w:rsidRDefault="00000000" w:rsidRPr="00000000" w14:paraId="00000029">
      <w:pPr>
        <w:pStyle w:val="Heading1"/>
        <w:keepNext w:val="0"/>
        <w:keepLines w:val="0"/>
        <w:spacing w:after="340" w:before="0" w:line="360" w:lineRule="auto"/>
        <w:rPr>
          <w:b w:val="1"/>
          <w:sz w:val="22"/>
          <w:szCs w:val="22"/>
          <w:highlight w:val="white"/>
          <w:u w:val="single"/>
        </w:rPr>
      </w:pPr>
      <w:bookmarkStart w:colFirst="0" w:colLast="0" w:name="_swa86l80ddek" w:id="1"/>
      <w:bookmarkEnd w:id="1"/>
      <w:r w:rsidDel="00000000" w:rsidR="00000000" w:rsidRPr="00000000">
        <w:rPr>
          <w:rtl w:val="0"/>
        </w:rPr>
      </w:r>
    </w:p>
    <w:p w:rsidR="00000000" w:rsidDel="00000000" w:rsidP="00000000" w:rsidRDefault="00000000" w:rsidRPr="00000000" w14:paraId="0000002A">
      <w:pPr>
        <w:pStyle w:val="Heading1"/>
        <w:keepNext w:val="0"/>
        <w:keepLines w:val="0"/>
        <w:spacing w:after="340" w:before="0" w:line="360" w:lineRule="auto"/>
        <w:rPr>
          <w:b w:val="1"/>
          <w:sz w:val="22"/>
          <w:szCs w:val="22"/>
          <w:highlight w:val="white"/>
          <w:u w:val="single"/>
        </w:rPr>
      </w:pPr>
      <w:bookmarkStart w:colFirst="0" w:colLast="0" w:name="_geusoarod1g4" w:id="2"/>
      <w:bookmarkEnd w:id="2"/>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1"/>
        <w:keepNext w:val="0"/>
        <w:keepLines w:val="0"/>
        <w:spacing w:after="340" w:before="0" w:line="360" w:lineRule="auto"/>
        <w:rPr>
          <w:b w:val="1"/>
          <w:sz w:val="22"/>
          <w:szCs w:val="22"/>
          <w:highlight w:val="white"/>
          <w:u w:val="single"/>
        </w:rPr>
      </w:pPr>
      <w:bookmarkStart w:colFirst="0" w:colLast="0" w:name="_bbexgf8uarc1" w:id="3"/>
      <w:bookmarkEnd w:id="3"/>
      <w:r w:rsidDel="00000000" w:rsidR="00000000" w:rsidRPr="00000000">
        <w:rPr>
          <w:rtl w:val="0"/>
        </w:rPr>
      </w:r>
    </w:p>
    <w:p w:rsidR="00000000" w:rsidDel="00000000" w:rsidP="00000000" w:rsidRDefault="00000000" w:rsidRPr="00000000" w14:paraId="00000033">
      <w:pPr>
        <w:pStyle w:val="Heading1"/>
        <w:keepNext w:val="0"/>
        <w:keepLines w:val="0"/>
        <w:spacing w:after="340" w:before="0" w:line="360" w:lineRule="auto"/>
        <w:rPr>
          <w:b w:val="1"/>
          <w:sz w:val="22"/>
          <w:szCs w:val="22"/>
          <w:highlight w:val="white"/>
          <w:u w:val="single"/>
        </w:rPr>
      </w:pPr>
      <w:bookmarkStart w:colFirst="0" w:colLast="0" w:name="_nq4v6fr2fjxy" w:id="4"/>
      <w:bookmarkEnd w:id="4"/>
      <w:r w:rsidDel="00000000" w:rsidR="00000000" w:rsidRPr="00000000">
        <w:rPr>
          <w:b w:val="1"/>
          <w:sz w:val="22"/>
          <w:szCs w:val="22"/>
          <w:highlight w:val="white"/>
          <w:u w:val="single"/>
          <w:rtl w:val="0"/>
        </w:rPr>
        <w:t xml:space="preserve">Reference list</w:t>
      </w:r>
    </w:p>
    <w:p w:rsidR="00000000" w:rsidDel="00000000" w:rsidP="00000000" w:rsidRDefault="00000000" w:rsidRPr="00000000" w14:paraId="00000034">
      <w:pPr>
        <w:spacing w:after="220" w:line="360" w:lineRule="auto"/>
        <w:rPr>
          <w:highlight w:val="white"/>
        </w:rPr>
      </w:pPr>
      <w:r w:rsidDel="00000000" w:rsidR="00000000" w:rsidRPr="00000000">
        <w:rPr>
          <w:highlight w:val="white"/>
          <w:rtl w:val="0"/>
        </w:rPr>
        <w:t xml:space="preserve">Bahr, T. (2024). The Impact Positive Reinforcement Has on A Child’s Behavior - Early Advantage Child Care. [online] Early Advantage Child Care. Available at: https://www.earlyadvantagedcc.com/early-advantage-parent-resources/the-impact-positive-reinforcement-has-on-a-childs-behavior/.</w:t>
      </w:r>
    </w:p>
    <w:p w:rsidR="00000000" w:rsidDel="00000000" w:rsidP="00000000" w:rsidRDefault="00000000" w:rsidRPr="00000000" w14:paraId="00000035">
      <w:pPr>
        <w:spacing w:after="220" w:line="360" w:lineRule="auto"/>
        <w:rPr/>
      </w:pPr>
      <w:r w:rsidDel="00000000" w:rsidR="00000000" w:rsidRPr="00000000">
        <w:rPr>
          <w:highlight w:val="white"/>
          <w:rtl w:val="0"/>
        </w:rPr>
        <w:t xml:space="preserve">Baik, H., Choi, S., An, M., Jin, H., Kang, I., Yoon, W. and Yoo, Y. (2024). Effect of Therapeutic Gardening Program in Urban Gardens on the Mental Health of Children and Their Caregivers with Atopic Dermatitis. Healthcare, [online] 12(9), p.919. doi:</w:t>
      </w:r>
      <w:hyperlink r:id="rId6">
        <w:r w:rsidDel="00000000" w:rsidR="00000000" w:rsidRPr="00000000">
          <w:rPr>
            <w:color w:val="1155cc"/>
            <w:highlight w:val="white"/>
            <w:u w:val="single"/>
            <w:rtl w:val="0"/>
          </w:rPr>
          <w:t xml:space="preserve">https://doi.org/10.3390/healthcare12090919</w:t>
        </w:r>
      </w:hyperlink>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36">
      <w:pPr>
        <w:rPr>
          <w:highlight w:val="white"/>
        </w:rPr>
      </w:pPr>
      <w:r w:rsidDel="00000000" w:rsidR="00000000" w:rsidRPr="00000000">
        <w:rPr>
          <w:highlight w:val="white"/>
          <w:rtl w:val="0"/>
        </w:rPr>
        <w:t xml:space="preserve">Duhn, I. (2011) ‘Making ‘place’ for ecological sustainability in early childhood education’, Environmental Education Research, 18(1), pp. 19–29. doi: 10.1080/13504622.2011.572162.</w:t>
      </w:r>
    </w:p>
    <w:p w:rsidR="00000000" w:rsidDel="00000000" w:rsidP="00000000" w:rsidRDefault="00000000" w:rsidRPr="00000000" w14:paraId="00000037">
      <w:pPr>
        <w:spacing w:after="220" w:line="360" w:lineRule="auto"/>
        <w:rPr>
          <w:highlight w:val="white"/>
        </w:rPr>
      </w:pPr>
      <w:r w:rsidDel="00000000" w:rsidR="00000000" w:rsidRPr="00000000">
        <w:rPr>
          <w:rtl w:val="0"/>
        </w:rPr>
      </w:r>
    </w:p>
    <w:p w:rsidR="00000000" w:rsidDel="00000000" w:rsidP="00000000" w:rsidRDefault="00000000" w:rsidRPr="00000000" w14:paraId="00000038">
      <w:pPr>
        <w:spacing w:after="220" w:line="360" w:lineRule="auto"/>
        <w:rPr>
          <w:highlight w:val="white"/>
        </w:rPr>
      </w:pPr>
      <w:r w:rsidDel="00000000" w:rsidR="00000000" w:rsidRPr="00000000">
        <w:rPr>
          <w:highlight w:val="white"/>
          <w:rtl w:val="0"/>
        </w:rPr>
        <w:t xml:space="preserve">Early Years Alliance (2021). Sowing the seed of sustainability in early years. [online] early years alliance. Available at: https://www.eyalliance.org.uk/sowing-seed-sustainability-early-years.</w:t>
      </w:r>
    </w:p>
    <w:p w:rsidR="00000000" w:rsidDel="00000000" w:rsidP="00000000" w:rsidRDefault="00000000" w:rsidRPr="00000000" w14:paraId="00000039">
      <w:pPr>
        <w:spacing w:after="220" w:line="360" w:lineRule="auto"/>
        <w:rPr>
          <w:highlight w:val="white"/>
        </w:rPr>
      </w:pPr>
      <w:r w:rsidDel="00000000" w:rsidR="00000000" w:rsidRPr="00000000">
        <w:rPr>
          <w:highlight w:val="white"/>
          <w:rtl w:val="0"/>
        </w:rPr>
        <w:t xml:space="preserve">Kelly, V. and Brannlund, E. (2025). Irish Educational Studies. Routledge.</w:t>
      </w:r>
    </w:p>
    <w:p w:rsidR="00000000" w:rsidDel="00000000" w:rsidP="00000000" w:rsidRDefault="00000000" w:rsidRPr="00000000" w14:paraId="0000003A">
      <w:pPr>
        <w:spacing w:after="220" w:line="360" w:lineRule="auto"/>
        <w:rPr>
          <w:highlight w:val="white"/>
        </w:rPr>
      </w:pPr>
      <w:r w:rsidDel="00000000" w:rsidR="00000000" w:rsidRPr="00000000">
        <w:rPr>
          <w:highlight w:val="white"/>
          <w:rtl w:val="0"/>
        </w:rPr>
        <w:t xml:space="preserve">Learning and Teaching Scotland (2006). The Reggio Emilia Approach to Early Years Education. [online] Available at: https://education.gov.scot/media/vjtdw2cj/elc35_reggioaug06.pdf.</w:t>
      </w:r>
    </w:p>
    <w:p w:rsidR="00000000" w:rsidDel="00000000" w:rsidP="00000000" w:rsidRDefault="00000000" w:rsidRPr="00000000" w14:paraId="0000003B">
      <w:pPr>
        <w:spacing w:after="220" w:line="360" w:lineRule="auto"/>
        <w:rPr>
          <w:highlight w:val="white"/>
        </w:rPr>
      </w:pPr>
      <w:r w:rsidDel="00000000" w:rsidR="00000000" w:rsidRPr="00000000">
        <w:rPr>
          <w:highlight w:val="white"/>
          <w:rtl w:val="0"/>
        </w:rPr>
        <w:t xml:space="preserve">Let's Grow (2025). Success Stories. [online] Let’s Grow. Available at: https://www.letsgrow.org.uk/success-stories [Accessed 9 Jul. 2025].</w:t>
      </w:r>
    </w:p>
    <w:p w:rsidR="00000000" w:rsidDel="00000000" w:rsidP="00000000" w:rsidRDefault="00000000" w:rsidRPr="00000000" w14:paraId="0000003C">
      <w:pPr>
        <w:spacing w:after="220" w:line="360" w:lineRule="auto"/>
        <w:rPr>
          <w:highlight w:val="white"/>
        </w:rPr>
      </w:pPr>
      <w:r w:rsidDel="00000000" w:rsidR="00000000" w:rsidRPr="00000000">
        <w:rPr>
          <w:highlight w:val="white"/>
          <w:rtl w:val="0"/>
        </w:rPr>
        <w:t xml:space="preserve">Lets grow (2025). Early Years Resources UK | Let’s Grow. [online] Let’s Grow. Available at: </w:t>
      </w:r>
      <w:hyperlink r:id="rId7">
        <w:r w:rsidDel="00000000" w:rsidR="00000000" w:rsidRPr="00000000">
          <w:rPr>
            <w:color w:val="1155cc"/>
            <w:highlight w:val="white"/>
            <w:u w:val="single"/>
            <w:rtl w:val="0"/>
          </w:rPr>
          <w:t xml:space="preserve">https://www.letsgrow.org.uk/</w:t>
        </w:r>
      </w:hyperlink>
      <w:r w:rsidDel="00000000" w:rsidR="00000000" w:rsidRPr="00000000">
        <w:rPr>
          <w:highlight w:val="white"/>
          <w:rtl w:val="0"/>
        </w:rPr>
        <w:t xml:space="preserv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highlight w:val="white"/>
        </w:rPr>
      </w:pPr>
      <w:r w:rsidDel="00000000" w:rsidR="00000000" w:rsidRPr="00000000">
        <w:rPr>
          <w:highlight w:val="white"/>
          <w:rtl w:val="0"/>
        </w:rPr>
        <w:t xml:space="preserve">McLeod, Saul. (2025). Maslow's Hierarchy of Needs. 10.5281/zenodo.15240897. </w:t>
      </w:r>
    </w:p>
    <w:p w:rsidR="00000000" w:rsidDel="00000000" w:rsidP="00000000" w:rsidRDefault="00000000" w:rsidRPr="00000000" w14:paraId="0000003F">
      <w:pPr>
        <w:rPr>
          <w:highlight w:val="white"/>
        </w:rPr>
      </w:pPr>
      <w:r w:rsidDel="00000000" w:rsidR="00000000" w:rsidRPr="00000000">
        <w:rPr>
          <w:rtl w:val="0"/>
        </w:rPr>
      </w:r>
    </w:p>
    <w:p w:rsidR="00000000" w:rsidDel="00000000" w:rsidP="00000000" w:rsidRDefault="00000000" w:rsidRPr="00000000" w14:paraId="00000040">
      <w:pPr>
        <w:spacing w:after="220" w:line="360" w:lineRule="auto"/>
        <w:rPr>
          <w:highlight w:val="white"/>
        </w:rPr>
      </w:pPr>
      <w:r w:rsidDel="00000000" w:rsidR="00000000" w:rsidRPr="00000000">
        <w:rPr>
          <w:highlight w:val="white"/>
          <w:rtl w:val="0"/>
        </w:rPr>
        <w:t xml:space="preserve">National Children's Bureau (2023). Children &amp; Society.</w:t>
      </w:r>
    </w:p>
    <w:p w:rsidR="00000000" w:rsidDel="00000000" w:rsidP="00000000" w:rsidRDefault="00000000" w:rsidRPr="00000000" w14:paraId="00000041">
      <w:pPr>
        <w:spacing w:after="220" w:line="360" w:lineRule="auto"/>
        <w:rPr>
          <w:highlight w:val="white"/>
        </w:rPr>
      </w:pPr>
      <w:r w:rsidDel="00000000" w:rsidR="00000000" w:rsidRPr="00000000">
        <w:rPr>
          <w:highlight w:val="white"/>
          <w:rtl w:val="0"/>
        </w:rPr>
        <w:t xml:space="preserve">Ogunleye, O., Ogundeji, A.A. and Danso-Abbeam, G. (2025). Enhancing food security through keyhole gardening in Lesotho. JOURNAL OF DEVELOPMENT EFFECTIVENES, 17.</w:t>
      </w:r>
    </w:p>
    <w:p w:rsidR="00000000" w:rsidDel="00000000" w:rsidP="00000000" w:rsidRDefault="00000000" w:rsidRPr="00000000" w14:paraId="00000042">
      <w:pPr>
        <w:spacing w:after="220" w:line="360" w:lineRule="auto"/>
        <w:rPr>
          <w:highlight w:val="white"/>
        </w:rPr>
      </w:pPr>
      <w:r w:rsidDel="00000000" w:rsidR="00000000" w:rsidRPr="00000000">
        <w:rPr>
          <w:highlight w:val="white"/>
          <w:rtl w:val="0"/>
        </w:rPr>
        <w:t xml:space="preserve">OXFAM (2024). What is Global Citizenship? [online] Oxfam GB. Available at: </w:t>
      </w:r>
      <w:hyperlink r:id="rId8">
        <w:r w:rsidDel="00000000" w:rsidR="00000000" w:rsidRPr="00000000">
          <w:rPr>
            <w:color w:val="1155cc"/>
            <w:highlight w:val="white"/>
            <w:u w:val="single"/>
            <w:rtl w:val="0"/>
          </w:rPr>
          <w:t xml:space="preserve">https://www.oxfam.org.uk/education/who-we-are/what-is-global-citizenship/</w:t>
        </w:r>
      </w:hyperlink>
      <w:r w:rsidDel="00000000" w:rsidR="00000000" w:rsidRPr="00000000">
        <w:rPr>
          <w:highlight w:val="white"/>
          <w:rtl w:val="0"/>
        </w:rPr>
        <w:t xml:space="preserve">.</w:t>
      </w:r>
    </w:p>
    <w:p w:rsidR="00000000" w:rsidDel="00000000" w:rsidP="00000000" w:rsidRDefault="00000000" w:rsidRPr="00000000" w14:paraId="00000043">
      <w:pPr>
        <w:spacing w:after="220" w:line="360" w:lineRule="auto"/>
        <w:rPr>
          <w:highlight w:val="white"/>
        </w:rPr>
      </w:pPr>
      <w:r w:rsidDel="00000000" w:rsidR="00000000" w:rsidRPr="00000000">
        <w:rPr>
          <w:rtl w:val="0"/>
        </w:rPr>
      </w:r>
    </w:p>
    <w:p w:rsidR="00000000" w:rsidDel="00000000" w:rsidP="00000000" w:rsidRDefault="00000000" w:rsidRPr="00000000" w14:paraId="00000044">
      <w:pPr>
        <w:spacing w:after="220" w:line="360" w:lineRule="auto"/>
        <w:rPr>
          <w:highlight w:val="white"/>
        </w:rPr>
      </w:pPr>
      <w:r w:rsidDel="00000000" w:rsidR="00000000" w:rsidRPr="00000000">
        <w:rPr>
          <w:rtl w:val="0"/>
        </w:rPr>
      </w:r>
    </w:p>
    <w:p w:rsidR="00000000" w:rsidDel="00000000" w:rsidP="00000000" w:rsidRDefault="00000000" w:rsidRPr="00000000" w14:paraId="00000045">
      <w:pPr>
        <w:spacing w:after="220" w:line="360" w:lineRule="auto"/>
        <w:rPr>
          <w:highlight w:val="white"/>
        </w:rPr>
      </w:pPr>
      <w:r w:rsidDel="00000000" w:rsidR="00000000" w:rsidRPr="00000000">
        <w:rPr>
          <w:highlight w:val="white"/>
          <w:rtl w:val="0"/>
        </w:rPr>
        <w:t xml:space="preserve">Sharp, E., Tsang, S. and Egli, V. (2024). Children’s food gardening: valuing experiential,intergenerational and multi-cultural learning. KOTUITUI: NEW ZEALAND JOURNAL OF SOCIAL SCIENCES ONLINE.</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160" w:line="384.00000000000006" w:lineRule="auto"/>
        <w:rPr>
          <w:highlight w:val="white"/>
        </w:rPr>
      </w:pPr>
      <w:r w:rsidDel="00000000" w:rsidR="00000000" w:rsidRPr="00000000">
        <w:rPr>
          <w:highlight w:val="white"/>
          <w:rtl w:val="0"/>
        </w:rPr>
        <w:t xml:space="preserve">Sihvonen, P., Lappalainen, R., Herranen, J., &amp; Aksela, M. (2024). Promoting Sustainability Together with Parents in Early Childhood Education. Education Sciences, 14(5), 541. https://doi.org/10.3390/educsci14050541</w:t>
      </w:r>
    </w:p>
    <w:p w:rsidR="00000000" w:rsidDel="00000000" w:rsidP="00000000" w:rsidRDefault="00000000" w:rsidRPr="00000000" w14:paraId="00000047">
      <w:pPr>
        <w:spacing w:after="220" w:line="360" w:lineRule="auto"/>
        <w:rPr>
          <w:highlight w:val="white"/>
        </w:rPr>
      </w:pPr>
      <w:r w:rsidDel="00000000" w:rsidR="00000000" w:rsidRPr="00000000">
        <w:rPr>
          <w:highlight w:val="white"/>
          <w:rtl w:val="0"/>
        </w:rPr>
        <w:t xml:space="preserve">Skinner, B.F. (1988). The selection of behavior : the operant behaviorism of B.F. Skinner : comments and consequences. Cambridge: Cambridge University Press.</w:t>
      </w:r>
    </w:p>
    <w:p w:rsidR="00000000" w:rsidDel="00000000" w:rsidP="00000000" w:rsidRDefault="00000000" w:rsidRPr="00000000" w14:paraId="00000048">
      <w:pPr>
        <w:spacing w:after="220" w:line="360" w:lineRule="auto"/>
        <w:rPr>
          <w:highlight w:val="white"/>
        </w:rPr>
      </w:pPr>
      <w:r w:rsidDel="00000000" w:rsidR="00000000" w:rsidRPr="00000000">
        <w:rPr>
          <w:highlight w:val="white"/>
          <w:rtl w:val="0"/>
        </w:rPr>
        <w:t xml:space="preserve">Syme, S.L. and Ritterman, M.L. (n.d.). The Importance of Community Development For Health and Well-Being. [online] California. Available at: https://d1wqtxts1xzle7.cloudfront.net/43328903/syme_ritterman-libre.pdf?1457046141=&amp;response-content-disposition=inline%3B+filename%3DThe_importance_of_community_development.pdf&amp;Expires=1752051491&amp;Signature=g7aMurVGqF6hRbbEHbr8ySqrwVmy0BVPCZcbEY0VYONDYjaRsPSiVmWReWhtiJ332TazNO-l6jabDgw5dbV0gGMFBbsp6V4233wFESWn-ywdQZUAcfdrXnHqoUrKVx2cb0AY6XHMnmrSTzuCZPKArEht7dHPQ8GUxZWRnkycmMIDFeu6usggwDE7fjoIEOr7ZYWMO4bRjGnF0yAAKopK7XAkMduynnCKM1m~tdnxpmQSC7NplZnExhpaEIPLpjUoMS7y-dW7Oe4F1FDCvQdl6XeteP6xKQGaD-7Y615rSvw7aqMCdkhjHHikQckB2YnoiypN9RnTyjtdsfs9k0K2sw__&amp;Key-Pair-Id=APKAJLOHF5GGSLRBV4ZA.</w:t>
      </w:r>
    </w:p>
    <w:p w:rsidR="00000000" w:rsidDel="00000000" w:rsidP="00000000" w:rsidRDefault="00000000" w:rsidRPr="00000000" w14:paraId="00000049">
      <w:pPr>
        <w:spacing w:after="220" w:line="360" w:lineRule="auto"/>
        <w:rPr>
          <w:highlight w:val="white"/>
        </w:rPr>
      </w:pPr>
      <w:r w:rsidDel="00000000" w:rsidR="00000000" w:rsidRPr="00000000">
        <w:rPr>
          <w:highlight w:val="white"/>
          <w:rtl w:val="0"/>
        </w:rPr>
        <w:t xml:space="preserve">Tovey, H. (2017). A FROEBELIAN APPROACH: Froebel’s principles and practice today. [online] Froebel Trust. Froebel Trust. Available at: https://www.froebel.org.uk/uploads/documents/FT-Froebels-principles-and-practice-today.pdf.</w:t>
      </w:r>
    </w:p>
    <w:p w:rsidR="00000000" w:rsidDel="00000000" w:rsidP="00000000" w:rsidRDefault="00000000" w:rsidRPr="00000000" w14:paraId="0000004A">
      <w:pPr>
        <w:spacing w:after="220" w:line="360" w:lineRule="auto"/>
        <w:rPr>
          <w:highlight w:val="white"/>
        </w:rPr>
      </w:pPr>
      <w:r w:rsidDel="00000000" w:rsidR="00000000" w:rsidRPr="00000000">
        <w:rPr>
          <w:highlight w:val="white"/>
          <w:rtl w:val="0"/>
        </w:rPr>
        <w:t xml:space="preserve">United Nations (2025). The 17 Sustainable Development Goals. [online] United Nations. Available at: https://sdgs.un.org/goals.</w:t>
      </w:r>
    </w:p>
    <w:p w:rsidR="00000000" w:rsidDel="00000000" w:rsidP="00000000" w:rsidRDefault="00000000" w:rsidRPr="00000000" w14:paraId="0000004B">
      <w:pPr>
        <w:spacing w:after="220" w:line="360" w:lineRule="auto"/>
        <w:rPr>
          <w:highlight w:val="white"/>
        </w:rPr>
      </w:pPr>
      <w:r w:rsidDel="00000000" w:rsidR="00000000" w:rsidRPr="00000000">
        <w:rPr>
          <w:highlight w:val="white"/>
          <w:rtl w:val="0"/>
        </w:rPr>
        <w:t xml:space="preserve">Wright, C., Diener, M.L. and Kemp, J.L. (2012). Storytelling Dramas as a Community Building Activity in an Early Childhood Classroom. Early Childhood Education Journal, 41(3), pp.197–210. doi:https://doi.org/10.1007/s10643-012-0544-7.</w:t>
      </w:r>
    </w:p>
    <w:p w:rsidR="00000000" w:rsidDel="00000000" w:rsidP="00000000" w:rsidRDefault="00000000" w:rsidRPr="00000000" w14:paraId="0000004C">
      <w:pPr>
        <w:rPr>
          <w:color w:val="333333"/>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i.org/10.3390/healthcare12090919" TargetMode="External"/><Relationship Id="rId7" Type="http://schemas.openxmlformats.org/officeDocument/2006/relationships/hyperlink" Target="https://www.letsgrow.org.uk/" TargetMode="External"/><Relationship Id="rId8" Type="http://schemas.openxmlformats.org/officeDocument/2006/relationships/hyperlink" Target="https://www.oxfam.org.uk/education/who-we-are/what-is-global-citizen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