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809B4" w14:textId="77777777" w:rsidR="00E81255" w:rsidRDefault="00000000">
      <w:pPr>
        <w:pStyle w:val="a3"/>
        <w:spacing w:afterLines="50" w:after="156"/>
        <w:rPr>
          <w:rFonts w:ascii="Times New Roman" w:hAnsi="Times New Roman" w:cs="Times New Roman"/>
        </w:rPr>
      </w:pPr>
      <w:r>
        <w:rPr>
          <w:rFonts w:ascii="Times New Roman" w:hAnsi="Times New Roman" w:cs="Times New Roman"/>
        </w:rPr>
        <w:t>Addressing the Cold Start Problem in Short-Term Residential Load Forecasting via LSTM-based Transfer Learning</w:t>
      </w:r>
    </w:p>
    <w:p w14:paraId="4B2916A8" w14:textId="77777777" w:rsidR="00E81255" w:rsidRDefault="00E81255">
      <w:pPr>
        <w:spacing w:afterLines="50" w:after="156"/>
        <w:rPr>
          <w:rFonts w:hint="eastAsia"/>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81255" w14:paraId="6047387F" w14:textId="77777777">
        <w:tc>
          <w:tcPr>
            <w:tcW w:w="4148" w:type="dxa"/>
          </w:tcPr>
          <w:p w14:paraId="025703D3" w14:textId="77777777" w:rsidR="00E81255" w:rsidRDefault="00000000">
            <w:pPr>
              <w:spacing w:afterLines="50" w:after="156"/>
              <w:jc w:val="left"/>
              <w:rPr>
                <w:rFonts w:hint="eastAsia"/>
                <w:sz w:val="28"/>
                <w:szCs w:val="32"/>
              </w:rPr>
            </w:pPr>
            <w:r>
              <w:rPr>
                <w:rFonts w:ascii="Times New Roman" w:hAnsi="Times New Roman" w:cs="Times New Roman"/>
                <w:sz w:val="28"/>
                <w:szCs w:val="32"/>
              </w:rPr>
              <w:t>Name:</w:t>
            </w:r>
          </w:p>
        </w:tc>
        <w:tc>
          <w:tcPr>
            <w:tcW w:w="4148" w:type="dxa"/>
          </w:tcPr>
          <w:p w14:paraId="5F3A727E" w14:textId="77777777" w:rsidR="00E81255" w:rsidRDefault="00000000">
            <w:pPr>
              <w:tabs>
                <w:tab w:val="left" w:pos="1843"/>
                <w:tab w:val="left" w:pos="5670"/>
              </w:tabs>
              <w:spacing w:afterLines="50" w:after="156"/>
              <w:jc w:val="left"/>
              <w:rPr>
                <w:rFonts w:ascii="Times New Roman" w:hAnsi="Times New Roman" w:cs="Times New Roman"/>
                <w:sz w:val="28"/>
                <w:szCs w:val="32"/>
              </w:rPr>
            </w:pPr>
            <w:r>
              <w:rPr>
                <w:rFonts w:ascii="Times New Roman" w:hAnsi="Times New Roman" w:cs="Times New Roman"/>
                <w:sz w:val="28"/>
                <w:szCs w:val="32"/>
              </w:rPr>
              <w:t>Rui Guan</w:t>
            </w:r>
          </w:p>
        </w:tc>
      </w:tr>
      <w:tr w:rsidR="00E81255" w14:paraId="26EA8F33" w14:textId="77777777">
        <w:tc>
          <w:tcPr>
            <w:tcW w:w="4148" w:type="dxa"/>
          </w:tcPr>
          <w:p w14:paraId="274F401F" w14:textId="77777777" w:rsidR="00E81255" w:rsidRDefault="00000000">
            <w:pPr>
              <w:spacing w:afterLines="50" w:after="156"/>
              <w:jc w:val="left"/>
              <w:rPr>
                <w:rFonts w:hint="eastAsia"/>
                <w:sz w:val="28"/>
                <w:szCs w:val="32"/>
              </w:rPr>
            </w:pPr>
            <w:r>
              <w:rPr>
                <w:rFonts w:ascii="Times New Roman" w:hAnsi="Times New Roman" w:cs="Times New Roman"/>
                <w:sz w:val="28"/>
                <w:szCs w:val="32"/>
              </w:rPr>
              <w:t>Student ID:</w:t>
            </w:r>
          </w:p>
        </w:tc>
        <w:tc>
          <w:tcPr>
            <w:tcW w:w="4148" w:type="dxa"/>
          </w:tcPr>
          <w:p w14:paraId="265BB2E4" w14:textId="77777777" w:rsidR="00E81255" w:rsidRDefault="00000000">
            <w:pPr>
              <w:spacing w:afterLines="50" w:after="156"/>
              <w:jc w:val="left"/>
              <w:rPr>
                <w:rFonts w:hint="eastAsia"/>
                <w:sz w:val="28"/>
                <w:szCs w:val="32"/>
              </w:rPr>
            </w:pPr>
            <w:r>
              <w:rPr>
                <w:rFonts w:ascii="Times New Roman" w:hAnsi="Times New Roman" w:cs="Times New Roman"/>
                <w:sz w:val="28"/>
                <w:szCs w:val="32"/>
              </w:rPr>
              <w:t>2422400</w:t>
            </w:r>
          </w:p>
        </w:tc>
      </w:tr>
      <w:tr w:rsidR="00E81255" w14:paraId="02F5A7C8" w14:textId="77777777">
        <w:tc>
          <w:tcPr>
            <w:tcW w:w="4148" w:type="dxa"/>
          </w:tcPr>
          <w:p w14:paraId="0F845E1D" w14:textId="77777777" w:rsidR="00E81255" w:rsidRDefault="00000000">
            <w:pPr>
              <w:spacing w:afterLines="50" w:after="156"/>
              <w:jc w:val="left"/>
              <w:rPr>
                <w:rFonts w:hint="eastAsia"/>
                <w:sz w:val="28"/>
                <w:szCs w:val="32"/>
              </w:rPr>
            </w:pPr>
            <w:r>
              <w:rPr>
                <w:rFonts w:ascii="Times New Roman" w:hAnsi="Times New Roman" w:cs="Times New Roman"/>
                <w:sz w:val="28"/>
                <w:szCs w:val="32"/>
              </w:rPr>
              <w:t>Supervisor’s Name:</w:t>
            </w:r>
          </w:p>
        </w:tc>
        <w:tc>
          <w:tcPr>
            <w:tcW w:w="4148" w:type="dxa"/>
          </w:tcPr>
          <w:p w14:paraId="641B360E" w14:textId="77777777" w:rsidR="00E81255" w:rsidRDefault="00000000">
            <w:pPr>
              <w:spacing w:afterLines="50" w:after="156"/>
              <w:jc w:val="left"/>
              <w:rPr>
                <w:rFonts w:hint="eastAsia"/>
                <w:sz w:val="28"/>
                <w:szCs w:val="32"/>
              </w:rPr>
            </w:pPr>
            <w:r>
              <w:rPr>
                <w:rFonts w:ascii="Times New Roman" w:hAnsi="Times New Roman" w:cs="Times New Roman"/>
                <w:sz w:val="28"/>
                <w:szCs w:val="32"/>
              </w:rPr>
              <w:t xml:space="preserve">Nouh </w:t>
            </w:r>
            <w:proofErr w:type="spellStart"/>
            <w:r>
              <w:rPr>
                <w:rFonts w:ascii="Times New Roman" w:hAnsi="Times New Roman" w:cs="Times New Roman"/>
                <w:sz w:val="28"/>
                <w:szCs w:val="32"/>
              </w:rPr>
              <w:t>Elmitwally</w:t>
            </w:r>
            <w:proofErr w:type="spellEnd"/>
          </w:p>
        </w:tc>
      </w:tr>
      <w:tr w:rsidR="00E81255" w14:paraId="3B74DD14" w14:textId="77777777">
        <w:tc>
          <w:tcPr>
            <w:tcW w:w="4148" w:type="dxa"/>
          </w:tcPr>
          <w:p w14:paraId="25325E54" w14:textId="77777777" w:rsidR="00E81255" w:rsidRDefault="00000000">
            <w:pPr>
              <w:spacing w:afterLines="50" w:after="156"/>
              <w:jc w:val="left"/>
              <w:rPr>
                <w:rFonts w:hint="eastAsia"/>
                <w:sz w:val="28"/>
                <w:szCs w:val="32"/>
              </w:rPr>
            </w:pPr>
            <w:r>
              <w:rPr>
                <w:rFonts w:ascii="Times New Roman" w:hAnsi="Times New Roman" w:cs="Times New Roman"/>
                <w:sz w:val="28"/>
                <w:szCs w:val="32"/>
              </w:rPr>
              <w:t>Date:</w:t>
            </w:r>
          </w:p>
        </w:tc>
        <w:tc>
          <w:tcPr>
            <w:tcW w:w="4148" w:type="dxa"/>
          </w:tcPr>
          <w:p w14:paraId="1859789D" w14:textId="77777777" w:rsidR="00E81255" w:rsidRDefault="00000000">
            <w:pPr>
              <w:spacing w:afterLines="50" w:after="156"/>
              <w:jc w:val="left"/>
              <w:rPr>
                <w:rFonts w:hint="eastAsia"/>
                <w:sz w:val="28"/>
                <w:szCs w:val="32"/>
              </w:rPr>
            </w:pPr>
            <w:r>
              <w:rPr>
                <w:rFonts w:ascii="Times New Roman" w:hAnsi="Times New Roman" w:cs="Times New Roman"/>
                <w:sz w:val="28"/>
                <w:szCs w:val="32"/>
              </w:rPr>
              <w:t>February 6, 2026</w:t>
            </w:r>
          </w:p>
        </w:tc>
      </w:tr>
    </w:tbl>
    <w:p w14:paraId="0D520B08" w14:textId="77777777" w:rsidR="00E81255" w:rsidRDefault="00E81255">
      <w:pPr>
        <w:spacing w:afterLines="50" w:after="156"/>
        <w:rPr>
          <w:rFonts w:hint="eastAsia"/>
        </w:rPr>
      </w:pPr>
    </w:p>
    <w:p w14:paraId="1F7DDF51" w14:textId="77777777" w:rsidR="00E81255" w:rsidRDefault="00000000">
      <w:pPr>
        <w:widowControl/>
        <w:spacing w:afterLines="50" w:after="156"/>
        <w:jc w:val="left"/>
        <w:rPr>
          <w:rFonts w:ascii="Times New Roman" w:hAnsi="Times New Roman" w:cs="Times New Roman"/>
        </w:rPr>
      </w:pPr>
      <w:r>
        <w:rPr>
          <w:rFonts w:ascii="Times New Roman" w:hAnsi="Times New Roman" w:cs="Times New Roman"/>
        </w:rPr>
        <w:br w:type="page"/>
      </w:r>
    </w:p>
    <w:p w14:paraId="3AECDCC0" w14:textId="77777777" w:rsidR="00E81255" w:rsidRDefault="00000000">
      <w:pPr>
        <w:pStyle w:val="TOC"/>
        <w:spacing w:afterLines="50" w:after="156"/>
        <w:rPr>
          <w:rFonts w:ascii="Times New Roman" w:hAnsi="Times New Roman" w:cs="Times New Roman"/>
          <w:color w:val="auto"/>
          <w:sz w:val="40"/>
          <w:szCs w:val="40"/>
        </w:rPr>
      </w:pPr>
      <w:r>
        <w:rPr>
          <w:rFonts w:ascii="Times New Roman" w:hAnsi="Times New Roman" w:cs="Times New Roman"/>
          <w:color w:val="auto"/>
          <w:sz w:val="40"/>
          <w:szCs w:val="40"/>
          <w:lang w:val="zh-CN"/>
        </w:rPr>
        <w:lastRenderedPageBreak/>
        <w:t>Contents</w:t>
      </w:r>
    </w:p>
    <w:p w14:paraId="2BDD7FAD" w14:textId="6338A9B4" w:rsidR="00E81255" w:rsidRDefault="00000000" w:rsidP="08DC41F8">
      <w:pPr>
        <w:pStyle w:val="TOC1"/>
        <w:tabs>
          <w:tab w:val="right" w:leader="dot" w:pos="8296"/>
        </w:tabs>
        <w:spacing w:afterLines="50" w:after="156"/>
        <w:rPr>
          <w:rFonts w:hint="eastAsia"/>
          <w:noProof/>
          <w:sz w:val="24"/>
          <w:szCs w:val="24"/>
        </w:rPr>
      </w:pPr>
      <w:r>
        <w:rPr>
          <w:sz w:val="24"/>
          <w:szCs w:val="24"/>
        </w:rPr>
        <w:fldChar w:fldCharType="begin"/>
      </w:r>
      <w:r>
        <w:rPr>
          <w:sz w:val="24"/>
          <w:szCs w:val="24"/>
        </w:rPr>
        <w:instrText xml:space="preserve"> TOC \o "1-3" \h \z \u </w:instrText>
      </w:r>
      <w:r>
        <w:rPr>
          <w:sz w:val="24"/>
          <w:szCs w:val="24"/>
        </w:rPr>
        <w:fldChar w:fldCharType="separate"/>
      </w:r>
      <w:hyperlink w:anchor="_Toc221287252" w:history="1">
        <w:r w:rsidR="08DC41F8">
          <w:rPr>
            <w:rStyle w:val="af5"/>
            <w:rFonts w:ascii="Times New Roman" w:hAnsi="Times New Roman" w:cs="Times New Roman"/>
            <w:noProof/>
            <w:sz w:val="24"/>
            <w:szCs w:val="24"/>
          </w:rPr>
          <w:t>1. Abstract</w:t>
        </w:r>
        <w:r>
          <w:rPr>
            <w:rFonts w:hint="eastAsia"/>
            <w:noProof/>
            <w:webHidden/>
            <w:sz w:val="24"/>
            <w:szCs w:val="28"/>
          </w:rPr>
          <w:tab/>
        </w:r>
        <w:r w:rsidRPr="08DC41F8">
          <w:rPr>
            <w:noProof/>
            <w:webHidden/>
            <w:sz w:val="24"/>
            <w:szCs w:val="24"/>
          </w:rPr>
          <w:fldChar w:fldCharType="begin"/>
        </w:r>
        <w:r w:rsidRPr="08DC41F8">
          <w:rPr>
            <w:noProof/>
            <w:webHidden/>
            <w:sz w:val="24"/>
            <w:szCs w:val="24"/>
          </w:rPr>
          <w:instrText xml:space="preserve"> </w:instrText>
        </w:r>
        <w:r>
          <w:rPr>
            <w:noProof/>
            <w:webHidden/>
            <w:sz w:val="24"/>
            <w:szCs w:val="24"/>
          </w:rPr>
          <w:instrText>PAGEREF _Toc221287252 \h</w:instrText>
        </w:r>
        <w:r w:rsidRPr="08DC41F8">
          <w:rPr>
            <w:noProof/>
            <w:webHidden/>
            <w:sz w:val="24"/>
            <w:szCs w:val="24"/>
          </w:rPr>
          <w:instrText xml:space="preserve"> </w:instrText>
        </w:r>
        <w:r w:rsidRPr="08DC41F8">
          <w:rPr>
            <w:noProof/>
            <w:webHidden/>
            <w:sz w:val="24"/>
            <w:szCs w:val="24"/>
          </w:rPr>
        </w:r>
        <w:r w:rsidRPr="08DC41F8">
          <w:rPr>
            <w:noProof/>
            <w:webHidden/>
            <w:sz w:val="24"/>
            <w:szCs w:val="24"/>
          </w:rPr>
          <w:fldChar w:fldCharType="separate"/>
        </w:r>
        <w:r w:rsidR="004C7936">
          <w:rPr>
            <w:rFonts w:hint="eastAsia"/>
            <w:noProof/>
            <w:webHidden/>
            <w:sz w:val="24"/>
            <w:szCs w:val="24"/>
          </w:rPr>
          <w:t>1</w:t>
        </w:r>
        <w:r w:rsidRPr="08DC41F8">
          <w:rPr>
            <w:noProof/>
            <w:webHidden/>
            <w:sz w:val="24"/>
            <w:szCs w:val="24"/>
          </w:rPr>
          <w:fldChar w:fldCharType="end"/>
        </w:r>
      </w:hyperlink>
    </w:p>
    <w:p w14:paraId="6B77E616" w14:textId="05705F19" w:rsidR="00E81255" w:rsidRDefault="00000000">
      <w:pPr>
        <w:pStyle w:val="TOC1"/>
        <w:tabs>
          <w:tab w:val="right" w:leader="dot" w:pos="8296"/>
        </w:tabs>
        <w:spacing w:afterLines="50" w:after="156"/>
        <w:rPr>
          <w:rFonts w:hint="eastAsia"/>
          <w:noProof/>
          <w:sz w:val="24"/>
          <w:szCs w:val="28"/>
        </w:rPr>
      </w:pPr>
      <w:hyperlink w:anchor="_Toc221287253" w:history="1">
        <w:r>
          <w:rPr>
            <w:rStyle w:val="af5"/>
            <w:rFonts w:ascii="Times New Roman" w:hAnsi="Times New Roman" w:cs="Times New Roman" w:hint="eastAsia"/>
            <w:noProof/>
            <w:sz w:val="24"/>
            <w:szCs w:val="28"/>
          </w:rPr>
          <w:t>2. Introduction</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_Toc221287253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1</w:t>
        </w:r>
        <w:r>
          <w:rPr>
            <w:rFonts w:hint="eastAsia"/>
            <w:noProof/>
            <w:webHidden/>
            <w:sz w:val="24"/>
            <w:szCs w:val="28"/>
          </w:rPr>
          <w:fldChar w:fldCharType="end"/>
        </w:r>
      </w:hyperlink>
    </w:p>
    <w:p w14:paraId="71C2DCD0" w14:textId="19D09B1A" w:rsidR="00E81255" w:rsidRDefault="00000000">
      <w:pPr>
        <w:pStyle w:val="TOC2"/>
        <w:tabs>
          <w:tab w:val="right" w:leader="dot" w:pos="8296"/>
        </w:tabs>
        <w:spacing w:afterLines="50" w:after="156"/>
        <w:rPr>
          <w:rFonts w:hint="eastAsia"/>
          <w:noProof/>
          <w:sz w:val="24"/>
          <w:szCs w:val="28"/>
        </w:rPr>
      </w:pPr>
      <w:hyperlink w:anchor="_Toc221287254" w:history="1">
        <w:r>
          <w:rPr>
            <w:rStyle w:val="af5"/>
            <w:rFonts w:ascii="Times New Roman" w:hAnsi="Times New Roman" w:cs="Times New Roman" w:hint="eastAsia"/>
            <w:noProof/>
            <w:sz w:val="24"/>
            <w:szCs w:val="28"/>
          </w:rPr>
          <w:t>2.1 Context and Background</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_Toc221287254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1</w:t>
        </w:r>
        <w:r>
          <w:rPr>
            <w:rFonts w:hint="eastAsia"/>
            <w:noProof/>
            <w:webHidden/>
            <w:sz w:val="24"/>
            <w:szCs w:val="28"/>
          </w:rPr>
          <w:fldChar w:fldCharType="end"/>
        </w:r>
      </w:hyperlink>
    </w:p>
    <w:p w14:paraId="5B9E1D75" w14:textId="5AB9825C" w:rsidR="00E81255" w:rsidRDefault="00000000">
      <w:pPr>
        <w:pStyle w:val="TOC2"/>
        <w:tabs>
          <w:tab w:val="right" w:leader="dot" w:pos="8296"/>
        </w:tabs>
        <w:spacing w:afterLines="50" w:after="156"/>
        <w:rPr>
          <w:rFonts w:hint="eastAsia"/>
          <w:noProof/>
          <w:sz w:val="24"/>
          <w:szCs w:val="28"/>
        </w:rPr>
      </w:pPr>
      <w:hyperlink w:anchor="_Toc221287255" w:history="1">
        <w:r>
          <w:rPr>
            <w:rStyle w:val="af5"/>
            <w:rFonts w:ascii="Times New Roman" w:hAnsi="Times New Roman" w:cs="Times New Roman" w:hint="eastAsia"/>
            <w:noProof/>
            <w:sz w:val="24"/>
            <w:szCs w:val="28"/>
          </w:rPr>
          <w:t>2.2 The Problem: Cold Start</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_Toc221287255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1</w:t>
        </w:r>
        <w:r>
          <w:rPr>
            <w:rFonts w:hint="eastAsia"/>
            <w:noProof/>
            <w:webHidden/>
            <w:sz w:val="24"/>
            <w:szCs w:val="28"/>
          </w:rPr>
          <w:fldChar w:fldCharType="end"/>
        </w:r>
      </w:hyperlink>
    </w:p>
    <w:p w14:paraId="5BDD021F" w14:textId="02CE679C" w:rsidR="00E81255" w:rsidRDefault="00000000">
      <w:pPr>
        <w:pStyle w:val="TOC2"/>
        <w:tabs>
          <w:tab w:val="right" w:leader="dot" w:pos="8296"/>
        </w:tabs>
        <w:spacing w:afterLines="50" w:after="156"/>
        <w:rPr>
          <w:rFonts w:hint="eastAsia"/>
          <w:noProof/>
          <w:sz w:val="24"/>
          <w:szCs w:val="28"/>
        </w:rPr>
      </w:pPr>
      <w:hyperlink w:anchor="_Toc221287256" w:history="1">
        <w:r>
          <w:rPr>
            <w:rStyle w:val="af5"/>
            <w:rFonts w:ascii="Times New Roman" w:hAnsi="Times New Roman" w:cs="Times New Roman" w:hint="eastAsia"/>
            <w:noProof/>
            <w:sz w:val="24"/>
            <w:szCs w:val="28"/>
          </w:rPr>
          <w:t>2.3 Aim and Objectives</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_Toc221287256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2</w:t>
        </w:r>
        <w:r>
          <w:rPr>
            <w:rFonts w:hint="eastAsia"/>
            <w:noProof/>
            <w:webHidden/>
            <w:sz w:val="24"/>
            <w:szCs w:val="28"/>
          </w:rPr>
          <w:fldChar w:fldCharType="end"/>
        </w:r>
      </w:hyperlink>
    </w:p>
    <w:p w14:paraId="48A73953" w14:textId="71A55448" w:rsidR="00E81255" w:rsidRDefault="00000000">
      <w:pPr>
        <w:pStyle w:val="TOC1"/>
        <w:tabs>
          <w:tab w:val="right" w:leader="dot" w:pos="8296"/>
        </w:tabs>
        <w:spacing w:afterLines="50" w:after="156"/>
        <w:rPr>
          <w:rFonts w:hint="eastAsia"/>
          <w:noProof/>
          <w:sz w:val="24"/>
          <w:szCs w:val="28"/>
        </w:rPr>
      </w:pPr>
      <w:hyperlink w:anchor="_Toc221287257" w:history="1">
        <w:r>
          <w:rPr>
            <w:rStyle w:val="af5"/>
            <w:rFonts w:ascii="Times New Roman" w:hAnsi="Times New Roman" w:cs="Times New Roman" w:hint="eastAsia"/>
            <w:noProof/>
            <w:sz w:val="24"/>
            <w:szCs w:val="28"/>
          </w:rPr>
          <w:t>3. Literature Review</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_Toc221287257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3</w:t>
        </w:r>
        <w:r>
          <w:rPr>
            <w:rFonts w:hint="eastAsia"/>
            <w:noProof/>
            <w:webHidden/>
            <w:sz w:val="24"/>
            <w:szCs w:val="28"/>
          </w:rPr>
          <w:fldChar w:fldCharType="end"/>
        </w:r>
      </w:hyperlink>
    </w:p>
    <w:p w14:paraId="524F0BBA" w14:textId="5C9871D5" w:rsidR="00E81255" w:rsidRDefault="00000000">
      <w:pPr>
        <w:pStyle w:val="TOC2"/>
        <w:tabs>
          <w:tab w:val="right" w:leader="dot" w:pos="8296"/>
        </w:tabs>
        <w:spacing w:afterLines="50" w:after="156"/>
        <w:rPr>
          <w:rFonts w:hint="eastAsia"/>
          <w:noProof/>
          <w:sz w:val="24"/>
          <w:szCs w:val="28"/>
        </w:rPr>
      </w:pPr>
      <w:hyperlink w:anchor="_Toc221287258" w:history="1">
        <w:r>
          <w:rPr>
            <w:rStyle w:val="af5"/>
            <w:rFonts w:ascii="Times New Roman" w:hAnsi="Times New Roman" w:cs="Times New Roman" w:hint="eastAsia"/>
            <w:noProof/>
            <w:sz w:val="24"/>
            <w:szCs w:val="28"/>
          </w:rPr>
          <w:t>3.1 Research Gap Table</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_Toc221287258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3</w:t>
        </w:r>
        <w:r>
          <w:rPr>
            <w:rFonts w:hint="eastAsia"/>
            <w:noProof/>
            <w:webHidden/>
            <w:sz w:val="24"/>
            <w:szCs w:val="28"/>
          </w:rPr>
          <w:fldChar w:fldCharType="end"/>
        </w:r>
      </w:hyperlink>
    </w:p>
    <w:p w14:paraId="3D81D1F6" w14:textId="7BF2AC9C" w:rsidR="00E81255" w:rsidRDefault="00000000">
      <w:pPr>
        <w:pStyle w:val="TOC1"/>
        <w:tabs>
          <w:tab w:val="right" w:leader="dot" w:pos="8296"/>
        </w:tabs>
        <w:spacing w:afterLines="50" w:after="156"/>
        <w:rPr>
          <w:rFonts w:hint="eastAsia"/>
          <w:noProof/>
          <w:sz w:val="24"/>
          <w:szCs w:val="28"/>
        </w:rPr>
      </w:pPr>
      <w:hyperlink w:anchor="_Toc221287259" w:history="1">
        <w:r>
          <w:rPr>
            <w:rStyle w:val="af5"/>
            <w:rFonts w:ascii="Times New Roman" w:hAnsi="Times New Roman" w:cs="Times New Roman" w:hint="eastAsia"/>
            <w:noProof/>
            <w:sz w:val="24"/>
            <w:szCs w:val="28"/>
          </w:rPr>
          <w:t>4. Methodology</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_Toc221287259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4</w:t>
        </w:r>
        <w:r>
          <w:rPr>
            <w:rFonts w:hint="eastAsia"/>
            <w:noProof/>
            <w:webHidden/>
            <w:sz w:val="24"/>
            <w:szCs w:val="28"/>
          </w:rPr>
          <w:fldChar w:fldCharType="end"/>
        </w:r>
      </w:hyperlink>
    </w:p>
    <w:p w14:paraId="386099B8" w14:textId="4EAFD867" w:rsidR="00E81255" w:rsidRDefault="00000000">
      <w:pPr>
        <w:pStyle w:val="TOC2"/>
        <w:tabs>
          <w:tab w:val="right" w:leader="dot" w:pos="8296"/>
        </w:tabs>
        <w:spacing w:afterLines="50" w:after="156"/>
        <w:rPr>
          <w:rFonts w:hint="eastAsia"/>
          <w:noProof/>
          <w:sz w:val="24"/>
          <w:szCs w:val="28"/>
        </w:rPr>
      </w:pPr>
      <w:hyperlink w:anchor="_Toc221287260" w:history="1">
        <w:r>
          <w:rPr>
            <w:rStyle w:val="af5"/>
            <w:rFonts w:ascii="Times New Roman" w:hAnsi="Times New Roman" w:cs="Times New Roman" w:hint="eastAsia"/>
            <w:noProof/>
            <w:sz w:val="24"/>
            <w:szCs w:val="28"/>
          </w:rPr>
          <w:t>4.1 Data Source and Preprocessing</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_Toc221287260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4</w:t>
        </w:r>
        <w:r>
          <w:rPr>
            <w:rFonts w:hint="eastAsia"/>
            <w:noProof/>
            <w:webHidden/>
            <w:sz w:val="24"/>
            <w:szCs w:val="28"/>
          </w:rPr>
          <w:fldChar w:fldCharType="end"/>
        </w:r>
      </w:hyperlink>
    </w:p>
    <w:p w14:paraId="6CF5E907" w14:textId="09018416" w:rsidR="00E81255" w:rsidRDefault="00000000">
      <w:pPr>
        <w:pStyle w:val="TOC2"/>
        <w:tabs>
          <w:tab w:val="right" w:leader="dot" w:pos="8296"/>
        </w:tabs>
        <w:spacing w:afterLines="50" w:after="156"/>
        <w:rPr>
          <w:rFonts w:hint="eastAsia"/>
          <w:noProof/>
          <w:sz w:val="24"/>
          <w:szCs w:val="28"/>
        </w:rPr>
      </w:pPr>
      <w:hyperlink w:anchor="_Toc221287261" w:history="1">
        <w:r>
          <w:rPr>
            <w:rStyle w:val="af5"/>
            <w:rFonts w:ascii="Times New Roman" w:hAnsi="Times New Roman" w:cs="Times New Roman" w:hint="eastAsia"/>
            <w:noProof/>
            <w:sz w:val="24"/>
            <w:szCs w:val="28"/>
          </w:rPr>
          <w:t>4.2 Research Design: Transfer Learning</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_Toc221287261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4</w:t>
        </w:r>
        <w:r>
          <w:rPr>
            <w:rFonts w:hint="eastAsia"/>
            <w:noProof/>
            <w:webHidden/>
            <w:sz w:val="24"/>
            <w:szCs w:val="28"/>
          </w:rPr>
          <w:fldChar w:fldCharType="end"/>
        </w:r>
      </w:hyperlink>
    </w:p>
    <w:p w14:paraId="30F9B2CC" w14:textId="59B41A46" w:rsidR="00E81255" w:rsidRDefault="00000000">
      <w:pPr>
        <w:pStyle w:val="TOC2"/>
        <w:tabs>
          <w:tab w:val="right" w:leader="dot" w:pos="8296"/>
        </w:tabs>
        <w:spacing w:afterLines="50" w:after="156"/>
        <w:rPr>
          <w:rFonts w:hint="eastAsia"/>
          <w:noProof/>
          <w:sz w:val="24"/>
          <w:szCs w:val="28"/>
        </w:rPr>
      </w:pPr>
      <w:hyperlink w:anchor="_Toc221287262" w:history="1">
        <w:r>
          <w:rPr>
            <w:rStyle w:val="af5"/>
            <w:rFonts w:ascii="Times New Roman" w:hAnsi="Times New Roman" w:cs="Times New Roman" w:hint="eastAsia"/>
            <w:noProof/>
            <w:sz w:val="24"/>
            <w:szCs w:val="28"/>
          </w:rPr>
          <w:t>4.3 Evaluation</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_Toc221287262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5</w:t>
        </w:r>
        <w:r>
          <w:rPr>
            <w:rFonts w:hint="eastAsia"/>
            <w:noProof/>
            <w:webHidden/>
            <w:sz w:val="24"/>
            <w:szCs w:val="28"/>
          </w:rPr>
          <w:fldChar w:fldCharType="end"/>
        </w:r>
      </w:hyperlink>
    </w:p>
    <w:p w14:paraId="764CFC52" w14:textId="6AF8D4EE" w:rsidR="00E81255" w:rsidRDefault="00000000">
      <w:pPr>
        <w:pStyle w:val="TOC1"/>
        <w:tabs>
          <w:tab w:val="right" w:leader="dot" w:pos="8296"/>
        </w:tabs>
        <w:spacing w:afterLines="50" w:after="156"/>
        <w:rPr>
          <w:rFonts w:hint="eastAsia"/>
          <w:noProof/>
          <w:sz w:val="24"/>
          <w:szCs w:val="28"/>
        </w:rPr>
      </w:pPr>
      <w:hyperlink w:anchor="_Toc221287263" w:history="1">
        <w:r>
          <w:rPr>
            <w:rStyle w:val="af5"/>
            <w:rFonts w:ascii="Times New Roman" w:hAnsi="Times New Roman" w:cs="Times New Roman" w:hint="eastAsia"/>
            <w:noProof/>
            <w:sz w:val="24"/>
            <w:szCs w:val="28"/>
          </w:rPr>
          <w:t>5. Significance and Evaluation</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_Toc221287263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6</w:t>
        </w:r>
        <w:r>
          <w:rPr>
            <w:rFonts w:hint="eastAsia"/>
            <w:noProof/>
            <w:webHidden/>
            <w:sz w:val="24"/>
            <w:szCs w:val="28"/>
          </w:rPr>
          <w:fldChar w:fldCharType="end"/>
        </w:r>
      </w:hyperlink>
    </w:p>
    <w:p w14:paraId="0278C92F" w14:textId="108AB98B" w:rsidR="00E81255" w:rsidRDefault="00000000">
      <w:pPr>
        <w:pStyle w:val="TOC2"/>
        <w:tabs>
          <w:tab w:val="right" w:leader="dot" w:pos="8296"/>
        </w:tabs>
        <w:spacing w:afterLines="50" w:after="156"/>
        <w:rPr>
          <w:rFonts w:hint="eastAsia"/>
          <w:noProof/>
          <w:sz w:val="24"/>
          <w:szCs w:val="28"/>
        </w:rPr>
      </w:pPr>
      <w:hyperlink w:anchor="_Toc221287264" w:history="1">
        <w:r>
          <w:rPr>
            <w:rStyle w:val="af5"/>
            <w:rFonts w:ascii="Times New Roman" w:hAnsi="Times New Roman" w:cs="Times New Roman" w:hint="eastAsia"/>
            <w:noProof/>
            <w:sz w:val="24"/>
            <w:szCs w:val="28"/>
          </w:rPr>
          <w:t>5.1 Potential Impact and Significance</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_Toc221287264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6</w:t>
        </w:r>
        <w:r>
          <w:rPr>
            <w:rFonts w:hint="eastAsia"/>
            <w:noProof/>
            <w:webHidden/>
            <w:sz w:val="24"/>
            <w:szCs w:val="28"/>
          </w:rPr>
          <w:fldChar w:fldCharType="end"/>
        </w:r>
      </w:hyperlink>
    </w:p>
    <w:p w14:paraId="6ECAB90F" w14:textId="71732781" w:rsidR="00E81255" w:rsidRDefault="00000000">
      <w:pPr>
        <w:pStyle w:val="TOC2"/>
        <w:tabs>
          <w:tab w:val="right" w:leader="dot" w:pos="8296"/>
        </w:tabs>
        <w:spacing w:afterLines="50" w:after="156"/>
        <w:rPr>
          <w:rFonts w:hint="eastAsia"/>
          <w:noProof/>
          <w:sz w:val="24"/>
          <w:szCs w:val="28"/>
        </w:rPr>
      </w:pPr>
      <w:hyperlink w:anchor="_Toc221287265" w:history="1">
        <w:r>
          <w:rPr>
            <w:rStyle w:val="af5"/>
            <w:rFonts w:ascii="Times New Roman" w:hAnsi="Times New Roman" w:cs="Times New Roman" w:hint="eastAsia"/>
            <w:noProof/>
            <w:sz w:val="24"/>
            <w:szCs w:val="28"/>
          </w:rPr>
          <w:t>5.2 Limitations and Weaknesses</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_Toc221287265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6</w:t>
        </w:r>
        <w:r>
          <w:rPr>
            <w:rFonts w:hint="eastAsia"/>
            <w:noProof/>
            <w:webHidden/>
            <w:sz w:val="24"/>
            <w:szCs w:val="28"/>
          </w:rPr>
          <w:fldChar w:fldCharType="end"/>
        </w:r>
      </w:hyperlink>
    </w:p>
    <w:p w14:paraId="722A5C00" w14:textId="50F47A9C" w:rsidR="00E81255" w:rsidRDefault="00000000">
      <w:pPr>
        <w:pStyle w:val="TOC1"/>
        <w:tabs>
          <w:tab w:val="right" w:leader="dot" w:pos="8296"/>
        </w:tabs>
        <w:spacing w:afterLines="50" w:after="156"/>
        <w:rPr>
          <w:rFonts w:hint="eastAsia"/>
          <w:noProof/>
          <w:sz w:val="24"/>
          <w:szCs w:val="28"/>
        </w:rPr>
      </w:pPr>
      <w:hyperlink w:anchor="_Toc221287266" w:history="1">
        <w:r>
          <w:rPr>
            <w:rStyle w:val="af5"/>
            <w:rFonts w:ascii="Times New Roman" w:hAnsi="Times New Roman" w:cs="Times New Roman" w:hint="eastAsia"/>
            <w:noProof/>
            <w:sz w:val="24"/>
            <w:szCs w:val="28"/>
          </w:rPr>
          <w:t>6. References</w:t>
        </w:r>
        <w:r>
          <w:rPr>
            <w:rFonts w:hint="eastAsia"/>
            <w:noProof/>
            <w:webHidden/>
            <w:sz w:val="24"/>
            <w:szCs w:val="28"/>
          </w:rPr>
          <w:tab/>
        </w:r>
        <w:r>
          <w:rPr>
            <w:rFonts w:hint="eastAsia"/>
            <w:noProof/>
            <w:webHidden/>
            <w:sz w:val="24"/>
            <w:szCs w:val="28"/>
          </w:rPr>
          <w:fldChar w:fldCharType="begin"/>
        </w:r>
        <w:r>
          <w:rPr>
            <w:rFonts w:hint="eastAsia"/>
            <w:noProof/>
            <w:webHidden/>
            <w:sz w:val="24"/>
            <w:szCs w:val="28"/>
          </w:rPr>
          <w:instrText xml:space="preserve"> </w:instrText>
        </w:r>
        <w:r>
          <w:rPr>
            <w:noProof/>
            <w:webHidden/>
            <w:sz w:val="24"/>
            <w:szCs w:val="28"/>
          </w:rPr>
          <w:instrText>PAGEREF _Toc221287266 \h</w:instrText>
        </w:r>
        <w:r>
          <w:rPr>
            <w:rFonts w:hint="eastAsia"/>
            <w:noProof/>
            <w:webHidden/>
            <w:sz w:val="24"/>
            <w:szCs w:val="28"/>
          </w:rPr>
          <w:instrText xml:space="preserve"> </w:instrText>
        </w:r>
        <w:r>
          <w:rPr>
            <w:rFonts w:hint="eastAsia"/>
            <w:noProof/>
            <w:webHidden/>
            <w:sz w:val="24"/>
            <w:szCs w:val="28"/>
          </w:rPr>
        </w:r>
        <w:r>
          <w:rPr>
            <w:rFonts w:hint="eastAsia"/>
            <w:noProof/>
            <w:webHidden/>
            <w:sz w:val="24"/>
            <w:szCs w:val="28"/>
          </w:rPr>
          <w:fldChar w:fldCharType="separate"/>
        </w:r>
        <w:r w:rsidR="004C7936">
          <w:rPr>
            <w:rFonts w:hint="eastAsia"/>
            <w:noProof/>
            <w:webHidden/>
            <w:sz w:val="24"/>
            <w:szCs w:val="28"/>
          </w:rPr>
          <w:t>7</w:t>
        </w:r>
        <w:r>
          <w:rPr>
            <w:rFonts w:hint="eastAsia"/>
            <w:noProof/>
            <w:webHidden/>
            <w:sz w:val="24"/>
            <w:szCs w:val="28"/>
          </w:rPr>
          <w:fldChar w:fldCharType="end"/>
        </w:r>
      </w:hyperlink>
    </w:p>
    <w:p w14:paraId="5E185DF7" w14:textId="77777777" w:rsidR="00E81255" w:rsidRDefault="00000000">
      <w:pPr>
        <w:spacing w:afterLines="50" w:after="156"/>
        <w:rPr>
          <w:rFonts w:hint="eastAsia"/>
        </w:rPr>
      </w:pPr>
      <w:r>
        <w:rPr>
          <w:b/>
          <w:bCs/>
          <w:sz w:val="24"/>
          <w:szCs w:val="28"/>
          <w:lang w:val="zh-CN"/>
        </w:rPr>
        <w:fldChar w:fldCharType="end"/>
      </w:r>
    </w:p>
    <w:p w14:paraId="67D9B135" w14:textId="77777777" w:rsidR="00E81255" w:rsidRDefault="00E81255">
      <w:pPr>
        <w:widowControl/>
        <w:spacing w:afterLines="50" w:after="156"/>
        <w:jc w:val="left"/>
        <w:rPr>
          <w:rFonts w:ascii="Times New Roman" w:hAnsi="Times New Roman" w:cs="Times New Roman"/>
        </w:rPr>
      </w:pPr>
    </w:p>
    <w:p w14:paraId="25702E59" w14:textId="77777777" w:rsidR="00E81255" w:rsidRDefault="00E81255">
      <w:pPr>
        <w:widowControl/>
        <w:spacing w:afterLines="50" w:after="156"/>
        <w:jc w:val="left"/>
        <w:rPr>
          <w:rFonts w:ascii="Times New Roman" w:hAnsi="Times New Roman" w:cs="Times New Roman"/>
        </w:rPr>
        <w:sectPr w:rsidR="00E81255">
          <w:pgSz w:w="11906" w:h="16838"/>
          <w:pgMar w:top="1440" w:right="1800" w:bottom="1440" w:left="1800" w:header="851" w:footer="992" w:gutter="0"/>
          <w:pgNumType w:start="1"/>
          <w:cols w:space="425"/>
          <w:docGrid w:type="lines" w:linePitch="312"/>
        </w:sectPr>
      </w:pPr>
    </w:p>
    <w:p w14:paraId="5BAEDBFB" w14:textId="77777777" w:rsidR="00E81255" w:rsidRDefault="00E81255">
      <w:pPr>
        <w:widowControl/>
        <w:spacing w:afterLines="50" w:after="156"/>
        <w:jc w:val="left"/>
        <w:rPr>
          <w:rFonts w:ascii="Times New Roman" w:hAnsi="Times New Roman" w:cs="Times New Roman"/>
        </w:rPr>
      </w:pPr>
    </w:p>
    <w:p w14:paraId="5E3A093E" w14:textId="77777777" w:rsidR="00E81255" w:rsidRDefault="00000000">
      <w:pPr>
        <w:pStyle w:val="1"/>
        <w:spacing w:afterLines="50" w:after="156"/>
        <w:rPr>
          <w:rFonts w:ascii="Times New Roman" w:hAnsi="Times New Roman" w:cs="Times New Roman"/>
          <w:color w:val="auto"/>
        </w:rPr>
      </w:pPr>
      <w:bookmarkStart w:id="0" w:name="_Toc221287252"/>
      <w:r>
        <w:rPr>
          <w:rFonts w:ascii="Times New Roman" w:hAnsi="Times New Roman" w:cs="Times New Roman"/>
          <w:color w:val="auto"/>
        </w:rPr>
        <w:t>1. Abstract</w:t>
      </w:r>
      <w:bookmarkEnd w:id="0"/>
    </w:p>
    <w:p w14:paraId="7381804A"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This research proposal aims to address the “Cold Start” problem in Short-Term Load Forecasting (STLF) for new residential energy users. While Deep Learning models, particularly Long Short-Term Memory (LSTM) networks, are effective in energy prediction, their reliance on vast historical data limits their application for new smart meter installations. This study proposes a Transfer Learning (TL) framework to migrate consumption patterns from data-rich households to new users. By pre-training on a global dataset and fine-tuning with limited local data, the research expects to significantly improve forecasting accuracy during the first two weeks of data collection.</w:t>
      </w:r>
    </w:p>
    <w:p w14:paraId="4A237EE2" w14:textId="77777777" w:rsidR="00E81255" w:rsidRDefault="00000000">
      <w:pPr>
        <w:pStyle w:val="1"/>
        <w:spacing w:afterLines="50" w:after="156"/>
        <w:rPr>
          <w:rFonts w:ascii="Times New Roman" w:hAnsi="Times New Roman" w:cs="Times New Roman"/>
          <w:color w:val="auto"/>
        </w:rPr>
      </w:pPr>
      <w:bookmarkStart w:id="1" w:name="_Toc221287253"/>
      <w:r>
        <w:rPr>
          <w:rFonts w:ascii="Times New Roman" w:hAnsi="Times New Roman" w:cs="Times New Roman"/>
          <w:color w:val="auto"/>
        </w:rPr>
        <w:t>2. Introduction</w:t>
      </w:r>
      <w:bookmarkEnd w:id="1"/>
    </w:p>
    <w:p w14:paraId="4EC78270" w14:textId="77777777" w:rsidR="00E81255" w:rsidRDefault="00000000">
      <w:pPr>
        <w:pStyle w:val="2"/>
        <w:spacing w:afterLines="50" w:after="156"/>
        <w:rPr>
          <w:rFonts w:ascii="Times New Roman" w:hAnsi="Times New Roman" w:cs="Times New Roman"/>
          <w:color w:val="auto"/>
        </w:rPr>
      </w:pPr>
      <w:bookmarkStart w:id="2" w:name="_Toc221287254"/>
      <w:r>
        <w:rPr>
          <w:rFonts w:ascii="Times New Roman" w:hAnsi="Times New Roman" w:cs="Times New Roman"/>
          <w:color w:val="auto"/>
        </w:rPr>
        <w:t>2.1 Context and Background</w:t>
      </w:r>
      <w:bookmarkEnd w:id="2"/>
    </w:p>
    <w:p w14:paraId="56E3D076"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The contemporary global energy landscape is undergoing a radical transition toward Smart Grids, a shift primarily characterized by the widespread integration of Advanced Metering Infrastructure (AMI). This technological evolution has facilitated the collection of high-frequency, granular electricity consumption data, effectively transforming traditional power systems into data-driven ecosystems that allow for more sophisticated and responsive electricity management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{"citationID":"fqwq6ooD","properties":{"formattedCitation":"[1]","plainCitation":"[1]","noteIndex":0},"citationItems":[{"id":539,"uris":["http://zotero.org/users/local/p3tV44H5/items/HWZLV4UQ"],"itemData":{"id":539,"type":"article-journal","abstract":"Accurate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t>. Within this digital framework, Short-Term Load Forecasting (STLF) has emerged as a critical cornerstone. Achieving high precision in STLF—predicting demand from a few minutes to several days ahead</w:t>
      </w:r>
      <w:r>
        <w:rPr>
          <w:rFonts w:ascii="Times New Roman" w:hAnsi="Times New Roman" w:cs="Times New Roman" w:hint="eastAsia"/>
          <w:sz w:val="24"/>
          <w:szCs w:val="24"/>
        </w:rPr>
        <w:t xml:space="preserve">, </w:t>
      </w:r>
      <w:r>
        <w:rPr>
          <w:rFonts w:ascii="Times New Roman" w:hAnsi="Times New Roman" w:cs="Times New Roman"/>
          <w:sz w:val="24"/>
          <w:szCs w:val="24"/>
        </w:rPr>
        <w:t>is essential not only for maintaining the real-time operational stability of the grid but also for the successful implementation of Demand-Side Management (DSM) strategies</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{"citationID":"qefhpJAH","properties":{"formattedCitation":"[2]","plainCitation":"[2]","noteIndex":0},"citationItems":[{"id":542,"uris":["http://zotero.org/users/local/p3tV44H5/items/WNFTH4DZ"],"itemData":{"id":542,"type":"article-journal","abstract":"Power grids are transforming into flexible, smart, and cooperative systems with greater dissemination of distributed energy resources, advanced metering infrastructure, and advanced communication technologies. Short-term electric load forecasting for individual residential customers plays a progressively crucial role in the operation and planning of future grids. Compared to the aggregated electrical load at the community level, the prediction of individual household electric loads is legitimately challenging because of the high uncertainty and volatility involved. Results from previous studies show that prediction using machine learning and deep learning models is far from accurate, and there is still room for improvement. We herein propose a deep learning framework based on a combination of a convolutional neural network (CNN) and long short-term memory (LSTM). The proposed hybrid CNN-LSTM model uses CNN layers for feature extraction from the input data with LSTM layers for sequence learning. The performance of our developed framework is comprehensively compared to state-of-the-art systems currently in use for short-term individual household electric load forecasting. The proposed model achieved significantly better results compared to other competing techniques. We evaluated our proposed model with the recently explored LSTM-based deep learning model on a publicly available electrical load data of individual household customers from the Smart Grid Smart City (SGSC) project. We obtained an average mean absolute percentage error (MAPE) of 40.38% for individual household electric load forecasts in comparison with the LSTM-based model that obtained an average MAPE of 44.06%. Furthermore, we evaluated the effectiveness of the proposed model on different time horizons (up to 3 h ahead). Compared to the recently developed LSTM-based model tested on the same dataset, we obtained 4.01%, 4.76%, and 5.98% improvement for one, two, and six look-forward time steps, respectively (with 2 lookback time steps). Additionally, we have performed clustering analysis based on the power consumption behavior of the energy users, which indicate that prediction accuracy could be improved by grouping and training the representative model using large amount of data. The results indicated that the proposed model outperforms the LSTM-based model for both 1 h ahead and 3 h ahead in forecasting individual household electric loads.","container-title":"IEEE Access","DOI":"10.1109/ACCESS.2020.3028281","ISSN":"2169-3536","page":"180544-180557","source":"IEEE Xplore","title":"Hybrid CNN-LSTM Model for Short-Term Individual Household Load Forecasting","volume":"8","author":[{"family":"Alhussein","given":"Musaed"},{"family":"Aurangzeb","given":"Khursheed"},{"family":"Haider","given":"Syed Irtaza"}],"issued":{"date-parts":[["2020"]]}}}],"schema":"https://github.com/citation-style-language/schema/raw/master/csl-citation.json"}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szCs w:val="24"/>
        </w:rPr>
        <w:t>[2]</w:t>
      </w:r>
      <w:r>
        <w:rPr>
          <w:rFonts w:ascii="Times New Roman" w:hAnsi="Times New Roman" w:cs="Times New Roman"/>
          <w:sz w:val="24"/>
          <w:szCs w:val="24"/>
        </w:rPr>
        <w:fldChar w:fldCharType="end"/>
      </w:r>
      <w:r>
        <w:rPr>
          <w:rFonts w:ascii="Times New Roman" w:hAnsi="Times New Roman" w:cs="Times New Roman"/>
          <w:sz w:val="24"/>
          <w:szCs w:val="24"/>
        </w:rPr>
        <w:t>. By accurately anticipating load fluctuations, utility providers can better balance supply and demand, optimize energy generation schedules, and enhance the overall efficiency of the modern power distribution network.</w:t>
      </w:r>
    </w:p>
    <w:p w14:paraId="7CC12D88" w14:textId="77777777" w:rsidR="00E81255" w:rsidRDefault="00000000">
      <w:pPr>
        <w:pStyle w:val="2"/>
        <w:spacing w:afterLines="50" w:after="156"/>
        <w:rPr>
          <w:rFonts w:ascii="Times New Roman" w:hAnsi="Times New Roman" w:cs="Times New Roman"/>
          <w:color w:val="auto"/>
        </w:rPr>
      </w:pPr>
      <w:bookmarkStart w:id="3" w:name="_Toc221287255"/>
      <w:r>
        <w:rPr>
          <w:rFonts w:ascii="Times New Roman" w:hAnsi="Times New Roman" w:cs="Times New Roman"/>
          <w:color w:val="auto"/>
        </w:rPr>
        <w:t>2.2 The Problem: Cold Start</w:t>
      </w:r>
      <w:bookmarkEnd w:id="3"/>
    </w:p>
    <w:p w14:paraId="19FCC57A" w14:textId="77777777" w:rsidR="00E81255" w:rsidRDefault="00000000">
      <w:pPr>
        <w:pStyle w:val="af"/>
        <w:spacing w:afterLines="50" w:after="156" w:afterAutospacing="0"/>
        <w:rPr>
          <w:rFonts w:ascii="Times New Roman" w:hAnsi="Times New Roman" w:cs="Times New Roman"/>
        </w:rPr>
      </w:pPr>
      <w:r>
        <w:rPr>
          <w:rFonts w:ascii="Times New Roman" w:hAnsi="Times New Roman" w:cs="Times New Roman"/>
        </w:rPr>
        <w:t>Currently, most state-of-the-art architectures, particularly Long Short-Term Memory (LSTM) networks, are widely lauded for their ability to capture long-range temporal dependencies and complex non-linear patterns in volatile residential energy data.</w:t>
      </w:r>
    </w:p>
    <w:p w14:paraId="11309198" w14:textId="77777777" w:rsidR="00E81255" w:rsidRDefault="00000000">
      <w:pPr>
        <w:pStyle w:val="af"/>
        <w:spacing w:afterLines="50" w:after="156" w:afterAutospacing="0"/>
        <w:rPr>
          <w:rFonts w:ascii="Times New Roman" w:hAnsi="Times New Roman" w:cs="Times New Roman"/>
        </w:rPr>
      </w:pPr>
      <w:r>
        <w:rPr>
          <w:rFonts w:ascii="Times New Roman" w:hAnsi="Times New Roman" w:cs="Times New Roman"/>
        </w:rPr>
        <w:t>However, these deep learning structures are inherently parameter-heavy, necessitating extensive and diverse historical training datasets</w:t>
      </w:r>
      <w:r>
        <w:rPr>
          <w:rFonts w:ascii="Times New Roman" w:hAnsi="Times New Roman" w:cs="Times New Roman" w:hint="eastAsia"/>
        </w:rPr>
        <w:t xml:space="preserve">, </w:t>
      </w:r>
      <w:r>
        <w:rPr>
          <w:rFonts w:ascii="Times New Roman" w:hAnsi="Times New Roman" w:cs="Times New Roman"/>
        </w:rPr>
        <w:t>often spanning several months or even years</w:t>
      </w:r>
      <w:r>
        <w:rPr>
          <w:rFonts w:ascii="Times New Roman" w:hAnsi="Times New Roman" w:cs="Times New Roman" w:hint="eastAsia"/>
        </w:rPr>
        <w:t xml:space="preserve"> </w:t>
      </w:r>
      <w:r>
        <w:rPr>
          <w:rFonts w:ascii="Times New Roman" w:hAnsi="Times New Roman" w:cs="Times New Roman"/>
        </w:rPr>
        <w:t xml:space="preserve">to achieve model convergence and effectively mitigate the risk of severe overfitting during the training phase </w:t>
      </w:r>
      <w:r>
        <w:rPr>
          <w:rFonts w:ascii="Times New Roman" w:hAnsi="Times New Roman" w:cs="Times New Roman"/>
        </w:rPr>
        <w:fldChar w:fldCharType="begin"/>
      </w:r>
      <w:r>
        <w:rPr>
          <w:rFonts w:ascii="Times New Roman" w:hAnsi="Times New Roman" w:cs="Times New Roman"/>
        </w:rPr>
        <w:instrText xml:space="preserve"> ADDIN ZOTERO_ITEM CSL_CITATION {"citationID":"bAaH7n8J","properties":{"formattedCitation":"[3]","plainCitation":"[3]","noteIndex":0},"citationItems":[{"id":512,"uris":["http://zotero.org/users/local/p3tV44H5/items/HCMHHT5F"],"itemData":{"id":512,"type":"article-journal","abstract":"Learning to store information over extended time intervals by recurrent backpropagation takes a very long time, mostly because of insufficient, decaying error backflow. We briefly review Hochreiter's (1991) analysis of this problem, then address it by introducing a novel, efficient, gradient based method called long short-term memory (LSTM). Truncating the gradient where this does not do harm, LSTM can learn to bridge minimal time lags in excess of 1000 discrete-time steps by enforcing constant error flow through constant error carousels within special units. Multiplicative gate units learn to open and close access to the constant error flow. LSTM is local in space and time; its computational complexity per time step and weight is O. 1. Our experiments with artificial data involve local, distributed, real-valued, and noisy pattern representations. In comparisons with real-time recurrent learning, back propagation through time, recurrent cascade correlation, Elman nets, and neural sequence chunking, LSTM leads to many more successful runs, and learns much faster. LSTM also solves complex, artificial long-time-lag tasks that have never been solved by previous recurrent network algorithms.","container-title":"Neural Computation","DOI":"10.1162/neco.1997.9.8.1735","ISSN":"0899-7667","issue":"8","page":"1735-1780","source":"IEEE Xplore","title":"Long Short-Term Memory","volume":"9","author":[{"family":"Hochreiter","given":"Sepp"},{"family":"Schmidhuber","given":"Jürgen"}],"issued":{"date-parts":[["1997",11]]}}}],"schema":"https://github.com/citation-style-language/schema/raw/master/csl-citation.json"}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hint="eastAsia"/>
        </w:rPr>
        <w:t>[3]</w:t>
      </w:r>
      <w:r>
        <w:rPr>
          <w:rFonts w:ascii="Times New Roman" w:hAnsi="Times New Roman" w:cs="Times New Roman"/>
        </w:rPr>
        <w:fldChar w:fldCharType="end"/>
      </w:r>
      <w:r>
        <w:rPr>
          <w:rFonts w:ascii="Times New Roman" w:hAnsi="Times New Roman" w:cs="Times New Roman"/>
        </w:rPr>
        <w:t>.</w:t>
      </w:r>
    </w:p>
    <w:p w14:paraId="0F4E3782" w14:textId="77777777" w:rsidR="00E81255" w:rsidRDefault="00000000">
      <w:pPr>
        <w:pStyle w:val="af"/>
        <w:spacing w:afterLines="50" w:after="156" w:afterAutospacing="0"/>
        <w:rPr>
          <w:rFonts w:ascii="Times New Roman" w:hAnsi="Times New Roman" w:cs="Times New Roman"/>
        </w:rPr>
      </w:pPr>
      <w:r>
        <w:rPr>
          <w:rFonts w:ascii="Times New Roman" w:hAnsi="Times New Roman" w:cs="Times New Roman"/>
        </w:rPr>
        <w:lastRenderedPageBreak/>
        <w:t xml:space="preserve">A significant operational bottleneck arises, however, in the form of the “Cold Start” problem. This phenomenon is frequently encountered when new residential consumers are integrated into the smart grid or when existing smart meters are replaced, resulting in a target domain that provides a critically sparse data window, typically comprising less than fourteen days of historical consumption records </w:t>
      </w:r>
      <w:r>
        <w:rPr>
          <w:rFonts w:ascii="Times New Roman" w:hAnsi="Times New Roman" w:cs="Times New Roman"/>
        </w:rPr>
        <w:fldChar w:fldCharType="begin"/>
      </w:r>
      <w:r>
        <w:rPr>
          <w:rFonts w:ascii="Times New Roman" w:hAnsi="Times New Roman" w:cs="Times New Roman"/>
        </w:rPr>
        <w:instrText xml:space="preserve"> ADDIN ZOTERO_ITEM CSL_CITATION {"citationID":"zaEQUL20","properties":{"formattedCitation":"[4]","plainCitation":"[4]","noteIndex":0},"citationItems":[{"id":516,"uris":["http://zotero.org/users/local/p3tV44H5/items/DT3M3WEH"],"itemData":{"id":516,"type":"article-journal","abstract":"Transfer learning aims at improving the performance of target learners on target domains by transferring the knowledge contained in different but related source domains. In this way, the dependence on a large number of target-domain data can be reduced for constructing target learners. Due to the wide application prospects, transfer learning has become a popular and promising area in machine learning. Although there are already some valuable and impressive surveys on transfer learning, these surveys introduce approaches in a relatively isolated way and lack the recent advances in transfer learning. Due to the rapid expansion of the transfer learning area, it is both necessary and challenging to comprehensively review the relevant studies. This survey attempts to connect and systematize the existing transfer learning research studies, as well as to summarize and interpret the mechanisms and the strategies of transfer learning in a comprehensive way, which may help readers have a better understanding of the current research status and ideas. Unlike previous surveys, this survey article reviews more than 40 representative transfer learning approaches, especially homogeneous transfer learning approaches, from the perspectives of data and model. The applications of transfer learning are also briefly introduced. In order to show the performance of different transfer learning models, over 20 representative transfer learning models are used for experiments. The models are performed on three different data sets, that is, Amazon Reviews, Reuters-21578, and Office-31, and the experimental results demonstrate the importance of selecting appropriate transfer learning models for different applications in practice.","container-title":"Proceedings of the IEEE","DOI":"10.1109/JPROC.2020.3004555","ISSN":"1558-2256","issue":"1","page":"43-76","source":"IEEE Xplore","title":"A Comprehensive Survey on Transfer Learning","volume":"109","author":[{"family":"Zhuang","given":"Fuzhen"},{"family":"Qi","given":"Zhiyuan"},{"family":"Duan","given":"Keyu"},{"family":"Xi","given":"Dongbo"},{"family":"Zhu","given":"Yongchun"},{"family":"Zhu","given":"Hengshu"},{"family":"Xiong","given":"Hui"},{"family":"He","given":"Qing"}],"issued":{"date-parts":[["2021",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hint="eastAsia"/>
        </w:rPr>
        <w:t>[4]</w:t>
      </w:r>
      <w:r>
        <w:rPr>
          <w:rFonts w:ascii="Times New Roman" w:hAnsi="Times New Roman" w:cs="Times New Roman"/>
        </w:rPr>
        <w:fldChar w:fldCharType="end"/>
      </w:r>
      <w:r>
        <w:rPr>
          <w:rFonts w:ascii="Times New Roman" w:hAnsi="Times New Roman" w:cs="Times New Roman"/>
        </w:rPr>
        <w:t xml:space="preserve">. Under such conditions, traditional “from-scratch” training methods fail to yield reliable results. Consequently, there is an urgent and critical need for innovative forecasting frameworks and small-sample learning paradigms that can provide high-precision, robust forecasts for individual households without the restrictive requirement for months of prior data accumulation </w:t>
      </w:r>
      <w:r>
        <w:rPr>
          <w:rFonts w:ascii="Times New Roman" w:hAnsi="Times New Roman" w:cs="Times New Roman"/>
        </w:rPr>
        <w:fldChar w:fldCharType="begin"/>
      </w:r>
      <w:r>
        <w:rPr>
          <w:rFonts w:ascii="Times New Roman" w:hAnsi="Times New Roman" w:cs="Times New Roman"/>
        </w:rPr>
        <w:instrText xml:space="preserve"> ADDIN ZOTERO_ITEM CSL_CITATION {"citationID":"YSCOA45x","properties":{"formattedCitation":"[5]","plainCitation":"[5]","noteIndex":0},"citationItems":[{"id":557,"uris":["http://zotero.org/users/local/p3tV44H5/items/N4D6A4RG"],"itemData":{"id":557,"type":"article-journal","abstract":"As the power system is facing a transition toward a more intelligent, flexible, and interactive system with higher penetration of renewable energy generation, load forecasting, especially short-term load forecasting for individual electric customers plays an increasingly essential role in the future grid planning and operation. Other than aggregated residential load in a large scale, forecasting an electric load of a single energy user is fairly challenging due to the high volatility and uncertainty involved. In this paper, we propose a long short-term memory (LSTM) recurrent neural network-based framework, which is the latest and one of the most popular techniques of deep learning, to tackle this tricky issue. The proposed framework is tested on a publicly available set of real residential smart meter data, of which the performance is comprehensively compared to various benchmarks including the state-of-the-arts in the field of load forecasting. As a result, the proposed LSTM approach outperforms the other listed rival algorithms in the task of short-term load forecasting for individual residential households.","container-title":"IEEE Transactions on Smart Grid","DOI":"10.1109/TSG.2017.2753802","ISSN":"1949-3061","issue":"1","page":"841-851","source":"IEEE Xplore","title":"Short-Term Residential Load Forecasting Based on LSTM Recurrent Neural Network","volume":"10","author":[{"family":"Kong","given":"Weicong"},{"family":"Dong","given":"Zhao Yang"},{"family":"Jia","given":"Youwei"},{"family":"Hill","given":"David J."},{"family":"Xu","given":"Yan"},{"family":"Zhang","given":"Yuan"}],"issued":{"date-parts":[["2019",1]]}}}],"schema":"https://github.com/citation-style-language/schema/raw/master/csl-citation.json"} </w:instrText>
      </w:r>
      <w:r>
        <w:rPr>
          <w:rFonts w:ascii="Times New Roman" w:hAnsi="Times New Roman" w:cs="Times New Roman"/>
        </w:rPr>
        <w:fldChar w:fldCharType="separate"/>
      </w:r>
      <w:r>
        <w:rPr>
          <w:rFonts w:ascii="Times New Roman" w:hAnsi="Times New Roman" w:cs="Times New Roman" w:hint="eastAsia"/>
        </w:rPr>
        <w:t>[5]</w:t>
      </w:r>
      <w:r>
        <w:rPr>
          <w:rFonts w:ascii="Times New Roman" w:hAnsi="Times New Roman" w:cs="Times New Roman"/>
        </w:rPr>
        <w:fldChar w:fldCharType="end"/>
      </w:r>
      <w:r>
        <w:rPr>
          <w:rFonts w:ascii="Times New Roman" w:hAnsi="Times New Roman" w:cs="Times New Roman"/>
        </w:rPr>
        <w:t>.</w:t>
      </w:r>
    </w:p>
    <w:p w14:paraId="46B42E0C" w14:textId="77777777" w:rsidR="00E81255" w:rsidRDefault="00000000">
      <w:pPr>
        <w:pStyle w:val="2"/>
        <w:spacing w:afterLines="50" w:after="156"/>
        <w:rPr>
          <w:rFonts w:ascii="Times New Roman" w:hAnsi="Times New Roman" w:cs="Times New Roman"/>
          <w:color w:val="auto"/>
        </w:rPr>
      </w:pPr>
      <w:bookmarkStart w:id="4" w:name="_Toc221287256"/>
      <w:r>
        <w:rPr>
          <w:rFonts w:ascii="Times New Roman" w:hAnsi="Times New Roman" w:cs="Times New Roman"/>
          <w:color w:val="auto"/>
        </w:rPr>
        <w:t xml:space="preserve">2.3 </w:t>
      </w:r>
      <w:r>
        <w:rPr>
          <w:rFonts w:ascii="Times New Roman" w:hAnsi="Times New Roman" w:cs="Times New Roman" w:hint="eastAsia"/>
          <w:color w:val="auto"/>
        </w:rPr>
        <w:t>Aim</w:t>
      </w:r>
      <w:r>
        <w:rPr>
          <w:rFonts w:ascii="Times New Roman" w:hAnsi="Times New Roman" w:cs="Times New Roman"/>
          <w:color w:val="auto"/>
        </w:rPr>
        <w:t xml:space="preserve"> and Objectives</w:t>
      </w:r>
      <w:bookmarkEnd w:id="4"/>
    </w:p>
    <w:p w14:paraId="09576891"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Aim:</w:t>
      </w:r>
    </w:p>
    <w:p w14:paraId="79532CDB"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The primary aim of this research is to develop, implement, and validate a robust LSTM-based Transfer Learning framework specifically engineered to address the “Cold Start” problem and data scarcity limitations in individual residential Short-Term Load Forecasting (STLF). The study seeks to leverage generalized consumption patterns from data-rich source domains to provide high-precision energy demand predictions for new households during their initial connection phase.</w:t>
      </w:r>
    </w:p>
    <w:p w14:paraId="06ECD7E1"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Objectives:</w:t>
      </w:r>
    </w:p>
    <w:p w14:paraId="47229234" w14:textId="77777777" w:rsidR="00E81255" w:rsidRDefault="00000000">
      <w:pPr>
        <w:numPr>
          <w:ilvl w:val="0"/>
          <w:numId w:val="1"/>
        </w:numPr>
        <w:spacing w:afterLines="50" w:after="156"/>
        <w:rPr>
          <w:rFonts w:ascii="Times New Roman" w:hAnsi="Times New Roman" w:cs="Times New Roman"/>
          <w:sz w:val="24"/>
          <w:szCs w:val="24"/>
        </w:rPr>
      </w:pPr>
      <w:r>
        <w:rPr>
          <w:rFonts w:ascii="Times New Roman" w:hAnsi="Times New Roman" w:cs="Times New Roman"/>
          <w:sz w:val="24"/>
          <w:szCs w:val="24"/>
        </w:rPr>
        <w:t>To design and optimize a deep LSTM architecture tailored to capture intricate long-range temporal dependencies and complex non-linear patterns within highly volatile residential electricity consumption data.</w:t>
      </w:r>
    </w:p>
    <w:p w14:paraId="144FA8F7" w14:textId="77777777" w:rsidR="00E81255" w:rsidRDefault="00000000">
      <w:pPr>
        <w:numPr>
          <w:ilvl w:val="0"/>
          <w:numId w:val="1"/>
        </w:numPr>
        <w:spacing w:afterLines="50" w:after="156"/>
        <w:rPr>
          <w:rFonts w:ascii="Times New Roman" w:hAnsi="Times New Roman" w:cs="Times New Roman"/>
          <w:sz w:val="24"/>
          <w:szCs w:val="24"/>
        </w:rPr>
      </w:pPr>
      <w:r>
        <w:rPr>
          <w:rFonts w:ascii="Times New Roman" w:hAnsi="Times New Roman" w:cs="Times New Roman"/>
          <w:sz w:val="24"/>
          <w:szCs w:val="24"/>
        </w:rPr>
        <w:t>To implement a systematic knowledge transfer mechanism that facilitates the migration of pre-trained energy consumption representations from heterogeneous source domains to data-poor target users.</w:t>
      </w:r>
    </w:p>
    <w:p w14:paraId="4F11B790" w14:textId="77777777" w:rsidR="00E81255" w:rsidRDefault="00000000">
      <w:pPr>
        <w:numPr>
          <w:ilvl w:val="0"/>
          <w:numId w:val="1"/>
        </w:numPr>
        <w:spacing w:afterLines="50" w:after="156"/>
        <w:rPr>
          <w:rFonts w:ascii="Times New Roman" w:hAnsi="Times New Roman" w:cs="Times New Roman"/>
          <w:sz w:val="24"/>
          <w:szCs w:val="24"/>
        </w:rPr>
      </w:pPr>
      <w:r>
        <w:rPr>
          <w:rFonts w:ascii="Times New Roman" w:hAnsi="Times New Roman" w:cs="Times New Roman"/>
          <w:sz w:val="24"/>
          <w:szCs w:val="24"/>
        </w:rPr>
        <w:t xml:space="preserve">To develop and evaluate specific fine-tuning strategies, such as selective layer freezing and adaptive weight updating, to achieve rapid model convergence using limited historical data ranging from only 3 to 14 days. </w:t>
      </w:r>
    </w:p>
    <w:p w14:paraId="75BBF31D" w14:textId="77777777" w:rsidR="00E81255" w:rsidRDefault="00000000">
      <w:pPr>
        <w:numPr>
          <w:ilvl w:val="0"/>
          <w:numId w:val="1"/>
        </w:numPr>
        <w:spacing w:afterLines="50" w:after="156"/>
        <w:rPr>
          <w:rFonts w:ascii="Times New Roman" w:hAnsi="Times New Roman" w:cs="Times New Roman"/>
          <w:sz w:val="24"/>
          <w:szCs w:val="24"/>
        </w:rPr>
      </w:pPr>
      <w:r>
        <w:rPr>
          <w:rFonts w:ascii="Times New Roman" w:hAnsi="Times New Roman" w:cs="Times New Roman"/>
          <w:sz w:val="24"/>
          <w:szCs w:val="24"/>
        </w:rPr>
        <w:t>To conduct a comprehensive performance evaluation of the proposed framework using high-resolution, real-world smart meter datasets, such as the London Smart Meter Dataset.</w:t>
      </w:r>
    </w:p>
    <w:p w14:paraId="466A9DA4" w14:textId="77777777" w:rsidR="00E81255" w:rsidRDefault="00000000">
      <w:pPr>
        <w:numPr>
          <w:ilvl w:val="0"/>
          <w:numId w:val="1"/>
        </w:numPr>
        <w:spacing w:afterLines="50" w:after="156"/>
        <w:rPr>
          <w:rFonts w:ascii="Times New Roman" w:hAnsi="Times New Roman" w:cs="Times New Roman"/>
          <w:sz w:val="24"/>
          <w:szCs w:val="24"/>
        </w:rPr>
      </w:pPr>
      <w:r>
        <w:rPr>
          <w:rFonts w:ascii="Times New Roman" w:hAnsi="Times New Roman" w:cs="Times New Roman"/>
          <w:sz w:val="24"/>
          <w:szCs w:val="24"/>
        </w:rPr>
        <w:t>To benchmark the accuracy gains and stability of the transfer learning approach against traditional “from-scratch” deep learning models and statistical baselines, utilizing metrics such as RMSE.</w:t>
      </w:r>
    </w:p>
    <w:p w14:paraId="032E6B08" w14:textId="77777777" w:rsidR="00E81255" w:rsidRDefault="00000000">
      <w:pPr>
        <w:numPr>
          <w:ilvl w:val="0"/>
          <w:numId w:val="1"/>
        </w:numPr>
        <w:spacing w:afterLines="50" w:after="156"/>
        <w:rPr>
          <w:rFonts w:ascii="Times New Roman" w:hAnsi="Times New Roman" w:cs="Times New Roman"/>
          <w:sz w:val="24"/>
          <w:szCs w:val="24"/>
        </w:rPr>
      </w:pPr>
      <w:r>
        <w:rPr>
          <w:rFonts w:ascii="Times New Roman" w:hAnsi="Times New Roman" w:cs="Times New Roman"/>
          <w:sz w:val="24"/>
          <w:szCs w:val="24"/>
        </w:rPr>
        <w:t xml:space="preserve">​To investigate the framework’s robustness across diverse residential profiles and assess the effectiveness of strategies designed to mitigate the risks of "Negative Transfer" during knowledge adaptation. </w:t>
      </w:r>
    </w:p>
    <w:p w14:paraId="26CCCC34" w14:textId="77777777" w:rsidR="00E81255" w:rsidRDefault="00000000">
      <w:pPr>
        <w:pStyle w:val="1"/>
        <w:spacing w:afterLines="50" w:after="156"/>
        <w:rPr>
          <w:rFonts w:ascii="Times New Roman" w:hAnsi="Times New Roman" w:cs="Times New Roman"/>
          <w:color w:val="auto"/>
        </w:rPr>
      </w:pPr>
      <w:bookmarkStart w:id="5" w:name="_Toc221287257"/>
      <w:r>
        <w:rPr>
          <w:rFonts w:ascii="Times New Roman" w:hAnsi="Times New Roman" w:cs="Times New Roman"/>
          <w:color w:val="auto"/>
        </w:rPr>
        <w:lastRenderedPageBreak/>
        <w:t>3. Literature Review</w:t>
      </w:r>
      <w:bookmarkEnd w:id="5"/>
    </w:p>
    <w:p w14:paraId="19C2A682"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Contemporary research has extensively explored a wide spectrum of deep learning architectures and sophisticated clustering methods to push the boundaries of Short-Term Load Forecasting (STLF) precision. For instance, hybrid models incorporating Convolutional Neural Networks (CNNs) for automated feature engineering and Gated Recurrent Units (GRUs) for capturing complex temporal sequences have significantly improved forecasting accuracy, particularly when trained in data-rich environments supported by extensive historical Advanced Metering Infrastructure (AMI) records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{"citationID":"DgKIa1Nf","properties":{"formattedCitation":"[6]","plainCitation":"[6]","noteIndex":0},"citationItems":[{"id":515,"uris":["http://zotero.org/users/local/p3tV44H5/items/IMAS2NX9"],"itemData":{"id":515,"type":"article-journal","container-title":"Applied Energy","DOI":"10.1016/j.apenergy.2016.10.079","ISSN":"03062619","journalAbbreviation":"Applied Energy","language":"en","page":"254-266","source":"DOI.org (Crossref)","title":"Short-term power load probability density forecasting method using kernel-based support vector quantile regression and Copula theory","volume":"185","author":[{"family":"He","given":"Yaoyao"},{"family":"Liu","given":"Rui"},{"family":"Li","given":"Haiyan"},{"family":"Wang","given":"Shuo"},{"family":"Lu","given":"Xiaofen"}],"issued":{"date-parts":[["2017",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[6]</w:t>
      </w:r>
      <w:r>
        <w:rPr>
          <w:rFonts w:ascii="Times New Roman" w:hAnsi="Times New Roman" w:cs="Times New Roman"/>
          <w:sz w:val="24"/>
          <w:szCs w:val="24"/>
        </w:rPr>
        <w:fldChar w:fldCharType="end"/>
      </w:r>
      <w:r>
        <w:rPr>
          <w:rFonts w:ascii="Times New Roman" w:hAnsi="Times New Roman" w:cs="Times New Roman"/>
          <w:sz w:val="24"/>
          <w:szCs w:val="24"/>
        </w:rPr>
        <w:t>. These data-intensive approaches leverage deep hierarchical representations to filter noise and identify multi-scale consumption trends across large populations. Nonetheless, the research frontier is now pivoting toward the practical challenges posed by limited data availability, which is a defining characteristic of emerging local energy communities. In these decentralized settings, the lack of long-term historical telemetry for new participants or small-scale micro-grids renders traditional deep learning models less effective, driving an urgent academic need for more flexible architectures capable of performing robustly even when faced with sparse or incomplete datasets.</w:t>
      </w:r>
    </w:p>
    <w:p w14:paraId="5B7A9BDF" w14:textId="77777777" w:rsidR="00E81255" w:rsidRDefault="00000000">
      <w:pPr>
        <w:pStyle w:val="2"/>
        <w:spacing w:afterLines="50" w:after="156"/>
        <w:rPr>
          <w:rFonts w:ascii="Times New Roman" w:hAnsi="Times New Roman" w:cs="Times New Roman"/>
          <w:color w:val="auto"/>
        </w:rPr>
      </w:pPr>
      <w:bookmarkStart w:id="6" w:name="_Toc221287258"/>
      <w:r>
        <w:rPr>
          <w:rFonts w:ascii="Times New Roman" w:hAnsi="Times New Roman" w:cs="Times New Roman"/>
          <w:color w:val="auto"/>
        </w:rPr>
        <w:t>3.1 Research Gap Table</w:t>
      </w:r>
      <w:bookmarkEnd w:id="6"/>
    </w:p>
    <w:p w14:paraId="09BAA144"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The following table synthesizes the four core papers and highlights how this research fills the gap regarding residential cold starts.</w:t>
      </w:r>
    </w:p>
    <w:tbl>
      <w:tblPr>
        <w:tblStyle w:val="ae"/>
        <w:tblW w:w="0" w:type="auto"/>
        <w:tblLayout w:type="fixed"/>
        <w:tblLook w:val="04A0" w:firstRow="1" w:lastRow="0" w:firstColumn="1" w:lastColumn="0" w:noHBand="0" w:noVBand="1"/>
      </w:tblPr>
      <w:tblGrid>
        <w:gridCol w:w="1138"/>
        <w:gridCol w:w="1551"/>
        <w:gridCol w:w="1269"/>
        <w:gridCol w:w="1424"/>
        <w:gridCol w:w="990"/>
        <w:gridCol w:w="1924"/>
      </w:tblGrid>
      <w:tr w:rsidR="00E81255" w14:paraId="0CD47D87" w14:textId="77777777">
        <w:tc>
          <w:tcPr>
            <w:tcW w:w="1138" w:type="dxa"/>
            <w:hideMark/>
          </w:tcPr>
          <w:p w14:paraId="57C96CB7" w14:textId="77777777" w:rsidR="00E81255" w:rsidRDefault="00000000">
            <w:pPr>
              <w:spacing w:afterLines="50" w:after="156"/>
              <w:jc w:val="center"/>
              <w:rPr>
                <w:rFonts w:ascii="Times New Roman" w:hAnsi="Times New Roman" w:cs="Times New Roman"/>
                <w:sz w:val="24"/>
                <w:szCs w:val="24"/>
              </w:rPr>
            </w:pPr>
            <w:r>
              <w:rPr>
                <w:rFonts w:ascii="Times New Roman" w:hAnsi="Times New Roman" w:cs="Times New Roman"/>
                <w:sz w:val="24"/>
                <w:szCs w:val="24"/>
              </w:rPr>
              <w:t>Reference</w:t>
            </w:r>
          </w:p>
        </w:tc>
        <w:tc>
          <w:tcPr>
            <w:tcW w:w="1551" w:type="dxa"/>
            <w:hideMark/>
          </w:tcPr>
          <w:p w14:paraId="655C9F77" w14:textId="77777777" w:rsidR="00E81255" w:rsidRDefault="00000000">
            <w:pPr>
              <w:spacing w:afterLines="50" w:after="156"/>
              <w:jc w:val="center"/>
              <w:rPr>
                <w:rFonts w:ascii="Times New Roman" w:hAnsi="Times New Roman" w:cs="Times New Roman"/>
                <w:sz w:val="24"/>
                <w:szCs w:val="24"/>
              </w:rPr>
            </w:pPr>
            <w:r>
              <w:rPr>
                <w:rFonts w:ascii="Times New Roman" w:hAnsi="Times New Roman" w:cs="Times New Roman"/>
                <w:sz w:val="24"/>
                <w:szCs w:val="24"/>
              </w:rPr>
              <w:t>Primary Objective</w:t>
            </w:r>
          </w:p>
        </w:tc>
        <w:tc>
          <w:tcPr>
            <w:tcW w:w="1269" w:type="dxa"/>
            <w:hideMark/>
          </w:tcPr>
          <w:p w14:paraId="2D5E8328" w14:textId="77777777" w:rsidR="00E81255" w:rsidRDefault="00000000">
            <w:pPr>
              <w:spacing w:afterLines="50" w:after="156"/>
              <w:jc w:val="center"/>
              <w:rPr>
                <w:rFonts w:ascii="Times New Roman" w:hAnsi="Times New Roman" w:cs="Times New Roman"/>
                <w:sz w:val="24"/>
                <w:szCs w:val="24"/>
              </w:rPr>
            </w:pPr>
            <w:r>
              <w:rPr>
                <w:rFonts w:ascii="Times New Roman" w:hAnsi="Times New Roman" w:cs="Times New Roman"/>
                <w:sz w:val="24"/>
                <w:szCs w:val="24"/>
              </w:rPr>
              <w:t>Methodology</w:t>
            </w:r>
          </w:p>
        </w:tc>
        <w:tc>
          <w:tcPr>
            <w:tcW w:w="1424" w:type="dxa"/>
            <w:hideMark/>
          </w:tcPr>
          <w:p w14:paraId="1DDA50BA" w14:textId="77777777" w:rsidR="00E81255" w:rsidRDefault="00000000">
            <w:pPr>
              <w:spacing w:afterLines="50" w:after="156"/>
              <w:jc w:val="center"/>
              <w:rPr>
                <w:rFonts w:ascii="Times New Roman" w:hAnsi="Times New Roman" w:cs="Times New Roman"/>
                <w:sz w:val="24"/>
                <w:szCs w:val="24"/>
              </w:rPr>
            </w:pPr>
            <w:r>
              <w:rPr>
                <w:rFonts w:ascii="Times New Roman" w:hAnsi="Times New Roman" w:cs="Times New Roman"/>
                <w:sz w:val="24"/>
                <w:szCs w:val="24"/>
              </w:rPr>
              <w:t>Scale</w:t>
            </w:r>
          </w:p>
        </w:tc>
        <w:tc>
          <w:tcPr>
            <w:tcW w:w="990" w:type="dxa"/>
            <w:hideMark/>
          </w:tcPr>
          <w:p w14:paraId="5B57B614" w14:textId="77777777" w:rsidR="00E81255" w:rsidRDefault="00000000">
            <w:pPr>
              <w:spacing w:afterLines="50" w:after="156"/>
              <w:jc w:val="center"/>
              <w:rPr>
                <w:rFonts w:ascii="Times New Roman" w:hAnsi="Times New Roman" w:cs="Times New Roman"/>
                <w:sz w:val="24"/>
                <w:szCs w:val="24"/>
              </w:rPr>
            </w:pPr>
            <w:r>
              <w:rPr>
                <w:rFonts w:ascii="Times New Roman" w:hAnsi="Times New Roman" w:cs="Times New Roman"/>
                <w:sz w:val="24"/>
                <w:szCs w:val="24"/>
              </w:rPr>
              <w:t>Addresses Data Scarcity?</w:t>
            </w:r>
          </w:p>
        </w:tc>
        <w:tc>
          <w:tcPr>
            <w:tcW w:w="1924" w:type="dxa"/>
            <w:hideMark/>
          </w:tcPr>
          <w:p w14:paraId="4EF0F42F" w14:textId="77777777" w:rsidR="00E81255" w:rsidRDefault="00000000">
            <w:pPr>
              <w:spacing w:afterLines="50" w:after="156"/>
              <w:jc w:val="center"/>
              <w:rPr>
                <w:rFonts w:ascii="Times New Roman" w:hAnsi="Times New Roman" w:cs="Times New Roman"/>
                <w:sz w:val="24"/>
                <w:szCs w:val="24"/>
              </w:rPr>
            </w:pPr>
            <w:r>
              <w:rPr>
                <w:rFonts w:ascii="Times New Roman" w:hAnsi="Times New Roman" w:cs="Times New Roman"/>
                <w:sz w:val="24"/>
                <w:szCs w:val="24"/>
              </w:rPr>
              <w:t>Key Difference from My Research</w:t>
            </w:r>
          </w:p>
        </w:tc>
      </w:tr>
      <w:tr w:rsidR="00E81255" w14:paraId="49975C2E" w14:textId="77777777">
        <w:tc>
          <w:tcPr>
            <w:tcW w:w="1138" w:type="dxa"/>
            <w:hideMark/>
          </w:tcPr>
          <w:p w14:paraId="4EE05E56"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Wu et al.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{"citationID":"sgeQrvyp","properties":{"formattedCitation":"[7]","plainCitation":"[7]","noteIndex":0},"citationItems":[{"id":548,"uris":["http://zotero.org/users/local/p3tV44H5/items/UA8H9TP4"],"itemData":{"id":548,"type":"article-journal","abstract":"Short-term load forecasting (STLF) plays a very important role in improving the economy and stability of the power system operation. With the smart meters and smart sensors widely deployed in the power system, a large amount of data was generated but not fully utilized, these data are complex and diverse, and most of the STLF methods cannot well handle such a huge, complex, and diverse data. For better accuracy of STLF, a GRU-CNN hybrid neural network model which combines the gated recurrent unit (GRU) and convolutional neural networks (CNN) was proposed; the feature vector of time sequence data is extracted by the GRU module, and the feature vector of other high-dimensional data is extracted by the CNN module. The proposed model was tested in a real-world experiment, and the mean absolute percentage error (MAPE) and the root mean square error (RMSE) of the GRU-CNN model are the lowest among BPNN, GRU, and CNN forecasting methods; the proposed GRU-CNN model can more fully use data and achieve more accurate short-term load forecasting.","container-title":"Mathematical Problems in Engineering","DOI":"10.1155/2020/1428104","ISSN":"1563-5147","issue":"1","language":"en","license":"Copyright © 2020 Lizhen Wu et al.","note":"_eprint: https://onlinelibrary.wiley.com/doi/pdf/10.1155/2020/1428104","page":"1428104","source":"Wiley Online Library","title":"A Short-Term Load Forecasting Method Based on GRU-CNN Hybrid Neural Network Model","volume":"2020","author":[{"family":"Wu","given":"Lizhen"},{"family":"Kong","given":"Chun"},{"family":"Hao","given":"Xiaohong"},{"family":"Chen","given":"Wei"}],"issued":{"date-parts":[["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[7]</w:t>
            </w:r>
            <w:r>
              <w:rPr>
                <w:rFonts w:ascii="Times New Roman" w:hAnsi="Times New Roman" w:cs="Times New Roman"/>
                <w:sz w:val="24"/>
                <w:szCs w:val="24"/>
              </w:rPr>
              <w:fldChar w:fldCharType="end"/>
            </w:r>
          </w:p>
        </w:tc>
        <w:tc>
          <w:tcPr>
            <w:tcW w:w="1551" w:type="dxa"/>
            <w:hideMark/>
          </w:tcPr>
          <w:p w14:paraId="108FEF39"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Capture multi-dimensional spatial-temporal features.</w:t>
            </w:r>
          </w:p>
        </w:tc>
        <w:tc>
          <w:tcPr>
            <w:tcW w:w="1269" w:type="dxa"/>
            <w:hideMark/>
          </w:tcPr>
          <w:p w14:paraId="7CD91959"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Hybrid GRU-CNN</w:t>
            </w:r>
          </w:p>
        </w:tc>
        <w:tc>
          <w:tcPr>
            <w:tcW w:w="1424" w:type="dxa"/>
            <w:hideMark/>
          </w:tcPr>
          <w:p w14:paraId="2FAE5BA7"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Distribution Net</w:t>
            </w:r>
          </w:p>
        </w:tc>
        <w:tc>
          <w:tcPr>
            <w:tcW w:w="990" w:type="dxa"/>
            <w:hideMark/>
          </w:tcPr>
          <w:p w14:paraId="4EFED3EF"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No</w:t>
            </w:r>
          </w:p>
        </w:tc>
        <w:tc>
          <w:tcPr>
            <w:tcW w:w="1924" w:type="dxa"/>
            <w:hideMark/>
          </w:tcPr>
          <w:p w14:paraId="21154F7E"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Focuses on spatial features in the network, not individual cold starts.</w:t>
            </w:r>
          </w:p>
        </w:tc>
      </w:tr>
      <w:tr w:rsidR="00E81255" w14:paraId="5F34F217" w14:textId="77777777">
        <w:tc>
          <w:tcPr>
            <w:tcW w:w="1138" w:type="dxa"/>
            <w:hideMark/>
          </w:tcPr>
          <w:p w14:paraId="4EB82E85"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Alhussein et al.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{"citationID":"VJTLSk0Y","properties":{"formattedCitation":"[2]","plainCitation":"[2]","noteIndex":0},"citationItems":[{"id":542,"uris":["http://zotero.org/users/local/p3tV44H5/items/WNFTH4DZ"],"itemData":{"id":542,"type":"article-journal","abstract":"Power grids are transforming into flexible, smart, and cooperative systems with greater dissemination of distributed energy resources, advanced metering infrastructure, and advanced communication technologies. Short-term electric load forecasting for individual residential customers plays a progressively crucial role in the operation and planning of future grids. Compared to the aggregated electrical load at the community level, the prediction of individual household electric loads is legitimately challenging because of the high uncertainty and volatility involved. Results from previous studies show that prediction using machine learning and deep learning models is far from accurate, and there is still room for improvement. We herein propose a deep learning framework based on a combination of a convolutional neural network (CNN) and long short-term memory (LSTM). The proposed hybrid CNN-LSTM model uses CNN layers for feature extraction from the input data with LSTM layers for sequence learning. The performance of our developed framework is comprehensively compared to state-of-the-art systems currently in use for short-term individual household electric load forecasting. The proposed model achieved significantly better results compared to other competing techniques. We evaluated our proposed model with the recently explored LSTM-based deep learning model on a publicly available electrical load data of individual household customers from the Smart Grid Smart City (SGSC) project. We obtained an average mean absolute percentage error (MAPE) of 40.38% for individual household electric load forecasts in comparison with the LSTM-based model that obtained an average MAPE of 44.06%. Furthermore, we evaluated the effectiveness of the proposed model on different time horizons (up to 3 h ahead). Compared to the recently developed LSTM-based model tested on the same dataset, we obtained 4.01%, 4.76%, and 5.98% improvement for one, two, and six look-forward time steps, respectively (with 2 lookback time steps). Additionally, we have performed clustering analysis based on the power consumption behavior of the energy users, which indicate that prediction accuracy could be improved by grouping and training the representative model using large amount of data. The results indicated that the proposed model outperforms the LSTM-based model for both 1 h ahead and 3 h ahead in forecasting individual household electric loads.","container-title":"IEEE Access","DOI":"10.1109/ACCESS.2020.3028281","ISSN":"2169-3536","page":"180544-180557","source":"IEEE Xplore","title":"Hybrid CNN-LSTM Model for Short-Term Individual Household Load Forecasting","volume":"8","author":[{"family":"Alhussein","given":"Musaed"},{"family":"Aurangzeb","given":"Khursheed"},{"family":"Haider","given":"Syed Irtaza"}],"issued":{"date-parts":[["2020"]]}}}],"schema":"https://github.com/citation-style-language/schema/raw/master/csl-citation.json"}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[2]</w:t>
            </w:r>
            <w:r>
              <w:rPr>
                <w:rFonts w:ascii="Times New Roman" w:hAnsi="Times New Roman" w:cs="Times New Roman"/>
                <w:sz w:val="24"/>
                <w:szCs w:val="24"/>
              </w:rPr>
              <w:fldChar w:fldCharType="end"/>
            </w:r>
          </w:p>
        </w:tc>
        <w:tc>
          <w:tcPr>
            <w:tcW w:w="1551" w:type="dxa"/>
            <w:hideMark/>
          </w:tcPr>
          <w:p w14:paraId="0ADD8E0B"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Enhance accuracy for individual households.</w:t>
            </w:r>
          </w:p>
        </w:tc>
        <w:tc>
          <w:tcPr>
            <w:tcW w:w="1269" w:type="dxa"/>
            <w:hideMark/>
          </w:tcPr>
          <w:p w14:paraId="709EFAC9"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Hybrid CNN-LSTM</w:t>
            </w:r>
          </w:p>
        </w:tc>
        <w:tc>
          <w:tcPr>
            <w:tcW w:w="1424" w:type="dxa"/>
            <w:hideMark/>
          </w:tcPr>
          <w:p w14:paraId="1E07D31A"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Individual</w:t>
            </w:r>
          </w:p>
        </w:tc>
        <w:tc>
          <w:tcPr>
            <w:tcW w:w="990" w:type="dxa"/>
            <w:hideMark/>
          </w:tcPr>
          <w:p w14:paraId="2D3A5D72"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No</w:t>
            </w:r>
          </w:p>
        </w:tc>
        <w:tc>
          <w:tcPr>
            <w:tcW w:w="1924" w:type="dxa"/>
            <w:hideMark/>
          </w:tcPr>
          <w:p w14:paraId="331F9F74"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Focuses on architecture design assuming sufficient historical data.</w:t>
            </w:r>
          </w:p>
        </w:tc>
      </w:tr>
      <w:tr w:rsidR="00E81255" w14:paraId="45F05E39" w14:textId="77777777">
        <w:tc>
          <w:tcPr>
            <w:tcW w:w="1138" w:type="dxa"/>
            <w:hideMark/>
          </w:tcPr>
          <w:p w14:paraId="0D384B1A"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Dong et al.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{"citationID":"7Nh3ePFs","properties":{"formattedCitation":"[8]","plainCitation":"[8]","noteIndex":0},"citationItems":[{"id":563,"uris":["http://zotero.org/users/local/p3tV44H5/items/JESJGA78"],"itemData":{"id":563,"type":"paper-conference","abstract":"Although many methods are available to forecast short-term electricity load based on small scale data sets, they may not be able to accommodate large data sets as electricity load data becomes bigger and more complex in recent years. In this paper, a novel machine learning model combining convolutional neural network with K-means clustering is proposed for short-term load forecasting with improved scalability. The large data set is clustered into subsets using K-means algorithm, then the obtained subsets are used to train the convolutional neural network. A real-world power industry data set containing more than 1.4 million of load records is used in this study and the experimental results demonstrate the effectiveness of the proposed method.","container-title":"2017 IEEE International Conference on Big Data and Smart Computing (BigComp)","DOI":"10.1109/BIGCOMP.2017.7881726","event-title":"2017 IEEE International Conference on Big Data and Smart Computing (BigComp)","ISSN":"2375-9356","note":"ISSN: 2375-9356","page":"119-125","source":"IEEE Xplore","title":"Short-term load forecasting in smart grid: A combined CNN and K-means clustering approach","title-short":"Short-term load forecasting in smart grid","author":[{"family":"Dong","given":"Xishuang"},{"family":"Qian","given":"Lijun"},{"family":"Huang","given":"Lei"}],"accessed":{"date-parts":[["2026",2,6]]},"issued":{"date-parts":[["2017",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[8]</w:t>
            </w:r>
            <w:r>
              <w:rPr>
                <w:rFonts w:ascii="Times New Roman" w:hAnsi="Times New Roman" w:cs="Times New Roman"/>
                <w:sz w:val="24"/>
                <w:szCs w:val="24"/>
              </w:rPr>
              <w:fldChar w:fldCharType="end"/>
            </w:r>
          </w:p>
        </w:tc>
        <w:tc>
          <w:tcPr>
            <w:tcW w:w="1551" w:type="dxa"/>
            <w:hideMark/>
          </w:tcPr>
          <w:p w14:paraId="43A5E9C1"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Improve scalability for big data sets.</w:t>
            </w:r>
          </w:p>
        </w:tc>
        <w:tc>
          <w:tcPr>
            <w:tcW w:w="1269" w:type="dxa"/>
            <w:hideMark/>
          </w:tcPr>
          <w:p w14:paraId="4F056BA0"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CNN + K-means</w:t>
            </w:r>
          </w:p>
        </w:tc>
        <w:tc>
          <w:tcPr>
            <w:tcW w:w="1424" w:type="dxa"/>
            <w:hideMark/>
          </w:tcPr>
          <w:p w14:paraId="1DFEC327"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Big Data</w:t>
            </w:r>
          </w:p>
        </w:tc>
        <w:tc>
          <w:tcPr>
            <w:tcW w:w="990" w:type="dxa"/>
            <w:hideMark/>
          </w:tcPr>
          <w:p w14:paraId="51916378"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No</w:t>
            </w:r>
          </w:p>
        </w:tc>
        <w:tc>
          <w:tcPr>
            <w:tcW w:w="1924" w:type="dxa"/>
            <w:hideMark/>
          </w:tcPr>
          <w:p w14:paraId="51A1C431"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Optimized for large-scale data processing rather </w:t>
            </w:r>
            <w:r>
              <w:rPr>
                <w:rFonts w:ascii="Times New Roman" w:hAnsi="Times New Roman" w:cs="Times New Roman"/>
                <w:sz w:val="24"/>
                <w:szCs w:val="24"/>
              </w:rPr>
              <w:lastRenderedPageBreak/>
              <w:t>than learning from small samples.</w:t>
            </w:r>
          </w:p>
        </w:tc>
      </w:tr>
      <w:tr w:rsidR="00E81255" w14:paraId="54F64079" w14:textId="77777777">
        <w:tc>
          <w:tcPr>
            <w:tcW w:w="1138" w:type="dxa"/>
            <w:hideMark/>
          </w:tcPr>
          <w:p w14:paraId="315B830E"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lastRenderedPageBreak/>
              <w:t xml:space="preserve">López Santos et al.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{"citationID":"TXSujIhR","properties":{"formattedCitation":"[9]","plainCitation":"[9]","noteIndex":0},"citationItems":[{"id":560,"uris":["http://zotero.org/users/local/p3tV44H5/items/GIWU9VEY"],"itemData":{"id":560,"type":"article-journal","abstract":"The use of deep learning for electrical demand forecasting has shown great potential in generating accurate results, but requires a large amount of data to train the models. However, the limited availability of electricity consumption information for new users or recently monitoring buildings in local energy communities make it difficult to achieve these good results. To address this challenge, this research study proposes a novel methodology based on the combination of the transfer learning (TL) concept and the temporal fusion transformer (TFT) architecture. This is an innovative approach used to transfer knowledge from a general pre-trained model based on the historical data of the community’s buildings to new users, reducing the needs for large amounts of data for each new building. The results show that TFT provides more accurate load estimates than other state-of-the-art methods by reducing RMSE by more than 11%. Moreover, the TL approach improves the prediction of load demand of buildings with limited availability of historical data, reducing CV_RMSE, SMAPE, and WQLoss by more than 40% compared to models that do not use knowledge transfer. This is a significant improvement that facilitates the incorporation of new users to the community achieving accurate load estimations even with lack of data. Moreover, this approach leads to an optimized and cost-efficient planning and management of energy distribution in local energy communities.","container-title":"Energy and Buildings","DOI":"10.1016/j.enbuild.2023.113164","ISSN":"03787788","journalAbbreviation":"Energy and Buildings","language":"en","page":"113164","source":"DOI.org (Crossref)","title":"Deep learning and transfer learning techniques applied to short-term load forecasting of data-poor buildings in local energy communities","volume":"292","author":[{"family":"López Santos","given":"Miguel"},{"family":"Díaz García","given":"Saúl"},{"family":"García-Santiago","given":"Xela"},{"family":"Ogando-Martínez","given":"Ana"},{"family":"Echevarría Camarero","given":"Fernando"},{"family":"Blázquez Gil","given":"Gonzalo"},{"family":"Carrasco Ortega","given":"Pablo"}],"issued":{"date-parts":[["2023",8]]}}}],"schema":"https://github.com/citation-style-language/schema/raw/master/csl-citation.json"}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[9]</w:t>
            </w:r>
            <w:r>
              <w:rPr>
                <w:rFonts w:ascii="Times New Roman" w:hAnsi="Times New Roman" w:cs="Times New Roman"/>
                <w:sz w:val="24"/>
                <w:szCs w:val="24"/>
              </w:rPr>
              <w:fldChar w:fldCharType="end"/>
            </w:r>
          </w:p>
        </w:tc>
        <w:tc>
          <w:tcPr>
            <w:tcW w:w="1551" w:type="dxa"/>
            <w:hideMark/>
          </w:tcPr>
          <w:p w14:paraId="1EBF7B77"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Forecast for data-poor buildings in communities.</w:t>
            </w:r>
          </w:p>
        </w:tc>
        <w:tc>
          <w:tcPr>
            <w:tcW w:w="1269" w:type="dxa"/>
            <w:hideMark/>
          </w:tcPr>
          <w:p w14:paraId="32F053BB"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TL + TFT</w:t>
            </w:r>
          </w:p>
        </w:tc>
        <w:tc>
          <w:tcPr>
            <w:tcW w:w="1424" w:type="dxa"/>
            <w:hideMark/>
          </w:tcPr>
          <w:p w14:paraId="48C8FC0F"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Buildings</w:t>
            </w:r>
          </w:p>
        </w:tc>
        <w:tc>
          <w:tcPr>
            <w:tcW w:w="990" w:type="dxa"/>
            <w:hideMark/>
          </w:tcPr>
          <w:p w14:paraId="617A9E18"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Yes</w:t>
            </w:r>
          </w:p>
        </w:tc>
        <w:tc>
          <w:tcPr>
            <w:tcW w:w="1924" w:type="dxa"/>
            <w:hideMark/>
          </w:tcPr>
          <w:p w14:paraId="380FE5F9"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Targets tertiary/commercial buildings using TFT; my work focuses on residential LSTM.</w:t>
            </w:r>
          </w:p>
        </w:tc>
      </w:tr>
      <w:tr w:rsidR="00E81255" w14:paraId="32664C2C" w14:textId="77777777">
        <w:tc>
          <w:tcPr>
            <w:tcW w:w="1138" w:type="dxa"/>
            <w:hideMark/>
          </w:tcPr>
          <w:p w14:paraId="06143295"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My Proposal</w:t>
            </w:r>
          </w:p>
        </w:tc>
        <w:tc>
          <w:tcPr>
            <w:tcW w:w="1551" w:type="dxa"/>
            <w:hideMark/>
          </w:tcPr>
          <w:p w14:paraId="4FE542B0"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Solve residential “Cold Start” via small-sample learning.</w:t>
            </w:r>
          </w:p>
        </w:tc>
        <w:tc>
          <w:tcPr>
            <w:tcW w:w="1269" w:type="dxa"/>
            <w:hideMark/>
          </w:tcPr>
          <w:p w14:paraId="293C3B7F"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LSTM + Transfer Learning</w:t>
            </w:r>
          </w:p>
        </w:tc>
        <w:tc>
          <w:tcPr>
            <w:tcW w:w="1424" w:type="dxa"/>
            <w:hideMark/>
          </w:tcPr>
          <w:p w14:paraId="06C33DA6"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Individual</w:t>
            </w:r>
          </w:p>
        </w:tc>
        <w:tc>
          <w:tcPr>
            <w:tcW w:w="990" w:type="dxa"/>
            <w:hideMark/>
          </w:tcPr>
          <w:p w14:paraId="0B20B9DD"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Yes</w:t>
            </w:r>
          </w:p>
        </w:tc>
        <w:tc>
          <w:tcPr>
            <w:tcW w:w="1924" w:type="dxa"/>
            <w:hideMark/>
          </w:tcPr>
          <w:p w14:paraId="0186FB60"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Specifically targets the first 14 days of residential smart meter data.</w:t>
            </w:r>
          </w:p>
        </w:tc>
      </w:tr>
    </w:tbl>
    <w:p w14:paraId="1984F39A" w14:textId="77777777" w:rsidR="00E81255" w:rsidRDefault="00000000">
      <w:pPr>
        <w:pStyle w:val="1"/>
        <w:spacing w:afterLines="50" w:after="156"/>
        <w:rPr>
          <w:rFonts w:ascii="Times New Roman" w:hAnsi="Times New Roman" w:cs="Times New Roman"/>
          <w:color w:val="auto"/>
        </w:rPr>
      </w:pPr>
      <w:bookmarkStart w:id="7" w:name="_Toc221287259"/>
      <w:r>
        <w:rPr>
          <w:rFonts w:ascii="Times New Roman" w:hAnsi="Times New Roman" w:cs="Times New Roman"/>
          <w:color w:val="auto"/>
        </w:rPr>
        <w:t>4. Methodology</w:t>
      </w:r>
      <w:bookmarkEnd w:id="7"/>
    </w:p>
    <w:p w14:paraId="1C822218" w14:textId="77777777" w:rsidR="00E81255" w:rsidRDefault="00000000">
      <w:pPr>
        <w:pStyle w:val="2"/>
        <w:spacing w:afterLines="50" w:after="156"/>
        <w:rPr>
          <w:rFonts w:ascii="Times New Roman" w:hAnsi="Times New Roman" w:cs="Times New Roman"/>
          <w:color w:val="auto"/>
        </w:rPr>
      </w:pPr>
      <w:bookmarkStart w:id="8" w:name="_Toc221287260"/>
      <w:r>
        <w:rPr>
          <w:rFonts w:ascii="Times New Roman" w:hAnsi="Times New Roman" w:cs="Times New Roman"/>
          <w:color w:val="auto"/>
        </w:rPr>
        <w:t>4.1 Data Source and Preprocessing</w:t>
      </w:r>
      <w:bookmarkEnd w:id="8"/>
    </w:p>
    <w:p w14:paraId="4762A4F5"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The empirical validation of this research will utilize high-resolution public smart meter datasets, such as the London Smart Meter Dataset or the UCI Household Electricity Power Consumption dataset, which offer the granular temporal resolution required to model individual household behaviors. To ensure data quality, a rigorous preprocessing pipeline will first be implemented to identify and rectify anomalies, such as missing values or outliers resulting from sensor malfunctions or communication errors. Following this, the consumption data will be normalized using Z-score standardization to transform all features into a uniform numerical range; this step is crucial for accelerating the convergence of the LSTM network and preventing larger magnitude values from biassing the optimization process. To effectively capture the complex temporal dynamics and cyclical consumption patterns of residential users, the cleaned time-series data will be reconstructed into a supervised learning format using a sliding-window technique. By defining a specific “look-back” period (e.g., the previous 24 to 48 hours), this method creates a series of overlapping input-output pairs that represent sequence dependencies, allowing the model to learn the relationship between historical trends and future demand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{"citationID":"XO2OHpI2","properties":{"formattedCitation":"[1]","plainCitation":"[1]","noteIndex":0},"citationItems":[{"id":539,"uris":["http://zotero.org/users/local/p3tV44H5/items/HWZLV4UQ"],"itemData":{"id":539,"type":"article-journal","abstract":"Accurate forecasting of electricity demand is vital to the resilient management of energy systems. Recent efforts in harnessing smart-meter data to improve forecasting accuracy have primarily centered around cluster-based approaches (CBAs), where smart-meter data are grouped into a small number of clusters and separate prediction models are developed for each cluster. The cluster-based predictions are then aggregated to compute the total demand. CBAs have provided promising results compared to conventional approaches that are generally not conducive to integrating smart-meter data. However, CBAs are computationally costly and suffer from the curse of dimensionality, especially under scenarios involving smart-meter data from millions of customers. In this work, we propose an efficient reduced model approach (RMA) that leverages a novel hierarchical dimension reduction algorithm to enable the integration of fine-resolution high-dimensional smart-meter data for millions of customers in load prediction. We demonstrate the applicability of our proposed approach by using data from a utility company, based in Illinois, United States, with more than 3.7 million customers and present model performance in-terms of forecast accuracy. The proposed hierarchical dimension reduction approach enables utilizing the high-resolution data from smart-meters in a scalable manner that is not exploitable otherwise. The results shows significant improvements in forecast accuracy compared to the available approaches that either do not harness fine-resolution data or are not scalable to large-scale smart-meter big data.","container-title":"IEEE Access","DOI":"10.1109/ACCESS.2022.3142680","ISSN":"2169-3536","page":"8377-8387","source":"IEEE Xplore","title":"Smart-Meter Big Data for Load Forecasting: An Alternative Approach to Clustering","title-short":"Smart-Meter Big Data for Load Forecasting","volume":"10","author":[{"family":"Alemazkoor","given":"Negin"},{"family":"Tootkaboni","given":"Mazdak"},{"family":"Nateghi","given":"Roshanak"},{"family":"Louhghalam","given":"Arghavan"}],"issued":{"date-parts":[["2022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[1]</w:t>
      </w:r>
      <w:r>
        <w:rPr>
          <w:rFonts w:ascii="Times New Roman" w:hAnsi="Times New Roman" w:cs="Times New Roman"/>
          <w:sz w:val="24"/>
          <w:szCs w:val="24"/>
        </w:rPr>
        <w:fldChar w:fldCharType="end"/>
      </w:r>
      <w:r>
        <w:rPr>
          <w:rFonts w:ascii="Times New Roman" w:hAnsi="Times New Roman" w:cs="Times New Roman"/>
          <w:sz w:val="24"/>
          <w:szCs w:val="24"/>
        </w:rPr>
        <w:t>.</w:t>
      </w:r>
    </w:p>
    <w:p w14:paraId="2E5F2FF9" w14:textId="77777777" w:rsidR="00E81255" w:rsidRDefault="00000000">
      <w:pPr>
        <w:pStyle w:val="2"/>
        <w:spacing w:afterLines="50" w:after="156"/>
        <w:rPr>
          <w:rFonts w:ascii="Times New Roman" w:hAnsi="Times New Roman" w:cs="Times New Roman"/>
          <w:color w:val="auto"/>
        </w:rPr>
      </w:pPr>
      <w:bookmarkStart w:id="9" w:name="_Toc221287261"/>
      <w:r>
        <w:rPr>
          <w:rFonts w:ascii="Times New Roman" w:hAnsi="Times New Roman" w:cs="Times New Roman"/>
          <w:color w:val="auto"/>
        </w:rPr>
        <w:t>4.2 Research Design: Transfer Learning</w:t>
      </w:r>
      <w:bookmarkEnd w:id="9"/>
    </w:p>
    <w:p w14:paraId="14C020E7"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The proposed research design adopts a robust “Pre-train and Fine-tune” paradigm, </w:t>
      </w:r>
      <w:r>
        <w:rPr>
          <w:rFonts w:ascii="Times New Roman" w:hAnsi="Times New Roman" w:cs="Times New Roman"/>
          <w:sz w:val="24"/>
          <w:szCs w:val="24"/>
        </w:rPr>
        <w:lastRenderedPageBreak/>
        <w:t>which is a core strategy in Transfer Learning intended to bridge the gap between data-rich source domains and data-poor target scenarios. The methodology is structured into two distinct stages:</w:t>
      </w:r>
    </w:p>
    <w:p w14:paraId="29BAEF4C"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1. Source Domain Pre-training (Knowledge Acquisition): The initial phase involves the development of a “Global Model” using a deep LSTM architecture. This model is trained on a massive, heterogeneous pool of historical smart meter records harvested from thousands of established residential users who possess multi-year data histories. The primary objective here is to enable the network to learn a generalized representation of electricity consumption. By optimizing the model’s weights on this diverse dataset, the LSTM layers develop a sophisticated “internal memory” capable of extracting universal temporal features</w:t>
      </w:r>
      <w:r>
        <w:rPr>
          <w:rFonts w:ascii="Times New Roman" w:hAnsi="Times New Roman" w:cs="Times New Roman" w:hint="eastAsia"/>
          <w:sz w:val="24"/>
          <w:szCs w:val="24"/>
        </w:rPr>
        <w:t xml:space="preserve"> </w:t>
      </w:r>
      <w:r>
        <w:rPr>
          <w:rFonts w:ascii="Times New Roman" w:hAnsi="Times New Roman" w:cs="Times New Roman"/>
          <w:sz w:val="24"/>
          <w:szCs w:val="24"/>
        </w:rPr>
        <w:t>such as standard daily cycles, weekly rhythms, and seasonal fluctuations</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that are common across the general population. This process results in a high-performance baseline whose parameters are far more stable and informative than a randomly initialized network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{"citationID":"0oMCRBsW","properties":{"formattedCitation":"[10]","plainCitation":"[10]","noteIndex":0},"citationItems":[{"id":567,"uris":["http://zotero.org/users/local/p3tV44H5/items/J38MU6UU"],"itemData":{"id":567,"type":"article-journal","abstract":"The current electric power system witnesses a significant transition into Smart Grids (SG) as a promising landscape for high grid reliability and efficient energy management. This ongoing transition undergoes rapid changes, requiring a plethora of advanced methodologies to process the big data generated by various units. In this context, SG stands tied very closely to Deep Learning (DL) as an emerging technology for creating a more decentralized and intelligent energy paradigm while integrating high intelligence in supervisory and operational decision-making. Motivated by the outstanding success of DL-based prediction methods, this article attempts to provide a thorough review from a broad perspective on the state-of-the-art advances of DL in SG systems. Firstly, a bibliometric analysis has been conducted to categorize this review's methodology. Further, we taxonomically delve into the mechanism behind some of the trending DL algorithms. We then showcase the DL enabling technologies in SG, such as federated learning, edge intelligence, and distributed computing. Finally, challenges and research frontiers are provided to serve as guidelines for future work in the futuristic power grid domain. This study's core objective is to foster the synergy between these two fields for decision-makers and researchers to accelerate DL's practical deployment for SG systems.","container-title":"IEEE Access","DOI":"10.1109/ACCESS.2021.3071269","ISSN":"2169-3536","page":"54558-54578","source":"IEEE Xplore","title":"Deep Learning in Smart Grid Technology: A Review of Recent Advancements and Future Prospects","title-short":"Deep Learning in Smart Grid Technology","volume":"9","author":[{"family":"Massaoudi","given":"Mohamed"},{"family":"Abu-Rub","given":"Haitham"},{"family":"Refaat","given":"Shady S."},{"family":"Chihi","given":"Ines"},{"family":"Oueslati","given":"Fakhreddine S."}],"issued":{"date-parts":[["2021"]]}}}],"schema":"https://github.com/citation-style-language/schema/raw/master/csl-citation.json"}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[10]</w:t>
      </w:r>
      <w:r>
        <w:rPr>
          <w:rFonts w:ascii="Times New Roman" w:hAnsi="Times New Roman" w:cs="Times New Roman"/>
          <w:sz w:val="24"/>
          <w:szCs w:val="24"/>
        </w:rPr>
        <w:fldChar w:fldCharType="end"/>
      </w:r>
      <w:r>
        <w:rPr>
          <w:rFonts w:ascii="Times New Roman" w:hAnsi="Times New Roman" w:cs="Times New Roman"/>
          <w:sz w:val="24"/>
          <w:szCs w:val="24"/>
        </w:rPr>
        <w:t>.</w:t>
      </w:r>
    </w:p>
    <w:p w14:paraId="037B04FD"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2. Target Domain Fine-tuning (Knowledge Adaptation): Once the global model has achieved convergence, its architectural weights are migrated to the “target” environment—the new household experiencing a cold start. During this phase, the framework utilizes the pre-trained weights as an informed starting point rather than training a model from scratch. Specifically, the weights of the hidden LSTM layers (which capture general temporal patterns) are typically “frozen” or updated with a very low learning rate to preserve the universal knowledge acquired in the first stage. Meanwhile, the final dense layers are selectively retrained using the limited local data (ranging from 3 to 14 days) provided by the new user. This localized adaptation allows the model to rapidly “fine-tune” its general understanding to the specific behavioral nuances, unique appliance usage, and personal habits of the new resident. This approach effectively prevents the model from overfitting on the small local sample, ensuring accurate and reliable forecasts from the very first days of service.</w:t>
      </w:r>
    </w:p>
    <w:p w14:paraId="217B113D" w14:textId="77777777" w:rsidR="00E81255" w:rsidRDefault="00000000">
      <w:pPr>
        <w:pStyle w:val="2"/>
        <w:spacing w:afterLines="50" w:after="156"/>
        <w:rPr>
          <w:rFonts w:ascii="Times New Roman" w:hAnsi="Times New Roman" w:cs="Times New Roman"/>
          <w:color w:val="auto"/>
        </w:rPr>
      </w:pPr>
      <w:bookmarkStart w:id="10" w:name="_Toc221287262"/>
      <w:r>
        <w:rPr>
          <w:rFonts w:ascii="Times New Roman" w:hAnsi="Times New Roman" w:cs="Times New Roman"/>
          <w:color w:val="auto"/>
        </w:rPr>
        <w:t>4.3 Evaluation</w:t>
      </w:r>
      <w:bookmarkEnd w:id="10"/>
    </w:p>
    <w:p w14:paraId="095114E6"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To rigorously assess the predictive performance and robustness of the proposed LSTM-based Transfer Learning framework, the research will employ a multi-metric evaluation strategy. The forecasting accuracy will be primarily quantified and analyzed using Mean Absolute Percentage Error (MAPE) and Root Mean Square Error (RMSE).</w:t>
      </w:r>
    </w:p>
    <w:p w14:paraId="069B76D4"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Mean Absolute Percentage Error (MAPE) is selected for its scale-independent nature, which provides a normalized measure of accuracy by expressing errors as a percentage of the actual load. This is particularly vital in residential STLF, where consumption levels vary significantly between different households; MAPE allows for a fair comparative analysis of the model’s reliability across a diverse range of users, regardless of their absolute energy demand. For utility providers, this metric offers an intuitive understanding of the forecast’s relative precision in the context of demand-side management.</w:t>
      </w:r>
    </w:p>
    <w:p w14:paraId="152A4A22"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lastRenderedPageBreak/>
        <w:t>Root Mean Square Error (RMSE) will be utilized as a complementary metric to evaluate the model’s sensitivity to large prediction deviations. By squaring the error terms before averaging, RMSE disproportionately penalizes significant outliers. This is a critical consideration for power system stability, as large, unexpected forecasting gaps—even if infrequent</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can pose severe risks to real-time grid balancing and operational security. These metrics will be benchmarked against a “from-scratch” LSTM baseline to statistically demonstrate the superior convergence speed and accuracy gains achieved through knowledge transfer during the critical first 14 days of a new user’s connection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{"citationID":"cTFGVVI3","properties":{"formattedCitation":"[11]","plainCitation":"[11]","noteIndex":0},"citationItems":[{"id":570,"uris":["http://zotero.org/users/local/p3tV44H5/items/2VCBRUTA"],"itemData":{"id":570,"type":"article-journal","abstract":"Load forecasting has been a fundamental business problem since the inception of the electric power industry. Over the past 100 plus years, both research efforts and industry practices in this area have focused primarily on point load forecasting. In the most recent decade, though, the increased market competition, aging infrastructure and renewable integration requirements mean that probabilistic load forecasting has become more and more important to energy systems planning and operations. This paper offers a tutorial review of probabilistic electric load forecasting, including notable techniques, methodologies and evaluation methods, and common misunderstandings. We also underline the need to invest in additional research, such as reproducible case studies, probabilistic load forecast evaluation and valuation, and a consideration of emerging technologies and energy policies in the probabilistic load forecasting process.","container-title":"International Journal of Forecasting","DOI":"10.1016/j.ijforecast.2015.11.011","ISSN":"01692070","issue":"3","journalAbbreviation":"International Journal of Forecasting","language":"en","page":"914-938","source":"DOI.org (Crossref)","title":"Probabilistic electric load forecasting: A tutorial review","title-short":"Probabilistic electric load forecasting","volume":"32","author":[{"family":"Hong","given":"Tao"},{"family":"Fan","given":"Shu"}],"issued":{"date-parts":[["2016",7]]}}}],"schema":"https://github.com/citation-style-language/schema/raw/master/csl-citation.json"}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[11]</w:t>
      </w:r>
      <w:r>
        <w:rPr>
          <w:rFonts w:ascii="Times New Roman" w:hAnsi="Times New Roman" w:cs="Times New Roman"/>
          <w:sz w:val="24"/>
          <w:szCs w:val="24"/>
        </w:rPr>
        <w:fldChar w:fldCharType="end"/>
      </w:r>
      <w:r>
        <w:rPr>
          <w:rFonts w:ascii="Times New Roman" w:hAnsi="Times New Roman" w:cs="Times New Roman"/>
          <w:sz w:val="24"/>
          <w:szCs w:val="24"/>
        </w:rPr>
        <w:t>.</w:t>
      </w:r>
    </w:p>
    <w:p w14:paraId="126AA6CA" w14:textId="77777777" w:rsidR="00E81255" w:rsidRDefault="00000000">
      <w:pPr>
        <w:pStyle w:val="1"/>
        <w:spacing w:afterLines="50" w:after="156"/>
        <w:rPr>
          <w:rFonts w:ascii="Times New Roman" w:hAnsi="Times New Roman" w:cs="Times New Roman"/>
          <w:color w:val="auto"/>
        </w:rPr>
      </w:pPr>
      <w:bookmarkStart w:id="11" w:name="_Toc221287263"/>
      <w:r>
        <w:rPr>
          <w:rFonts w:ascii="Times New Roman" w:hAnsi="Times New Roman" w:cs="Times New Roman"/>
          <w:color w:val="auto"/>
        </w:rPr>
        <w:t>5. Significance and Evaluation</w:t>
      </w:r>
      <w:bookmarkEnd w:id="11"/>
    </w:p>
    <w:p w14:paraId="208D3BD9" w14:textId="77777777" w:rsidR="00E81255" w:rsidRDefault="00000000">
      <w:pPr>
        <w:pStyle w:val="2"/>
        <w:spacing w:afterLines="50" w:after="156"/>
        <w:rPr>
          <w:rFonts w:ascii="Times New Roman" w:hAnsi="Times New Roman" w:cs="Times New Roman"/>
          <w:color w:val="auto"/>
        </w:rPr>
      </w:pPr>
      <w:bookmarkStart w:id="12" w:name="_Toc221287264"/>
      <w:r>
        <w:rPr>
          <w:rFonts w:ascii="Times New Roman" w:hAnsi="Times New Roman" w:cs="Times New Roman"/>
          <w:color w:val="auto"/>
        </w:rPr>
        <w:t>5.1 Potential Impact and Significance</w:t>
      </w:r>
      <w:bookmarkEnd w:id="12"/>
    </w:p>
    <w:p w14:paraId="653DAA9A"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 xml:space="preserve">The broader significance of this research lies in its potential to revolutionize the integration of new participants into the smart grid ecosystem. By effectively bypassing the lengthy data-collection phase traditionally required for deep learning models, this framework enables utility providers to deploy immediate demand-response (DR) services and personalized energy-saving recommendations to new residents from the very moment of smart meter installation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{"citationID":"N1lg1o3v","properties":{"formattedCitation":"[11]","plainCitation":"[11]","noteIndex":0},"citationItems":[{"id":570,"uris":["http://zotero.org/users/local/p3tV44H5/items/2VCBRUTA"],"itemData":{"id":570,"type":"article-journal","abstract":"Load forecasting has been a fundamental business problem since the inception of the electric power industry. Over the past 100 plus years, both research efforts and industry practices in this area have focused primarily on point load forecasting. In the most recent decade, though, the increased market competition, aging infrastructure and renewable integration requirements mean that probabilistic load forecasting has become more and more important to energy systems planning and operations. This paper offers a tutorial review of probabilistic electric load forecasting, including notable techniques, methodologies and evaluation methods, and common misunderstandings. We also underline the need to invest in additional research, such as reproducible case studies, probabilistic load forecast evaluation and valuation, and a consideration of emerging technologies and energy policies in the probabilistic load forecasting process.","container-title":"International Journal of Forecasting","DOI":"10.1016/j.ijforecast.2015.11.011","ISSN":"01692070","issue":"3","journalAbbreviation":"International Journal of Forecasting","language":"en","page":"914-938","source":"DOI.org (Crossref)","title":"Probabilistic electric load forecasting: A tutorial review","title-short":"Probabilistic electric load forecasting","volume":"32","author":[{"family":"Hong","given":"Tao"},{"family":"Fan","given":"Shu"}],"issued":{"date-parts":[["2016",7]]}}}],"schema":"https://github.com/citation-style-language/schema/raw/master/csl-citation.json"}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hint="eastAsia"/>
          <w:sz w:val="24"/>
        </w:rPr>
        <w:t>[11]</w:t>
      </w:r>
      <w:r>
        <w:rPr>
          <w:rFonts w:ascii="Times New Roman" w:hAnsi="Times New Roman" w:cs="Times New Roman"/>
          <w:sz w:val="24"/>
          <w:szCs w:val="24"/>
        </w:rPr>
        <w:fldChar w:fldCharType="end"/>
      </w:r>
      <w:r>
        <w:rPr>
          <w:rFonts w:ascii="Times New Roman" w:hAnsi="Times New Roman" w:cs="Times New Roman"/>
          <w:sz w:val="24"/>
          <w:szCs w:val="24"/>
        </w:rPr>
        <w:t>.</w:t>
      </w:r>
    </w:p>
    <w:p w14:paraId="09C6CDAF"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From an operational perspective, this reduces the “value-void” period</w:t>
      </w:r>
      <w:r>
        <w:rPr>
          <w:rFonts w:ascii="Times New Roman" w:hAnsi="Times New Roman" w:cs="Times New Roman" w:hint="eastAsia"/>
          <w:sz w:val="24"/>
          <w:szCs w:val="24"/>
        </w:rPr>
        <w:t xml:space="preserve">, which is </w:t>
      </w:r>
      <w:r>
        <w:rPr>
          <w:rFonts w:ascii="Times New Roman" w:hAnsi="Times New Roman" w:cs="Times New Roman"/>
          <w:sz w:val="24"/>
          <w:szCs w:val="24"/>
        </w:rPr>
        <w:t>the operational wait time of several months usually needed to build a historical profile</w:t>
      </w:r>
      <w:r>
        <w:rPr>
          <w:rFonts w:ascii="Times New Roman" w:hAnsi="Times New Roman" w:cs="Times New Roman" w:hint="eastAsia"/>
          <w:sz w:val="24"/>
          <w:szCs w:val="24"/>
        </w:rPr>
        <w:t xml:space="preserve">, </w:t>
      </w:r>
      <w:r>
        <w:rPr>
          <w:rFonts w:ascii="Times New Roman" w:hAnsi="Times New Roman" w:cs="Times New Roman"/>
          <w:sz w:val="24"/>
          <w:szCs w:val="24"/>
        </w:rPr>
        <w:t>thereby accelerating the realization of smart meter value-added services such as real-time pricing, load balancing, and anomaly detection. On a macro level, the ability to perform high-precision forecasting for individual “cold start” households supports the stability of decentralized energy networks, allowing for a more agile and efficient grid where balancing supply and demand can be managed at a micro-level without unnecessary delays.</w:t>
      </w:r>
    </w:p>
    <w:p w14:paraId="2ACD7018" w14:textId="77777777" w:rsidR="00E81255" w:rsidRDefault="00000000">
      <w:pPr>
        <w:pStyle w:val="2"/>
        <w:spacing w:afterLines="50" w:after="156"/>
        <w:rPr>
          <w:rFonts w:ascii="Times New Roman" w:hAnsi="Times New Roman" w:cs="Times New Roman"/>
          <w:color w:val="auto"/>
        </w:rPr>
      </w:pPr>
      <w:bookmarkStart w:id="13" w:name="_Toc221287265"/>
      <w:r>
        <w:rPr>
          <w:rFonts w:ascii="Times New Roman" w:hAnsi="Times New Roman" w:cs="Times New Roman"/>
          <w:color w:val="auto"/>
        </w:rPr>
        <w:t>5.2 Limitations and Weaknesses</w:t>
      </w:r>
      <w:bookmarkEnd w:id="13"/>
    </w:p>
    <w:p w14:paraId="26520111" w14:textId="77777777" w:rsidR="00E81255" w:rsidRDefault="00000000">
      <w:pPr>
        <w:spacing w:afterLines="50" w:after="156"/>
        <w:rPr>
          <w:rFonts w:ascii="Times New Roman" w:hAnsi="Times New Roman" w:cs="Times New Roman"/>
          <w:sz w:val="24"/>
          <w:szCs w:val="24"/>
        </w:rPr>
      </w:pPr>
      <w:r>
        <w:rPr>
          <w:rFonts w:ascii="Times New Roman" w:hAnsi="Times New Roman" w:cs="Times New Roman"/>
          <w:sz w:val="24"/>
          <w:szCs w:val="24"/>
        </w:rPr>
        <w:t>Despite the potential of the proposed framework to mitigate the cold start problem, the methodology is subject to several scholarly and practical constraints that must be acknowledged.</w:t>
      </w:r>
    </w:p>
    <w:p w14:paraId="32FFB36E" w14:textId="77777777" w:rsidR="00E81255" w:rsidRDefault="00000000">
      <w:pPr>
        <w:pStyle w:val="a9"/>
        <w:numPr>
          <w:ilvl w:val="0"/>
          <w:numId w:val="3"/>
        </w:numPr>
        <w:spacing w:afterLines="50" w:after="156"/>
        <w:rPr>
          <w:rFonts w:ascii="Times New Roman" w:hAnsi="Times New Roman" w:cs="Times New Roman"/>
          <w:sz w:val="24"/>
          <w:szCs w:val="24"/>
        </w:rPr>
      </w:pPr>
      <w:r>
        <w:rPr>
          <w:rFonts w:ascii="Times New Roman" w:hAnsi="Times New Roman" w:cs="Times New Roman"/>
          <w:sz w:val="24"/>
          <w:szCs w:val="24"/>
        </w:rPr>
        <w:t xml:space="preserve">​Risk of Negative Transfer: The primary theoretical limitation involves the phenomenon of "Negative Transfer," which occurs when the knowledge migrated from the data-rich source domain (the general London population) significantly conflicts with the target domain (the specific new user). This typically transpires if the consumption behaviors of the source population are fundamentally divergent from the unique, high-volatility habits of the new resident, potentially leading to biased or inaccurate predictions that underperform compared to simple statistical baselines.  </w:t>
      </w:r>
    </w:p>
    <w:p w14:paraId="16935D07" w14:textId="77777777" w:rsidR="00E81255" w:rsidRDefault="00000000">
      <w:pPr>
        <w:pStyle w:val="a9"/>
        <w:numPr>
          <w:ilvl w:val="0"/>
          <w:numId w:val="3"/>
        </w:numPr>
        <w:spacing w:afterLines="50" w:after="156"/>
        <w:rPr>
          <w:rFonts w:ascii="Times New Roman" w:hAnsi="Times New Roman" w:cs="Times New Roman"/>
          <w:sz w:val="24"/>
          <w:szCs w:val="24"/>
        </w:rPr>
      </w:pPr>
      <w:r>
        <w:rPr>
          <w:rFonts w:ascii="Times New Roman" w:hAnsi="Times New Roman" w:cs="Times New Roman"/>
          <w:sz w:val="24"/>
          <w:szCs w:val="24"/>
        </w:rPr>
        <w:lastRenderedPageBreak/>
        <w:t>Domain Relatedness and Divergence: The effectiveness of the "Pre-train and Fine-tune" strategy is highly contingent upon the "relatedness" between households. Residential energy use is notoriously stochastic; if the demographic or geographic characteristics of the source dataset do not align with the target household, the pre-trained LSTM features (such as diurnal peaks) may not be applicable. This "domain shift" remains a significant challenge in ensuring the universal applicability of a single global baseline model.</w:t>
      </w:r>
    </w:p>
    <w:p w14:paraId="2E6495C2" w14:textId="77777777" w:rsidR="00E81255" w:rsidRDefault="00000000">
      <w:pPr>
        <w:pStyle w:val="a9"/>
        <w:numPr>
          <w:ilvl w:val="0"/>
          <w:numId w:val="3"/>
        </w:numPr>
        <w:spacing w:afterLines="50" w:after="156"/>
        <w:rPr>
          <w:rFonts w:ascii="Times New Roman" w:hAnsi="Times New Roman" w:cs="Times New Roman"/>
          <w:sz w:val="24"/>
          <w:szCs w:val="24"/>
        </w:rPr>
      </w:pPr>
      <w:r>
        <w:rPr>
          <w:rFonts w:ascii="Times New Roman" w:hAnsi="Times New Roman" w:cs="Times New Roman"/>
          <w:sz w:val="24"/>
          <w:szCs w:val="24"/>
        </w:rPr>
        <w:t xml:space="preserve">Fine-tuning Sensitivity: From a technical standpoint, the localized adaptation process requires delicate hyperparameter optimization. The selection of which LSTM layers to "freeze" and which to retrain is a non-trivial task. An inappropriate learning rate during the fine-tuning phase could lead to "catastrophic forgetting," where the model loses the generalized temporal patterns learned during pre-training, or conversely, a failure to adapt to the specific local nuances of the new user’s appliance usage.  </w:t>
      </w:r>
    </w:p>
    <w:p w14:paraId="63D20080" w14:textId="77777777" w:rsidR="00E81255" w:rsidRDefault="00000000">
      <w:pPr>
        <w:pStyle w:val="a9"/>
        <w:numPr>
          <w:ilvl w:val="0"/>
          <w:numId w:val="3"/>
        </w:numPr>
        <w:spacing w:afterLines="50" w:after="156"/>
        <w:rPr>
          <w:rFonts w:ascii="Times New Roman" w:hAnsi="Times New Roman" w:cs="Times New Roman"/>
          <w:sz w:val="24"/>
          <w:szCs w:val="24"/>
        </w:rPr>
      </w:pPr>
      <w:r>
        <w:rPr>
          <w:rFonts w:ascii="Times New Roman" w:hAnsi="Times New Roman" w:cs="Times New Roman"/>
          <w:sz w:val="24"/>
          <w:szCs w:val="24"/>
        </w:rPr>
        <w:t>Computational Overhead: While the inference for a new user is rapid, the initial stage of training a "Global Model" on thousands of users in the source domain requires significant computational resources and time. Maintaining and updating this global model as new consumption trends emerge (e.g., the rising adoption of Electric Vehicles) presents an ongoing operational challenge for utility providers.</w:t>
      </w:r>
    </w:p>
    <w:p w14:paraId="0A6A2437" w14:textId="77777777" w:rsidR="00E81255" w:rsidRDefault="00000000">
      <w:pPr>
        <w:pStyle w:val="1"/>
        <w:spacing w:afterLines="50" w:after="156"/>
        <w:rPr>
          <w:rFonts w:ascii="Times New Roman" w:hAnsi="Times New Roman" w:cs="Times New Roman"/>
          <w:color w:val="auto"/>
        </w:rPr>
      </w:pPr>
      <w:bookmarkStart w:id="14" w:name="_Toc221287266"/>
      <w:r>
        <w:rPr>
          <w:rFonts w:ascii="Times New Roman" w:hAnsi="Times New Roman" w:cs="Times New Roman"/>
          <w:color w:val="auto"/>
        </w:rPr>
        <w:t>6. References</w:t>
      </w:r>
      <w:bookmarkEnd w:id="14"/>
    </w:p>
    <w:p w14:paraId="24FC132C" w14:textId="77777777" w:rsidR="00E81255" w:rsidRDefault="00000000">
      <w:pPr>
        <w:pStyle w:val="af0"/>
        <w:rPr>
          <w:rFonts w:ascii="Times New Roman" w:hAnsi="Times New Roman" w:cs="Times New Roman"/>
        </w:rPr>
      </w:pPr>
      <w:r>
        <w:fldChar w:fldCharType="begin"/>
      </w:r>
      <w:r>
        <w:rPr>
          <w:rFonts w:hint="eastAsia"/>
        </w:rPr>
        <w:instrText xml:space="preserve"> ADDIN ZOTERO_BIBL {"uncited":[],"omitted":[],"custom":[]} CSL_BIBLIOGRAPHY </w:instrText>
      </w:r>
      <w:r>
        <w:fldChar w:fldCharType="separate"/>
      </w:r>
      <w:r>
        <w:rPr>
          <w:rFonts w:ascii="Times New Roman" w:hAnsi="Times New Roman" w:cs="Times New Roman"/>
        </w:rPr>
        <w:t>[1]</w:t>
      </w:r>
      <w:r>
        <w:rPr>
          <w:rFonts w:ascii="Times New Roman" w:hAnsi="Times New Roman" w:cs="Times New Roman"/>
        </w:rPr>
        <w:tab/>
        <w:t xml:space="preserve">N. Alemazkoor, M. Tootkaboni, R. Nateghi, and A. Louhghalam, ‘Smart-Meter Big Data for Load Forecasting: An Alternative Approach to Clustering’, </w:t>
      </w:r>
      <w:r>
        <w:rPr>
          <w:rFonts w:ascii="Times New Roman" w:hAnsi="Times New Roman" w:cs="Times New Roman"/>
          <w:i/>
          <w:iCs/>
        </w:rPr>
        <w:t>IEEE Access</w:t>
      </w:r>
      <w:r>
        <w:rPr>
          <w:rFonts w:ascii="Times New Roman" w:hAnsi="Times New Roman" w:cs="Times New Roman"/>
        </w:rPr>
        <w:t>, vol. 10, pp. 8377–8387, 2022, doi: 10.1109/ACCESS.2022.3142680.</w:t>
      </w:r>
    </w:p>
    <w:p w14:paraId="75783382" w14:textId="77777777" w:rsidR="00E81255" w:rsidRDefault="00000000">
      <w:pPr>
        <w:pStyle w:val="af0"/>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M. Alhussein, K. Aurangzeb, and S. I. Haider, ‘Hybrid CNN-LSTM Model for Short-Term Individual Household Load Forecasting’, </w:t>
      </w:r>
      <w:r>
        <w:rPr>
          <w:rFonts w:ascii="Times New Roman" w:hAnsi="Times New Roman" w:cs="Times New Roman"/>
          <w:i/>
          <w:iCs/>
        </w:rPr>
        <w:t>IEEE Access</w:t>
      </w:r>
      <w:r>
        <w:rPr>
          <w:rFonts w:ascii="Times New Roman" w:hAnsi="Times New Roman" w:cs="Times New Roman"/>
        </w:rPr>
        <w:t>, vol. 8, pp. 180544–180557, 2020, doi: 10.1109/ACCESS.2020.3028281.</w:t>
      </w:r>
    </w:p>
    <w:p w14:paraId="1F5CE8BB" w14:textId="77777777" w:rsidR="00E81255" w:rsidRDefault="00000000">
      <w:pPr>
        <w:pStyle w:val="af0"/>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S. Hochreiter and J. Schmidhuber, ‘Long Short-Term Memory’, </w:t>
      </w:r>
      <w:r>
        <w:rPr>
          <w:rFonts w:ascii="Times New Roman" w:hAnsi="Times New Roman" w:cs="Times New Roman"/>
          <w:i/>
          <w:iCs/>
        </w:rPr>
        <w:t>Neural Computation</w:t>
      </w:r>
      <w:r>
        <w:rPr>
          <w:rFonts w:ascii="Times New Roman" w:hAnsi="Times New Roman" w:cs="Times New Roman"/>
        </w:rPr>
        <w:t>, vol. 9, no. 8, pp. 1735–1780, Nov. 1997, doi: 10.1162/neco.1997.9.8.1735.</w:t>
      </w:r>
    </w:p>
    <w:p w14:paraId="4A5913FE" w14:textId="77777777" w:rsidR="00E81255" w:rsidRDefault="00000000">
      <w:pPr>
        <w:pStyle w:val="af0"/>
        <w:rPr>
          <w:rFonts w:ascii="Times New Roman" w:hAnsi="Times New Roman" w:cs="Times New Roman"/>
        </w:rPr>
      </w:pPr>
      <w:r>
        <w:rPr>
          <w:rFonts w:ascii="Times New Roman" w:hAnsi="Times New Roman" w:cs="Times New Roman"/>
        </w:rPr>
        <w:t>[4]</w:t>
      </w:r>
      <w:r>
        <w:rPr>
          <w:rFonts w:ascii="Times New Roman" w:hAnsi="Times New Roman" w:cs="Times New Roman"/>
        </w:rPr>
        <w:tab/>
        <w:t xml:space="preserve">F. Zhuang </w:t>
      </w:r>
      <w:r>
        <w:rPr>
          <w:rFonts w:ascii="Times New Roman" w:hAnsi="Times New Roman" w:cs="Times New Roman"/>
          <w:i/>
          <w:iCs/>
        </w:rPr>
        <w:t>et al.</w:t>
      </w:r>
      <w:r>
        <w:rPr>
          <w:rFonts w:ascii="Times New Roman" w:hAnsi="Times New Roman" w:cs="Times New Roman"/>
        </w:rPr>
        <w:t xml:space="preserve">, ‘A Comprehensive Survey on Transfer Learning’, </w:t>
      </w:r>
      <w:r>
        <w:rPr>
          <w:rFonts w:ascii="Times New Roman" w:hAnsi="Times New Roman" w:cs="Times New Roman"/>
          <w:i/>
          <w:iCs/>
        </w:rPr>
        <w:t>Proceedings of the IEEE</w:t>
      </w:r>
      <w:r>
        <w:rPr>
          <w:rFonts w:ascii="Times New Roman" w:hAnsi="Times New Roman" w:cs="Times New Roman"/>
        </w:rPr>
        <w:t>, vol. 109, no. 1, pp. 43–76, Jan. 2021, doi: 10.1109/JPROC.2020.3004555.</w:t>
      </w:r>
    </w:p>
    <w:p w14:paraId="5660CABE" w14:textId="77777777" w:rsidR="00E81255" w:rsidRDefault="00000000">
      <w:pPr>
        <w:pStyle w:val="af0"/>
        <w:rPr>
          <w:rFonts w:ascii="Times New Roman" w:hAnsi="Times New Roman" w:cs="Times New Roman"/>
        </w:rPr>
      </w:pPr>
      <w:r>
        <w:rPr>
          <w:rFonts w:ascii="Times New Roman" w:hAnsi="Times New Roman" w:cs="Times New Roman"/>
        </w:rPr>
        <w:t>[5]</w:t>
      </w:r>
      <w:r>
        <w:rPr>
          <w:rFonts w:ascii="Times New Roman" w:hAnsi="Times New Roman" w:cs="Times New Roman"/>
        </w:rPr>
        <w:tab/>
        <w:t xml:space="preserve">W. Kong, Z. Y. Dong, Y. Jia, D. J. Hill, Y. Xu, and Y. Zhang, ‘Short-Term Residential Load Forecasting Based on LSTM Recurrent Neural Network’, </w:t>
      </w:r>
      <w:r>
        <w:rPr>
          <w:rFonts w:ascii="Times New Roman" w:hAnsi="Times New Roman" w:cs="Times New Roman"/>
          <w:i/>
          <w:iCs/>
        </w:rPr>
        <w:t>IEEE Transactions on Smart Grid</w:t>
      </w:r>
      <w:r>
        <w:rPr>
          <w:rFonts w:ascii="Times New Roman" w:hAnsi="Times New Roman" w:cs="Times New Roman"/>
        </w:rPr>
        <w:t>, vol. 10, no. 1, pp. 841–851, Jan. 2019, doi: 10.1109/TSG.2017.2753802.</w:t>
      </w:r>
    </w:p>
    <w:p w14:paraId="5A4EC233" w14:textId="77777777" w:rsidR="00E81255" w:rsidRDefault="00000000">
      <w:pPr>
        <w:pStyle w:val="af0"/>
        <w:rPr>
          <w:rFonts w:ascii="Times New Roman" w:hAnsi="Times New Roman" w:cs="Times New Roman"/>
        </w:rPr>
      </w:pPr>
      <w:r>
        <w:rPr>
          <w:rFonts w:ascii="Times New Roman" w:hAnsi="Times New Roman" w:cs="Times New Roman"/>
        </w:rPr>
        <w:t>[6]</w:t>
      </w:r>
      <w:r>
        <w:rPr>
          <w:rFonts w:ascii="Times New Roman" w:hAnsi="Times New Roman" w:cs="Times New Roman"/>
        </w:rPr>
        <w:tab/>
        <w:t xml:space="preserve">Y. He, R. Liu, H. Li, S. Wang, and X. Lu, ‘Short-term power load probability density forecasting method using kernel-based support vector quantile regression and Copula theory’, </w:t>
      </w:r>
      <w:r>
        <w:rPr>
          <w:rFonts w:ascii="Times New Roman" w:hAnsi="Times New Roman" w:cs="Times New Roman"/>
          <w:i/>
          <w:iCs/>
        </w:rPr>
        <w:t>Applied Energy</w:t>
      </w:r>
      <w:r>
        <w:rPr>
          <w:rFonts w:ascii="Times New Roman" w:hAnsi="Times New Roman" w:cs="Times New Roman"/>
        </w:rPr>
        <w:t>, vol. 185, pp. 254–266, Jan. 2017, doi: 10.1016/j.apenergy.2016.10.079.</w:t>
      </w:r>
    </w:p>
    <w:p w14:paraId="1A7CFCF1" w14:textId="77777777" w:rsidR="00E81255" w:rsidRDefault="00000000">
      <w:pPr>
        <w:pStyle w:val="af0"/>
        <w:rPr>
          <w:rFonts w:ascii="Times New Roman" w:hAnsi="Times New Roman" w:cs="Times New Roman"/>
        </w:rPr>
      </w:pPr>
      <w:r>
        <w:rPr>
          <w:rFonts w:ascii="Times New Roman" w:hAnsi="Times New Roman" w:cs="Times New Roman"/>
        </w:rPr>
        <w:t>[7]</w:t>
      </w:r>
      <w:r>
        <w:rPr>
          <w:rFonts w:ascii="Times New Roman" w:hAnsi="Times New Roman" w:cs="Times New Roman"/>
        </w:rPr>
        <w:tab/>
        <w:t xml:space="preserve">L. Wu, C. Kong, X. Hao, and W. Chen, ‘A Short-Term Load Forecasting Method Based on GRU-CNN Hybrid Neural Network Model’, </w:t>
      </w:r>
      <w:r>
        <w:rPr>
          <w:rFonts w:ascii="Times New Roman" w:hAnsi="Times New Roman" w:cs="Times New Roman"/>
          <w:i/>
          <w:iCs/>
        </w:rPr>
        <w:t>Mathematical Problems in Engineering</w:t>
      </w:r>
      <w:r>
        <w:rPr>
          <w:rFonts w:ascii="Times New Roman" w:hAnsi="Times New Roman" w:cs="Times New Roman"/>
        </w:rPr>
        <w:t>, vol. 2020, no. 1, p. 1428104, 2020, doi: 10.1155/2020/1428104.</w:t>
      </w:r>
    </w:p>
    <w:p w14:paraId="480057EE" w14:textId="77777777" w:rsidR="00E81255" w:rsidRDefault="00000000">
      <w:pPr>
        <w:pStyle w:val="af0"/>
        <w:rPr>
          <w:rFonts w:ascii="Times New Roman" w:hAnsi="Times New Roman" w:cs="Times New Roman"/>
        </w:rPr>
      </w:pPr>
      <w:r>
        <w:rPr>
          <w:rFonts w:ascii="Times New Roman" w:hAnsi="Times New Roman" w:cs="Times New Roman"/>
        </w:rPr>
        <w:t>[8]</w:t>
      </w:r>
      <w:r>
        <w:rPr>
          <w:rFonts w:ascii="Times New Roman" w:hAnsi="Times New Roman" w:cs="Times New Roman"/>
        </w:rPr>
        <w:tab/>
        <w:t xml:space="preserve">X. Dong, L. Qian, and L. Huang, ‘Short-term load forecasting in smart grid: A combined CNN and K-means clustering approach’, in </w:t>
      </w:r>
      <w:r>
        <w:rPr>
          <w:rFonts w:ascii="Times New Roman" w:hAnsi="Times New Roman" w:cs="Times New Roman"/>
          <w:i/>
          <w:iCs/>
        </w:rPr>
        <w:t xml:space="preserve">2017 IEEE International Conference on Big Data and </w:t>
      </w:r>
      <w:r>
        <w:rPr>
          <w:rFonts w:ascii="Times New Roman" w:hAnsi="Times New Roman" w:cs="Times New Roman"/>
          <w:i/>
          <w:iCs/>
        </w:rPr>
        <w:lastRenderedPageBreak/>
        <w:t>Smart Computing (BigComp)</w:t>
      </w:r>
      <w:r>
        <w:rPr>
          <w:rFonts w:ascii="Times New Roman" w:hAnsi="Times New Roman" w:cs="Times New Roman"/>
        </w:rPr>
        <w:t>, Feb. 2017, pp. 119–125. doi: 10.1109/BIGCOMP.2017.7881726.</w:t>
      </w:r>
    </w:p>
    <w:p w14:paraId="503A3002" w14:textId="77777777" w:rsidR="00E81255" w:rsidRDefault="00000000">
      <w:pPr>
        <w:pStyle w:val="af0"/>
        <w:rPr>
          <w:rFonts w:ascii="Times New Roman" w:hAnsi="Times New Roman" w:cs="Times New Roman"/>
        </w:rPr>
      </w:pPr>
      <w:r>
        <w:rPr>
          <w:rFonts w:ascii="Times New Roman" w:hAnsi="Times New Roman" w:cs="Times New Roman"/>
        </w:rPr>
        <w:t>[9]</w:t>
      </w:r>
      <w:r>
        <w:rPr>
          <w:rFonts w:ascii="Times New Roman" w:hAnsi="Times New Roman" w:cs="Times New Roman"/>
        </w:rPr>
        <w:tab/>
        <w:t xml:space="preserve">M. López Santos </w:t>
      </w:r>
      <w:r>
        <w:rPr>
          <w:rFonts w:ascii="Times New Roman" w:hAnsi="Times New Roman" w:cs="Times New Roman"/>
          <w:i/>
          <w:iCs/>
        </w:rPr>
        <w:t>et al.</w:t>
      </w:r>
      <w:r>
        <w:rPr>
          <w:rFonts w:ascii="Times New Roman" w:hAnsi="Times New Roman" w:cs="Times New Roman"/>
        </w:rPr>
        <w:t xml:space="preserve">, ‘Deep learning and transfer learning techniques applied to short-term load forecasting of data-poor buildings in local energy communities’, </w:t>
      </w:r>
      <w:r>
        <w:rPr>
          <w:rFonts w:ascii="Times New Roman" w:hAnsi="Times New Roman" w:cs="Times New Roman"/>
          <w:i/>
          <w:iCs/>
        </w:rPr>
        <w:t>Energy and Buildings</w:t>
      </w:r>
      <w:r>
        <w:rPr>
          <w:rFonts w:ascii="Times New Roman" w:hAnsi="Times New Roman" w:cs="Times New Roman"/>
        </w:rPr>
        <w:t>, vol. 292, p. 113164, Aug. 2023, doi: 10.1016/j.enbuild.2023.113164.</w:t>
      </w:r>
    </w:p>
    <w:p w14:paraId="6350A1CE" w14:textId="77777777" w:rsidR="00E81255" w:rsidRDefault="00000000">
      <w:pPr>
        <w:pStyle w:val="af0"/>
        <w:rPr>
          <w:rFonts w:ascii="Times New Roman" w:hAnsi="Times New Roman" w:cs="Times New Roman"/>
        </w:rPr>
      </w:pPr>
      <w:r>
        <w:rPr>
          <w:rFonts w:ascii="Times New Roman" w:hAnsi="Times New Roman" w:cs="Times New Roman"/>
        </w:rPr>
        <w:t>[10]</w:t>
      </w:r>
      <w:r>
        <w:rPr>
          <w:rFonts w:ascii="Times New Roman" w:hAnsi="Times New Roman" w:cs="Times New Roman"/>
        </w:rPr>
        <w:tab/>
        <w:t xml:space="preserve">M. Massaoudi, H. Abu-Rub, S. S. Refaat, I. Chihi, and F. S. Oueslati, ‘Deep Learning in Smart Grid Technology: A Review of Recent Advancements and Future Prospects’, </w:t>
      </w:r>
      <w:r>
        <w:rPr>
          <w:rFonts w:ascii="Times New Roman" w:hAnsi="Times New Roman" w:cs="Times New Roman"/>
          <w:i/>
          <w:iCs/>
        </w:rPr>
        <w:t>IEEE Access</w:t>
      </w:r>
      <w:r>
        <w:rPr>
          <w:rFonts w:ascii="Times New Roman" w:hAnsi="Times New Roman" w:cs="Times New Roman"/>
        </w:rPr>
        <w:t>, vol. 9, pp. 54558–54578, 2021, doi: 10.1109/ACCESS.2021.3071269.</w:t>
      </w:r>
    </w:p>
    <w:p w14:paraId="275C36F3" w14:textId="77777777" w:rsidR="00E81255" w:rsidRDefault="00000000">
      <w:pPr>
        <w:pStyle w:val="af0"/>
        <w:rPr>
          <w:rFonts w:ascii="Times New Roman" w:hAnsi="Times New Roman" w:cs="Times New Roman"/>
        </w:rPr>
      </w:pPr>
      <w:r>
        <w:rPr>
          <w:rFonts w:ascii="Times New Roman" w:hAnsi="Times New Roman" w:cs="Times New Roman"/>
        </w:rPr>
        <w:t>[11]</w:t>
      </w:r>
      <w:r>
        <w:rPr>
          <w:rFonts w:ascii="Times New Roman" w:hAnsi="Times New Roman" w:cs="Times New Roman"/>
        </w:rPr>
        <w:tab/>
        <w:t xml:space="preserve">T. Hong and S. Fan, ‘Probabilistic electric load forecasting: A tutorial review’, </w:t>
      </w:r>
      <w:r>
        <w:rPr>
          <w:rFonts w:ascii="Times New Roman" w:hAnsi="Times New Roman" w:cs="Times New Roman"/>
          <w:i/>
          <w:iCs/>
        </w:rPr>
        <w:t>International Journal of Forecasting</w:t>
      </w:r>
      <w:r>
        <w:rPr>
          <w:rFonts w:ascii="Times New Roman" w:hAnsi="Times New Roman" w:cs="Times New Roman"/>
        </w:rPr>
        <w:t>, vol. 32, no. 3, pp. 914–938, Jul. 2016, doi: 10.1016/j.ijforecast.2015.11.011.</w:t>
      </w:r>
    </w:p>
    <w:p w14:paraId="17B4DD53" w14:textId="77777777" w:rsidR="00E81255" w:rsidRDefault="00000000">
      <w:pPr>
        <w:spacing w:afterLines="50" w:after="156"/>
        <w:rPr>
          <w:rFonts w:ascii="Times New Roman" w:hAnsi="Times New Roman" w:cs="Times New Roman"/>
        </w:rPr>
      </w:pPr>
      <w:r>
        <w:rPr>
          <w:rFonts w:ascii="Times New Roman" w:hAnsi="Times New Roman" w:cs="Times New Roman"/>
        </w:rPr>
        <w:fldChar w:fldCharType="end"/>
      </w:r>
    </w:p>
    <w:sectPr w:rsidR="00E81255">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E60D7" w14:textId="77777777" w:rsidR="009C67FF" w:rsidRDefault="009C67FF">
      <w:pPr>
        <w:rPr>
          <w:rFonts w:hint="eastAsia"/>
        </w:rPr>
      </w:pPr>
      <w:r>
        <w:separator/>
      </w:r>
    </w:p>
  </w:endnote>
  <w:endnote w:type="continuationSeparator" w:id="0">
    <w:p w14:paraId="175A9F8B" w14:textId="77777777" w:rsidR="009C67FF" w:rsidRDefault="009C67F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042C0" w14:textId="77777777" w:rsidR="00E81255" w:rsidRDefault="00000000">
    <w:pPr>
      <w:pStyle w:val="af3"/>
      <w:jc w:val="center"/>
      <w:rPr>
        <w:rFonts w:hint="eastAsia"/>
      </w:rPr>
    </w:pPr>
    <w:r>
      <w:fldChar w:fldCharType="begin"/>
    </w:r>
    <w:r>
      <w:instrText>PAGE   \* MERGEFORMAT</w:instrText>
    </w:r>
    <w:r>
      <w:fldChar w:fldCharType="separate"/>
    </w:r>
    <w:r>
      <w:rPr>
        <w:lang w:val="zh-CN"/>
      </w:rPr>
      <w:t>2</w:t>
    </w:r>
    <w:r>
      <w:fldChar w:fldCharType="end"/>
    </w:r>
  </w:p>
  <w:p w14:paraId="00BD8763" w14:textId="77777777" w:rsidR="00E81255" w:rsidRDefault="00E81255">
    <w:pPr>
      <w:pStyle w:val="af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DD133" w14:textId="77777777" w:rsidR="009C67FF" w:rsidRDefault="009C67FF">
      <w:pPr>
        <w:rPr>
          <w:rFonts w:hint="eastAsia"/>
        </w:rPr>
      </w:pPr>
      <w:r>
        <w:separator/>
      </w:r>
    </w:p>
  </w:footnote>
  <w:footnote w:type="continuationSeparator" w:id="0">
    <w:p w14:paraId="468C4A7F" w14:textId="77777777" w:rsidR="009C67FF" w:rsidRDefault="009C67F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multilevel"/>
    <w:tmpl w:val="8A78BEF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1"/>
    <w:multiLevelType w:val="multilevel"/>
    <w:tmpl w:val="92CACCBA"/>
    <w:lvl w:ilvl="0">
      <w:start w:val="1"/>
      <w:numFmt w:val="bullet"/>
      <w:lvlText w:val=""/>
      <w:lvlJc w:val="left"/>
      <w:pPr>
        <w:tabs>
          <w:tab w:val="left" w:pos="720"/>
        </w:tabs>
        <w:ind w:left="720" w:hanging="360"/>
      </w:pPr>
      <w:rPr>
        <w:rFonts w:ascii="Wingdings" w:hAnsi="Wingdings"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02"/>
    <w:multiLevelType w:val="hybridMultilevel"/>
    <w:tmpl w:val="0000000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239170605">
    <w:abstractNumId w:val="1"/>
  </w:num>
  <w:num w:numId="2" w16cid:durableId="1480001748">
    <w:abstractNumId w:val="0"/>
  </w:num>
  <w:num w:numId="3" w16cid:durableId="20819007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8DC41F8"/>
    <w:rsid w:val="00301D1E"/>
    <w:rsid w:val="004C7936"/>
    <w:rsid w:val="009C67FF"/>
    <w:rsid w:val="00E25F7C"/>
    <w:rsid w:val="00E81255"/>
    <w:rsid w:val="08DC41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72A7E"/>
  <w15:docId w15:val="{8F72221C-FBDF-40EC-8B41-9B56C5F7A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宋体"/>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pPr>
      <w:keepNext/>
      <w:keepLines/>
      <w:spacing w:before="480" w:after="80"/>
      <w:outlineLvl w:val="0"/>
    </w:pPr>
    <w:rPr>
      <w:rFonts w:ascii="等线 Light" w:eastAsia="等线 Light" w:hAnsi="等线 Light"/>
      <w:color w:val="2F5496"/>
      <w:sz w:val="48"/>
      <w:szCs w:val="48"/>
    </w:rPr>
  </w:style>
  <w:style w:type="paragraph" w:styleId="2">
    <w:name w:val="heading 2"/>
    <w:basedOn w:val="a"/>
    <w:next w:val="a"/>
    <w:link w:val="20"/>
    <w:uiPriority w:val="9"/>
    <w:unhideWhenUsed/>
    <w:qFormat/>
    <w:pPr>
      <w:keepNext/>
      <w:keepLines/>
      <w:spacing w:before="160" w:after="80"/>
      <w:outlineLvl w:val="1"/>
    </w:pPr>
    <w:rPr>
      <w:rFonts w:ascii="等线 Light" w:eastAsia="等线 Light" w:hAnsi="等线 Light"/>
      <w:color w:val="2F5496"/>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等线 Light" w:eastAsia="等线 Light" w:hAnsi="等线 Light"/>
      <w:color w:val="2F5496"/>
      <w:sz w:val="32"/>
      <w:szCs w:val="32"/>
    </w:rPr>
  </w:style>
  <w:style w:type="paragraph" w:styleId="4">
    <w:name w:val="heading 4"/>
    <w:basedOn w:val="a"/>
    <w:next w:val="a"/>
    <w:link w:val="40"/>
    <w:uiPriority w:val="9"/>
    <w:semiHidden/>
    <w:unhideWhenUsed/>
    <w:qFormat/>
    <w:pPr>
      <w:keepNext/>
      <w:keepLines/>
      <w:spacing w:before="80" w:after="40"/>
      <w:outlineLvl w:val="3"/>
    </w:pPr>
    <w:rPr>
      <w:color w:val="2F5496"/>
      <w:sz w:val="28"/>
      <w:szCs w:val="28"/>
    </w:rPr>
  </w:style>
  <w:style w:type="paragraph" w:styleId="5">
    <w:name w:val="heading 5"/>
    <w:basedOn w:val="a"/>
    <w:next w:val="a"/>
    <w:link w:val="50"/>
    <w:uiPriority w:val="9"/>
    <w:semiHidden/>
    <w:unhideWhenUsed/>
    <w:qFormat/>
    <w:pPr>
      <w:keepNext/>
      <w:keepLines/>
      <w:spacing w:before="80" w:after="40"/>
      <w:outlineLvl w:val="4"/>
    </w:pPr>
    <w:rPr>
      <w:color w:val="2F5496"/>
      <w:sz w:val="24"/>
      <w:szCs w:val="24"/>
    </w:rPr>
  </w:style>
  <w:style w:type="paragraph" w:styleId="6">
    <w:name w:val="heading 6"/>
    <w:basedOn w:val="a"/>
    <w:next w:val="a"/>
    <w:link w:val="60"/>
    <w:uiPriority w:val="9"/>
    <w:semiHidden/>
    <w:unhideWhenUsed/>
    <w:qFormat/>
    <w:pPr>
      <w:keepNext/>
      <w:keepLines/>
      <w:spacing w:before="40"/>
      <w:outlineLvl w:val="5"/>
    </w:pPr>
    <w:rPr>
      <w:b/>
      <w:bCs/>
      <w:color w:val="2F5496"/>
    </w:rPr>
  </w:style>
  <w:style w:type="paragraph" w:styleId="7">
    <w:name w:val="heading 7"/>
    <w:basedOn w:val="a"/>
    <w:next w:val="a"/>
    <w:link w:val="70"/>
    <w:uiPriority w:val="9"/>
    <w:qFormat/>
    <w:pPr>
      <w:keepNext/>
      <w:keepLines/>
      <w:spacing w:before="40"/>
      <w:outlineLvl w:val="6"/>
    </w:pPr>
    <w:rPr>
      <w:b/>
      <w:bCs/>
      <w:color w:val="595959"/>
    </w:rPr>
  </w:style>
  <w:style w:type="paragraph" w:styleId="8">
    <w:name w:val="heading 8"/>
    <w:basedOn w:val="a"/>
    <w:next w:val="a"/>
    <w:link w:val="80"/>
    <w:uiPriority w:val="9"/>
    <w:qFormat/>
    <w:pPr>
      <w:keepNext/>
      <w:keepLines/>
      <w:outlineLvl w:val="7"/>
    </w:pPr>
    <w:rPr>
      <w:color w:val="595959"/>
    </w:rPr>
  </w:style>
  <w:style w:type="paragraph" w:styleId="9">
    <w:name w:val="heading 9"/>
    <w:basedOn w:val="a"/>
    <w:next w:val="a"/>
    <w:link w:val="90"/>
    <w:uiPriority w:val="9"/>
    <w:qFormat/>
    <w:pPr>
      <w:keepNext/>
      <w:keepLines/>
      <w:outlineLvl w:val="8"/>
    </w:pPr>
    <w:rPr>
      <w:rFonts w:eastAsia="等线 Light"/>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Pr>
      <w:rFonts w:ascii="等线 Light" w:eastAsia="等线 Light" w:hAnsi="等线 Light" w:cs="宋体"/>
      <w:color w:val="2F5496"/>
      <w:sz w:val="48"/>
      <w:szCs w:val="48"/>
    </w:rPr>
  </w:style>
  <w:style w:type="character" w:customStyle="1" w:styleId="20">
    <w:name w:val="标题 2 字符"/>
    <w:basedOn w:val="a0"/>
    <w:link w:val="2"/>
    <w:uiPriority w:val="9"/>
    <w:rPr>
      <w:rFonts w:ascii="等线 Light" w:eastAsia="等线 Light" w:hAnsi="等线 Light" w:cs="宋体"/>
      <w:color w:val="2F5496"/>
      <w:sz w:val="40"/>
      <w:szCs w:val="40"/>
    </w:rPr>
  </w:style>
  <w:style w:type="character" w:customStyle="1" w:styleId="30">
    <w:name w:val="标题 3 字符"/>
    <w:basedOn w:val="a0"/>
    <w:link w:val="3"/>
    <w:uiPriority w:val="9"/>
    <w:rPr>
      <w:rFonts w:ascii="等线 Light" w:eastAsia="等线 Light" w:hAnsi="等线 Light" w:cs="宋体"/>
      <w:color w:val="2F5496"/>
      <w:sz w:val="32"/>
      <w:szCs w:val="32"/>
    </w:rPr>
  </w:style>
  <w:style w:type="character" w:customStyle="1" w:styleId="40">
    <w:name w:val="标题 4 字符"/>
    <w:basedOn w:val="a0"/>
    <w:link w:val="4"/>
    <w:uiPriority w:val="9"/>
    <w:rPr>
      <w:rFonts w:cs="宋体"/>
      <w:color w:val="2F5496"/>
      <w:sz w:val="28"/>
      <w:szCs w:val="28"/>
    </w:rPr>
  </w:style>
  <w:style w:type="character" w:customStyle="1" w:styleId="50">
    <w:name w:val="标题 5 字符"/>
    <w:basedOn w:val="a0"/>
    <w:link w:val="5"/>
    <w:uiPriority w:val="9"/>
    <w:rPr>
      <w:rFonts w:cs="宋体"/>
      <w:color w:val="2F5496"/>
      <w:sz w:val="24"/>
      <w:szCs w:val="24"/>
    </w:rPr>
  </w:style>
  <w:style w:type="character" w:customStyle="1" w:styleId="60">
    <w:name w:val="标题 6 字符"/>
    <w:basedOn w:val="a0"/>
    <w:link w:val="6"/>
    <w:uiPriority w:val="9"/>
    <w:rPr>
      <w:rFonts w:cs="宋体"/>
      <w:b/>
      <w:bCs/>
      <w:color w:val="2F5496"/>
    </w:rPr>
  </w:style>
  <w:style w:type="character" w:customStyle="1" w:styleId="70">
    <w:name w:val="标题 7 字符"/>
    <w:basedOn w:val="a0"/>
    <w:link w:val="7"/>
    <w:uiPriority w:val="9"/>
    <w:rPr>
      <w:rFonts w:cs="宋体"/>
      <w:b/>
      <w:bCs/>
      <w:color w:val="595959"/>
    </w:rPr>
  </w:style>
  <w:style w:type="character" w:customStyle="1" w:styleId="80">
    <w:name w:val="标题 8 字符"/>
    <w:basedOn w:val="a0"/>
    <w:link w:val="8"/>
    <w:uiPriority w:val="9"/>
    <w:rPr>
      <w:rFonts w:cs="宋体"/>
      <w:color w:val="595959"/>
    </w:rPr>
  </w:style>
  <w:style w:type="character" w:customStyle="1" w:styleId="90">
    <w:name w:val="标题 9 字符"/>
    <w:basedOn w:val="a0"/>
    <w:link w:val="9"/>
    <w:uiPriority w:val="9"/>
    <w:rPr>
      <w:rFonts w:eastAsia="等线 Light" w:cs="宋体"/>
      <w:color w:val="595959"/>
    </w:rPr>
  </w:style>
  <w:style w:type="paragraph" w:styleId="a3">
    <w:name w:val="Title"/>
    <w:basedOn w:val="a"/>
    <w:next w:val="a"/>
    <w:link w:val="a4"/>
    <w:uiPriority w:val="10"/>
    <w:qFormat/>
    <w:pPr>
      <w:spacing w:after="80"/>
      <w:contextualSpacing/>
      <w:jc w:val="center"/>
    </w:pPr>
    <w:rPr>
      <w:rFonts w:ascii="等线 Light" w:eastAsia="等线 Light" w:hAnsi="等线 Light"/>
      <w:spacing w:val="-10"/>
      <w:kern w:val="28"/>
      <w:sz w:val="56"/>
      <w:szCs w:val="56"/>
    </w:rPr>
  </w:style>
  <w:style w:type="character" w:customStyle="1" w:styleId="a4">
    <w:name w:val="标题 字符"/>
    <w:basedOn w:val="a0"/>
    <w:link w:val="a3"/>
    <w:uiPriority w:val="10"/>
    <w:rPr>
      <w:rFonts w:ascii="等线 Light" w:eastAsia="等线 Light" w:hAnsi="等线 Light" w:cs="宋体"/>
      <w:spacing w:val="-10"/>
      <w:kern w:val="28"/>
      <w:sz w:val="56"/>
      <w:szCs w:val="56"/>
    </w:rPr>
  </w:style>
  <w:style w:type="paragraph" w:styleId="a5">
    <w:name w:val="Subtitle"/>
    <w:basedOn w:val="a"/>
    <w:next w:val="a"/>
    <w:link w:val="a6"/>
    <w:uiPriority w:val="11"/>
    <w:qFormat/>
    <w:pPr>
      <w:numPr>
        <w:ilvl w:val="1"/>
      </w:numPr>
      <w:spacing w:after="160"/>
      <w:jc w:val="center"/>
    </w:pPr>
    <w:rPr>
      <w:rFonts w:ascii="等线 Light" w:eastAsia="等线 Light" w:hAnsi="等线 Light"/>
      <w:color w:val="595959"/>
      <w:spacing w:val="15"/>
      <w:sz w:val="28"/>
      <w:szCs w:val="28"/>
    </w:rPr>
  </w:style>
  <w:style w:type="character" w:customStyle="1" w:styleId="a6">
    <w:name w:val="副标题 字符"/>
    <w:basedOn w:val="a0"/>
    <w:link w:val="a5"/>
    <w:uiPriority w:val="11"/>
    <w:rPr>
      <w:rFonts w:ascii="等线 Light" w:eastAsia="等线 Light" w:hAnsi="等线 Light" w:cs="宋体"/>
      <w:color w:val="595959"/>
      <w:spacing w:val="15"/>
      <w:sz w:val="28"/>
      <w:szCs w:val="28"/>
    </w:rPr>
  </w:style>
  <w:style w:type="paragraph" w:styleId="a7">
    <w:name w:val="Quote"/>
    <w:basedOn w:val="a"/>
    <w:next w:val="a"/>
    <w:link w:val="a8"/>
    <w:uiPriority w:val="29"/>
    <w:qFormat/>
    <w:pPr>
      <w:spacing w:before="160" w:after="160"/>
      <w:jc w:val="center"/>
    </w:pPr>
    <w:rPr>
      <w:i/>
      <w:iCs/>
      <w:color w:val="404040"/>
    </w:rPr>
  </w:style>
  <w:style w:type="character" w:customStyle="1" w:styleId="a8">
    <w:name w:val="引用 字符"/>
    <w:basedOn w:val="a0"/>
    <w:link w:val="a7"/>
    <w:uiPriority w:val="29"/>
    <w:rPr>
      <w:i/>
      <w:iCs/>
      <w:color w:val="404040"/>
    </w:rPr>
  </w:style>
  <w:style w:type="paragraph" w:styleId="a9">
    <w:name w:val="List Paragraph"/>
    <w:basedOn w:val="a"/>
    <w:uiPriority w:val="34"/>
    <w:qFormat/>
    <w:pPr>
      <w:ind w:left="720"/>
      <w:contextualSpacing/>
    </w:pPr>
  </w:style>
  <w:style w:type="character" w:styleId="aa">
    <w:name w:val="Intense Emphasis"/>
    <w:basedOn w:val="a0"/>
    <w:uiPriority w:val="21"/>
    <w:qFormat/>
    <w:rPr>
      <w:i/>
      <w:iCs/>
      <w:color w:val="2F5496"/>
    </w:rPr>
  </w:style>
  <w:style w:type="paragraph" w:styleId="ab">
    <w:name w:val="Intense Quote"/>
    <w:basedOn w:val="a"/>
    <w:next w:val="a"/>
    <w:link w:val="ac"/>
    <w:uiPriority w:val="30"/>
    <w:qFormat/>
    <w:pPr>
      <w:pBdr>
        <w:top w:val="single" w:sz="4" w:space="10" w:color="2F5496"/>
        <w:bottom w:val="single" w:sz="4" w:space="10" w:color="2F5496"/>
      </w:pBdr>
      <w:spacing w:before="360" w:after="360"/>
      <w:ind w:left="864" w:right="864"/>
      <w:jc w:val="center"/>
    </w:pPr>
    <w:rPr>
      <w:i/>
      <w:iCs/>
      <w:color w:val="2F5496"/>
    </w:rPr>
  </w:style>
  <w:style w:type="character" w:customStyle="1" w:styleId="ac">
    <w:name w:val="明显引用 字符"/>
    <w:basedOn w:val="a0"/>
    <w:link w:val="ab"/>
    <w:uiPriority w:val="30"/>
    <w:rPr>
      <w:i/>
      <w:iCs/>
      <w:color w:val="2F5496"/>
    </w:rPr>
  </w:style>
  <w:style w:type="character" w:styleId="ad">
    <w:name w:val="Intense Reference"/>
    <w:basedOn w:val="a0"/>
    <w:uiPriority w:val="32"/>
    <w:qFormat/>
    <w:rPr>
      <w:b/>
      <w:bCs/>
      <w:smallCaps/>
      <w:color w:val="2F5496"/>
      <w:spacing w:val="5"/>
    </w:rPr>
  </w:style>
  <w:style w:type="table" w:styleId="ae">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pPr>
      <w:widowControl/>
      <w:spacing w:before="100" w:beforeAutospacing="1" w:after="100" w:afterAutospacing="1"/>
      <w:jc w:val="left"/>
    </w:pPr>
    <w:rPr>
      <w:rFonts w:ascii="宋体" w:eastAsia="宋体" w:hAnsi="宋体"/>
      <w:kern w:val="0"/>
      <w:sz w:val="24"/>
      <w:szCs w:val="24"/>
    </w:rPr>
  </w:style>
  <w:style w:type="paragraph" w:styleId="af0">
    <w:name w:val="Bibliography"/>
    <w:basedOn w:val="a"/>
    <w:next w:val="a"/>
    <w:uiPriority w:val="37"/>
    <w:pPr>
      <w:tabs>
        <w:tab w:val="left" w:pos="504"/>
      </w:tabs>
      <w:ind w:left="504" w:hanging="504"/>
    </w:pPr>
  </w:style>
  <w:style w:type="paragraph" w:styleId="af1">
    <w:name w:val="header"/>
    <w:basedOn w:val="a"/>
    <w:link w:val="af2"/>
    <w:uiPriority w:val="99"/>
    <w:pPr>
      <w:tabs>
        <w:tab w:val="center" w:pos="4153"/>
        <w:tab w:val="right" w:pos="8306"/>
      </w:tabs>
      <w:snapToGrid w:val="0"/>
      <w:jc w:val="center"/>
    </w:pPr>
    <w:rPr>
      <w:sz w:val="18"/>
      <w:szCs w:val="18"/>
    </w:rPr>
  </w:style>
  <w:style w:type="character" w:customStyle="1" w:styleId="af2">
    <w:name w:val="页眉 字符"/>
    <w:basedOn w:val="a0"/>
    <w:link w:val="af1"/>
    <w:uiPriority w:val="99"/>
    <w:rPr>
      <w:sz w:val="18"/>
      <w:szCs w:val="18"/>
    </w:rPr>
  </w:style>
  <w:style w:type="paragraph" w:styleId="af3">
    <w:name w:val="footer"/>
    <w:basedOn w:val="a"/>
    <w:link w:val="af4"/>
    <w:uiPriority w:val="99"/>
    <w:pPr>
      <w:tabs>
        <w:tab w:val="center" w:pos="4153"/>
        <w:tab w:val="right" w:pos="8306"/>
      </w:tabs>
      <w:snapToGrid w:val="0"/>
      <w:jc w:val="left"/>
    </w:pPr>
    <w:rPr>
      <w:sz w:val="18"/>
      <w:szCs w:val="18"/>
    </w:rPr>
  </w:style>
  <w:style w:type="character" w:customStyle="1" w:styleId="af4">
    <w:name w:val="页脚 字符"/>
    <w:basedOn w:val="a0"/>
    <w:link w:val="af3"/>
    <w:uiPriority w:val="99"/>
    <w:rPr>
      <w:sz w:val="18"/>
      <w:szCs w:val="18"/>
    </w:rPr>
  </w:style>
  <w:style w:type="paragraph" w:styleId="TOC">
    <w:name w:val="TOC Heading"/>
    <w:basedOn w:val="1"/>
    <w:next w:val="a"/>
    <w:uiPriority w:val="39"/>
    <w:qFormat/>
    <w:pPr>
      <w:widowControl/>
      <w:spacing w:before="240" w:after="0" w:line="259" w:lineRule="auto"/>
      <w:jc w:val="left"/>
      <w:outlineLvl w:val="9"/>
    </w:pPr>
    <w:rPr>
      <w:kern w:val="0"/>
      <w:sz w:val="32"/>
      <w:szCs w:val="32"/>
    </w:rPr>
  </w:style>
  <w:style w:type="paragraph" w:styleId="TOC1">
    <w:name w:val="toc 1"/>
    <w:basedOn w:val="a"/>
    <w:next w:val="a"/>
    <w:uiPriority w:val="39"/>
  </w:style>
  <w:style w:type="paragraph" w:styleId="TOC2">
    <w:name w:val="toc 2"/>
    <w:basedOn w:val="a"/>
    <w:next w:val="a"/>
    <w:uiPriority w:val="39"/>
    <w:pPr>
      <w:ind w:leftChars="200" w:left="420"/>
    </w:pPr>
  </w:style>
  <w:style w:type="character" w:styleId="af5">
    <w:name w:val="Hyperlink"/>
    <w:basedOn w:val="a0"/>
    <w:uiPriority w:val="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C7CF4-A966-4FA2-9158-35935611F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7680</Words>
  <Characters>43781</Characters>
  <Application>Microsoft Office Word</Application>
  <DocSecurity>0</DocSecurity>
  <Lines>364</Lines>
  <Paragraphs>102</Paragraphs>
  <ScaleCrop>false</ScaleCrop>
  <Company/>
  <LinksUpToDate>false</LinksUpToDate>
  <CharactersWithSpaces>51359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guan rui</dc:creator>
  <cp:lastModifiedBy>guan rui</cp:lastModifiedBy>
  <cp:revision>12</cp:revision>
  <dcterms:created xsi:type="dcterms:W3CDTF">2026-02-06T15:29:00Z</dcterms:created>
  <dcterms:modified xsi:type="dcterms:W3CDTF">2026-02-16T21:29:00Z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id="UebEhFn6"/&gt;&lt;style id="http://www.zotero.org/styles/ieee" locale="en-GB" hasBibliography="1" bibliographyStyleHasBeenSet="1"/&gt;&lt;prefs&gt;&lt;pref name="fieldType" value="Field"/&gt;&lt;/prefs&gt;&lt;/data&gt;</vt:lpwstr>
  </property>
  <property fmtid="{D5CDD505-2E9C-101B-9397-08002B2CF9AE}" pid="3" name="ICV">
    <vt:lpwstr>61e6262b79214e08b83baf306dfa69c7_23</vt:lpwstr>
  </property>
</Properties>
</file>