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47C7335E">
      <w:pPr>
        <w:pStyle w:val="style62"/>
        <w:rPr>
          <w:color w:val="0d0d0d"/>
          <w:lang w:val="en-GB"/>
        </w:rPr>
      </w:pPr>
      <w:bookmarkStart w:id="0" w:name="_gk2311j8ozs1" w:colFirst="0" w:colLast="0"/>
      <w:bookmarkEnd w:id="0"/>
      <w:r>
        <w:rPr>
          <w:color w:val="0d0d0d"/>
          <w:lang w:val="en-GB"/>
        </w:rPr>
        <w:drawing>
          <wp:inline distL="0" distT="0" distB="0" distR="0">
            <wp:extent cx="2157211" cy="863432"/>
            <wp:effectExtent l="0" t="0" r="0" b="0"/>
            <wp:docPr id="1026" name="Picture 2" descr="A close up of a logo&#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157211" cy="863432"/>
                    </a:xfrm>
                    <a:prstGeom prst="rect"/>
                  </pic:spPr>
                </pic:pic>
              </a:graphicData>
            </a:graphic>
          </wp:inline>
        </w:drawing>
      </w:r>
    </w:p>
    <w:bookmarkStart w:id="1" w:name="_o514bx3vimgc" w:colFirst="0" w:colLast="0"/>
    <w:bookmarkEnd w:id="1"/>
    <w:p w14:paraId="63D84984">
      <w:pPr>
        <w:pStyle w:val="style62"/>
        <w:rPr>
          <w:color w:val="0d0d0d"/>
          <w:lang w:val="en-GB"/>
        </w:rPr>
      </w:pPr>
    </w:p>
    <w:bookmarkStart w:id="2" w:name="_kjr0govafsr" w:colFirst="0" w:colLast="0"/>
    <w:bookmarkEnd w:id="2"/>
    <w:p w14:paraId="8CE26E82">
      <w:pPr>
        <w:pStyle w:val="style0"/>
        <w:jc w:val="center"/>
        <w:rPr>
          <w:b/>
          <w:color w:val="0d0d0d"/>
          <w:sz w:val="36"/>
          <w:szCs w:val="36"/>
          <w:lang w:val="en-GB"/>
        </w:rPr>
      </w:pPr>
      <w:r>
        <w:rPr>
          <w:b/>
          <w:color w:val="0d0d0d"/>
          <w:sz w:val="36"/>
          <w:szCs w:val="36"/>
          <w:lang w:val="en-GB"/>
        </w:rPr>
        <w:t>Strategic Management (LCMB7003)</w:t>
      </w:r>
    </w:p>
    <w:p w14:paraId="7EA72219">
      <w:pPr>
        <w:pStyle w:val="style0"/>
        <w:jc w:val="right"/>
        <w:rPr>
          <w:color w:val="0d0d0d"/>
          <w:lang w:val="en-GB"/>
        </w:rPr>
      </w:pPr>
    </w:p>
    <w:p w14:paraId="15711373">
      <w:pPr>
        <w:pStyle w:val="style0"/>
        <w:jc w:val="center"/>
        <w:rPr>
          <w:b/>
          <w:color w:val="0d0d0d"/>
          <w:sz w:val="36"/>
          <w:szCs w:val="36"/>
          <w:lang w:val="en-GB"/>
        </w:rPr>
      </w:pPr>
      <w:r>
        <w:rPr>
          <w:b/>
          <w:color w:val="0d0d0d"/>
          <w:sz w:val="36"/>
          <w:szCs w:val="36"/>
          <w:lang w:val="en-GB"/>
        </w:rPr>
        <w:t>Strategic Analysis of Coca-Cola Company: Coca-Cola Zero Sugar</w:t>
      </w:r>
    </w:p>
    <w:p w14:paraId="9FD9AE3D">
      <w:pPr>
        <w:pStyle w:val="style0"/>
        <w:jc w:val="center"/>
        <w:rPr>
          <w:color w:val="0d0d0d"/>
          <w:sz w:val="40"/>
          <w:szCs w:val="40"/>
          <w:lang w:val="en-GB"/>
        </w:rPr>
      </w:pPr>
      <w:r>
        <w:rPr>
          <w:noProof/>
          <w:color w:val="0d0d0d"/>
          <w:lang w:val="en-GB"/>
        </w:rPr>
        <w:drawing>
          <wp:inline distL="0" distT="0" distB="0" distR="0">
            <wp:extent cx="3073285" cy="1729824"/>
            <wp:effectExtent l="19050" t="0" r="0" b="0"/>
            <wp:docPr id="1027" name="Picture 1" descr="The Coca-Cola logo: a complete history | Creative Bloq"/>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3073285" cy="1729824"/>
                    </a:xfrm>
                    <a:prstGeom prst="rect"/>
                    <a:ln>
                      <a:noFill/>
                    </a:ln>
                  </pic:spPr>
                </pic:pic>
              </a:graphicData>
            </a:graphic>
          </wp:inline>
        </w:drawing>
      </w:r>
    </w:p>
    <w:p w14:paraId="4EC724A1">
      <w:pPr>
        <w:pStyle w:val="style0"/>
        <w:jc w:val="right"/>
        <w:rPr>
          <w:color w:val="0d0d0d"/>
          <w:lang w:val="en-GB"/>
        </w:rPr>
      </w:pPr>
    </w:p>
    <w:p w14:paraId="24EE560F">
      <w:pPr>
        <w:pStyle w:val="style0"/>
        <w:jc w:val="right"/>
        <w:rPr>
          <w:color w:val="0d0d0d"/>
          <w:lang w:val="en-GB"/>
        </w:rPr>
      </w:pPr>
    </w:p>
    <w:p w14:paraId="99E0BCB8">
      <w:pPr>
        <w:pStyle w:val="style0"/>
        <w:jc w:val="right"/>
        <w:rPr>
          <w:color w:val="0d0d0d"/>
          <w:lang w:val="en-GB"/>
        </w:rPr>
      </w:pPr>
    </w:p>
    <w:p w14:paraId="FA23824E">
      <w:pPr>
        <w:pStyle w:val="style0"/>
        <w:jc w:val="right"/>
        <w:rPr>
          <w:color w:val="0d0d0d"/>
          <w:lang w:val="en-GB"/>
        </w:rPr>
      </w:pPr>
    </w:p>
    <w:p w14:paraId="25D45BA3">
      <w:pPr>
        <w:pStyle w:val="style0"/>
        <w:jc w:val="right"/>
        <w:rPr>
          <w:color w:val="0d0d0d"/>
          <w:lang w:val="en-GB"/>
        </w:rPr>
      </w:pPr>
    </w:p>
    <w:p w14:paraId="415CFCDC">
      <w:pPr>
        <w:pStyle w:val="style0"/>
        <w:rPr>
          <w:b/>
          <w:color w:val="0d0d0d"/>
          <w:sz w:val="36"/>
          <w:szCs w:val="36"/>
          <w:lang w:val="en-GB"/>
        </w:rPr>
      </w:pPr>
      <w:r>
        <w:rPr>
          <w:b/>
          <w:color w:val="0d0d0d"/>
          <w:sz w:val="36"/>
          <w:szCs w:val="36"/>
          <w:lang w:val="en-GB"/>
        </w:rPr>
        <w:t xml:space="preserve">Student name: </w:t>
      </w:r>
      <w:r>
        <w:rPr>
          <w:b/>
          <w:color w:val="0d0d0d"/>
          <w:sz w:val="36"/>
          <w:szCs w:val="36"/>
          <w:lang w:val="en-US"/>
        </w:rPr>
        <w:t xml:space="preserve">sajil salimbhai vahora </w:t>
      </w:r>
    </w:p>
    <w:p w14:paraId="60269A4D">
      <w:pPr>
        <w:pStyle w:val="style0"/>
        <w:rPr>
          <w:b/>
          <w:color w:val="0d0d0d"/>
          <w:sz w:val="36"/>
          <w:szCs w:val="36"/>
          <w:lang w:val="en-GB"/>
        </w:rPr>
      </w:pPr>
      <w:r>
        <w:rPr>
          <w:b/>
          <w:color w:val="0d0d0d"/>
          <w:sz w:val="36"/>
          <w:szCs w:val="36"/>
          <w:lang w:val="en-GB"/>
        </w:rPr>
        <w:t xml:space="preserve">Student Number: </w:t>
      </w:r>
      <w:r>
        <w:rPr>
          <w:b/>
          <w:color w:val="0d0d0d"/>
          <w:sz w:val="36"/>
          <w:szCs w:val="36"/>
          <w:lang w:val="en-US"/>
        </w:rPr>
        <w:t>2532951</w:t>
      </w:r>
    </w:p>
    <w:p w14:paraId="4DFB346B">
      <w:pPr>
        <w:pStyle w:val="style0"/>
        <w:rPr>
          <w:b/>
          <w:color w:val="0d0d0d"/>
          <w:sz w:val="36"/>
          <w:szCs w:val="36"/>
          <w:lang w:val="en-GB"/>
        </w:rPr>
      </w:pPr>
      <w:r>
        <w:rPr>
          <w:b/>
          <w:color w:val="0d0d0d"/>
          <w:sz w:val="36"/>
          <w:szCs w:val="36"/>
          <w:lang w:val="en-GB"/>
        </w:rPr>
        <w:t xml:space="preserve">Lecturer: </w:t>
      </w:r>
      <w:r>
        <w:rPr>
          <w:b/>
          <w:color w:val="0d0d0d"/>
          <w:sz w:val="36"/>
          <w:szCs w:val="36"/>
          <w:lang w:val="en-US"/>
        </w:rPr>
        <w:t>zulf khan</w:t>
      </w:r>
    </w:p>
    <w:p w14:paraId="84E98D60">
      <w:pPr>
        <w:pStyle w:val="style0"/>
        <w:rPr>
          <w:b/>
          <w:color w:val="0d0d0d"/>
          <w:sz w:val="36"/>
          <w:szCs w:val="36"/>
          <w:lang w:val="en-GB"/>
        </w:rPr>
      </w:pPr>
      <w:r>
        <w:rPr>
          <w:b/>
          <w:color w:val="0d0d0d"/>
          <w:sz w:val="36"/>
          <w:szCs w:val="36"/>
          <w:lang w:val="en-GB"/>
        </w:rPr>
        <w:t>Word count: 4991</w:t>
      </w:r>
    </w:p>
    <w:bookmarkStart w:id="3" w:name="_tf4p0w87yok8" w:colFirst="0" w:colLast="0"/>
    <w:bookmarkEnd w:id="3"/>
    <w:p w14:paraId="F10ED7CA">
      <w:pPr>
        <w:pStyle w:val="style0"/>
        <w:rPr>
          <w:color w:val="0d0d0d"/>
          <w:lang w:val="en-GB"/>
        </w:rPr>
      </w:pPr>
    </w:p>
    <w:bookmarkStart w:id="4" w:name="_d1qoyos8ot9c" w:colFirst="0" w:colLast="0"/>
    <w:bookmarkEnd w:id="4"/>
    <w:p w14:paraId="7C604530">
      <w:pPr>
        <w:pStyle w:val="style0"/>
        <w:rPr>
          <w:color w:val="0d0d0d"/>
          <w:lang w:val="en-GB"/>
        </w:rPr>
      </w:pPr>
      <w:r>
        <w:rPr>
          <w:color w:val="0d0d0d"/>
          <w:lang w:val="en-GB"/>
        </w:rPr>
        <w:br w:type="page"/>
      </w:r>
    </w:p>
    <w:p w14:paraId="ADC693E1">
      <w:pPr>
        <w:pStyle w:val="style266"/>
        <w:jc w:val="center"/>
        <w:rPr>
          <w:rFonts w:ascii="Arial" w:cs="Arial" w:hAnsi="Arial"/>
          <w:color w:val="0d0d0d"/>
          <w:lang w:val="en-GB"/>
        </w:rPr>
      </w:pPr>
      <w:r>
        <w:rPr>
          <w:rFonts w:ascii="Arial" w:cs="Arial" w:hAnsi="Arial"/>
          <w:color w:val="0d0d0d"/>
          <w:lang w:val="en-GB"/>
        </w:rPr>
        <w:t>Table of Contents</w:t>
      </w:r>
    </w:p>
    <w:p w14:paraId="AC2A41D9">
      <w:pPr>
        <w:pStyle w:val="style19"/>
        <w:tabs>
          <w:tab w:val="right" w:leader="dot" w:pos="9019"/>
        </w:tabs>
        <w:rPr>
          <w:noProof/>
          <w:color w:val="0d0d0d"/>
          <w:lang w:val="en-GB"/>
        </w:rPr>
      </w:pPr>
      <w:r>
        <w:rPr>
          <w:color w:val="0d0d0d"/>
          <w:lang w:val="en-GB"/>
        </w:rPr>
        <w:fldChar w:fldCharType="begin"/>
      </w:r>
      <w:r>
        <w:rPr>
          <w:color w:val="0d0d0d"/>
          <w:lang w:val="en-GB"/>
        </w:rPr>
        <w:instrText xml:space="preserve"> TOC \o "1-3" \h \z \u </w:instrText>
      </w:r>
      <w:r>
        <w:rPr>
          <w:color w:val="0d0d0d"/>
          <w:lang w:val="en-GB"/>
        </w:rPr>
        <w:fldChar w:fldCharType="separate"/>
      </w:r>
      <w:r>
        <w:rPr/>
        <w:fldChar w:fldCharType="begin"/>
      </w:r>
      <w:r>
        <w:instrText xml:space="preserve"> HYPERLINK \l "_Toc236513664" </w:instrText>
      </w:r>
      <w:r>
        <w:rPr/>
        <w:fldChar w:fldCharType="separate"/>
      </w:r>
      <w:r>
        <w:rPr>
          <w:rStyle w:val="style85"/>
          <w:noProof/>
          <w:color w:val="0d0d0d"/>
          <w:lang w:val="en-GB"/>
        </w:rPr>
        <w:t>Introduction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_Toc236513664 \h </w:instrText>
      </w:r>
      <w:r>
        <w:rPr>
          <w:noProof/>
          <w:webHidden/>
          <w:color w:val="0d0d0d"/>
          <w:lang w:val="en-GB"/>
        </w:rPr>
        <w:fldChar w:fldCharType="separate"/>
      </w:r>
      <w:r>
        <w:rPr>
          <w:noProof/>
          <w:webHidden/>
          <w:color w:val="0d0d0d"/>
          <w:lang w:val="en-GB"/>
        </w:rPr>
        <w:t>3</w:t>
      </w:r>
      <w:r>
        <w:rPr>
          <w:noProof/>
          <w:webHidden/>
          <w:color w:val="0d0d0d"/>
          <w:lang w:val="en-GB"/>
        </w:rPr>
        <w:fldChar w:fldCharType="end"/>
      </w:r>
      <w:r>
        <w:rPr/>
        <w:fldChar w:fldCharType="end"/>
      </w:r>
    </w:p>
    <w:p w14:paraId="83DBA65A">
      <w:pPr>
        <w:pStyle w:val="style19"/>
        <w:tabs>
          <w:tab w:val="right" w:leader="dot" w:pos="9019"/>
        </w:tabs>
        <w:rPr>
          <w:noProof/>
          <w:color w:val="0d0d0d"/>
          <w:lang w:val="en-GB"/>
        </w:rPr>
      </w:pPr>
      <w:r>
        <w:rPr/>
        <w:fldChar w:fldCharType="begin"/>
      </w:r>
      <w:r>
        <w:instrText xml:space="preserve"> HYPERLINK \l "_Toc236513665" </w:instrText>
      </w:r>
      <w:r>
        <w:rPr/>
        <w:fldChar w:fldCharType="separate"/>
      </w:r>
      <w:r>
        <w:rPr>
          <w:rStyle w:val="style85"/>
          <w:noProof/>
          <w:color w:val="0d0d0d"/>
          <w:lang w:val="en-GB"/>
        </w:rPr>
        <w:t>Section 1: Report</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_Toc236513665 \h </w:instrText>
      </w:r>
      <w:r>
        <w:rPr>
          <w:noProof/>
          <w:webHidden/>
          <w:color w:val="0d0d0d"/>
          <w:lang w:val="en-GB"/>
        </w:rPr>
        <w:fldChar w:fldCharType="separate"/>
      </w:r>
      <w:r>
        <w:rPr>
          <w:noProof/>
          <w:webHidden/>
          <w:color w:val="0d0d0d"/>
          <w:lang w:val="en-GB"/>
        </w:rPr>
        <w:t>3</w:t>
      </w:r>
      <w:r>
        <w:rPr>
          <w:noProof/>
          <w:webHidden/>
          <w:color w:val="0d0d0d"/>
          <w:lang w:val="en-GB"/>
        </w:rPr>
        <w:fldChar w:fldCharType="end"/>
      </w:r>
      <w:r>
        <w:rPr/>
        <w:fldChar w:fldCharType="end"/>
      </w:r>
    </w:p>
    <w:p w14:paraId="42DCF386">
      <w:pPr>
        <w:pStyle w:val="style19"/>
        <w:tabs>
          <w:tab w:val="right" w:leader="dot" w:pos="9019"/>
        </w:tabs>
        <w:rPr>
          <w:noProof/>
          <w:color w:val="0d0d0d"/>
          <w:lang w:val="en-GB"/>
        </w:rPr>
      </w:pPr>
      <w:r>
        <w:rPr/>
        <w:fldChar w:fldCharType="begin"/>
      </w:r>
      <w:r>
        <w:instrText xml:space="preserve"> HYPERLINK \l "_Toc236513666" </w:instrText>
      </w:r>
      <w:r>
        <w:rPr/>
        <w:fldChar w:fldCharType="separate"/>
      </w:r>
      <w:r>
        <w:rPr>
          <w:rStyle w:val="style85"/>
          <w:noProof/>
          <w:color w:val="0d0d0d"/>
          <w:lang w:val="en-GB"/>
        </w:rPr>
        <w:t>1.0: Organisational Context and Overview</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_Toc236513666 \h </w:instrText>
      </w:r>
      <w:r>
        <w:rPr>
          <w:noProof/>
          <w:webHidden/>
          <w:color w:val="0d0d0d"/>
          <w:lang w:val="en-GB"/>
        </w:rPr>
        <w:fldChar w:fldCharType="separate"/>
      </w:r>
      <w:r>
        <w:rPr>
          <w:noProof/>
          <w:webHidden/>
          <w:color w:val="0d0d0d"/>
          <w:lang w:val="en-GB"/>
        </w:rPr>
        <w:t>3</w:t>
      </w:r>
      <w:r>
        <w:rPr>
          <w:noProof/>
          <w:webHidden/>
          <w:color w:val="0d0d0d"/>
          <w:lang w:val="en-GB"/>
        </w:rPr>
        <w:fldChar w:fldCharType="end"/>
      </w:r>
      <w:r>
        <w:rPr/>
        <w:fldChar w:fldCharType="end"/>
      </w:r>
    </w:p>
    <w:p w14:paraId="D87BDBF1">
      <w:pPr>
        <w:pStyle w:val="style20"/>
        <w:tabs>
          <w:tab w:val="right" w:leader="dot" w:pos="9019"/>
        </w:tabs>
        <w:rPr>
          <w:noProof/>
          <w:color w:val="0d0d0d"/>
          <w:lang w:val="en-GB"/>
        </w:rPr>
      </w:pPr>
      <w:r>
        <w:rPr/>
        <w:fldChar w:fldCharType="begin"/>
      </w:r>
      <w:r>
        <w:instrText xml:space="preserve"> HYPERLINK \l "_Toc236513667" </w:instrText>
      </w:r>
      <w:r>
        <w:rPr/>
        <w:fldChar w:fldCharType="separate"/>
      </w:r>
      <w:r>
        <w:rPr>
          <w:rStyle w:val="style85"/>
          <w:noProof/>
          <w:color w:val="0d0d0d"/>
          <w:lang w:val="en-GB"/>
        </w:rPr>
        <w:t>1.1 Organisation Overview</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_Toc236513667 \h </w:instrText>
      </w:r>
      <w:r>
        <w:rPr>
          <w:noProof/>
          <w:webHidden/>
          <w:color w:val="0d0d0d"/>
          <w:lang w:val="en-GB"/>
        </w:rPr>
        <w:fldChar w:fldCharType="separate"/>
      </w:r>
      <w:r>
        <w:rPr>
          <w:noProof/>
          <w:webHidden/>
          <w:color w:val="0d0d0d"/>
          <w:lang w:val="en-GB"/>
        </w:rPr>
        <w:t>3</w:t>
      </w:r>
      <w:r>
        <w:rPr>
          <w:noProof/>
          <w:webHidden/>
          <w:color w:val="0d0d0d"/>
          <w:lang w:val="en-GB"/>
        </w:rPr>
        <w:fldChar w:fldCharType="end"/>
      </w:r>
      <w:r>
        <w:rPr/>
        <w:fldChar w:fldCharType="end"/>
      </w:r>
    </w:p>
    <w:p w14:paraId="C6F86829">
      <w:pPr>
        <w:pStyle w:val="style20"/>
        <w:tabs>
          <w:tab w:val="right" w:leader="dot" w:pos="9019"/>
        </w:tabs>
        <w:rPr>
          <w:noProof/>
          <w:color w:val="0d0d0d"/>
          <w:lang w:val="en-GB"/>
        </w:rPr>
      </w:pPr>
      <w:r>
        <w:rPr/>
        <w:fldChar w:fldCharType="begin"/>
      </w:r>
      <w:r>
        <w:instrText xml:space="preserve"> HYPERLINK \l "_Toc236513668" </w:instrText>
      </w:r>
      <w:r>
        <w:rPr/>
        <w:fldChar w:fldCharType="separate"/>
      </w:r>
      <w:r>
        <w:rPr>
          <w:rStyle w:val="style85"/>
          <w:noProof/>
          <w:color w:val="0d0d0d"/>
          <w:lang w:val="en-GB"/>
        </w:rPr>
        <w:t>1.2 Historical Background</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_Toc236513668 \h </w:instrText>
      </w:r>
      <w:r>
        <w:rPr>
          <w:noProof/>
          <w:webHidden/>
          <w:color w:val="0d0d0d"/>
          <w:lang w:val="en-GB"/>
        </w:rPr>
        <w:fldChar w:fldCharType="separate"/>
      </w:r>
      <w:r>
        <w:rPr>
          <w:noProof/>
          <w:webHidden/>
          <w:color w:val="0d0d0d"/>
          <w:lang w:val="en-GB"/>
        </w:rPr>
        <w:t>4</w:t>
      </w:r>
      <w:r>
        <w:rPr>
          <w:noProof/>
          <w:webHidden/>
          <w:color w:val="0d0d0d"/>
          <w:lang w:val="en-GB"/>
        </w:rPr>
        <w:fldChar w:fldCharType="end"/>
      </w:r>
      <w:r>
        <w:rPr/>
        <w:fldChar w:fldCharType="end"/>
      </w:r>
    </w:p>
    <w:p w14:paraId="DC410966">
      <w:pPr>
        <w:pStyle w:val="style20"/>
        <w:tabs>
          <w:tab w:val="right" w:leader="dot" w:pos="9019"/>
        </w:tabs>
        <w:rPr>
          <w:noProof/>
          <w:color w:val="0d0d0d"/>
          <w:lang w:val="en-GB"/>
        </w:rPr>
      </w:pPr>
      <w:r>
        <w:rPr/>
        <w:fldChar w:fldCharType="begin"/>
      </w:r>
      <w:r>
        <w:instrText xml:space="preserve"> HYPERLINK \l "_Toc236513669" </w:instrText>
      </w:r>
      <w:r>
        <w:rPr/>
        <w:fldChar w:fldCharType="separate"/>
      </w:r>
      <w:r>
        <w:rPr>
          <w:rStyle w:val="style85"/>
          <w:noProof/>
          <w:color w:val="0d0d0d"/>
          <w:lang w:val="en-GB"/>
        </w:rPr>
        <w:t>1.3 Mission, Vision and Business Model</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_Toc236513669 \h </w:instrText>
      </w:r>
      <w:r>
        <w:rPr>
          <w:noProof/>
          <w:webHidden/>
          <w:color w:val="0d0d0d"/>
          <w:lang w:val="en-GB"/>
        </w:rPr>
        <w:fldChar w:fldCharType="separate"/>
      </w:r>
      <w:r>
        <w:rPr>
          <w:noProof/>
          <w:webHidden/>
          <w:color w:val="0d0d0d"/>
          <w:lang w:val="en-GB"/>
        </w:rPr>
        <w:t>4</w:t>
      </w:r>
      <w:r>
        <w:rPr>
          <w:noProof/>
          <w:webHidden/>
          <w:color w:val="0d0d0d"/>
          <w:lang w:val="en-GB"/>
        </w:rPr>
        <w:fldChar w:fldCharType="end"/>
      </w:r>
      <w:r>
        <w:rPr/>
        <w:fldChar w:fldCharType="end"/>
      </w:r>
    </w:p>
    <w:p w14:paraId="9A6524F5">
      <w:pPr>
        <w:pStyle w:val="style20"/>
        <w:tabs>
          <w:tab w:val="right" w:leader="dot" w:pos="9019"/>
        </w:tabs>
        <w:rPr>
          <w:noProof/>
          <w:color w:val="0d0d0d"/>
          <w:lang w:val="en-GB"/>
        </w:rPr>
      </w:pPr>
      <w:r>
        <w:rPr/>
        <w:fldChar w:fldCharType="begin"/>
      </w:r>
      <w:r>
        <w:instrText xml:space="preserve"> HYPERLINK \l "_Toc236513670" </w:instrText>
      </w:r>
      <w:r>
        <w:rPr/>
        <w:fldChar w:fldCharType="separate"/>
      </w:r>
      <w:r>
        <w:rPr>
          <w:rStyle w:val="style85"/>
          <w:noProof/>
          <w:color w:val="0d0d0d"/>
          <w:lang w:val="en-GB"/>
        </w:rPr>
        <w:t>1.4 Industry Overview</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_Toc236513670 \h </w:instrText>
      </w:r>
      <w:r>
        <w:rPr>
          <w:noProof/>
          <w:webHidden/>
          <w:color w:val="0d0d0d"/>
          <w:lang w:val="en-GB"/>
        </w:rPr>
        <w:fldChar w:fldCharType="separate"/>
      </w:r>
      <w:r>
        <w:rPr>
          <w:noProof/>
          <w:webHidden/>
          <w:color w:val="0d0d0d"/>
          <w:lang w:val="en-GB"/>
        </w:rPr>
        <w:t>4</w:t>
      </w:r>
      <w:r>
        <w:rPr>
          <w:noProof/>
          <w:webHidden/>
          <w:color w:val="0d0d0d"/>
          <w:lang w:val="en-GB"/>
        </w:rPr>
        <w:fldChar w:fldCharType="end"/>
      </w:r>
      <w:r>
        <w:rPr/>
        <w:fldChar w:fldCharType="end"/>
      </w:r>
    </w:p>
    <w:p w14:paraId="EF667E78">
      <w:pPr>
        <w:pStyle w:val="style20"/>
        <w:tabs>
          <w:tab w:val="right" w:leader="dot" w:pos="9019"/>
        </w:tabs>
        <w:rPr>
          <w:noProof/>
          <w:color w:val="0d0d0d"/>
          <w:lang w:val="en-GB"/>
        </w:rPr>
      </w:pPr>
      <w:r>
        <w:rPr/>
        <w:fldChar w:fldCharType="begin"/>
      </w:r>
      <w:r>
        <w:instrText xml:space="preserve"> HYPERLINK \l "_Toc236513671" </w:instrText>
      </w:r>
      <w:r>
        <w:rPr/>
        <w:fldChar w:fldCharType="separate"/>
      </w:r>
      <w:r>
        <w:rPr>
          <w:rStyle w:val="style85"/>
          <w:noProof/>
          <w:color w:val="0d0d0d"/>
          <w:lang w:val="en-GB"/>
        </w:rPr>
        <w:t>1.5 Key Competitors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_Toc236513671 \h </w:instrText>
      </w:r>
      <w:r>
        <w:rPr>
          <w:noProof/>
          <w:webHidden/>
          <w:color w:val="0d0d0d"/>
          <w:lang w:val="en-GB"/>
        </w:rPr>
        <w:fldChar w:fldCharType="separate"/>
      </w:r>
      <w:r>
        <w:rPr>
          <w:noProof/>
          <w:webHidden/>
          <w:color w:val="0d0d0d"/>
          <w:lang w:val="en-GB"/>
        </w:rPr>
        <w:t>5</w:t>
      </w:r>
      <w:r>
        <w:rPr>
          <w:noProof/>
          <w:webHidden/>
          <w:color w:val="0d0d0d"/>
          <w:lang w:val="en-GB"/>
        </w:rPr>
        <w:fldChar w:fldCharType="end"/>
      </w:r>
      <w:r>
        <w:rPr/>
        <w:fldChar w:fldCharType="end"/>
      </w:r>
    </w:p>
    <w:p w14:paraId="EEE21FAB">
      <w:pPr>
        <w:pStyle w:val="style20"/>
        <w:tabs>
          <w:tab w:val="right" w:leader="dot" w:pos="9019"/>
        </w:tabs>
        <w:rPr>
          <w:noProof/>
          <w:color w:val="0d0d0d"/>
          <w:lang w:val="en-GB"/>
        </w:rPr>
      </w:pPr>
      <w:r>
        <w:rPr/>
        <w:fldChar w:fldCharType="begin"/>
      </w:r>
      <w:r>
        <w:instrText xml:space="preserve"> HYPERLINK \l "_Toc236513672" </w:instrText>
      </w:r>
      <w:r>
        <w:rPr/>
        <w:fldChar w:fldCharType="separate"/>
      </w:r>
      <w:r>
        <w:rPr>
          <w:rStyle w:val="style85"/>
          <w:noProof/>
          <w:color w:val="0d0d0d"/>
          <w:lang w:val="en-GB"/>
        </w:rPr>
        <w:t>1.6 Market Position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_Toc236513672 \h </w:instrText>
      </w:r>
      <w:r>
        <w:rPr>
          <w:noProof/>
          <w:webHidden/>
          <w:color w:val="0d0d0d"/>
          <w:lang w:val="en-GB"/>
        </w:rPr>
        <w:fldChar w:fldCharType="separate"/>
      </w:r>
      <w:r>
        <w:rPr>
          <w:noProof/>
          <w:webHidden/>
          <w:color w:val="0d0d0d"/>
          <w:lang w:val="en-GB"/>
        </w:rPr>
        <w:t>5</w:t>
      </w:r>
      <w:r>
        <w:rPr>
          <w:noProof/>
          <w:webHidden/>
          <w:color w:val="0d0d0d"/>
          <w:lang w:val="en-GB"/>
        </w:rPr>
        <w:fldChar w:fldCharType="end"/>
      </w:r>
      <w:r>
        <w:rPr/>
        <w:fldChar w:fldCharType="end"/>
      </w:r>
    </w:p>
    <w:p w14:paraId="1FB5CEAE">
      <w:pPr>
        <w:pStyle w:val="style19"/>
        <w:tabs>
          <w:tab w:val="right" w:leader="dot" w:pos="9019"/>
        </w:tabs>
        <w:rPr>
          <w:noProof/>
          <w:color w:val="0d0d0d"/>
          <w:lang w:val="en-GB"/>
        </w:rPr>
      </w:pPr>
      <w:r>
        <w:rPr/>
        <w:fldChar w:fldCharType="begin"/>
      </w:r>
      <w:r>
        <w:instrText xml:space="preserve"> HYPERLINK \l "_Toc236513673" </w:instrText>
      </w:r>
      <w:r>
        <w:rPr/>
        <w:fldChar w:fldCharType="separate"/>
      </w:r>
      <w:r>
        <w:rPr>
          <w:rStyle w:val="style85"/>
          <w:noProof/>
          <w:color w:val="0d0d0d"/>
          <w:lang w:val="en-GB"/>
        </w:rPr>
        <w:t>2.0: External and Internal Analysis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_Toc236513673 \h </w:instrText>
      </w:r>
      <w:r>
        <w:rPr>
          <w:noProof/>
          <w:webHidden/>
          <w:color w:val="0d0d0d"/>
          <w:lang w:val="en-GB"/>
        </w:rPr>
        <w:fldChar w:fldCharType="separate"/>
      </w:r>
      <w:r>
        <w:rPr>
          <w:noProof/>
          <w:webHidden/>
          <w:color w:val="0d0d0d"/>
          <w:lang w:val="en-GB"/>
        </w:rPr>
        <w:t>5</w:t>
      </w:r>
      <w:r>
        <w:rPr>
          <w:noProof/>
          <w:webHidden/>
          <w:color w:val="0d0d0d"/>
          <w:lang w:val="en-GB"/>
        </w:rPr>
        <w:fldChar w:fldCharType="end"/>
      </w:r>
      <w:r>
        <w:rPr/>
        <w:fldChar w:fldCharType="end"/>
      </w:r>
    </w:p>
    <w:p w14:paraId="5CCF98EC">
      <w:pPr>
        <w:pStyle w:val="style20"/>
        <w:tabs>
          <w:tab w:val="right" w:leader="dot" w:pos="9019"/>
        </w:tabs>
        <w:rPr>
          <w:noProof/>
          <w:color w:val="0d0d0d"/>
          <w:lang w:val="en-GB"/>
        </w:rPr>
      </w:pPr>
      <w:r>
        <w:rPr/>
        <w:fldChar w:fldCharType="begin"/>
      </w:r>
      <w:r>
        <w:instrText xml:space="preserve"> HYPERLINK \l "_Toc236513674" </w:instrText>
      </w:r>
      <w:r>
        <w:rPr/>
        <w:fldChar w:fldCharType="separate"/>
      </w:r>
      <w:r>
        <w:rPr>
          <w:rStyle w:val="style85"/>
          <w:noProof/>
          <w:color w:val="0d0d0d"/>
          <w:lang w:val="en-GB"/>
        </w:rPr>
        <w:t>2.1 PESTEL Analysis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_Toc236513674 \h </w:instrText>
      </w:r>
      <w:r>
        <w:rPr>
          <w:noProof/>
          <w:webHidden/>
          <w:color w:val="0d0d0d"/>
          <w:lang w:val="en-GB"/>
        </w:rPr>
        <w:fldChar w:fldCharType="separate"/>
      </w:r>
      <w:r>
        <w:rPr>
          <w:noProof/>
          <w:webHidden/>
          <w:color w:val="0d0d0d"/>
          <w:lang w:val="en-GB"/>
        </w:rPr>
        <w:t>5</w:t>
      </w:r>
      <w:r>
        <w:rPr>
          <w:noProof/>
          <w:webHidden/>
          <w:color w:val="0d0d0d"/>
          <w:lang w:val="en-GB"/>
        </w:rPr>
        <w:fldChar w:fldCharType="end"/>
      </w:r>
      <w:r>
        <w:rPr/>
        <w:fldChar w:fldCharType="end"/>
      </w:r>
    </w:p>
    <w:p w14:paraId="260952D4">
      <w:pPr>
        <w:pStyle w:val="style20"/>
        <w:tabs>
          <w:tab w:val="right" w:leader="dot" w:pos="9019"/>
        </w:tabs>
        <w:rPr>
          <w:noProof/>
          <w:color w:val="0d0d0d"/>
          <w:lang w:val="en-GB"/>
        </w:rPr>
      </w:pPr>
      <w:r>
        <w:rPr/>
        <w:fldChar w:fldCharType="begin"/>
      </w:r>
      <w:r>
        <w:instrText xml:space="preserve"> HYPERLINK \l "_Toc236513675" </w:instrText>
      </w:r>
      <w:r>
        <w:rPr/>
        <w:fldChar w:fldCharType="separate"/>
      </w:r>
      <w:r>
        <w:rPr>
          <w:rStyle w:val="style85"/>
          <w:noProof/>
          <w:color w:val="0d0d0d"/>
          <w:lang w:val="en-GB"/>
        </w:rPr>
        <w:t>2.2 Internal Analysis VRIO</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_Toc236513675 \h </w:instrText>
      </w:r>
      <w:r>
        <w:rPr>
          <w:noProof/>
          <w:webHidden/>
          <w:color w:val="0d0d0d"/>
          <w:lang w:val="en-GB"/>
        </w:rPr>
        <w:fldChar w:fldCharType="separate"/>
      </w:r>
      <w:r>
        <w:rPr>
          <w:noProof/>
          <w:webHidden/>
          <w:color w:val="0d0d0d"/>
          <w:lang w:val="en-GB"/>
        </w:rPr>
        <w:t>9</w:t>
      </w:r>
      <w:r>
        <w:rPr>
          <w:noProof/>
          <w:webHidden/>
          <w:color w:val="0d0d0d"/>
          <w:lang w:val="en-GB"/>
        </w:rPr>
        <w:fldChar w:fldCharType="end"/>
      </w:r>
      <w:r>
        <w:rPr/>
        <w:fldChar w:fldCharType="end"/>
      </w:r>
    </w:p>
    <w:p w14:paraId="389FB9F9">
      <w:pPr>
        <w:pStyle w:val="style20"/>
        <w:tabs>
          <w:tab w:val="right" w:leader="dot" w:pos="9019"/>
        </w:tabs>
        <w:rPr>
          <w:noProof/>
          <w:color w:val="0d0d0d"/>
          <w:lang w:val="en-GB"/>
        </w:rPr>
      </w:pPr>
      <w:r>
        <w:rPr/>
        <w:fldChar w:fldCharType="begin"/>
      </w:r>
      <w:r>
        <w:instrText xml:space="preserve"> HYPERLINK \l "_Toc236513676" </w:instrText>
      </w:r>
      <w:r>
        <w:rPr/>
        <w:fldChar w:fldCharType="separate"/>
      </w:r>
      <w:r>
        <w:rPr>
          <w:rStyle w:val="style85"/>
          <w:noProof/>
          <w:color w:val="0d0d0d"/>
          <w:lang w:val="en-GB"/>
        </w:rPr>
        <w:t>2.3 SWOT Analysis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_Toc236513676 \h </w:instrText>
      </w:r>
      <w:r>
        <w:rPr>
          <w:noProof/>
          <w:webHidden/>
          <w:color w:val="0d0d0d"/>
          <w:lang w:val="en-GB"/>
        </w:rPr>
        <w:fldChar w:fldCharType="separate"/>
      </w:r>
      <w:r>
        <w:rPr>
          <w:noProof/>
          <w:webHidden/>
          <w:color w:val="0d0d0d"/>
          <w:lang w:val="en-GB"/>
        </w:rPr>
        <w:t>11</w:t>
      </w:r>
      <w:r>
        <w:rPr>
          <w:noProof/>
          <w:webHidden/>
          <w:color w:val="0d0d0d"/>
          <w:lang w:val="en-GB"/>
        </w:rPr>
        <w:fldChar w:fldCharType="end"/>
      </w:r>
      <w:r>
        <w:rPr/>
        <w:fldChar w:fldCharType="end"/>
      </w:r>
    </w:p>
    <w:p w14:paraId="A70AECD4">
      <w:pPr>
        <w:pStyle w:val="style19"/>
        <w:tabs>
          <w:tab w:val="right" w:leader="dot" w:pos="9019"/>
        </w:tabs>
        <w:rPr>
          <w:noProof/>
          <w:color w:val="0d0d0d"/>
          <w:lang w:val="en-GB"/>
        </w:rPr>
      </w:pPr>
      <w:r>
        <w:rPr/>
        <w:fldChar w:fldCharType="begin"/>
      </w:r>
      <w:r>
        <w:instrText xml:space="preserve"> HYPERLINK \l "_Toc236513677" </w:instrText>
      </w:r>
      <w:r>
        <w:rPr/>
        <w:fldChar w:fldCharType="separate"/>
      </w:r>
      <w:r>
        <w:rPr>
          <w:rStyle w:val="style85"/>
          <w:noProof/>
          <w:color w:val="0d0d0d"/>
          <w:lang w:val="en-GB"/>
        </w:rPr>
        <w:t>3.0: Comprehensive and Holistic View of the Organisation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_Toc236513677 \h </w:instrText>
      </w:r>
      <w:r>
        <w:rPr>
          <w:noProof/>
          <w:webHidden/>
          <w:color w:val="0d0d0d"/>
          <w:lang w:val="en-GB"/>
        </w:rPr>
        <w:fldChar w:fldCharType="separate"/>
      </w:r>
      <w:r>
        <w:rPr>
          <w:noProof/>
          <w:webHidden/>
          <w:color w:val="0d0d0d"/>
          <w:lang w:val="en-GB"/>
        </w:rPr>
        <w:t>13</w:t>
      </w:r>
      <w:r>
        <w:rPr>
          <w:noProof/>
          <w:webHidden/>
          <w:color w:val="0d0d0d"/>
          <w:lang w:val="en-GB"/>
        </w:rPr>
        <w:fldChar w:fldCharType="end"/>
      </w:r>
      <w:r>
        <w:rPr/>
        <w:fldChar w:fldCharType="end"/>
      </w:r>
    </w:p>
    <w:p w14:paraId="995A9A7A">
      <w:pPr>
        <w:pStyle w:val="style20"/>
        <w:tabs>
          <w:tab w:val="right" w:leader="dot" w:pos="9019"/>
        </w:tabs>
        <w:rPr>
          <w:noProof/>
          <w:color w:val="0d0d0d"/>
          <w:lang w:val="en-GB"/>
        </w:rPr>
      </w:pPr>
      <w:r>
        <w:rPr/>
        <w:fldChar w:fldCharType="begin"/>
      </w:r>
      <w:r>
        <w:instrText xml:space="preserve"> HYPERLINK \l "_Toc236513678" </w:instrText>
      </w:r>
      <w:r>
        <w:rPr/>
        <w:fldChar w:fldCharType="separate"/>
      </w:r>
      <w:r>
        <w:rPr>
          <w:rStyle w:val="style85"/>
          <w:noProof/>
          <w:color w:val="0d0d0d"/>
          <w:lang w:val="en-GB"/>
        </w:rPr>
        <w:t>3.1 CSR Strategy and Alignment with Business Objectives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_Toc236513678 \h </w:instrText>
      </w:r>
      <w:r>
        <w:rPr>
          <w:noProof/>
          <w:webHidden/>
          <w:color w:val="0d0d0d"/>
          <w:lang w:val="en-GB"/>
        </w:rPr>
        <w:fldChar w:fldCharType="separate"/>
      </w:r>
      <w:r>
        <w:rPr>
          <w:noProof/>
          <w:webHidden/>
          <w:color w:val="0d0d0d"/>
          <w:lang w:val="en-GB"/>
        </w:rPr>
        <w:t>13</w:t>
      </w:r>
      <w:r>
        <w:rPr>
          <w:noProof/>
          <w:webHidden/>
          <w:color w:val="0d0d0d"/>
          <w:lang w:val="en-GB"/>
        </w:rPr>
        <w:fldChar w:fldCharType="end"/>
      </w:r>
      <w:r>
        <w:rPr/>
        <w:fldChar w:fldCharType="end"/>
      </w:r>
    </w:p>
    <w:p w14:paraId="F4759BB5">
      <w:pPr>
        <w:pStyle w:val="style20"/>
        <w:tabs>
          <w:tab w:val="right" w:leader="dot" w:pos="9019"/>
        </w:tabs>
        <w:rPr>
          <w:noProof/>
          <w:color w:val="0d0d0d"/>
          <w:lang w:val="en-GB"/>
        </w:rPr>
      </w:pPr>
      <w:r>
        <w:rPr/>
        <w:fldChar w:fldCharType="begin"/>
      </w:r>
      <w:r>
        <w:instrText xml:space="preserve"> HYPERLINK \l "_Toc236513679" </w:instrText>
      </w:r>
      <w:r>
        <w:rPr/>
        <w:fldChar w:fldCharType="separate"/>
      </w:r>
      <w:r>
        <w:rPr>
          <w:rStyle w:val="style85"/>
          <w:noProof/>
          <w:color w:val="0d0d0d"/>
          <w:lang w:val="en-GB"/>
        </w:rPr>
        <w:t>3.2 Balanced Scorecard</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_Toc236513679 \h </w:instrText>
      </w:r>
      <w:r>
        <w:rPr>
          <w:noProof/>
          <w:webHidden/>
          <w:color w:val="0d0d0d"/>
          <w:lang w:val="en-GB"/>
        </w:rPr>
        <w:fldChar w:fldCharType="separate"/>
      </w:r>
      <w:r>
        <w:rPr>
          <w:noProof/>
          <w:webHidden/>
          <w:color w:val="0d0d0d"/>
          <w:lang w:val="en-GB"/>
        </w:rPr>
        <w:t>15</w:t>
      </w:r>
      <w:r>
        <w:rPr>
          <w:noProof/>
          <w:webHidden/>
          <w:color w:val="0d0d0d"/>
          <w:lang w:val="en-GB"/>
        </w:rPr>
        <w:fldChar w:fldCharType="end"/>
      </w:r>
      <w:r>
        <w:rPr/>
        <w:fldChar w:fldCharType="end"/>
      </w:r>
    </w:p>
    <w:p w14:paraId="41FDE80E">
      <w:pPr>
        <w:pStyle w:val="style19"/>
        <w:tabs>
          <w:tab w:val="right" w:leader="dot" w:pos="9019"/>
        </w:tabs>
        <w:rPr>
          <w:noProof/>
          <w:color w:val="0d0d0d"/>
          <w:lang w:val="en-GB"/>
        </w:rPr>
      </w:pPr>
      <w:r>
        <w:rPr/>
        <w:fldChar w:fldCharType="begin"/>
      </w:r>
      <w:r>
        <w:instrText xml:space="preserve"> HYPERLINK \l "_Toc236513680" </w:instrText>
      </w:r>
      <w:r>
        <w:rPr/>
        <w:fldChar w:fldCharType="separate"/>
      </w:r>
      <w:r>
        <w:rPr>
          <w:rStyle w:val="style85"/>
          <w:noProof/>
          <w:color w:val="0d0d0d"/>
          <w:lang w:val="en-GB"/>
        </w:rPr>
        <w:t>4.0: Implementation of Strategic Choices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_Toc236513680 \h </w:instrText>
      </w:r>
      <w:r>
        <w:rPr>
          <w:noProof/>
          <w:webHidden/>
          <w:color w:val="0d0d0d"/>
          <w:lang w:val="en-GB"/>
        </w:rPr>
        <w:fldChar w:fldCharType="separate"/>
      </w:r>
      <w:r>
        <w:rPr>
          <w:noProof/>
          <w:webHidden/>
          <w:color w:val="0d0d0d"/>
          <w:lang w:val="en-GB"/>
        </w:rPr>
        <w:t>17</w:t>
      </w:r>
      <w:r>
        <w:rPr>
          <w:noProof/>
          <w:webHidden/>
          <w:color w:val="0d0d0d"/>
          <w:lang w:val="en-GB"/>
        </w:rPr>
        <w:fldChar w:fldCharType="end"/>
      </w:r>
      <w:r>
        <w:rPr/>
        <w:fldChar w:fldCharType="end"/>
      </w:r>
    </w:p>
    <w:p w14:paraId="1A429C94">
      <w:pPr>
        <w:pStyle w:val="style20"/>
        <w:tabs>
          <w:tab w:val="right" w:leader="dot" w:pos="9019"/>
        </w:tabs>
        <w:rPr>
          <w:noProof/>
          <w:color w:val="0d0d0d"/>
          <w:lang w:val="en-GB"/>
        </w:rPr>
      </w:pPr>
      <w:r>
        <w:rPr/>
        <w:fldChar w:fldCharType="begin"/>
      </w:r>
      <w:r>
        <w:instrText xml:space="preserve"> HYPERLINK \l "_Toc236513681" </w:instrText>
      </w:r>
      <w:r>
        <w:rPr/>
        <w:fldChar w:fldCharType="separate"/>
      </w:r>
      <w:r>
        <w:rPr>
          <w:rStyle w:val="style85"/>
          <w:noProof/>
          <w:color w:val="0d0d0d"/>
          <w:lang w:val="en-GB"/>
        </w:rPr>
        <w:t>4.1 Business-Level Strategic Choices using Porter's Generic Strategies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_Toc236513681 \h </w:instrText>
      </w:r>
      <w:r>
        <w:rPr>
          <w:noProof/>
          <w:webHidden/>
          <w:color w:val="0d0d0d"/>
          <w:lang w:val="en-GB"/>
        </w:rPr>
        <w:fldChar w:fldCharType="separate"/>
      </w:r>
      <w:r>
        <w:rPr>
          <w:noProof/>
          <w:webHidden/>
          <w:color w:val="0d0d0d"/>
          <w:lang w:val="en-GB"/>
        </w:rPr>
        <w:t>17</w:t>
      </w:r>
      <w:r>
        <w:rPr>
          <w:noProof/>
          <w:webHidden/>
          <w:color w:val="0d0d0d"/>
          <w:lang w:val="en-GB"/>
        </w:rPr>
        <w:fldChar w:fldCharType="end"/>
      </w:r>
      <w:r>
        <w:rPr/>
        <w:fldChar w:fldCharType="end"/>
      </w:r>
    </w:p>
    <w:p w14:paraId="CB441FF2">
      <w:pPr>
        <w:pStyle w:val="style20"/>
        <w:tabs>
          <w:tab w:val="right" w:leader="dot" w:pos="9019"/>
        </w:tabs>
        <w:rPr>
          <w:noProof/>
          <w:color w:val="0d0d0d"/>
          <w:lang w:val="en-GB"/>
        </w:rPr>
      </w:pPr>
      <w:r>
        <w:rPr/>
        <w:fldChar w:fldCharType="begin"/>
      </w:r>
      <w:r>
        <w:instrText xml:space="preserve"> HYPERLINK \l "_Toc236513682" </w:instrText>
      </w:r>
      <w:r>
        <w:rPr/>
        <w:fldChar w:fldCharType="separate"/>
      </w:r>
      <w:r>
        <w:rPr>
          <w:rStyle w:val="style85"/>
          <w:noProof/>
          <w:color w:val="0d0d0d"/>
          <w:lang w:val="en-GB"/>
        </w:rPr>
        <w:t>4.2 Evaluation of Strategic Options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_Toc236513682 \h </w:instrText>
      </w:r>
      <w:r>
        <w:rPr>
          <w:noProof/>
          <w:webHidden/>
          <w:color w:val="0d0d0d"/>
          <w:lang w:val="en-GB"/>
        </w:rPr>
        <w:fldChar w:fldCharType="separate"/>
      </w:r>
      <w:r>
        <w:rPr>
          <w:noProof/>
          <w:webHidden/>
          <w:color w:val="0d0d0d"/>
          <w:lang w:val="en-GB"/>
        </w:rPr>
        <w:t>19</w:t>
      </w:r>
      <w:r>
        <w:rPr>
          <w:noProof/>
          <w:webHidden/>
          <w:color w:val="0d0d0d"/>
          <w:lang w:val="en-GB"/>
        </w:rPr>
        <w:fldChar w:fldCharType="end"/>
      </w:r>
      <w:r>
        <w:rPr/>
        <w:fldChar w:fldCharType="end"/>
      </w:r>
    </w:p>
    <w:p w14:paraId="4C1C952E">
      <w:pPr>
        <w:pStyle w:val="style20"/>
        <w:tabs>
          <w:tab w:val="right" w:leader="dot" w:pos="9019"/>
        </w:tabs>
        <w:rPr>
          <w:noProof/>
          <w:color w:val="0d0d0d"/>
          <w:lang w:val="en-GB"/>
        </w:rPr>
      </w:pPr>
      <w:r>
        <w:rPr/>
        <w:fldChar w:fldCharType="begin"/>
      </w:r>
      <w:r>
        <w:instrText xml:space="preserve"> HYPERLINK \l "_Toc236513683" </w:instrText>
      </w:r>
      <w:r>
        <w:rPr/>
        <w:fldChar w:fldCharType="separate"/>
      </w:r>
      <w:r>
        <w:rPr>
          <w:rStyle w:val="style85"/>
          <w:noProof/>
          <w:color w:val="0d0d0d"/>
          <w:lang w:val="en-GB"/>
        </w:rPr>
        <w:t>4.3 Recommended Strategy</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_Toc236513683 \h </w:instrText>
      </w:r>
      <w:r>
        <w:rPr>
          <w:noProof/>
          <w:webHidden/>
          <w:color w:val="0d0d0d"/>
          <w:lang w:val="en-GB"/>
        </w:rPr>
        <w:fldChar w:fldCharType="separate"/>
      </w:r>
      <w:r>
        <w:rPr>
          <w:noProof/>
          <w:webHidden/>
          <w:color w:val="0d0d0d"/>
          <w:lang w:val="en-GB"/>
        </w:rPr>
        <w:t>24</w:t>
      </w:r>
      <w:r>
        <w:rPr>
          <w:noProof/>
          <w:webHidden/>
          <w:color w:val="0d0d0d"/>
          <w:lang w:val="en-GB"/>
        </w:rPr>
        <w:fldChar w:fldCharType="end"/>
      </w:r>
      <w:r>
        <w:rPr/>
        <w:fldChar w:fldCharType="end"/>
      </w:r>
    </w:p>
    <w:p w14:paraId="B25FAFFD">
      <w:pPr>
        <w:pStyle w:val="style20"/>
        <w:tabs>
          <w:tab w:val="right" w:leader="dot" w:pos="9019"/>
        </w:tabs>
        <w:rPr>
          <w:noProof/>
          <w:color w:val="0d0d0d"/>
          <w:lang w:val="en-GB"/>
        </w:rPr>
      </w:pPr>
      <w:r>
        <w:rPr/>
        <w:fldChar w:fldCharType="begin"/>
      </w:r>
      <w:r>
        <w:instrText xml:space="preserve"> HYPERLINK \l "_Toc236513684" </w:instrText>
      </w:r>
      <w:r>
        <w:rPr/>
        <w:fldChar w:fldCharType="separate"/>
      </w:r>
      <w:r>
        <w:rPr>
          <w:rStyle w:val="style85"/>
          <w:noProof/>
          <w:color w:val="0d0d0d"/>
          <w:lang w:val="en-GB"/>
        </w:rPr>
        <w:t>4.4 Strategy Implementation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_Toc236513684 \h </w:instrText>
      </w:r>
      <w:r>
        <w:rPr>
          <w:noProof/>
          <w:webHidden/>
          <w:color w:val="0d0d0d"/>
          <w:lang w:val="en-GB"/>
        </w:rPr>
        <w:fldChar w:fldCharType="separate"/>
      </w:r>
      <w:r>
        <w:rPr>
          <w:noProof/>
          <w:webHidden/>
          <w:color w:val="0d0d0d"/>
          <w:lang w:val="en-GB"/>
        </w:rPr>
        <w:t>25</w:t>
      </w:r>
      <w:r>
        <w:rPr>
          <w:noProof/>
          <w:webHidden/>
          <w:color w:val="0d0d0d"/>
          <w:lang w:val="en-GB"/>
        </w:rPr>
        <w:fldChar w:fldCharType="end"/>
      </w:r>
      <w:r>
        <w:rPr/>
        <w:fldChar w:fldCharType="end"/>
      </w:r>
    </w:p>
    <w:p w14:paraId="88EBB570">
      <w:pPr>
        <w:pStyle w:val="style20"/>
        <w:tabs>
          <w:tab w:val="right" w:leader="dot" w:pos="9019"/>
        </w:tabs>
        <w:rPr>
          <w:noProof/>
          <w:color w:val="0d0d0d"/>
          <w:lang w:val="en-GB"/>
        </w:rPr>
      </w:pPr>
      <w:r>
        <w:rPr/>
        <w:fldChar w:fldCharType="begin"/>
      </w:r>
      <w:r>
        <w:instrText xml:space="preserve"> HYPERLINK \l "_Toc236513685" </w:instrText>
      </w:r>
      <w:r>
        <w:rPr/>
        <w:fldChar w:fldCharType="separate"/>
      </w:r>
      <w:r>
        <w:rPr>
          <w:rStyle w:val="style85"/>
          <w:noProof/>
          <w:color w:val="0d0d0d"/>
          <w:lang w:val="en-GB"/>
        </w:rPr>
        <w:t>4.5 Potential Implementation Challenges and Mitigation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_Toc236513685 \h </w:instrText>
      </w:r>
      <w:r>
        <w:rPr>
          <w:noProof/>
          <w:webHidden/>
          <w:color w:val="0d0d0d"/>
          <w:lang w:val="en-GB"/>
        </w:rPr>
        <w:fldChar w:fldCharType="separate"/>
      </w:r>
      <w:r>
        <w:rPr>
          <w:noProof/>
          <w:webHidden/>
          <w:color w:val="0d0d0d"/>
          <w:lang w:val="en-GB"/>
        </w:rPr>
        <w:t>25</w:t>
      </w:r>
      <w:r>
        <w:rPr>
          <w:noProof/>
          <w:webHidden/>
          <w:color w:val="0d0d0d"/>
          <w:lang w:val="en-GB"/>
        </w:rPr>
        <w:fldChar w:fldCharType="end"/>
      </w:r>
      <w:r>
        <w:rPr/>
        <w:fldChar w:fldCharType="end"/>
      </w:r>
    </w:p>
    <w:p w14:paraId="850CDF07">
      <w:pPr>
        <w:pStyle w:val="style19"/>
        <w:tabs>
          <w:tab w:val="right" w:leader="dot" w:pos="9019"/>
        </w:tabs>
        <w:rPr>
          <w:noProof/>
          <w:color w:val="0d0d0d"/>
          <w:lang w:val="en-GB"/>
        </w:rPr>
      </w:pPr>
      <w:r>
        <w:rPr/>
        <w:fldChar w:fldCharType="begin"/>
      </w:r>
      <w:r>
        <w:instrText xml:space="preserve"> HYPERLINK \l "_Toc236513686" </w:instrText>
      </w:r>
      <w:r>
        <w:rPr/>
        <w:fldChar w:fldCharType="separate"/>
      </w:r>
      <w:r>
        <w:rPr>
          <w:rStyle w:val="style85"/>
          <w:noProof/>
          <w:color w:val="0d0d0d"/>
          <w:lang w:val="en-GB"/>
        </w:rPr>
        <w:t>Section 2: Reflective account</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_Toc236513686 \h </w:instrText>
      </w:r>
      <w:r>
        <w:rPr>
          <w:noProof/>
          <w:webHidden/>
          <w:color w:val="0d0d0d"/>
          <w:lang w:val="en-GB"/>
        </w:rPr>
        <w:fldChar w:fldCharType="separate"/>
      </w:r>
      <w:r>
        <w:rPr>
          <w:noProof/>
          <w:webHidden/>
          <w:color w:val="0d0d0d"/>
          <w:lang w:val="en-GB"/>
        </w:rPr>
        <w:t>26</w:t>
      </w:r>
      <w:r>
        <w:rPr>
          <w:noProof/>
          <w:webHidden/>
          <w:color w:val="0d0d0d"/>
          <w:lang w:val="en-GB"/>
        </w:rPr>
        <w:fldChar w:fldCharType="end"/>
      </w:r>
      <w:r>
        <w:rPr/>
        <w:fldChar w:fldCharType="end"/>
      </w:r>
    </w:p>
    <w:p w14:paraId="47B65F18">
      <w:pPr>
        <w:pStyle w:val="style19"/>
        <w:tabs>
          <w:tab w:val="right" w:leader="dot" w:pos="9019"/>
        </w:tabs>
        <w:rPr>
          <w:noProof/>
          <w:color w:val="0d0d0d"/>
          <w:lang w:val="en-GB"/>
        </w:rPr>
      </w:pPr>
      <w:r>
        <w:rPr/>
        <w:fldChar w:fldCharType="begin"/>
      </w:r>
      <w:r>
        <w:instrText xml:space="preserve"> HYPERLINK \l "_Toc236513687" </w:instrText>
      </w:r>
      <w:r>
        <w:rPr/>
        <w:fldChar w:fldCharType="separate"/>
      </w:r>
      <w:r>
        <w:rPr>
          <w:rStyle w:val="style85"/>
          <w:noProof/>
          <w:color w:val="0d0d0d"/>
          <w:lang w:val="en-GB"/>
        </w:rPr>
        <w:t>5.0: Reflection of Personal Experience using Kolb's Reflective Cycle</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_Toc236513687 \h </w:instrText>
      </w:r>
      <w:r>
        <w:rPr>
          <w:noProof/>
          <w:webHidden/>
          <w:color w:val="0d0d0d"/>
          <w:lang w:val="en-GB"/>
        </w:rPr>
        <w:fldChar w:fldCharType="separate"/>
      </w:r>
      <w:r>
        <w:rPr>
          <w:noProof/>
          <w:webHidden/>
          <w:color w:val="0d0d0d"/>
          <w:lang w:val="en-GB"/>
        </w:rPr>
        <w:t>26</w:t>
      </w:r>
      <w:r>
        <w:rPr>
          <w:noProof/>
          <w:webHidden/>
          <w:color w:val="0d0d0d"/>
          <w:lang w:val="en-GB"/>
        </w:rPr>
        <w:fldChar w:fldCharType="end"/>
      </w:r>
      <w:r>
        <w:rPr/>
        <w:fldChar w:fldCharType="end"/>
      </w:r>
    </w:p>
    <w:p w14:paraId="79B1EF8B">
      <w:pPr>
        <w:pStyle w:val="style20"/>
        <w:tabs>
          <w:tab w:val="right" w:leader="dot" w:pos="9019"/>
        </w:tabs>
        <w:rPr>
          <w:noProof/>
          <w:color w:val="0d0d0d"/>
          <w:lang w:val="en-GB"/>
        </w:rPr>
      </w:pPr>
      <w:r>
        <w:rPr/>
        <w:fldChar w:fldCharType="begin"/>
      </w:r>
      <w:r>
        <w:instrText xml:space="preserve"> HYPERLINK \l "_Toc236513688" </w:instrText>
      </w:r>
      <w:r>
        <w:rPr/>
        <w:fldChar w:fldCharType="separate"/>
      </w:r>
      <w:r>
        <w:rPr>
          <w:rStyle w:val="style85"/>
          <w:noProof/>
          <w:color w:val="0d0d0d"/>
          <w:lang w:val="en-GB"/>
        </w:rPr>
        <w:t>5.1 Concrete Experience</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_Toc236513688 \h </w:instrText>
      </w:r>
      <w:r>
        <w:rPr>
          <w:noProof/>
          <w:webHidden/>
          <w:color w:val="0d0d0d"/>
          <w:lang w:val="en-GB"/>
        </w:rPr>
        <w:fldChar w:fldCharType="separate"/>
      </w:r>
      <w:r>
        <w:rPr>
          <w:noProof/>
          <w:webHidden/>
          <w:color w:val="0d0d0d"/>
          <w:lang w:val="en-GB"/>
        </w:rPr>
        <w:t>26</w:t>
      </w:r>
      <w:r>
        <w:rPr>
          <w:noProof/>
          <w:webHidden/>
          <w:color w:val="0d0d0d"/>
          <w:lang w:val="en-GB"/>
        </w:rPr>
        <w:fldChar w:fldCharType="end"/>
      </w:r>
      <w:r>
        <w:rPr/>
        <w:fldChar w:fldCharType="end"/>
      </w:r>
    </w:p>
    <w:p w14:paraId="674FB8C3">
      <w:pPr>
        <w:pStyle w:val="style20"/>
        <w:tabs>
          <w:tab w:val="right" w:leader="dot" w:pos="9019"/>
        </w:tabs>
        <w:rPr>
          <w:noProof/>
          <w:color w:val="0d0d0d"/>
          <w:lang w:val="en-GB"/>
        </w:rPr>
      </w:pPr>
      <w:r>
        <w:rPr/>
        <w:fldChar w:fldCharType="begin"/>
      </w:r>
      <w:r>
        <w:instrText xml:space="preserve"> HYPERLINK \l "_Toc236513689" </w:instrText>
      </w:r>
      <w:r>
        <w:rPr/>
        <w:fldChar w:fldCharType="separate"/>
      </w:r>
      <w:r>
        <w:rPr>
          <w:rStyle w:val="style85"/>
          <w:noProof/>
          <w:color w:val="0d0d0d"/>
          <w:lang w:val="en-GB"/>
        </w:rPr>
        <w:t>5.2 Reflective Observation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_Toc236513689 \h </w:instrText>
      </w:r>
      <w:r>
        <w:rPr>
          <w:noProof/>
          <w:webHidden/>
          <w:color w:val="0d0d0d"/>
          <w:lang w:val="en-GB"/>
        </w:rPr>
        <w:fldChar w:fldCharType="separate"/>
      </w:r>
      <w:r>
        <w:rPr>
          <w:noProof/>
          <w:webHidden/>
          <w:color w:val="0d0d0d"/>
          <w:lang w:val="en-GB"/>
        </w:rPr>
        <w:t>27</w:t>
      </w:r>
      <w:r>
        <w:rPr>
          <w:noProof/>
          <w:webHidden/>
          <w:color w:val="0d0d0d"/>
          <w:lang w:val="en-GB"/>
        </w:rPr>
        <w:fldChar w:fldCharType="end"/>
      </w:r>
      <w:r>
        <w:rPr/>
        <w:fldChar w:fldCharType="end"/>
      </w:r>
    </w:p>
    <w:p w14:paraId="1B7AFAAB">
      <w:pPr>
        <w:pStyle w:val="style20"/>
        <w:tabs>
          <w:tab w:val="right" w:leader="dot" w:pos="9019"/>
        </w:tabs>
        <w:rPr>
          <w:noProof/>
          <w:color w:val="0d0d0d"/>
          <w:lang w:val="en-GB"/>
        </w:rPr>
      </w:pPr>
      <w:r>
        <w:rPr/>
        <w:fldChar w:fldCharType="begin"/>
      </w:r>
      <w:r>
        <w:instrText xml:space="preserve"> HYPERLINK \l "_Toc236513690" </w:instrText>
      </w:r>
      <w:r>
        <w:rPr/>
        <w:fldChar w:fldCharType="separate"/>
      </w:r>
      <w:r>
        <w:rPr>
          <w:rStyle w:val="style85"/>
          <w:noProof/>
          <w:color w:val="0d0d0d"/>
          <w:lang w:val="en-GB"/>
        </w:rPr>
        <w:t>5.3 Abstract Conceptualisation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_Toc236513690 \h </w:instrText>
      </w:r>
      <w:r>
        <w:rPr>
          <w:noProof/>
          <w:webHidden/>
          <w:color w:val="0d0d0d"/>
          <w:lang w:val="en-GB"/>
        </w:rPr>
        <w:fldChar w:fldCharType="separate"/>
      </w:r>
      <w:r>
        <w:rPr>
          <w:noProof/>
          <w:webHidden/>
          <w:color w:val="0d0d0d"/>
          <w:lang w:val="en-GB"/>
        </w:rPr>
        <w:t>27</w:t>
      </w:r>
      <w:r>
        <w:rPr>
          <w:noProof/>
          <w:webHidden/>
          <w:color w:val="0d0d0d"/>
          <w:lang w:val="en-GB"/>
        </w:rPr>
        <w:fldChar w:fldCharType="end"/>
      </w:r>
      <w:r>
        <w:rPr/>
        <w:fldChar w:fldCharType="end"/>
      </w:r>
    </w:p>
    <w:p w14:paraId="4120A603">
      <w:pPr>
        <w:pStyle w:val="style20"/>
        <w:tabs>
          <w:tab w:val="right" w:leader="dot" w:pos="9019"/>
        </w:tabs>
        <w:rPr>
          <w:noProof/>
          <w:color w:val="0d0d0d"/>
          <w:lang w:val="en-GB"/>
        </w:rPr>
      </w:pPr>
      <w:r>
        <w:rPr/>
        <w:fldChar w:fldCharType="begin"/>
      </w:r>
      <w:r>
        <w:instrText xml:space="preserve"> HYPERLINK \l "_Toc236513691" </w:instrText>
      </w:r>
      <w:r>
        <w:rPr/>
        <w:fldChar w:fldCharType="separate"/>
      </w:r>
      <w:r>
        <w:rPr>
          <w:rStyle w:val="style85"/>
          <w:noProof/>
          <w:color w:val="0d0d0d"/>
          <w:lang w:val="en-GB"/>
        </w:rPr>
        <w:t>5.4 Active Experimentation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_Toc236513691 \h </w:instrText>
      </w:r>
      <w:r>
        <w:rPr>
          <w:noProof/>
          <w:webHidden/>
          <w:color w:val="0d0d0d"/>
          <w:lang w:val="en-GB"/>
        </w:rPr>
        <w:fldChar w:fldCharType="separate"/>
      </w:r>
      <w:r>
        <w:rPr>
          <w:noProof/>
          <w:webHidden/>
          <w:color w:val="0d0d0d"/>
          <w:lang w:val="en-GB"/>
        </w:rPr>
        <w:t>28</w:t>
      </w:r>
      <w:r>
        <w:rPr>
          <w:noProof/>
          <w:webHidden/>
          <w:color w:val="0d0d0d"/>
          <w:lang w:val="en-GB"/>
        </w:rPr>
        <w:fldChar w:fldCharType="end"/>
      </w:r>
      <w:r>
        <w:rPr/>
        <w:fldChar w:fldCharType="end"/>
      </w:r>
    </w:p>
    <w:p w14:paraId="9387F388">
      <w:pPr>
        <w:pStyle w:val="style19"/>
        <w:tabs>
          <w:tab w:val="right" w:leader="dot" w:pos="9019"/>
        </w:tabs>
        <w:rPr>
          <w:noProof/>
          <w:color w:val="0d0d0d"/>
          <w:lang w:val="en-GB"/>
        </w:rPr>
      </w:pPr>
      <w:r>
        <w:rPr/>
        <w:fldChar w:fldCharType="begin"/>
      </w:r>
      <w:r>
        <w:instrText xml:space="preserve"> HYPERLINK \l "_Toc236513692" </w:instrText>
      </w:r>
      <w:r>
        <w:rPr/>
        <w:fldChar w:fldCharType="separate"/>
      </w:r>
      <w:r>
        <w:rPr>
          <w:rStyle w:val="style85"/>
          <w:noProof/>
          <w:color w:val="0d0d0d"/>
          <w:lang w:val="en-GB"/>
        </w:rPr>
        <w:t>Conclusion</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_Toc236513692 \h </w:instrText>
      </w:r>
      <w:r>
        <w:rPr>
          <w:noProof/>
          <w:webHidden/>
          <w:color w:val="0d0d0d"/>
          <w:lang w:val="en-GB"/>
        </w:rPr>
        <w:fldChar w:fldCharType="separate"/>
      </w:r>
      <w:r>
        <w:rPr>
          <w:noProof/>
          <w:webHidden/>
          <w:color w:val="0d0d0d"/>
          <w:lang w:val="en-GB"/>
        </w:rPr>
        <w:t>28</w:t>
      </w:r>
      <w:r>
        <w:rPr>
          <w:noProof/>
          <w:webHidden/>
          <w:color w:val="0d0d0d"/>
          <w:lang w:val="en-GB"/>
        </w:rPr>
        <w:fldChar w:fldCharType="end"/>
      </w:r>
      <w:r>
        <w:rPr/>
        <w:fldChar w:fldCharType="end"/>
      </w:r>
    </w:p>
    <w:p w14:paraId="E2D1A2DE">
      <w:pPr>
        <w:pStyle w:val="style19"/>
        <w:tabs>
          <w:tab w:val="right" w:leader="dot" w:pos="9019"/>
        </w:tabs>
        <w:rPr>
          <w:noProof/>
          <w:color w:val="0d0d0d"/>
          <w:lang w:val="en-GB"/>
        </w:rPr>
      </w:pPr>
      <w:r>
        <w:rPr/>
        <w:fldChar w:fldCharType="begin"/>
      </w:r>
      <w:r>
        <w:instrText xml:space="preserve"> HYPERLINK \l "_Toc236513693" </w:instrText>
      </w:r>
      <w:r>
        <w:rPr/>
        <w:fldChar w:fldCharType="separate"/>
      </w:r>
      <w:r>
        <w:rPr>
          <w:rStyle w:val="style85"/>
          <w:noProof/>
          <w:color w:val="0d0d0d"/>
          <w:lang w:val="en-GB"/>
        </w:rPr>
        <w:t>References</w:t>
      </w:r>
      <w:r>
        <w:rPr>
          <w:noProof/>
          <w:webHidden/>
          <w:color w:val="0d0d0d"/>
          <w:lang w:val="en-GB"/>
        </w:rPr>
        <w:tab/>
      </w:r>
      <w:r>
        <w:rPr>
          <w:noProof/>
          <w:webHidden/>
          <w:color w:val="0d0d0d"/>
          <w:lang w:val="en-GB"/>
        </w:rPr>
        <w:fldChar w:fldCharType="begin"/>
      </w:r>
      <w:r>
        <w:rPr>
          <w:noProof/>
          <w:webHidden/>
          <w:color w:val="0d0d0d"/>
          <w:lang w:val="en-GB"/>
        </w:rPr>
        <w:instrText xml:space="preserve"> PAGEREF _Toc236513693 \h </w:instrText>
      </w:r>
      <w:r>
        <w:rPr>
          <w:noProof/>
          <w:webHidden/>
          <w:color w:val="0d0d0d"/>
          <w:lang w:val="en-GB"/>
        </w:rPr>
        <w:fldChar w:fldCharType="separate"/>
      </w:r>
      <w:r>
        <w:rPr>
          <w:noProof/>
          <w:webHidden/>
          <w:color w:val="0d0d0d"/>
          <w:lang w:val="en-GB"/>
        </w:rPr>
        <w:t>29</w:t>
      </w:r>
      <w:r>
        <w:rPr>
          <w:noProof/>
          <w:webHidden/>
          <w:color w:val="0d0d0d"/>
          <w:lang w:val="en-GB"/>
        </w:rPr>
        <w:fldChar w:fldCharType="end"/>
      </w:r>
      <w:r>
        <w:rPr/>
        <w:fldChar w:fldCharType="end"/>
      </w:r>
    </w:p>
    <w:p w14:paraId="E04D977A">
      <w:pPr>
        <w:pStyle w:val="style0"/>
        <w:rPr>
          <w:color w:val="0d0d0d"/>
          <w:lang w:val="en-GB"/>
        </w:rPr>
      </w:pPr>
      <w:r>
        <w:rPr>
          <w:color w:val="0d0d0d"/>
          <w:lang w:val="en-GB"/>
        </w:rPr>
        <w:fldChar w:fldCharType="end"/>
      </w:r>
    </w:p>
    <w:p w14:paraId="E10F6A58">
      <w:pPr>
        <w:pStyle w:val="style4098"/>
        <w:rPr>
          <w:color w:val="0d0d0d"/>
          <w:lang w:val="en-GB"/>
        </w:rPr>
      </w:pPr>
    </w:p>
    <w:bookmarkStart w:id="5" w:name="_yzth6e56228u" w:colFirst="0" w:colLast="0"/>
    <w:bookmarkEnd w:id="5"/>
    <w:p w14:paraId="F8A5CF2B">
      <w:pPr>
        <w:pStyle w:val="style62"/>
        <w:rPr>
          <w:color w:val="0d0d0d"/>
          <w:lang w:val="en-GB"/>
        </w:rPr>
      </w:pPr>
    </w:p>
    <w:bookmarkStart w:id="6" w:name="_def3johpyc63" w:colFirst="0" w:colLast="0"/>
    <w:bookmarkEnd w:id="6"/>
    <w:p w14:paraId="DA66204C">
      <w:pPr>
        <w:pStyle w:val="style62"/>
        <w:rPr>
          <w:color w:val="0d0d0d"/>
          <w:lang w:val="en-GB"/>
        </w:rPr>
      </w:pPr>
    </w:p>
    <w:bookmarkStart w:id="7" w:name="_5h449n697odr" w:colFirst="0" w:colLast="0"/>
    <w:bookmarkEnd w:id="7"/>
    <w:p w14:paraId="AED3BE9F">
      <w:pPr>
        <w:pStyle w:val="style62"/>
        <w:rPr>
          <w:color w:val="0d0d0d"/>
          <w:lang w:val="en-GB"/>
        </w:rPr>
      </w:pPr>
      <w:r>
        <w:rPr>
          <w:color w:val="0d0d0d"/>
          <w:lang w:val="en-GB"/>
        </w:rPr>
        <w:br w:type="page"/>
      </w:r>
    </w:p>
    <w:bookmarkStart w:id="8" w:name="_kpigw24frcnv" w:colFirst="0" w:colLast="0"/>
    <w:bookmarkStart w:id="9" w:name="_Toc236513664"/>
    <w:bookmarkEnd w:id="8"/>
    <w:p w14:paraId="2609D4CC">
      <w:pPr>
        <w:pStyle w:val="style1"/>
        <w:rPr>
          <w:color w:val="0d0d0d"/>
          <w:lang w:val="en-GB"/>
        </w:rPr>
      </w:pPr>
      <w:r>
        <w:rPr>
          <w:color w:val="0d0d0d"/>
          <w:lang w:val="en-GB"/>
        </w:rPr>
        <w:t>Introduction</w:t>
      </w:r>
      <w:bookmarkEnd w:id="9"/>
    </w:p>
    <w:p w14:paraId="38C23840">
      <w:pPr>
        <w:pStyle w:val="style4098"/>
        <w:rPr>
          <w:color w:val="0d0d0d"/>
          <w:lang w:val="en-GB"/>
        </w:rPr>
      </w:pPr>
      <w:r>
        <w:rPr>
          <w:color w:val="0d0d0d"/>
          <w:lang w:val="en-GB"/>
        </w:rPr>
        <w:t>Strategic management involves studying an organisation's internal capabilities and external environment, formulating strategies, implementing strategies and monitoring the results of the strategies implemented for the advantage of the organisation to be ac</w:t>
      </w:r>
      <w:r>
        <w:rPr>
          <w:color w:val="0d0d0d"/>
          <w:lang w:val="en-GB"/>
        </w:rPr>
        <w:t>hieved at sustainable levels.  The report critically analyses Coca-Cola Zero Sugar in the United Kingdom market, highlighting its strategic position and competitive environment, organisational strengths, and resources and capabilities. It will include well</w:t>
      </w:r>
      <w:r>
        <w:rPr>
          <w:color w:val="0d0d0d"/>
          <w:lang w:val="en-GB"/>
        </w:rPr>
        <w:t>-established strategic management models to review strategic performance, using this analysis to find strategic opportunities and then propose a suitable strategy to address these opportunities and enhance the long-term strategic competitiveness and sustai</w:t>
      </w:r>
      <w:r>
        <w:rPr>
          <w:color w:val="0d0d0d"/>
          <w:lang w:val="en-GB"/>
        </w:rPr>
        <w:t>nable growth of the industry in the UK soft drink market.</w:t>
      </w:r>
    </w:p>
    <w:bookmarkStart w:id="10" w:name="_syw1csedjvyr" w:colFirst="0" w:colLast="0"/>
    <w:bookmarkStart w:id="11" w:name="_Toc236513665"/>
    <w:bookmarkEnd w:id="10"/>
    <w:p w14:paraId="1B3AB9CB">
      <w:pPr>
        <w:pStyle w:val="style1"/>
        <w:rPr>
          <w:color w:val="0d0d0d"/>
          <w:lang w:val="en-GB"/>
        </w:rPr>
      </w:pPr>
      <w:r>
        <w:rPr>
          <w:color w:val="0d0d0d"/>
          <w:lang w:val="en-GB"/>
        </w:rPr>
        <w:t>Section 1: Report</w:t>
      </w:r>
      <w:bookmarkEnd w:id="11"/>
      <w:r>
        <w:rPr>
          <w:color w:val="0d0d0d"/>
          <w:lang w:val="en-GB"/>
        </w:rPr>
        <w:t xml:space="preserve"> </w:t>
      </w:r>
    </w:p>
    <w:bookmarkStart w:id="12" w:name="_kh06bnqad6nj" w:colFirst="0" w:colLast="0"/>
    <w:bookmarkStart w:id="13" w:name="_Toc236513666"/>
    <w:bookmarkEnd w:id="12"/>
    <w:p w14:paraId="61331445">
      <w:pPr>
        <w:pStyle w:val="style1"/>
        <w:rPr>
          <w:color w:val="0d0d0d"/>
          <w:lang w:val="en-GB"/>
        </w:rPr>
      </w:pPr>
      <w:r>
        <w:rPr>
          <w:color w:val="0d0d0d"/>
          <w:lang w:val="en-GB"/>
        </w:rPr>
        <w:t>1.0: Organisational Context and Overview</w:t>
      </w:r>
      <w:bookmarkEnd w:id="13"/>
    </w:p>
    <w:bookmarkStart w:id="14" w:name="_rszy799bkjr0" w:colFirst="0" w:colLast="0"/>
    <w:bookmarkStart w:id="15" w:name="_Toc236513667"/>
    <w:bookmarkEnd w:id="14"/>
    <w:p w14:paraId="8838C610">
      <w:pPr>
        <w:pStyle w:val="style2"/>
        <w:rPr>
          <w:color w:val="0d0d0d"/>
          <w:lang w:val="en-GB"/>
        </w:rPr>
      </w:pPr>
      <w:r>
        <w:rPr>
          <w:color w:val="0d0d0d"/>
          <w:lang w:val="en-GB"/>
        </w:rPr>
        <w:t>1.1 Organisation Overview</w:t>
      </w:r>
      <w:bookmarkEnd w:id="15"/>
    </w:p>
    <w:p w14:paraId="1F0E4805">
      <w:pPr>
        <w:pStyle w:val="style4098"/>
        <w:rPr>
          <w:color w:val="0d0d0d"/>
          <w:lang w:val="en-GB"/>
        </w:rPr>
      </w:pPr>
      <w:r>
        <w:rPr>
          <w:color w:val="0d0d0d"/>
          <w:lang w:val="en-GB"/>
        </w:rPr>
        <w:t xml:space="preserve">As the world's largest non-alcoholic beverage maker, Coca-Cola Company runs its business in over 200 countries, </w:t>
      </w:r>
      <w:r>
        <w:rPr>
          <w:color w:val="0d0d0d"/>
          <w:lang w:val="en-GB"/>
        </w:rPr>
        <w:t xml:space="preserve">offering a wide range of beverages (The Coca-Cola Company, 2025).  In 2025, the company's global net revenues were $48.1 billion (Investors.coca-colacompany, 2025). Coca-Cola Zero Sugar is its flagship sugar-free cola, which promises the original taste of </w:t>
      </w:r>
      <w:r>
        <w:rPr>
          <w:color w:val="0d0d0d"/>
          <w:lang w:val="en-GB"/>
        </w:rPr>
        <w:t xml:space="preserve">Coca-Cola without the sugar or calories. </w:t>
      </w:r>
    </w:p>
    <w:p w14:paraId="052E76D2">
      <w:pPr>
        <w:pStyle w:val="style4098"/>
        <w:jc w:val="center"/>
        <w:rPr>
          <w:color w:val="0d0d0d"/>
          <w:lang w:val="en-GB"/>
        </w:rPr>
      </w:pPr>
      <w:r>
        <w:rPr>
          <w:noProof/>
          <w:color w:val="0d0d0d"/>
          <w:lang w:val="en-GB"/>
        </w:rPr>
        <w:drawing>
          <wp:inline distL="0" distT="0" distB="0" distR="0">
            <wp:extent cx="5100638" cy="3429000"/>
            <wp:effectExtent l="0" t="0" r="0" b="0"/>
            <wp:docPr id="1028"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4" cstate="print"/>
                    <a:srcRect l="0" t="0" r="0" b="0"/>
                    <a:stretch/>
                  </pic:blipFill>
                  <pic:spPr>
                    <a:xfrm rot="0">
                      <a:off x="0" y="0"/>
                      <a:ext cx="5100638" cy="3429000"/>
                    </a:xfrm>
                    <a:prstGeom prst="rect"/>
                    <a:ln cmpd="sng" cap="flat" w="9525">
                      <a:solidFill>
                        <a:srgbClr val="000000"/>
                      </a:solidFill>
                      <a:prstDash val="solid"/>
                      <a:round/>
                      <a:headEnd/>
                      <a:tailEnd/>
                    </a:ln>
                  </pic:spPr>
                </pic:pic>
              </a:graphicData>
            </a:graphic>
          </wp:inline>
        </w:drawing>
      </w:r>
    </w:p>
    <w:p w14:paraId="F55A7DF8">
      <w:pPr>
        <w:pStyle w:val="style4098"/>
        <w:jc w:val="center"/>
        <w:rPr>
          <w:b/>
          <w:bCs/>
          <w:color w:val="0d0d0d"/>
          <w:lang w:val="en-GB"/>
        </w:rPr>
      </w:pPr>
      <w:r>
        <w:rPr>
          <w:b/>
          <w:bCs/>
          <w:color w:val="0d0d0d"/>
          <w:lang w:val="en-GB"/>
        </w:rPr>
        <w:t>Figure 1: Coca-Cola Revenue</w:t>
      </w:r>
    </w:p>
    <w:p w14:paraId="A2C125D3">
      <w:pPr>
        <w:pStyle w:val="style4098"/>
        <w:jc w:val="center"/>
        <w:rPr>
          <w:color w:val="0d0d0d"/>
          <w:lang w:val="en-GB"/>
        </w:rPr>
      </w:pPr>
      <w:r>
        <w:rPr>
          <w:color w:val="0d0d0d"/>
          <w:lang w:val="en-GB"/>
        </w:rPr>
        <w:t>(</w:t>
      </w:r>
      <w:r>
        <w:rPr>
          <w:color w:val="0d0d0d"/>
          <w:lang w:val="en-GB"/>
        </w:rPr>
        <w:t>Source</w:t>
      </w:r>
      <w:r>
        <w:rPr>
          <w:color w:val="0d0d0d"/>
          <w:lang w:val="en-GB"/>
        </w:rPr>
        <w:t>: Statista, 2025)</w:t>
      </w:r>
    </w:p>
    <w:bookmarkStart w:id="16" w:name="_yew8ljc0ct72" w:colFirst="0" w:colLast="0"/>
    <w:bookmarkStart w:id="17" w:name="_Toc236513668"/>
    <w:bookmarkEnd w:id="16"/>
    <w:p w14:paraId="087AA7FA">
      <w:pPr>
        <w:pStyle w:val="style2"/>
        <w:rPr>
          <w:color w:val="0d0d0d"/>
          <w:lang w:val="en-GB"/>
        </w:rPr>
      </w:pPr>
      <w:r>
        <w:rPr>
          <w:color w:val="0d0d0d"/>
          <w:lang w:val="en-GB"/>
        </w:rPr>
        <w:t>1.2 Historical Background</w:t>
      </w:r>
      <w:bookmarkEnd w:id="17"/>
    </w:p>
    <w:p w14:paraId="1E59FB73">
      <w:pPr>
        <w:pStyle w:val="style4098"/>
        <w:rPr>
          <w:color w:val="0d0d0d"/>
          <w:lang w:val="en-GB"/>
        </w:rPr>
      </w:pPr>
      <w:r>
        <w:rPr>
          <w:color w:val="0d0d0d"/>
          <w:lang w:val="en-GB"/>
        </w:rPr>
        <w:t>Founded in Atlanta in 1892, The Coca-Cola Company has evolved into one of the world's most valuable beverage brands. Launched worldwi</w:t>
      </w:r>
      <w:r>
        <w:rPr>
          <w:color w:val="0d0d0d"/>
          <w:lang w:val="en-GB"/>
        </w:rPr>
        <w:t>de in 2017 as a reformulated version of Coca-Cola Zero, Coca-Cola Zero Sugar is an effort to meet consumer demand for healthier drinks (Coca-Cola, 2026). Coca-Cola has been around for more than 100 years in the UK under the banners of Coca-Cola Europacific</w:t>
      </w:r>
      <w:r>
        <w:rPr>
          <w:color w:val="0d0d0d"/>
          <w:lang w:val="en-GB"/>
        </w:rPr>
        <w:t xml:space="preserve"> Partners, enjoying a wide network for its manufacturing and distribution.</w:t>
      </w:r>
    </w:p>
    <w:p w14:paraId="C1CCF623">
      <w:pPr>
        <w:pStyle w:val="style4098"/>
        <w:jc w:val="center"/>
        <w:rPr>
          <w:color w:val="0d0d0d"/>
          <w:lang w:val="en-GB"/>
        </w:rPr>
      </w:pPr>
      <w:r>
        <w:rPr>
          <w:noProof/>
          <w:color w:val="0d0d0d"/>
          <w:lang w:val="en-GB"/>
        </w:rPr>
        <w:drawing>
          <wp:inline distL="0" distT="0" distB="0" distR="0">
            <wp:extent cx="5731200" cy="2705100"/>
            <wp:effectExtent l="0" t="0" r="0" b="0"/>
            <wp:docPr id="1029"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5" cstate="print"/>
                    <a:srcRect l="0" t="0" r="0" b="0"/>
                    <a:stretch/>
                  </pic:blipFill>
                  <pic:spPr>
                    <a:xfrm rot="0">
                      <a:off x="0" y="0"/>
                      <a:ext cx="5731200" cy="2705100"/>
                    </a:xfrm>
                    <a:prstGeom prst="rect"/>
                    <a:ln cmpd="sng" cap="flat" w="9525">
                      <a:solidFill>
                        <a:srgbClr val="000000"/>
                      </a:solidFill>
                      <a:prstDash val="solid"/>
                      <a:round/>
                      <a:headEnd/>
                      <a:tailEnd/>
                    </a:ln>
                  </pic:spPr>
                </pic:pic>
              </a:graphicData>
            </a:graphic>
          </wp:inline>
        </w:drawing>
      </w:r>
    </w:p>
    <w:p w14:paraId="C9C051EA">
      <w:pPr>
        <w:pStyle w:val="style4098"/>
        <w:jc w:val="center"/>
        <w:rPr>
          <w:b/>
          <w:bCs/>
          <w:color w:val="0d0d0d"/>
          <w:lang w:val="en-GB"/>
        </w:rPr>
      </w:pPr>
      <w:r>
        <w:rPr>
          <w:b/>
          <w:bCs/>
          <w:color w:val="0d0d0d"/>
          <w:lang w:val="en-GB"/>
        </w:rPr>
        <w:t>Figure 2: Coca-Cola Zero Sugar</w:t>
      </w:r>
    </w:p>
    <w:p w14:paraId="27827C8B">
      <w:pPr>
        <w:pStyle w:val="style4098"/>
        <w:jc w:val="center"/>
        <w:rPr>
          <w:color w:val="0d0d0d"/>
          <w:lang w:val="en-GB"/>
        </w:rPr>
      </w:pPr>
      <w:r>
        <w:rPr>
          <w:color w:val="0d0d0d"/>
          <w:lang w:val="en-GB"/>
        </w:rPr>
        <w:t>(Source: Coca-Cola, 2026)</w:t>
      </w:r>
    </w:p>
    <w:bookmarkStart w:id="18" w:name="_ybvple6a5q9m" w:colFirst="0" w:colLast="0"/>
    <w:bookmarkStart w:id="19" w:name="_Toc236513669"/>
    <w:bookmarkEnd w:id="18"/>
    <w:p w14:paraId="3BC3B161">
      <w:pPr>
        <w:pStyle w:val="style2"/>
        <w:rPr>
          <w:color w:val="0d0d0d"/>
          <w:lang w:val="en-GB"/>
        </w:rPr>
      </w:pPr>
      <w:r>
        <w:rPr>
          <w:color w:val="0d0d0d"/>
          <w:lang w:val="en-GB"/>
        </w:rPr>
        <w:t>1.3 Mission, Vision and Business Model</w:t>
      </w:r>
      <w:bookmarkEnd w:id="19"/>
    </w:p>
    <w:p w14:paraId="4DB694AF">
      <w:pPr>
        <w:pStyle w:val="style4098"/>
        <w:rPr>
          <w:color w:val="0d0d0d"/>
          <w:lang w:val="en-GB"/>
        </w:rPr>
      </w:pPr>
      <w:r>
        <w:rPr>
          <w:color w:val="0d0d0d"/>
          <w:lang w:val="en-GB"/>
        </w:rPr>
        <w:t>Coca-Cola's vision is to create sustainable growth and sustainable value for custom</w:t>
      </w:r>
      <w:r>
        <w:rPr>
          <w:color w:val="0d0d0d"/>
          <w:lang w:val="en-GB"/>
        </w:rPr>
        <w:t>ers, communities and shareholders, with a mission to refresh the world and make a difference (The Coca-Cola Company, 2025). It is a powerful brand management model for global bottling and a bottling system based upon franchise, which is efficient manufactu</w:t>
      </w:r>
      <w:r>
        <w:rPr>
          <w:color w:val="0d0d0d"/>
          <w:lang w:val="en-GB"/>
        </w:rPr>
        <w:t>ring, distribution and local market responsiveness. This all-in-one solution enables seamless innovation, high-end brand positioning and expandable business operations for product market segments.</w:t>
      </w:r>
    </w:p>
    <w:bookmarkStart w:id="20" w:name="_xhsxqi2g0u6y" w:colFirst="0" w:colLast="0"/>
    <w:bookmarkStart w:id="21" w:name="_Toc236513670"/>
    <w:bookmarkEnd w:id="20"/>
    <w:p w14:paraId="12DAFFED">
      <w:pPr>
        <w:pStyle w:val="style2"/>
        <w:rPr>
          <w:color w:val="0d0d0d"/>
          <w:lang w:val="en-GB"/>
        </w:rPr>
      </w:pPr>
      <w:r>
        <w:rPr>
          <w:color w:val="0d0d0d"/>
          <w:lang w:val="en-GB"/>
        </w:rPr>
        <w:t>1.4 Industry Overview</w:t>
      </w:r>
      <w:bookmarkEnd w:id="21"/>
    </w:p>
    <w:p w14:paraId="DB50E8AB">
      <w:pPr>
        <w:pStyle w:val="style4098"/>
        <w:rPr>
          <w:color w:val="0d0d0d"/>
          <w:lang w:val="en-GB"/>
        </w:rPr>
      </w:pPr>
      <w:r>
        <w:rPr>
          <w:color w:val="0d0d0d"/>
          <w:lang w:val="en-GB"/>
        </w:rPr>
        <w:t>Retail sales were valued at around $1</w:t>
      </w:r>
      <w:r>
        <w:rPr>
          <w:color w:val="0d0d0d"/>
          <w:lang w:val="en-GB"/>
        </w:rPr>
        <w:t>18.28 billion in the UK soft drinks sector in 2025 (Market Data Forecast, 2026). Low or no-sugar soft drinks made up a bigger proportion of sales than ever before since the introduction of the Soft Drinks Industry Levy. The market is expected to witness mo</w:t>
      </w:r>
      <w:r>
        <w:rPr>
          <w:color w:val="0d0d0d"/>
          <w:lang w:val="en-GB"/>
        </w:rPr>
        <w:t xml:space="preserve">derate growth of 3.8% to $6.3 billion by </w:t>
      </w:r>
      <w:r>
        <w:rPr>
          <w:color w:val="0d0d0d"/>
          <w:lang w:val="en-GB"/>
        </w:rPr>
        <w:t>2030 (Grand View Research, 2021). This is due to a health-conscious consumer base, product innovation and premium offerings of zero-sugar items.</w:t>
      </w:r>
    </w:p>
    <w:p w14:paraId="6366E4AC">
      <w:pPr>
        <w:pStyle w:val="style4098"/>
        <w:jc w:val="center"/>
        <w:rPr>
          <w:color w:val="0d0d0d"/>
          <w:lang w:val="en-GB"/>
        </w:rPr>
      </w:pPr>
      <w:r>
        <w:rPr>
          <w:noProof/>
          <w:color w:val="0d0d0d"/>
          <w:lang w:val="en-GB"/>
        </w:rPr>
        <w:drawing>
          <wp:inline distL="0" distT="0" distB="0" distR="0">
            <wp:extent cx="5731200" cy="2946400"/>
            <wp:effectExtent l="0" t="0" r="0" b="0"/>
            <wp:docPr id="1030"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6" cstate="print"/>
                    <a:srcRect l="0" t="0" r="0" b="0"/>
                    <a:stretch/>
                  </pic:blipFill>
                  <pic:spPr>
                    <a:xfrm rot="0">
                      <a:off x="0" y="0"/>
                      <a:ext cx="5731200" cy="2946400"/>
                    </a:xfrm>
                    <a:prstGeom prst="rect"/>
                    <a:ln cmpd="sng" cap="flat" w="9525">
                      <a:solidFill>
                        <a:srgbClr val="000000"/>
                      </a:solidFill>
                      <a:prstDash val="solid"/>
                      <a:round/>
                      <a:headEnd/>
                      <a:tailEnd/>
                    </a:ln>
                  </pic:spPr>
                </pic:pic>
              </a:graphicData>
            </a:graphic>
          </wp:inline>
        </w:drawing>
      </w:r>
    </w:p>
    <w:p w14:paraId="C6F69D7C">
      <w:pPr>
        <w:pStyle w:val="style4098"/>
        <w:jc w:val="center"/>
        <w:rPr>
          <w:b/>
          <w:bCs/>
          <w:color w:val="0d0d0d"/>
          <w:lang w:val="en-GB"/>
        </w:rPr>
      </w:pPr>
      <w:r>
        <w:rPr>
          <w:b/>
          <w:bCs/>
          <w:color w:val="0d0d0d"/>
          <w:lang w:val="en-GB"/>
        </w:rPr>
        <w:t>Figure 3: Global Low-calorie Soft Drink Market Size</w:t>
      </w:r>
    </w:p>
    <w:p w14:paraId="B10086D7">
      <w:pPr>
        <w:pStyle w:val="style4098"/>
        <w:jc w:val="center"/>
        <w:rPr>
          <w:color w:val="0d0d0d"/>
          <w:lang w:val="en-GB"/>
        </w:rPr>
      </w:pPr>
      <w:r>
        <w:rPr>
          <w:color w:val="0d0d0d"/>
          <w:lang w:val="en-GB"/>
        </w:rPr>
        <w:t xml:space="preserve">(Source: </w:t>
      </w:r>
      <w:r>
        <w:rPr>
          <w:color w:val="0d0d0d"/>
          <w:lang w:val="en-GB"/>
        </w:rPr>
        <w:t xml:space="preserve">Grand View Research, 2021) </w:t>
      </w:r>
    </w:p>
    <w:bookmarkStart w:id="22" w:name="_u4tljmqpf5dj" w:colFirst="0" w:colLast="0"/>
    <w:bookmarkStart w:id="23" w:name="_Toc236513671"/>
    <w:bookmarkEnd w:id="22"/>
    <w:p w14:paraId="2E4A8D1B">
      <w:pPr>
        <w:pStyle w:val="style2"/>
        <w:rPr>
          <w:color w:val="0d0d0d"/>
          <w:lang w:val="en-GB"/>
        </w:rPr>
      </w:pPr>
      <w:r>
        <w:rPr>
          <w:color w:val="0d0d0d"/>
          <w:lang w:val="en-GB"/>
        </w:rPr>
        <w:t>1.5 Key Competitors</w:t>
      </w:r>
      <w:bookmarkEnd w:id="23"/>
    </w:p>
    <w:p w14:paraId="10D13318">
      <w:pPr>
        <w:pStyle w:val="style4098"/>
        <w:rPr>
          <w:color w:val="0d0d0d"/>
          <w:lang w:val="en-GB"/>
        </w:rPr>
      </w:pPr>
      <w:r>
        <w:rPr>
          <w:color w:val="0d0d0d"/>
          <w:lang w:val="en-GB"/>
        </w:rPr>
        <w:t xml:space="preserve">Coca-Cola Zero Sugar is primarily being battled by Pepsi Max, low- and no-sugar carbonated drinks from Britvic, and other private label products from supermarkets (Selwood, 2026). With the growing popularity </w:t>
      </w:r>
      <w:r>
        <w:rPr>
          <w:color w:val="0d0d0d"/>
          <w:lang w:val="en-GB"/>
        </w:rPr>
        <w:t>of zero-sugar beverages in the market, taste, price, brand value, innovation, health positioning, and marketing effectiveness are increasingly the battleground of the competition.</w:t>
      </w:r>
    </w:p>
    <w:bookmarkStart w:id="24" w:name="_glyv5kw0wy07" w:colFirst="0" w:colLast="0"/>
    <w:bookmarkStart w:id="25" w:name="_Toc236513672"/>
    <w:bookmarkEnd w:id="24"/>
    <w:p w14:paraId="5FF25D0D">
      <w:pPr>
        <w:pStyle w:val="style2"/>
        <w:rPr>
          <w:color w:val="0d0d0d"/>
          <w:lang w:val="en-GB"/>
        </w:rPr>
      </w:pPr>
      <w:r>
        <w:rPr>
          <w:color w:val="0d0d0d"/>
          <w:lang w:val="en-GB"/>
        </w:rPr>
        <w:t>1.6 Market Position</w:t>
      </w:r>
      <w:bookmarkEnd w:id="25"/>
    </w:p>
    <w:p w14:paraId="29F398F3">
      <w:pPr>
        <w:pStyle w:val="style4098"/>
        <w:rPr>
          <w:color w:val="0d0d0d"/>
          <w:lang w:val="en-GB"/>
        </w:rPr>
      </w:pPr>
      <w:r>
        <w:rPr>
          <w:color w:val="0d0d0d"/>
          <w:lang w:val="en-GB"/>
        </w:rPr>
        <w:t>Coca-Cola Zero Sugar's strong brand equity, distribution</w:t>
      </w:r>
      <w:r>
        <w:rPr>
          <w:color w:val="0d0d0d"/>
          <w:lang w:val="en-GB"/>
        </w:rPr>
        <w:t xml:space="preserve"> through wide retailers and continuous product innovation </w:t>
      </w:r>
      <w:r>
        <w:rPr>
          <w:color w:val="0d0d0d"/>
          <w:lang w:val="en-GB"/>
        </w:rPr>
        <w:t>has</w:t>
      </w:r>
      <w:r>
        <w:rPr>
          <w:color w:val="0d0d0d"/>
          <w:lang w:val="en-GB"/>
        </w:rPr>
        <w:t xml:space="preserve"> taken it to the forefront of the zero-sugar cola category in the UK (Cocacolaep, 2026). In addition, its premium market positioning and clear competitive edge will be further strengthened by ro</w:t>
      </w:r>
      <w:r>
        <w:rPr>
          <w:color w:val="0d0d0d"/>
          <w:lang w:val="en-GB"/>
        </w:rPr>
        <w:t>bust double-digit growth in the global market in 2025.</w:t>
      </w:r>
    </w:p>
    <w:bookmarkStart w:id="26" w:name="_f8crrl8dnn3j" w:colFirst="0" w:colLast="0"/>
    <w:bookmarkStart w:id="27" w:name="_Toc236513673"/>
    <w:bookmarkEnd w:id="26"/>
    <w:p w14:paraId="23246431">
      <w:pPr>
        <w:pStyle w:val="style1"/>
        <w:rPr>
          <w:color w:val="0d0d0d"/>
          <w:lang w:val="en-GB"/>
        </w:rPr>
      </w:pPr>
      <w:r>
        <w:rPr>
          <w:color w:val="0d0d0d"/>
          <w:lang w:val="en-GB"/>
        </w:rPr>
        <w:t>2.0: External and Internal Analysis</w:t>
      </w:r>
      <w:bookmarkEnd w:id="27"/>
    </w:p>
    <w:bookmarkStart w:id="28" w:name="_vubgnl4udpzx" w:colFirst="0" w:colLast="0"/>
    <w:bookmarkStart w:id="29" w:name="_Toc236513674"/>
    <w:bookmarkEnd w:id="28"/>
    <w:p w14:paraId="909CCD7A">
      <w:pPr>
        <w:pStyle w:val="style2"/>
        <w:rPr>
          <w:color w:val="0d0d0d"/>
          <w:lang w:val="en-GB"/>
        </w:rPr>
      </w:pPr>
      <w:r>
        <w:rPr>
          <w:color w:val="0d0d0d"/>
          <w:lang w:val="en-GB"/>
        </w:rPr>
        <w:t>2.1 PESTEL Analysis</w:t>
      </w:r>
      <w:bookmarkEnd w:id="29"/>
    </w:p>
    <w:tbl>
      <w:tblPr>
        <w:tblStyle w:val="style4099"/>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45"/>
        <w:gridCol w:w="4620"/>
        <w:gridCol w:w="2730"/>
      </w:tblGrid>
      <w:tr w14:paraId="E04C1F97">
        <w:trPr>
          <w:trHeight w:val="735" w:hRule="atLeast"/>
        </w:trPr>
        <w:tc>
          <w:tcPr>
            <w:tcW w:w="154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896FDBB2">
            <w:pPr>
              <w:pStyle w:val="style4098"/>
              <w:jc w:val="center"/>
              <w:rPr>
                <w:b/>
                <w:bCs/>
                <w:color w:val="0d0d0d"/>
                <w:lang w:val="en-GB"/>
              </w:rPr>
            </w:pPr>
            <w:r>
              <w:rPr>
                <w:b/>
                <w:bCs/>
                <w:color w:val="0d0d0d"/>
                <w:lang w:val="en-GB"/>
              </w:rPr>
              <w:t>PESTEL Factor</w:t>
            </w:r>
          </w:p>
        </w:tc>
        <w:tc>
          <w:tcPr>
            <w:tcW w:w="462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F1ABFB2">
            <w:pPr>
              <w:pStyle w:val="style4098"/>
              <w:jc w:val="center"/>
              <w:rPr>
                <w:b/>
                <w:bCs/>
                <w:color w:val="0d0d0d"/>
                <w:lang w:val="en-GB"/>
              </w:rPr>
            </w:pPr>
            <w:r>
              <w:rPr>
                <w:b/>
                <w:bCs/>
                <w:color w:val="0d0d0d"/>
                <w:lang w:val="en-GB"/>
              </w:rPr>
              <w:t>Evaluation of Impact on Industry and Coca-Cola Zero Sugar (UK)</w:t>
            </w:r>
          </w:p>
        </w:tc>
        <w:tc>
          <w:tcPr>
            <w:tcW w:w="27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ECCC088F">
            <w:pPr>
              <w:pStyle w:val="style4098"/>
              <w:jc w:val="center"/>
              <w:rPr>
                <w:b/>
                <w:bCs/>
                <w:color w:val="0d0d0d"/>
                <w:lang w:val="en-GB"/>
              </w:rPr>
            </w:pPr>
            <w:r>
              <w:rPr>
                <w:b/>
                <w:bCs/>
                <w:color w:val="0d0d0d"/>
                <w:lang w:val="en-GB"/>
              </w:rPr>
              <w:t>Threat / Opportunity</w:t>
            </w:r>
          </w:p>
        </w:tc>
      </w:tr>
      <w:tr w14:paraId="CF72F43C">
        <w:tblPrEx/>
        <w:trPr>
          <w:trHeight w:val="6135" w:hRule="atLeast"/>
        </w:trPr>
        <w:tc>
          <w:tcPr>
            <w:tcW w:w="1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B43CA81C">
            <w:pPr>
              <w:pStyle w:val="style4098"/>
              <w:rPr>
                <w:b/>
                <w:bCs/>
                <w:color w:val="0d0d0d"/>
                <w:lang w:val="en-GB"/>
              </w:rPr>
            </w:pPr>
            <w:r>
              <w:rPr>
                <w:b/>
                <w:bCs/>
                <w:color w:val="0d0d0d"/>
                <w:lang w:val="en-GB"/>
              </w:rPr>
              <w:t>Political</w:t>
            </w:r>
          </w:p>
        </w:tc>
        <w:tc>
          <w:tcPr>
            <w:tcW w:w="4620" w:type="dxa"/>
            <w:tcBorders>
              <w:top w:val="nil"/>
              <w:left w:val="nil"/>
              <w:bottom w:val="single" w:sz="5" w:space="0" w:color="000000"/>
              <w:right w:val="single" w:sz="5" w:space="0" w:color="000000"/>
            </w:tcBorders>
            <w:tcMar>
              <w:top w:w="0" w:type="dxa"/>
              <w:left w:w="100" w:type="dxa"/>
              <w:bottom w:w="0" w:type="dxa"/>
              <w:right w:w="100" w:type="dxa"/>
            </w:tcMar>
          </w:tcPr>
          <w:p w14:paraId="98852784">
            <w:pPr>
              <w:pStyle w:val="style4098"/>
              <w:rPr>
                <w:color w:val="0d0d0d"/>
                <w:lang w:val="en-GB"/>
              </w:rPr>
            </w:pPr>
            <w:r>
              <w:rPr>
                <w:color w:val="0d0d0d"/>
                <w:lang w:val="en-GB"/>
              </w:rPr>
              <w:t>The renewed global trade tensions du</w:t>
            </w:r>
            <w:r>
              <w:rPr>
                <w:color w:val="0d0d0d"/>
                <w:lang w:val="en-GB"/>
              </w:rPr>
              <w:t>ring 2025 to 2026, including US tariff increases of up to 20% to 25% on selected imported products, have increased supply-chain uncertainty and commodity price volatility, particularly for aluminium packaging and imported ingredients (UNCTAD, 2026). For th</w:t>
            </w:r>
            <w:r>
              <w:rPr>
                <w:color w:val="0d0d0d"/>
                <w:lang w:val="en-GB"/>
              </w:rPr>
              <w:t>e UK soft drinks industry, rising procurement costs reduce operating margins and increase pricing pressure. However, Coca-Cola benefits from local production through Coca-Cola Europacific Partners, reducing dependence on imported finished products and impr</w:t>
            </w:r>
            <w:r>
              <w:rPr>
                <w:color w:val="0d0d0d"/>
                <w:lang w:val="en-GB"/>
              </w:rPr>
              <w:t>oving supply-chain resilience compared with smaller competitors.</w:t>
            </w:r>
          </w:p>
        </w:tc>
        <w:tc>
          <w:tcPr>
            <w:tcW w:w="2730" w:type="dxa"/>
            <w:tcBorders>
              <w:top w:val="nil"/>
              <w:left w:val="nil"/>
              <w:bottom w:val="single" w:sz="5" w:space="0" w:color="000000"/>
              <w:right w:val="single" w:sz="5" w:space="0" w:color="000000"/>
            </w:tcBorders>
            <w:tcMar>
              <w:top w:w="0" w:type="dxa"/>
              <w:left w:w="100" w:type="dxa"/>
              <w:bottom w:w="0" w:type="dxa"/>
              <w:right w:w="100" w:type="dxa"/>
            </w:tcMar>
          </w:tcPr>
          <w:p w14:paraId="11ACFC95">
            <w:pPr>
              <w:pStyle w:val="style4098"/>
              <w:rPr>
                <w:color w:val="0d0d0d"/>
                <w:lang w:val="en-GB"/>
              </w:rPr>
            </w:pPr>
            <w:r>
              <w:rPr>
                <w:color w:val="0d0d0d"/>
                <w:lang w:val="en-GB"/>
              </w:rPr>
              <w:t>Moderate opportunity because local manufacturing reduces tariff exposure and strengthens operational resilience.</w:t>
            </w:r>
          </w:p>
        </w:tc>
      </w:tr>
      <w:tr w14:paraId="8AFB2F06">
        <w:tblPrEx/>
        <w:trPr>
          <w:trHeight w:val="3249" w:hRule="atLeast"/>
        </w:trPr>
        <w:tc>
          <w:tcPr>
            <w:tcW w:w="1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ED34D3A8">
            <w:pPr>
              <w:pStyle w:val="style4098"/>
              <w:rPr>
                <w:b/>
                <w:bCs/>
                <w:color w:val="0d0d0d"/>
                <w:lang w:val="en-GB"/>
              </w:rPr>
            </w:pPr>
            <w:r>
              <w:rPr>
                <w:b/>
                <w:bCs/>
                <w:color w:val="0d0d0d"/>
                <w:lang w:val="en-GB"/>
              </w:rPr>
              <w:t>Economic</w:t>
            </w:r>
          </w:p>
        </w:tc>
        <w:tc>
          <w:tcPr>
            <w:tcW w:w="4620" w:type="dxa"/>
            <w:tcBorders>
              <w:top w:val="nil"/>
              <w:left w:val="nil"/>
              <w:bottom w:val="single" w:sz="5" w:space="0" w:color="000000"/>
              <w:right w:val="single" w:sz="5" w:space="0" w:color="000000"/>
            </w:tcBorders>
            <w:tcMar>
              <w:top w:w="0" w:type="dxa"/>
              <w:left w:w="100" w:type="dxa"/>
              <w:bottom w:w="0" w:type="dxa"/>
              <w:right w:w="100" w:type="dxa"/>
            </w:tcMar>
          </w:tcPr>
          <w:p w14:paraId="90B45F83">
            <w:pPr>
              <w:pStyle w:val="style4098"/>
              <w:rPr>
                <w:color w:val="0d0d0d"/>
                <w:lang w:val="en-GB"/>
              </w:rPr>
            </w:pPr>
            <w:r>
              <w:rPr>
                <w:color w:val="0d0d0d"/>
                <w:lang w:val="en-GB"/>
              </w:rPr>
              <w:t>UK Consumer Price Inflation (CPI) fell to 2.8% in April 2026, compared with 3.3% in March 2026 (ONS, 2026). Lower inflation improves consumer purchasing power and supports demand for branded beverages. Nevertheless, labour, logistics and energy costs remai</w:t>
            </w:r>
            <w:r>
              <w:rPr>
                <w:color w:val="0d0d0d"/>
                <w:lang w:val="en-GB"/>
              </w:rPr>
              <w:t>n elevated, continuing to pressure manufacturers' profitability. Coca-Cola Zero Sugar possesses strong brand equity, enabling greater pricing flexibility and better margin protection than lower-priced competitors.</w:t>
            </w:r>
          </w:p>
          <w:p w14:paraId="A614B694">
            <w:pPr>
              <w:pStyle w:val="style4098"/>
              <w:jc w:val="center"/>
              <w:rPr>
                <w:color w:val="0d0d0d"/>
                <w:lang w:val="en-GB"/>
              </w:rPr>
            </w:pPr>
            <w:r>
              <w:rPr>
                <w:noProof/>
                <w:color w:val="0d0d0d"/>
                <w:lang w:val="en-GB"/>
              </w:rPr>
              <w:drawing>
                <wp:inline distL="0" distT="0" distB="0" distR="0">
                  <wp:extent cx="2514600" cy="1435100"/>
                  <wp:effectExtent l="0" t="0" r="0" b="0"/>
                  <wp:docPr id="1031"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7" cstate="print"/>
                          <a:srcRect l="0" t="0" r="0" b="0"/>
                          <a:stretch/>
                        </pic:blipFill>
                        <pic:spPr>
                          <a:xfrm rot="0">
                            <a:off x="0" y="0"/>
                            <a:ext cx="2514600" cy="1435100"/>
                          </a:xfrm>
                          <a:prstGeom prst="rect"/>
                          <a:ln cmpd="sng" cap="flat" w="9525">
                            <a:solidFill>
                              <a:srgbClr val="000000"/>
                            </a:solidFill>
                            <a:prstDash val="solid"/>
                            <a:round/>
                            <a:headEnd/>
                            <a:tailEnd/>
                          </a:ln>
                        </pic:spPr>
                      </pic:pic>
                    </a:graphicData>
                  </a:graphic>
                </wp:inline>
              </w:drawing>
            </w:r>
          </w:p>
          <w:p w14:paraId="D1BDD9EC">
            <w:pPr>
              <w:pStyle w:val="style4098"/>
              <w:jc w:val="center"/>
              <w:rPr>
                <w:color w:val="0d0d0d"/>
                <w:lang w:val="en-GB"/>
              </w:rPr>
            </w:pPr>
            <w:r>
              <w:rPr>
                <w:b/>
                <w:bCs/>
                <w:color w:val="0d0d0d"/>
                <w:lang w:val="en-GB"/>
              </w:rPr>
              <w:t>Figure 4: UK inflation, 2026</w:t>
            </w:r>
            <w:r>
              <w:rPr>
                <w:color w:val="0d0d0d"/>
                <w:lang w:val="en-GB"/>
              </w:rPr>
              <w:br/>
            </w:r>
            <w:r>
              <w:rPr>
                <w:color w:val="0d0d0d"/>
                <w:lang w:val="en-GB"/>
              </w:rPr>
              <w:t>(source: ON</w:t>
            </w:r>
            <w:r>
              <w:rPr>
                <w:color w:val="0d0d0d"/>
                <w:lang w:val="en-GB"/>
              </w:rPr>
              <w:t xml:space="preserve">S, 2026) </w:t>
            </w:r>
          </w:p>
        </w:tc>
        <w:tc>
          <w:tcPr>
            <w:tcW w:w="2730" w:type="dxa"/>
            <w:tcBorders>
              <w:top w:val="nil"/>
              <w:left w:val="nil"/>
              <w:bottom w:val="single" w:sz="5" w:space="0" w:color="000000"/>
              <w:right w:val="single" w:sz="5" w:space="0" w:color="000000"/>
            </w:tcBorders>
            <w:tcMar>
              <w:top w:w="0" w:type="dxa"/>
              <w:left w:w="100" w:type="dxa"/>
              <w:bottom w:w="0" w:type="dxa"/>
              <w:right w:w="100" w:type="dxa"/>
            </w:tcMar>
          </w:tcPr>
          <w:p w14:paraId="CA754CF3">
            <w:pPr>
              <w:pStyle w:val="style4098"/>
              <w:rPr>
                <w:color w:val="0d0d0d"/>
                <w:lang w:val="en-GB"/>
              </w:rPr>
            </w:pPr>
            <w:r>
              <w:rPr>
                <w:color w:val="0d0d0d"/>
                <w:lang w:val="en-GB"/>
              </w:rPr>
              <w:t>Significant opportunity due to premium pricing power and strong consumer loyalty.</w:t>
            </w:r>
          </w:p>
        </w:tc>
      </w:tr>
      <w:tr w14:paraId="DB4E231B">
        <w:tblPrEx/>
        <w:trPr>
          <w:trHeight w:val="5055" w:hRule="atLeast"/>
        </w:trPr>
        <w:tc>
          <w:tcPr>
            <w:tcW w:w="1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EC0AFBE">
            <w:pPr>
              <w:pStyle w:val="style4098"/>
              <w:rPr>
                <w:b/>
                <w:bCs/>
                <w:color w:val="0d0d0d"/>
                <w:lang w:val="en-GB"/>
              </w:rPr>
            </w:pPr>
            <w:r>
              <w:rPr>
                <w:b/>
                <w:bCs/>
                <w:color w:val="0d0d0d"/>
                <w:lang w:val="en-GB"/>
              </w:rPr>
              <w:t>Social</w:t>
            </w:r>
          </w:p>
        </w:tc>
        <w:tc>
          <w:tcPr>
            <w:tcW w:w="4620" w:type="dxa"/>
            <w:tcBorders>
              <w:top w:val="nil"/>
              <w:left w:val="nil"/>
              <w:bottom w:val="single" w:sz="5" w:space="0" w:color="000000"/>
              <w:right w:val="single" w:sz="5" w:space="0" w:color="000000"/>
            </w:tcBorders>
            <w:tcMar>
              <w:top w:w="0" w:type="dxa"/>
              <w:left w:w="100" w:type="dxa"/>
              <w:bottom w:w="0" w:type="dxa"/>
              <w:right w:w="100" w:type="dxa"/>
            </w:tcMar>
          </w:tcPr>
          <w:p w14:paraId="DCABC139">
            <w:pPr>
              <w:pStyle w:val="style4098"/>
              <w:rPr>
                <w:color w:val="0d0d0d"/>
                <w:lang w:val="en-GB"/>
              </w:rPr>
            </w:pPr>
            <w:r>
              <w:rPr>
                <w:color w:val="0d0d0d"/>
                <w:lang w:val="en-GB"/>
              </w:rPr>
              <w:t>UK consumers are increasingly prioritising healthier lifestyles, with low and no-sugar soft drinks accounting for over 70% of carbonated soft drink sales in recent years, driven by shifting health preferences and the Soft Drinks Industry Levy (Grocerytrade</w:t>
            </w:r>
            <w:r>
              <w:rPr>
                <w:color w:val="0d0d0d"/>
                <w:lang w:val="en-GB"/>
              </w:rPr>
              <w:t>r, 2026). This shift reduces demand for high-sugar beverages while accelerating growth in zero-sugar alternatives. Coca-Cola Zero Sugar benefits directly by satisfying health-conscious consumers without compromising the original Coca-Cola taste.</w:t>
            </w:r>
          </w:p>
        </w:tc>
        <w:tc>
          <w:tcPr>
            <w:tcW w:w="2730" w:type="dxa"/>
            <w:tcBorders>
              <w:top w:val="nil"/>
              <w:left w:val="nil"/>
              <w:bottom w:val="single" w:sz="5" w:space="0" w:color="000000"/>
              <w:right w:val="single" w:sz="5" w:space="0" w:color="000000"/>
            </w:tcBorders>
            <w:tcMar>
              <w:top w:w="0" w:type="dxa"/>
              <w:left w:w="100" w:type="dxa"/>
              <w:bottom w:w="0" w:type="dxa"/>
              <w:right w:w="100" w:type="dxa"/>
            </w:tcMar>
          </w:tcPr>
          <w:p w14:paraId="8082A6FF">
            <w:pPr>
              <w:pStyle w:val="style4098"/>
              <w:rPr>
                <w:color w:val="0d0d0d"/>
                <w:lang w:val="en-GB"/>
              </w:rPr>
            </w:pPr>
            <w:r>
              <w:rPr>
                <w:color w:val="0d0d0d"/>
                <w:lang w:val="en-GB"/>
              </w:rPr>
              <w:t>Major oppo</w:t>
            </w:r>
            <w:r>
              <w:rPr>
                <w:color w:val="0d0d0d"/>
                <w:lang w:val="en-GB"/>
              </w:rPr>
              <w:t>rtunity for zero-sugar beverages; threat for traditional sugary drinks.</w:t>
            </w:r>
          </w:p>
        </w:tc>
      </w:tr>
      <w:tr w14:paraId="ABF53011">
        <w:tblPrEx/>
        <w:trPr>
          <w:trHeight w:val="5655" w:hRule="atLeast"/>
        </w:trPr>
        <w:tc>
          <w:tcPr>
            <w:tcW w:w="1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E3EF4201">
            <w:pPr>
              <w:pStyle w:val="style4098"/>
              <w:rPr>
                <w:b/>
                <w:bCs/>
                <w:color w:val="0d0d0d"/>
                <w:lang w:val="en-GB"/>
              </w:rPr>
            </w:pPr>
            <w:r>
              <w:rPr>
                <w:b/>
                <w:bCs/>
                <w:color w:val="0d0d0d"/>
                <w:lang w:val="en-GB"/>
              </w:rPr>
              <w:t>Technological</w:t>
            </w:r>
          </w:p>
        </w:tc>
        <w:tc>
          <w:tcPr>
            <w:tcW w:w="4620" w:type="dxa"/>
            <w:tcBorders>
              <w:top w:val="nil"/>
              <w:left w:val="nil"/>
              <w:bottom w:val="single" w:sz="5" w:space="0" w:color="000000"/>
              <w:right w:val="single" w:sz="5" w:space="0" w:color="000000"/>
            </w:tcBorders>
            <w:tcMar>
              <w:top w:w="0" w:type="dxa"/>
              <w:left w:w="100" w:type="dxa"/>
              <w:bottom w:w="0" w:type="dxa"/>
              <w:right w:w="100" w:type="dxa"/>
            </w:tcMar>
          </w:tcPr>
          <w:p w14:paraId="D605AEFC">
            <w:pPr>
              <w:pStyle w:val="style4098"/>
              <w:rPr>
                <w:color w:val="0d0d0d"/>
                <w:lang w:val="en-GB"/>
              </w:rPr>
            </w:pPr>
            <w:r>
              <w:rPr>
                <w:color w:val="0d0d0d"/>
                <w:lang w:val="en-GB"/>
              </w:rPr>
              <w:t>AI adoption across UK businesses continues expanding rapidly, with around 78% of large UK organisations implementing at least one AI technology during 2025 (ONS, 2026)</w:t>
            </w:r>
            <w:r>
              <w:rPr>
                <w:color w:val="0d0d0d"/>
                <w:lang w:val="en-GB"/>
              </w:rPr>
              <w:t>. AI improves production planning, demand forecasting, quality control and personalised marketing. Coca-Cola's investment in AI-driven consumer analytics, digital marketing and supply-chain optimisation enhances operational efficiency, product innovation a</w:t>
            </w:r>
            <w:r>
              <w:rPr>
                <w:color w:val="0d0d0d"/>
                <w:lang w:val="en-GB"/>
              </w:rPr>
              <w:t>nd customer engagement, strengthening its competitive advantage within the UK beverage market.</w:t>
            </w:r>
          </w:p>
        </w:tc>
        <w:tc>
          <w:tcPr>
            <w:tcW w:w="2730" w:type="dxa"/>
            <w:tcBorders>
              <w:top w:val="nil"/>
              <w:left w:val="nil"/>
              <w:bottom w:val="single" w:sz="5" w:space="0" w:color="000000"/>
              <w:right w:val="single" w:sz="5" w:space="0" w:color="000000"/>
            </w:tcBorders>
            <w:tcMar>
              <w:top w:w="0" w:type="dxa"/>
              <w:left w:w="100" w:type="dxa"/>
              <w:bottom w:w="0" w:type="dxa"/>
              <w:right w:w="100" w:type="dxa"/>
            </w:tcMar>
          </w:tcPr>
          <w:p w14:paraId="418C8C99">
            <w:pPr>
              <w:pStyle w:val="style4098"/>
              <w:rPr>
                <w:color w:val="0d0d0d"/>
                <w:lang w:val="en-GB"/>
              </w:rPr>
            </w:pPr>
            <w:r>
              <w:rPr>
                <w:color w:val="0d0d0d"/>
                <w:lang w:val="en-GB"/>
              </w:rPr>
              <w:t>Strong opportunity through greater efficiency, innovation and customer insights.</w:t>
            </w:r>
          </w:p>
        </w:tc>
      </w:tr>
      <w:tr w14:paraId="768F5243">
        <w:tblPrEx/>
        <w:trPr>
          <w:trHeight w:val="3957" w:hRule="atLeast"/>
        </w:trPr>
        <w:tc>
          <w:tcPr>
            <w:tcW w:w="1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B4C7195B">
            <w:pPr>
              <w:pStyle w:val="style4098"/>
              <w:rPr>
                <w:b/>
                <w:bCs/>
                <w:color w:val="0d0d0d"/>
                <w:lang w:val="en-GB"/>
              </w:rPr>
            </w:pPr>
            <w:r>
              <w:rPr>
                <w:b/>
                <w:bCs/>
                <w:color w:val="0d0d0d"/>
                <w:lang w:val="en-GB"/>
              </w:rPr>
              <w:t>Environmental</w:t>
            </w:r>
          </w:p>
        </w:tc>
        <w:tc>
          <w:tcPr>
            <w:tcW w:w="4620" w:type="dxa"/>
            <w:tcBorders>
              <w:top w:val="nil"/>
              <w:left w:val="nil"/>
              <w:bottom w:val="single" w:sz="5" w:space="0" w:color="000000"/>
              <w:right w:val="single" w:sz="5" w:space="0" w:color="000000"/>
            </w:tcBorders>
            <w:tcMar>
              <w:top w:w="0" w:type="dxa"/>
              <w:left w:w="100" w:type="dxa"/>
              <w:bottom w:w="0" w:type="dxa"/>
              <w:right w:w="100" w:type="dxa"/>
            </w:tcMar>
          </w:tcPr>
          <w:p w14:paraId="1695E8CD">
            <w:pPr>
              <w:pStyle w:val="style4098"/>
              <w:rPr>
                <w:color w:val="0d0d0d"/>
                <w:lang w:val="en-GB"/>
              </w:rPr>
            </w:pPr>
            <w:r>
              <w:rPr>
                <w:color w:val="0d0d0d"/>
                <w:lang w:val="en-GB"/>
              </w:rPr>
              <w:t>The UK Government's legally binding commitment to achieve net-zero greenhouse gas emissions by 2050 requires beverage manufacturers to reduce emissions, improve packaging recyclability and strengthen resource efficiency (Burnett and Stewart, 2024). Complia</w:t>
            </w:r>
            <w:r>
              <w:rPr>
                <w:color w:val="0d0d0d"/>
                <w:lang w:val="en-GB"/>
              </w:rPr>
              <w:t xml:space="preserve">nce increases operational costs across the industry but also creates opportunities for sustainable product differentiation. Coca-Cola's investments in recyclable packaging, carbon reduction and water stewardship strengthen its environmental reputation and </w:t>
            </w:r>
            <w:r>
              <w:rPr>
                <w:color w:val="0d0d0d"/>
                <w:lang w:val="en-GB"/>
              </w:rPr>
              <w:t>long-term competitive positioning.</w:t>
            </w:r>
          </w:p>
          <w:p w14:paraId="0C69EBFB">
            <w:pPr>
              <w:pStyle w:val="style4098"/>
              <w:jc w:val="center"/>
              <w:rPr>
                <w:color w:val="0d0d0d"/>
                <w:lang w:val="en-GB"/>
              </w:rPr>
            </w:pPr>
            <w:r>
              <w:rPr>
                <w:noProof/>
                <w:color w:val="0d0d0d"/>
                <w:lang w:val="en-GB"/>
              </w:rPr>
              <w:drawing>
                <wp:inline distL="0" distT="0" distB="0" distR="0">
                  <wp:extent cx="2624138" cy="2009775"/>
                  <wp:effectExtent l="0" t="0" r="0" b="0"/>
                  <wp:docPr id="1032"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8" cstate="print"/>
                          <a:srcRect l="0" t="0" r="0" b="0"/>
                          <a:stretch/>
                        </pic:blipFill>
                        <pic:spPr>
                          <a:xfrm rot="0">
                            <a:off x="0" y="0"/>
                            <a:ext cx="2624138" cy="2009775"/>
                          </a:xfrm>
                          <a:prstGeom prst="rect"/>
                          <a:ln cmpd="sng" cap="flat" w="9525">
                            <a:solidFill>
                              <a:srgbClr val="000000"/>
                            </a:solidFill>
                            <a:prstDash val="solid"/>
                            <a:round/>
                            <a:headEnd/>
                            <a:tailEnd/>
                          </a:ln>
                        </pic:spPr>
                      </pic:pic>
                    </a:graphicData>
                  </a:graphic>
                </wp:inline>
              </w:drawing>
            </w:r>
          </w:p>
          <w:p w14:paraId="98A3E20C">
            <w:pPr>
              <w:pStyle w:val="style4098"/>
              <w:jc w:val="center"/>
              <w:rPr>
                <w:b/>
                <w:bCs/>
                <w:color w:val="0d0d0d"/>
                <w:lang w:val="en-GB"/>
              </w:rPr>
            </w:pPr>
            <w:r>
              <w:rPr>
                <w:b/>
                <w:bCs/>
                <w:color w:val="0d0d0d"/>
                <w:lang w:val="en-GB"/>
              </w:rPr>
              <w:t>Figure 5: Climate Action, UK</w:t>
            </w:r>
          </w:p>
          <w:p w14:paraId="09112D77">
            <w:pPr>
              <w:pStyle w:val="style4098"/>
              <w:jc w:val="center"/>
              <w:rPr>
                <w:color w:val="0d0d0d"/>
                <w:lang w:val="en-GB"/>
              </w:rPr>
            </w:pPr>
            <w:r>
              <w:rPr>
                <w:color w:val="0d0d0d"/>
                <w:lang w:val="en-GB"/>
              </w:rPr>
              <w:t xml:space="preserve">(Source: BBC, 2021) </w:t>
            </w:r>
          </w:p>
        </w:tc>
        <w:tc>
          <w:tcPr>
            <w:tcW w:w="2730" w:type="dxa"/>
            <w:tcBorders>
              <w:top w:val="nil"/>
              <w:left w:val="nil"/>
              <w:bottom w:val="single" w:sz="5" w:space="0" w:color="000000"/>
              <w:right w:val="single" w:sz="5" w:space="0" w:color="000000"/>
            </w:tcBorders>
            <w:tcMar>
              <w:top w:w="0" w:type="dxa"/>
              <w:left w:w="100" w:type="dxa"/>
              <w:bottom w:w="0" w:type="dxa"/>
              <w:right w:w="100" w:type="dxa"/>
            </w:tcMar>
          </w:tcPr>
          <w:p w14:paraId="0CD5B4C9">
            <w:pPr>
              <w:pStyle w:val="style4098"/>
              <w:rPr>
                <w:color w:val="0d0d0d"/>
                <w:lang w:val="en-GB"/>
              </w:rPr>
            </w:pPr>
            <w:r>
              <w:rPr>
                <w:color w:val="0d0d0d"/>
                <w:lang w:val="en-GB"/>
              </w:rPr>
              <w:t>Long-term opportunity through sustainability leadership and stronger brand reputation.</w:t>
            </w:r>
          </w:p>
        </w:tc>
      </w:tr>
      <w:tr w14:paraId="D13A591F">
        <w:tblPrEx/>
        <w:trPr>
          <w:trHeight w:val="5505" w:hRule="atLeast"/>
        </w:trPr>
        <w:tc>
          <w:tcPr>
            <w:tcW w:w="1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43321E">
            <w:pPr>
              <w:pStyle w:val="style4098"/>
              <w:rPr>
                <w:color w:val="0d0d0d"/>
                <w:lang w:val="en-GB"/>
              </w:rPr>
            </w:pPr>
            <w:r>
              <w:rPr>
                <w:color w:val="0d0d0d"/>
                <w:lang w:val="en-GB"/>
              </w:rPr>
              <w:t>Legal</w:t>
            </w:r>
          </w:p>
        </w:tc>
        <w:tc>
          <w:tcPr>
            <w:tcW w:w="4620" w:type="dxa"/>
            <w:tcBorders>
              <w:top w:val="nil"/>
              <w:left w:val="nil"/>
              <w:bottom w:val="single" w:sz="5" w:space="0" w:color="000000"/>
              <w:right w:val="single" w:sz="5" w:space="0" w:color="000000"/>
            </w:tcBorders>
            <w:tcMar>
              <w:top w:w="0" w:type="dxa"/>
              <w:left w:w="100" w:type="dxa"/>
              <w:bottom w:w="0" w:type="dxa"/>
              <w:right w:w="100" w:type="dxa"/>
            </w:tcMar>
          </w:tcPr>
          <w:p w14:paraId="B119D8C0">
            <w:pPr>
              <w:pStyle w:val="style4098"/>
              <w:rPr>
                <w:color w:val="0d0d0d"/>
                <w:lang w:val="en-GB"/>
              </w:rPr>
            </w:pPr>
            <w:r>
              <w:rPr>
                <w:color w:val="0d0d0d"/>
                <w:lang w:val="en-GB"/>
              </w:rPr>
              <w:t>The Health and Safety at Work Act 1974 remains the principal legislation go</w:t>
            </w:r>
            <w:r>
              <w:rPr>
                <w:color w:val="0d0d0d"/>
                <w:lang w:val="en-GB"/>
              </w:rPr>
              <w:t>verning workplace safety across UK manufacturing industries, including food and beverage production (HSE, 2024). Compliance requires continuous investment in employee safety, operational controls and regulatory monitoring, increasing industry-wide costs. C</w:t>
            </w:r>
            <w:r>
              <w:rPr>
                <w:color w:val="0d0d0d"/>
                <w:lang w:val="en-GB"/>
              </w:rPr>
              <w:t>oca-Cola's established global compliance systems reduce regulatory risk, strengthen consumer confidence and create barriers for less-resourced competitors.</w:t>
            </w:r>
          </w:p>
        </w:tc>
        <w:tc>
          <w:tcPr>
            <w:tcW w:w="2730" w:type="dxa"/>
            <w:tcBorders>
              <w:top w:val="nil"/>
              <w:left w:val="nil"/>
              <w:bottom w:val="single" w:sz="5" w:space="0" w:color="000000"/>
              <w:right w:val="single" w:sz="5" w:space="0" w:color="000000"/>
            </w:tcBorders>
            <w:tcMar>
              <w:top w:w="0" w:type="dxa"/>
              <w:left w:w="100" w:type="dxa"/>
              <w:bottom w:w="0" w:type="dxa"/>
              <w:right w:w="100" w:type="dxa"/>
            </w:tcMar>
          </w:tcPr>
          <w:p w14:paraId="7CCE8369">
            <w:pPr>
              <w:pStyle w:val="style4098"/>
              <w:rPr>
                <w:color w:val="0d0d0d"/>
                <w:lang w:val="en-GB"/>
              </w:rPr>
            </w:pPr>
            <w:r>
              <w:rPr>
                <w:color w:val="0d0d0d"/>
                <w:lang w:val="en-GB"/>
              </w:rPr>
              <w:t>Threat through compliance costs, yet moderate opportunity because strong governance enhances trust a</w:t>
            </w:r>
            <w:r>
              <w:rPr>
                <w:color w:val="0d0d0d"/>
                <w:lang w:val="en-GB"/>
              </w:rPr>
              <w:t>nd competitive advantage.</w:t>
            </w:r>
          </w:p>
        </w:tc>
      </w:tr>
    </w:tbl>
    <w:p w14:paraId="41EB88D0">
      <w:pPr>
        <w:pStyle w:val="style4098"/>
        <w:jc w:val="center"/>
        <w:rPr>
          <w:b/>
          <w:bCs/>
          <w:color w:val="0d0d0d"/>
          <w:lang w:val="en-GB"/>
        </w:rPr>
      </w:pPr>
      <w:r>
        <w:rPr>
          <w:b/>
          <w:bCs/>
          <w:color w:val="0d0d0d"/>
          <w:lang w:val="en-GB"/>
        </w:rPr>
        <w:t xml:space="preserve">Table 1: PESTEL Analysis </w:t>
      </w:r>
    </w:p>
    <w:p w14:paraId="BF5E8A14">
      <w:pPr>
        <w:pStyle w:val="style4098"/>
        <w:jc w:val="center"/>
        <w:rPr>
          <w:color w:val="0d0d0d"/>
          <w:lang w:val="en-GB"/>
        </w:rPr>
      </w:pPr>
      <w:r>
        <w:rPr>
          <w:color w:val="0d0d0d"/>
          <w:lang w:val="en-GB"/>
        </w:rPr>
        <w:t>(Source: Self-developed)</w:t>
      </w:r>
    </w:p>
    <w:bookmarkStart w:id="30" w:name="_vz75ecrus11k" w:colFirst="0" w:colLast="0"/>
    <w:bookmarkStart w:id="31" w:name="_Toc236513675"/>
    <w:bookmarkEnd w:id="30"/>
    <w:p w14:paraId="F914B5FA">
      <w:pPr>
        <w:pStyle w:val="style2"/>
        <w:rPr>
          <w:color w:val="0d0d0d"/>
          <w:lang w:val="en-GB"/>
        </w:rPr>
      </w:pPr>
      <w:r>
        <w:rPr>
          <w:color w:val="0d0d0d"/>
          <w:lang w:val="en-GB"/>
        </w:rPr>
        <w:t>2.2 Internal Analysis VRIO</w:t>
      </w:r>
      <w:bookmarkEnd w:id="31"/>
    </w:p>
    <w:tbl>
      <w:tblPr>
        <w:tblStyle w:val="style4100"/>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35"/>
        <w:gridCol w:w="1215"/>
        <w:gridCol w:w="765"/>
        <w:gridCol w:w="1365"/>
        <w:gridCol w:w="1410"/>
        <w:gridCol w:w="1605"/>
      </w:tblGrid>
      <w:tr w14:paraId="430CBC4C">
        <w:trPr>
          <w:trHeight w:val="1155" w:hRule="atLeast"/>
        </w:trPr>
        <w:tc>
          <w:tcPr>
            <w:tcW w:w="253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18499AB">
            <w:pPr>
              <w:pStyle w:val="style4098"/>
              <w:jc w:val="center"/>
              <w:rPr>
                <w:b/>
                <w:bCs/>
                <w:color w:val="0d0d0d"/>
                <w:lang w:val="en-GB"/>
              </w:rPr>
            </w:pPr>
            <w:r>
              <w:rPr>
                <w:b/>
                <w:bCs/>
                <w:color w:val="0d0d0d"/>
                <w:lang w:val="en-GB"/>
              </w:rPr>
              <w:t>Strategic Resource/Capability</w:t>
            </w:r>
          </w:p>
        </w:tc>
        <w:tc>
          <w:tcPr>
            <w:tcW w:w="121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770261A">
            <w:pPr>
              <w:pStyle w:val="style4098"/>
              <w:jc w:val="center"/>
              <w:rPr>
                <w:b/>
                <w:bCs/>
                <w:color w:val="0d0d0d"/>
                <w:lang w:val="en-GB"/>
              </w:rPr>
            </w:pPr>
            <w:r>
              <w:rPr>
                <w:b/>
                <w:bCs/>
                <w:color w:val="0d0d0d"/>
                <w:lang w:val="en-GB"/>
              </w:rPr>
              <w:t>Valuable</w:t>
            </w:r>
          </w:p>
        </w:tc>
        <w:tc>
          <w:tcPr>
            <w:tcW w:w="7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5C3498C">
            <w:pPr>
              <w:pStyle w:val="style4098"/>
              <w:jc w:val="center"/>
              <w:rPr>
                <w:b/>
                <w:bCs/>
                <w:color w:val="0d0d0d"/>
                <w:lang w:val="en-GB"/>
              </w:rPr>
            </w:pPr>
            <w:r>
              <w:rPr>
                <w:b/>
                <w:bCs/>
                <w:color w:val="0d0d0d"/>
                <w:lang w:val="en-GB"/>
              </w:rPr>
              <w:t>Rare</w:t>
            </w:r>
          </w:p>
        </w:tc>
        <w:tc>
          <w:tcPr>
            <w:tcW w:w="13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99718BDF">
            <w:pPr>
              <w:pStyle w:val="style4098"/>
              <w:jc w:val="center"/>
              <w:rPr>
                <w:b/>
                <w:bCs/>
                <w:color w:val="0d0d0d"/>
                <w:lang w:val="en-GB"/>
              </w:rPr>
            </w:pPr>
            <w:r>
              <w:rPr>
                <w:b/>
                <w:bCs/>
                <w:color w:val="0d0d0d"/>
                <w:lang w:val="en-GB"/>
              </w:rPr>
              <w:t>Inimitable</w:t>
            </w:r>
          </w:p>
        </w:tc>
        <w:tc>
          <w:tcPr>
            <w:tcW w:w="141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FAA179F6">
            <w:pPr>
              <w:pStyle w:val="style4098"/>
              <w:jc w:val="center"/>
              <w:rPr>
                <w:b/>
                <w:bCs/>
                <w:color w:val="0d0d0d"/>
                <w:lang w:val="en-GB"/>
              </w:rPr>
            </w:pPr>
            <w:r>
              <w:rPr>
                <w:b/>
                <w:bCs/>
                <w:color w:val="0d0d0d"/>
                <w:lang w:val="en-GB"/>
              </w:rPr>
              <w:t>Organised</w:t>
            </w:r>
          </w:p>
        </w:tc>
        <w:tc>
          <w:tcPr>
            <w:tcW w:w="160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B6975D5">
            <w:pPr>
              <w:pStyle w:val="style4098"/>
              <w:jc w:val="center"/>
              <w:rPr>
                <w:b/>
                <w:bCs/>
                <w:color w:val="0d0d0d"/>
                <w:lang w:val="en-GB"/>
              </w:rPr>
            </w:pPr>
            <w:r>
              <w:rPr>
                <w:b/>
                <w:bCs/>
                <w:color w:val="0d0d0d"/>
                <w:lang w:val="en-GB"/>
              </w:rPr>
              <w:t>Competitive Advantage</w:t>
            </w:r>
          </w:p>
        </w:tc>
      </w:tr>
      <w:tr w14:paraId="E5FE470B">
        <w:tblPrEx/>
        <w:trPr>
          <w:trHeight w:val="1095" w:hRule="atLeast"/>
        </w:trPr>
        <w:tc>
          <w:tcPr>
            <w:tcW w:w="253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D4D8EEAA">
            <w:pPr>
              <w:pStyle w:val="style4098"/>
              <w:rPr>
                <w:color w:val="0d0d0d"/>
                <w:lang w:val="en-GB"/>
              </w:rPr>
            </w:pPr>
            <w:r>
              <w:rPr>
                <w:color w:val="0d0d0d"/>
                <w:lang w:val="en-GB"/>
              </w:rPr>
              <w:t>Coca-Cola global brand equity and consumer loyalty</w:t>
            </w:r>
          </w:p>
        </w:tc>
        <w:tc>
          <w:tcPr>
            <w:tcW w:w="1215" w:type="dxa"/>
            <w:tcBorders>
              <w:top w:val="nil"/>
              <w:left w:val="nil"/>
              <w:bottom w:val="single" w:sz="5" w:space="0" w:color="000000"/>
              <w:right w:val="single" w:sz="5" w:space="0" w:color="000000"/>
            </w:tcBorders>
            <w:tcMar>
              <w:top w:w="0" w:type="dxa"/>
              <w:left w:w="100" w:type="dxa"/>
              <w:bottom w:w="0" w:type="dxa"/>
              <w:right w:w="100" w:type="dxa"/>
            </w:tcMar>
          </w:tcPr>
          <w:p w14:paraId="07F67053">
            <w:pPr>
              <w:pStyle w:val="style4098"/>
              <w:rPr>
                <w:color w:val="0d0d0d"/>
                <w:lang w:val="en-GB"/>
              </w:rPr>
            </w:pPr>
            <w:r>
              <w:rPr>
                <w:color w:val="0d0d0d"/>
                <w:lang w:val="en-GB"/>
              </w:rPr>
              <w:t>Yes</w:t>
            </w:r>
          </w:p>
        </w:tc>
        <w:tc>
          <w:tcPr>
            <w:tcW w:w="765" w:type="dxa"/>
            <w:tcBorders>
              <w:top w:val="nil"/>
              <w:left w:val="nil"/>
              <w:bottom w:val="single" w:sz="5" w:space="0" w:color="000000"/>
              <w:right w:val="single" w:sz="5" w:space="0" w:color="000000"/>
            </w:tcBorders>
            <w:tcMar>
              <w:top w:w="0" w:type="dxa"/>
              <w:left w:w="100" w:type="dxa"/>
              <w:bottom w:w="0" w:type="dxa"/>
              <w:right w:w="100" w:type="dxa"/>
            </w:tcMar>
          </w:tcPr>
          <w:p w14:paraId="B3485F57">
            <w:pPr>
              <w:pStyle w:val="style4098"/>
              <w:rPr>
                <w:color w:val="0d0d0d"/>
                <w:lang w:val="en-GB"/>
              </w:rPr>
            </w:pPr>
            <w:r>
              <w:rPr>
                <w:color w:val="0d0d0d"/>
                <w:lang w:val="en-GB"/>
              </w:rPr>
              <w:t>Yes</w:t>
            </w:r>
          </w:p>
        </w:tc>
        <w:tc>
          <w:tcPr>
            <w:tcW w:w="1365" w:type="dxa"/>
            <w:tcBorders>
              <w:top w:val="nil"/>
              <w:left w:val="nil"/>
              <w:bottom w:val="single" w:sz="5" w:space="0" w:color="000000"/>
              <w:right w:val="single" w:sz="5" w:space="0" w:color="000000"/>
            </w:tcBorders>
            <w:tcMar>
              <w:top w:w="0" w:type="dxa"/>
              <w:left w:w="100" w:type="dxa"/>
              <w:bottom w:w="0" w:type="dxa"/>
              <w:right w:w="100" w:type="dxa"/>
            </w:tcMar>
          </w:tcPr>
          <w:p w14:paraId="8001BCFE">
            <w:pPr>
              <w:pStyle w:val="style4098"/>
              <w:rPr>
                <w:color w:val="0d0d0d"/>
                <w:lang w:val="en-GB"/>
              </w:rPr>
            </w:pPr>
            <w:r>
              <w:rPr>
                <w:color w:val="0d0d0d"/>
                <w:lang w:val="en-GB"/>
              </w:rPr>
              <w:t>Yes</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4026952B">
            <w:pPr>
              <w:pStyle w:val="style4098"/>
              <w:rPr>
                <w:color w:val="0d0d0d"/>
                <w:lang w:val="en-GB"/>
              </w:rPr>
            </w:pPr>
            <w:r>
              <w:rPr>
                <w:color w:val="0d0d0d"/>
                <w:lang w:val="en-GB"/>
              </w:rPr>
              <w:t>Yes</w:t>
            </w:r>
          </w:p>
        </w:tc>
        <w:tc>
          <w:tcPr>
            <w:tcW w:w="1605" w:type="dxa"/>
            <w:tcBorders>
              <w:top w:val="nil"/>
              <w:left w:val="nil"/>
              <w:bottom w:val="single" w:sz="5" w:space="0" w:color="000000"/>
              <w:right w:val="single" w:sz="5" w:space="0" w:color="000000"/>
            </w:tcBorders>
            <w:tcMar>
              <w:top w:w="0" w:type="dxa"/>
              <w:left w:w="100" w:type="dxa"/>
              <w:bottom w:w="0" w:type="dxa"/>
              <w:right w:w="100" w:type="dxa"/>
            </w:tcMar>
          </w:tcPr>
          <w:p w14:paraId="103CF0E8">
            <w:pPr>
              <w:pStyle w:val="style4098"/>
              <w:rPr>
                <w:b/>
                <w:bCs/>
                <w:color w:val="0d0d0d"/>
                <w:lang w:val="en-GB"/>
              </w:rPr>
            </w:pPr>
            <w:r>
              <w:rPr>
                <w:b/>
                <w:bCs/>
                <w:color w:val="0d0d0d"/>
                <w:lang w:val="en-GB"/>
              </w:rPr>
              <w:t>Sustained Competitive Advantage</w:t>
            </w:r>
          </w:p>
        </w:tc>
      </w:tr>
      <w:tr w14:paraId="C6492BE3">
        <w:tblPrEx/>
        <w:trPr>
          <w:trHeight w:val="1455" w:hRule="atLeast"/>
        </w:trPr>
        <w:tc>
          <w:tcPr>
            <w:tcW w:w="253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BF828362">
            <w:pPr>
              <w:pStyle w:val="style4098"/>
              <w:rPr>
                <w:color w:val="0d0d0d"/>
                <w:lang w:val="en-GB"/>
              </w:rPr>
            </w:pPr>
            <w:r>
              <w:rPr>
                <w:color w:val="0d0d0d"/>
                <w:lang w:val="en-GB"/>
              </w:rPr>
              <w:t>Coca-Cola Zero Sugar product formulation and taste profile</w:t>
            </w:r>
          </w:p>
        </w:tc>
        <w:tc>
          <w:tcPr>
            <w:tcW w:w="1215" w:type="dxa"/>
            <w:tcBorders>
              <w:top w:val="nil"/>
              <w:left w:val="nil"/>
              <w:bottom w:val="single" w:sz="5" w:space="0" w:color="000000"/>
              <w:right w:val="single" w:sz="5" w:space="0" w:color="000000"/>
            </w:tcBorders>
            <w:tcMar>
              <w:top w:w="0" w:type="dxa"/>
              <w:left w:w="100" w:type="dxa"/>
              <w:bottom w:w="0" w:type="dxa"/>
              <w:right w:w="100" w:type="dxa"/>
            </w:tcMar>
          </w:tcPr>
          <w:p w14:paraId="8E6A5FB3">
            <w:pPr>
              <w:pStyle w:val="style4098"/>
              <w:rPr>
                <w:color w:val="0d0d0d"/>
                <w:lang w:val="en-GB"/>
              </w:rPr>
            </w:pPr>
            <w:r>
              <w:rPr>
                <w:color w:val="0d0d0d"/>
                <w:lang w:val="en-GB"/>
              </w:rPr>
              <w:t>Yes</w:t>
            </w:r>
          </w:p>
        </w:tc>
        <w:tc>
          <w:tcPr>
            <w:tcW w:w="765" w:type="dxa"/>
            <w:tcBorders>
              <w:top w:val="nil"/>
              <w:left w:val="nil"/>
              <w:bottom w:val="single" w:sz="5" w:space="0" w:color="000000"/>
              <w:right w:val="single" w:sz="5" w:space="0" w:color="000000"/>
            </w:tcBorders>
            <w:tcMar>
              <w:top w:w="0" w:type="dxa"/>
              <w:left w:w="100" w:type="dxa"/>
              <w:bottom w:w="0" w:type="dxa"/>
              <w:right w:w="100" w:type="dxa"/>
            </w:tcMar>
          </w:tcPr>
          <w:p w14:paraId="8D54A406">
            <w:pPr>
              <w:pStyle w:val="style4098"/>
              <w:rPr>
                <w:color w:val="0d0d0d"/>
                <w:lang w:val="en-GB"/>
              </w:rPr>
            </w:pPr>
            <w:r>
              <w:rPr>
                <w:color w:val="0d0d0d"/>
                <w:lang w:val="en-GB"/>
              </w:rPr>
              <w:t>No</w:t>
            </w:r>
          </w:p>
        </w:tc>
        <w:tc>
          <w:tcPr>
            <w:tcW w:w="1365" w:type="dxa"/>
            <w:tcBorders>
              <w:top w:val="nil"/>
              <w:left w:val="nil"/>
              <w:bottom w:val="single" w:sz="5" w:space="0" w:color="000000"/>
              <w:right w:val="single" w:sz="5" w:space="0" w:color="000000"/>
            </w:tcBorders>
            <w:tcMar>
              <w:top w:w="0" w:type="dxa"/>
              <w:left w:w="100" w:type="dxa"/>
              <w:bottom w:w="0" w:type="dxa"/>
              <w:right w:w="100" w:type="dxa"/>
            </w:tcMar>
          </w:tcPr>
          <w:p w14:paraId="D03691E9">
            <w:pPr>
              <w:pStyle w:val="style4098"/>
              <w:rPr>
                <w:color w:val="0d0d0d"/>
                <w:lang w:val="en-GB"/>
              </w:rPr>
            </w:pPr>
            <w:r>
              <w:rPr>
                <w:color w:val="0d0d0d"/>
                <w:lang w:val="en-GB"/>
              </w:rPr>
              <w:t>No</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170BDBAB">
            <w:pPr>
              <w:pStyle w:val="style4098"/>
              <w:rPr>
                <w:color w:val="0d0d0d"/>
                <w:lang w:val="en-GB"/>
              </w:rPr>
            </w:pPr>
            <w:r>
              <w:rPr>
                <w:color w:val="0d0d0d"/>
                <w:lang w:val="en-GB"/>
              </w:rPr>
              <w:t>Yes</w:t>
            </w:r>
          </w:p>
        </w:tc>
        <w:tc>
          <w:tcPr>
            <w:tcW w:w="1605" w:type="dxa"/>
            <w:tcBorders>
              <w:top w:val="nil"/>
              <w:left w:val="nil"/>
              <w:bottom w:val="single" w:sz="5" w:space="0" w:color="000000"/>
              <w:right w:val="single" w:sz="5" w:space="0" w:color="000000"/>
            </w:tcBorders>
            <w:tcMar>
              <w:top w:w="0" w:type="dxa"/>
              <w:left w:w="100" w:type="dxa"/>
              <w:bottom w:w="0" w:type="dxa"/>
              <w:right w:w="100" w:type="dxa"/>
            </w:tcMar>
          </w:tcPr>
          <w:p w14:paraId="F1C59233">
            <w:pPr>
              <w:pStyle w:val="style4098"/>
              <w:rPr>
                <w:b/>
                <w:bCs/>
                <w:color w:val="0d0d0d"/>
                <w:lang w:val="en-GB"/>
              </w:rPr>
            </w:pPr>
            <w:r>
              <w:rPr>
                <w:b/>
                <w:bCs/>
                <w:color w:val="0d0d0d"/>
                <w:lang w:val="en-GB"/>
              </w:rPr>
              <w:t>Temporary Competitive Advantage</w:t>
            </w:r>
          </w:p>
        </w:tc>
      </w:tr>
      <w:tr w14:paraId="E8001BCF">
        <w:tblPrEx/>
        <w:trPr>
          <w:trHeight w:val="1815" w:hRule="atLeast"/>
        </w:trPr>
        <w:tc>
          <w:tcPr>
            <w:tcW w:w="253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7A0559E">
            <w:pPr>
              <w:pStyle w:val="style4098"/>
              <w:rPr>
                <w:color w:val="0d0d0d"/>
                <w:lang w:val="en-GB"/>
              </w:rPr>
            </w:pPr>
            <w:r>
              <w:rPr>
                <w:color w:val="0d0d0d"/>
                <w:lang w:val="en-GB"/>
              </w:rPr>
              <w:t>Coca-Cola Europacific Partners' UK manufacturing and distribution network</w:t>
            </w:r>
          </w:p>
        </w:tc>
        <w:tc>
          <w:tcPr>
            <w:tcW w:w="1215" w:type="dxa"/>
            <w:tcBorders>
              <w:top w:val="nil"/>
              <w:left w:val="nil"/>
              <w:bottom w:val="single" w:sz="5" w:space="0" w:color="000000"/>
              <w:right w:val="single" w:sz="5" w:space="0" w:color="000000"/>
            </w:tcBorders>
            <w:tcMar>
              <w:top w:w="0" w:type="dxa"/>
              <w:left w:w="100" w:type="dxa"/>
              <w:bottom w:w="0" w:type="dxa"/>
              <w:right w:w="100" w:type="dxa"/>
            </w:tcMar>
          </w:tcPr>
          <w:p w14:paraId="5B25DAD7">
            <w:pPr>
              <w:pStyle w:val="style4098"/>
              <w:rPr>
                <w:color w:val="0d0d0d"/>
                <w:lang w:val="en-GB"/>
              </w:rPr>
            </w:pPr>
            <w:r>
              <w:rPr>
                <w:color w:val="0d0d0d"/>
                <w:lang w:val="en-GB"/>
              </w:rPr>
              <w:t>Yes</w:t>
            </w:r>
          </w:p>
        </w:tc>
        <w:tc>
          <w:tcPr>
            <w:tcW w:w="765" w:type="dxa"/>
            <w:tcBorders>
              <w:top w:val="nil"/>
              <w:left w:val="nil"/>
              <w:bottom w:val="single" w:sz="5" w:space="0" w:color="000000"/>
              <w:right w:val="single" w:sz="5" w:space="0" w:color="000000"/>
            </w:tcBorders>
            <w:tcMar>
              <w:top w:w="0" w:type="dxa"/>
              <w:left w:w="100" w:type="dxa"/>
              <w:bottom w:w="0" w:type="dxa"/>
              <w:right w:w="100" w:type="dxa"/>
            </w:tcMar>
          </w:tcPr>
          <w:p w14:paraId="6958F648">
            <w:pPr>
              <w:pStyle w:val="style4098"/>
              <w:rPr>
                <w:color w:val="0d0d0d"/>
                <w:lang w:val="en-GB"/>
              </w:rPr>
            </w:pPr>
            <w:r>
              <w:rPr>
                <w:color w:val="0d0d0d"/>
                <w:lang w:val="en-GB"/>
              </w:rPr>
              <w:t>Yes</w:t>
            </w:r>
          </w:p>
        </w:tc>
        <w:tc>
          <w:tcPr>
            <w:tcW w:w="1365" w:type="dxa"/>
            <w:tcBorders>
              <w:top w:val="nil"/>
              <w:left w:val="nil"/>
              <w:bottom w:val="single" w:sz="5" w:space="0" w:color="000000"/>
              <w:right w:val="single" w:sz="5" w:space="0" w:color="000000"/>
            </w:tcBorders>
            <w:tcMar>
              <w:top w:w="0" w:type="dxa"/>
              <w:left w:w="100" w:type="dxa"/>
              <w:bottom w:w="0" w:type="dxa"/>
              <w:right w:w="100" w:type="dxa"/>
            </w:tcMar>
          </w:tcPr>
          <w:p w14:paraId="F73B6A38">
            <w:pPr>
              <w:pStyle w:val="style4098"/>
              <w:rPr>
                <w:color w:val="0d0d0d"/>
                <w:lang w:val="en-GB"/>
              </w:rPr>
            </w:pPr>
            <w:r>
              <w:rPr>
                <w:color w:val="0d0d0d"/>
                <w:lang w:val="en-GB"/>
              </w:rPr>
              <w:t>Yes</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8661E235">
            <w:pPr>
              <w:pStyle w:val="style4098"/>
              <w:rPr>
                <w:color w:val="0d0d0d"/>
                <w:lang w:val="en-GB"/>
              </w:rPr>
            </w:pPr>
            <w:r>
              <w:rPr>
                <w:color w:val="0d0d0d"/>
                <w:lang w:val="en-GB"/>
              </w:rPr>
              <w:t>Yes</w:t>
            </w:r>
          </w:p>
        </w:tc>
        <w:tc>
          <w:tcPr>
            <w:tcW w:w="1605" w:type="dxa"/>
            <w:tcBorders>
              <w:top w:val="nil"/>
              <w:left w:val="nil"/>
              <w:bottom w:val="single" w:sz="5" w:space="0" w:color="000000"/>
              <w:right w:val="single" w:sz="5" w:space="0" w:color="000000"/>
            </w:tcBorders>
            <w:tcMar>
              <w:top w:w="0" w:type="dxa"/>
              <w:left w:w="100" w:type="dxa"/>
              <w:bottom w:w="0" w:type="dxa"/>
              <w:right w:w="100" w:type="dxa"/>
            </w:tcMar>
          </w:tcPr>
          <w:p w14:paraId="7193AD7C">
            <w:pPr>
              <w:pStyle w:val="style4098"/>
              <w:rPr>
                <w:b/>
                <w:bCs/>
                <w:color w:val="0d0d0d"/>
                <w:lang w:val="en-GB"/>
              </w:rPr>
            </w:pPr>
            <w:r>
              <w:rPr>
                <w:b/>
                <w:bCs/>
                <w:color w:val="0d0d0d"/>
                <w:lang w:val="en-GB"/>
              </w:rPr>
              <w:t>Sustained Competitive Advantage</w:t>
            </w:r>
          </w:p>
        </w:tc>
      </w:tr>
      <w:tr w14:paraId="A37CE1B5">
        <w:tblPrEx/>
        <w:trPr>
          <w:trHeight w:val="1455" w:hRule="atLeast"/>
        </w:trPr>
        <w:tc>
          <w:tcPr>
            <w:tcW w:w="253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08C011">
            <w:pPr>
              <w:pStyle w:val="style4098"/>
              <w:rPr>
                <w:color w:val="0d0d0d"/>
                <w:lang w:val="en-GB"/>
              </w:rPr>
            </w:pPr>
            <w:r>
              <w:rPr>
                <w:color w:val="0d0d0d"/>
                <w:lang w:val="en-GB"/>
              </w:rPr>
              <w:t>AI-driven consumer analytics and digital marketing capabilities</w:t>
            </w:r>
          </w:p>
        </w:tc>
        <w:tc>
          <w:tcPr>
            <w:tcW w:w="1215" w:type="dxa"/>
            <w:tcBorders>
              <w:top w:val="nil"/>
              <w:left w:val="nil"/>
              <w:bottom w:val="single" w:sz="5" w:space="0" w:color="000000"/>
              <w:right w:val="single" w:sz="5" w:space="0" w:color="000000"/>
            </w:tcBorders>
            <w:tcMar>
              <w:top w:w="0" w:type="dxa"/>
              <w:left w:w="100" w:type="dxa"/>
              <w:bottom w:w="0" w:type="dxa"/>
              <w:right w:w="100" w:type="dxa"/>
            </w:tcMar>
          </w:tcPr>
          <w:p w14:paraId="ED06D597">
            <w:pPr>
              <w:pStyle w:val="style4098"/>
              <w:rPr>
                <w:color w:val="0d0d0d"/>
                <w:lang w:val="en-GB"/>
              </w:rPr>
            </w:pPr>
            <w:r>
              <w:rPr>
                <w:color w:val="0d0d0d"/>
                <w:lang w:val="en-GB"/>
              </w:rPr>
              <w:t>Yes</w:t>
            </w:r>
          </w:p>
        </w:tc>
        <w:tc>
          <w:tcPr>
            <w:tcW w:w="765" w:type="dxa"/>
            <w:tcBorders>
              <w:top w:val="nil"/>
              <w:left w:val="nil"/>
              <w:bottom w:val="single" w:sz="5" w:space="0" w:color="000000"/>
              <w:right w:val="single" w:sz="5" w:space="0" w:color="000000"/>
            </w:tcBorders>
            <w:tcMar>
              <w:top w:w="0" w:type="dxa"/>
              <w:left w:w="100" w:type="dxa"/>
              <w:bottom w:w="0" w:type="dxa"/>
              <w:right w:w="100" w:type="dxa"/>
            </w:tcMar>
          </w:tcPr>
          <w:p w14:paraId="8087C642">
            <w:pPr>
              <w:pStyle w:val="style4098"/>
              <w:rPr>
                <w:color w:val="0d0d0d"/>
                <w:lang w:val="en-GB"/>
              </w:rPr>
            </w:pPr>
            <w:r>
              <w:rPr>
                <w:color w:val="0d0d0d"/>
                <w:lang w:val="en-GB"/>
              </w:rPr>
              <w:t>No</w:t>
            </w:r>
          </w:p>
        </w:tc>
        <w:tc>
          <w:tcPr>
            <w:tcW w:w="1365" w:type="dxa"/>
            <w:tcBorders>
              <w:top w:val="nil"/>
              <w:left w:val="nil"/>
              <w:bottom w:val="single" w:sz="5" w:space="0" w:color="000000"/>
              <w:right w:val="single" w:sz="5" w:space="0" w:color="000000"/>
            </w:tcBorders>
            <w:tcMar>
              <w:top w:w="0" w:type="dxa"/>
              <w:left w:w="100" w:type="dxa"/>
              <w:bottom w:w="0" w:type="dxa"/>
              <w:right w:w="100" w:type="dxa"/>
            </w:tcMar>
          </w:tcPr>
          <w:p w14:paraId="DC0B2059">
            <w:pPr>
              <w:pStyle w:val="style4098"/>
              <w:rPr>
                <w:color w:val="0d0d0d"/>
                <w:lang w:val="en-GB"/>
              </w:rPr>
            </w:pPr>
            <w:r>
              <w:rPr>
                <w:color w:val="0d0d0d"/>
                <w:lang w:val="en-GB"/>
              </w:rPr>
              <w:t>No</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50A230C2">
            <w:pPr>
              <w:pStyle w:val="style4098"/>
              <w:rPr>
                <w:color w:val="0d0d0d"/>
                <w:lang w:val="en-GB"/>
              </w:rPr>
            </w:pPr>
            <w:r>
              <w:rPr>
                <w:color w:val="0d0d0d"/>
                <w:lang w:val="en-GB"/>
              </w:rPr>
              <w:t>Yes</w:t>
            </w:r>
          </w:p>
        </w:tc>
        <w:tc>
          <w:tcPr>
            <w:tcW w:w="1605" w:type="dxa"/>
            <w:tcBorders>
              <w:top w:val="nil"/>
              <w:left w:val="nil"/>
              <w:bottom w:val="single" w:sz="5" w:space="0" w:color="000000"/>
              <w:right w:val="single" w:sz="5" w:space="0" w:color="000000"/>
            </w:tcBorders>
            <w:tcMar>
              <w:top w:w="0" w:type="dxa"/>
              <w:left w:w="100" w:type="dxa"/>
              <w:bottom w:w="0" w:type="dxa"/>
              <w:right w:w="100" w:type="dxa"/>
            </w:tcMar>
          </w:tcPr>
          <w:p w14:paraId="8AF0E23B">
            <w:pPr>
              <w:pStyle w:val="style4098"/>
              <w:rPr>
                <w:b/>
                <w:bCs/>
                <w:color w:val="0d0d0d"/>
                <w:lang w:val="en-GB"/>
              </w:rPr>
            </w:pPr>
            <w:r>
              <w:rPr>
                <w:b/>
                <w:bCs/>
                <w:color w:val="0d0d0d"/>
                <w:lang w:val="en-GB"/>
              </w:rPr>
              <w:t>Competitive Parity</w:t>
            </w:r>
          </w:p>
        </w:tc>
      </w:tr>
      <w:tr w14:paraId="71D1F3BA">
        <w:tblPrEx/>
        <w:trPr>
          <w:trHeight w:val="780" w:hRule="atLeast"/>
        </w:trPr>
        <w:tc>
          <w:tcPr>
            <w:tcW w:w="253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9BB1888">
            <w:pPr>
              <w:pStyle w:val="style4098"/>
              <w:rPr>
                <w:color w:val="0d0d0d"/>
                <w:lang w:val="en-GB"/>
              </w:rPr>
            </w:pPr>
            <w:r>
              <w:rPr>
                <w:color w:val="0d0d0d"/>
                <w:lang w:val="en-GB"/>
              </w:rPr>
              <w:t>Sustainability and recycling initiatives</w:t>
            </w:r>
          </w:p>
        </w:tc>
        <w:tc>
          <w:tcPr>
            <w:tcW w:w="1215" w:type="dxa"/>
            <w:tcBorders>
              <w:top w:val="nil"/>
              <w:left w:val="nil"/>
              <w:bottom w:val="single" w:sz="5" w:space="0" w:color="000000"/>
              <w:right w:val="single" w:sz="5" w:space="0" w:color="000000"/>
            </w:tcBorders>
            <w:tcMar>
              <w:top w:w="0" w:type="dxa"/>
              <w:left w:w="100" w:type="dxa"/>
              <w:bottom w:w="0" w:type="dxa"/>
              <w:right w:w="100" w:type="dxa"/>
            </w:tcMar>
          </w:tcPr>
          <w:p w14:paraId="B4F56834">
            <w:pPr>
              <w:pStyle w:val="style4098"/>
              <w:rPr>
                <w:color w:val="0d0d0d"/>
                <w:lang w:val="en-GB"/>
              </w:rPr>
            </w:pPr>
            <w:r>
              <w:rPr>
                <w:color w:val="0d0d0d"/>
                <w:lang w:val="en-GB"/>
              </w:rPr>
              <w:t>Yes</w:t>
            </w:r>
          </w:p>
        </w:tc>
        <w:tc>
          <w:tcPr>
            <w:tcW w:w="765" w:type="dxa"/>
            <w:tcBorders>
              <w:top w:val="nil"/>
              <w:left w:val="nil"/>
              <w:bottom w:val="single" w:sz="5" w:space="0" w:color="000000"/>
              <w:right w:val="single" w:sz="5" w:space="0" w:color="000000"/>
            </w:tcBorders>
            <w:tcMar>
              <w:top w:w="0" w:type="dxa"/>
              <w:left w:w="100" w:type="dxa"/>
              <w:bottom w:w="0" w:type="dxa"/>
              <w:right w:w="100" w:type="dxa"/>
            </w:tcMar>
          </w:tcPr>
          <w:p w14:paraId="227589A7">
            <w:pPr>
              <w:pStyle w:val="style4098"/>
              <w:rPr>
                <w:color w:val="0d0d0d"/>
                <w:lang w:val="en-GB"/>
              </w:rPr>
            </w:pPr>
            <w:r>
              <w:rPr>
                <w:color w:val="0d0d0d"/>
                <w:lang w:val="en-GB"/>
              </w:rPr>
              <w:t>No</w:t>
            </w:r>
          </w:p>
        </w:tc>
        <w:tc>
          <w:tcPr>
            <w:tcW w:w="1365" w:type="dxa"/>
            <w:tcBorders>
              <w:top w:val="nil"/>
              <w:left w:val="nil"/>
              <w:bottom w:val="single" w:sz="5" w:space="0" w:color="000000"/>
              <w:right w:val="single" w:sz="5" w:space="0" w:color="000000"/>
            </w:tcBorders>
            <w:tcMar>
              <w:top w:w="0" w:type="dxa"/>
              <w:left w:w="100" w:type="dxa"/>
              <w:bottom w:w="0" w:type="dxa"/>
              <w:right w:w="100" w:type="dxa"/>
            </w:tcMar>
          </w:tcPr>
          <w:p w14:paraId="69F82670">
            <w:pPr>
              <w:pStyle w:val="style4098"/>
              <w:rPr>
                <w:color w:val="0d0d0d"/>
                <w:lang w:val="en-GB"/>
              </w:rPr>
            </w:pPr>
            <w:r>
              <w:rPr>
                <w:color w:val="0d0d0d"/>
                <w:lang w:val="en-GB"/>
              </w:rPr>
              <w:t>No</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56BD76C9">
            <w:pPr>
              <w:pStyle w:val="style4098"/>
              <w:rPr>
                <w:color w:val="0d0d0d"/>
                <w:lang w:val="en-GB"/>
              </w:rPr>
            </w:pPr>
            <w:r>
              <w:rPr>
                <w:color w:val="0d0d0d"/>
                <w:lang w:val="en-GB"/>
              </w:rPr>
              <w:t>Yes</w:t>
            </w:r>
          </w:p>
        </w:tc>
        <w:tc>
          <w:tcPr>
            <w:tcW w:w="1605" w:type="dxa"/>
            <w:tcBorders>
              <w:top w:val="nil"/>
              <w:left w:val="nil"/>
              <w:bottom w:val="single" w:sz="5" w:space="0" w:color="000000"/>
              <w:right w:val="single" w:sz="5" w:space="0" w:color="000000"/>
            </w:tcBorders>
            <w:tcMar>
              <w:top w:w="0" w:type="dxa"/>
              <w:left w:w="100" w:type="dxa"/>
              <w:bottom w:w="0" w:type="dxa"/>
              <w:right w:w="100" w:type="dxa"/>
            </w:tcMar>
          </w:tcPr>
          <w:p w14:paraId="A3D8A387">
            <w:pPr>
              <w:pStyle w:val="style4098"/>
              <w:rPr>
                <w:b/>
                <w:bCs/>
                <w:color w:val="0d0d0d"/>
                <w:lang w:val="en-GB"/>
              </w:rPr>
            </w:pPr>
            <w:r>
              <w:rPr>
                <w:b/>
                <w:bCs/>
                <w:color w:val="0d0d0d"/>
                <w:lang w:val="en-GB"/>
              </w:rPr>
              <w:t>Competitive Parity</w:t>
            </w:r>
          </w:p>
        </w:tc>
      </w:tr>
    </w:tbl>
    <w:p w14:paraId="533B287C">
      <w:pPr>
        <w:pStyle w:val="style4098"/>
        <w:jc w:val="center"/>
        <w:rPr>
          <w:b/>
          <w:bCs/>
          <w:color w:val="0d0d0d"/>
          <w:lang w:val="en-GB"/>
        </w:rPr>
      </w:pPr>
      <w:r>
        <w:rPr>
          <w:b/>
          <w:bCs/>
          <w:color w:val="0d0d0d"/>
          <w:lang w:val="en-GB"/>
        </w:rPr>
        <w:t>Table 2: VRIO Analysis</w:t>
      </w:r>
    </w:p>
    <w:p w14:paraId="27F4850A">
      <w:pPr>
        <w:pStyle w:val="style4098"/>
        <w:jc w:val="center"/>
        <w:rPr>
          <w:color w:val="0d0d0d"/>
          <w:lang w:val="en-GB"/>
        </w:rPr>
      </w:pPr>
      <w:r>
        <w:rPr>
          <w:color w:val="0d0d0d"/>
          <w:lang w:val="en-GB"/>
        </w:rPr>
        <w:t>(Source: Self-developed)</w:t>
      </w:r>
    </w:p>
    <w:p w14:paraId="CDB9E5B3">
      <w:pPr>
        <w:pStyle w:val="style4098"/>
        <w:rPr>
          <w:color w:val="0d0d0d"/>
          <w:sz w:val="23"/>
          <w:szCs w:val="23"/>
          <w:lang w:val="en-GB"/>
        </w:rPr>
      </w:pPr>
      <w:r>
        <w:rPr>
          <w:color w:val="0d0d0d"/>
          <w:sz w:val="23"/>
          <w:szCs w:val="23"/>
          <w:lang w:val="en-GB"/>
        </w:rPr>
        <w:t>VRIO analysis suggests Coca-Cola Zero Sugar's most important strategic asset is its global brand value, which continues to be valuable, rare, difficult to imitate and supported by organisational capabilities. The financial value created from Coca-Cola's br</w:t>
      </w:r>
      <w:r>
        <w:rPr>
          <w:color w:val="0d0d0d"/>
          <w:sz w:val="23"/>
          <w:szCs w:val="23"/>
          <w:lang w:val="en-GB"/>
        </w:rPr>
        <w:t xml:space="preserve">and portfolio was </w:t>
      </w:r>
      <w:r>
        <w:rPr>
          <w:color w:val="0d0d0d"/>
          <w:sz w:val="23"/>
          <w:szCs w:val="23"/>
          <w:lang w:val="en-GB"/>
        </w:rPr>
        <w:t xml:space="preserve">seen as </w:t>
      </w:r>
      <w:r>
        <w:rPr>
          <w:color w:val="0d0d0d"/>
          <w:sz w:val="23"/>
          <w:szCs w:val="23"/>
          <w:lang w:val="en-GB"/>
        </w:rPr>
        <w:t>world's most valuable brands in 2025, as well as by the $48.1 billion net revenue generated by The Coca-Cola Company in 2025 (</w:t>
      </w:r>
      <w:r>
        <w:rPr>
          <w:color w:val="0d0d0d"/>
          <w:lang w:val="en-GB"/>
        </w:rPr>
        <w:t>Investors.coca-colacompany, 2025</w:t>
      </w:r>
      <w:r>
        <w:rPr>
          <w:color w:val="0d0d0d"/>
          <w:sz w:val="23"/>
          <w:szCs w:val="23"/>
          <w:lang w:val="en-GB"/>
        </w:rPr>
        <w:t>). As a resu</w:t>
      </w:r>
      <w:r>
        <w:rPr>
          <w:color w:val="0d0d0d"/>
          <w:sz w:val="23"/>
          <w:szCs w:val="23"/>
          <w:lang w:val="en-GB"/>
        </w:rPr>
        <w:t xml:space="preserve">lt of this reputation, customers are more likely to be willing to pay higher prices for </w:t>
      </w:r>
      <w:r>
        <w:rPr>
          <w:color w:val="0d0d0d"/>
          <w:sz w:val="23"/>
          <w:szCs w:val="23"/>
          <w:lang w:val="en-GB"/>
        </w:rPr>
        <w:t>products, which, as a consequence, make</w:t>
      </w:r>
      <w:r>
        <w:rPr>
          <w:color w:val="0d0d0d"/>
          <w:sz w:val="23"/>
          <w:szCs w:val="23"/>
          <w:lang w:val="en-GB"/>
        </w:rPr>
        <w:t xml:space="preserve"> the position as a premium brand more manageable for Coca-Cola Zero Sugar in the face of fierce competition from other product g</w:t>
      </w:r>
      <w:r>
        <w:rPr>
          <w:color w:val="0d0d0d"/>
          <w:sz w:val="23"/>
          <w:szCs w:val="23"/>
          <w:lang w:val="en-GB"/>
        </w:rPr>
        <w:t>roups claiming the same positioning.</w:t>
      </w:r>
    </w:p>
    <w:p w14:paraId="F366AE93">
      <w:pPr>
        <w:pStyle w:val="style4098"/>
        <w:rPr>
          <w:color w:val="0d0d0d"/>
          <w:lang w:val="en-GB"/>
        </w:rPr>
      </w:pPr>
      <w:r>
        <w:rPr>
          <w:color w:val="0d0d0d"/>
          <w:lang w:val="en-GB"/>
        </w:rPr>
        <w:t xml:space="preserve">Their second competitive edge is the company's relationship with Coca-Cola Europacific Partners (CCEP), who </w:t>
      </w:r>
      <w:r>
        <w:rPr>
          <w:color w:val="0d0d0d"/>
          <w:lang w:val="en-GB"/>
        </w:rPr>
        <w:t>has</w:t>
      </w:r>
      <w:r>
        <w:rPr>
          <w:color w:val="0d0d0d"/>
          <w:lang w:val="en-GB"/>
        </w:rPr>
        <w:t xml:space="preserve"> several production plants and one of the largest beverage distribution systems in the UK (Cocacolaep, 2026</w:t>
      </w:r>
      <w:r>
        <w:rPr>
          <w:color w:val="0d0d0d"/>
          <w:lang w:val="en-GB"/>
        </w:rPr>
        <w:t>). Manufacturing, logistics and retail relationships are large-scale and take many years to build up and cannot be scaled up quickly by competitors. As a result, Coca-Cola Zero Sugar is highly available and can respond much quicker to market demand when co</w:t>
      </w:r>
      <w:r>
        <w:rPr>
          <w:color w:val="0d0d0d"/>
          <w:lang w:val="en-GB"/>
        </w:rPr>
        <w:t>mpared to many competitor products.</w:t>
      </w:r>
    </w:p>
    <w:p w14:paraId="46483950">
      <w:pPr>
        <w:pStyle w:val="style4098"/>
        <w:rPr>
          <w:color w:val="0d0d0d"/>
          <w:sz w:val="23"/>
          <w:szCs w:val="23"/>
          <w:lang w:val="en-GB"/>
        </w:rPr>
      </w:pPr>
      <w:r>
        <w:rPr>
          <w:color w:val="0d0d0d"/>
          <w:sz w:val="23"/>
          <w:szCs w:val="23"/>
          <w:lang w:val="en-GB"/>
        </w:rPr>
        <w:t xml:space="preserve">On the other hand, the formulation that is Zero Sugar is not a sustainable competitive advantage in and of itself. It is well known by consumers and has a similar taste to original Coke, yet some other drinks like Pepsi </w:t>
      </w:r>
      <w:r>
        <w:rPr>
          <w:color w:val="0d0d0d"/>
          <w:sz w:val="23"/>
          <w:szCs w:val="23"/>
          <w:lang w:val="en-GB"/>
        </w:rPr>
        <w:t xml:space="preserve">Max and supermarket own brands have re-stylised alternative sugar-sweetened formulations. The recipe was valuable, yet not </w:t>
      </w:r>
      <w:r>
        <w:rPr>
          <w:color w:val="0d0d0d"/>
          <w:sz w:val="23"/>
          <w:szCs w:val="23"/>
          <w:lang w:val="en-GB"/>
        </w:rPr>
        <w:t>as</w:t>
      </w:r>
      <w:r>
        <w:rPr>
          <w:color w:val="0d0d0d"/>
          <w:sz w:val="23"/>
          <w:szCs w:val="23"/>
          <w:lang w:val="en-GB"/>
        </w:rPr>
        <w:t xml:space="preserve"> rare or impossible as to be unique for a strategy; thus, the recipe is valuable, yet it is not unique for a strategy.</w:t>
      </w:r>
    </w:p>
    <w:p w14:paraId="62DD1357">
      <w:pPr>
        <w:pStyle w:val="style4098"/>
        <w:rPr>
          <w:color w:val="0d0d0d"/>
          <w:lang w:val="en-GB"/>
        </w:rPr>
      </w:pPr>
      <w:r>
        <w:rPr>
          <w:color w:val="0d0d0d"/>
          <w:sz w:val="23"/>
          <w:szCs w:val="23"/>
          <w:lang w:val="en-GB"/>
        </w:rPr>
        <w:t>Likewise, wi</w:t>
      </w:r>
      <w:r>
        <w:rPr>
          <w:color w:val="0d0d0d"/>
          <w:sz w:val="23"/>
          <w:szCs w:val="23"/>
          <w:lang w:val="en-GB"/>
        </w:rPr>
        <w:t>th sustainability programs and AI-powered marketing features, all of these tools bring enhanced operational efficiency, customer interactions and corporate reputation, even as they become universal throughout the drink industry. They are not therefore a ke</w:t>
      </w:r>
      <w:r>
        <w:rPr>
          <w:color w:val="0d0d0d"/>
          <w:sz w:val="23"/>
          <w:szCs w:val="23"/>
          <w:lang w:val="en-GB"/>
        </w:rPr>
        <w:t xml:space="preserve">y sustainable competitive advantage but are rather a competitive parity. </w:t>
      </w:r>
    </w:p>
    <w:bookmarkStart w:id="32" w:name="_cdwa9nkxmnev" w:colFirst="0" w:colLast="0"/>
    <w:bookmarkStart w:id="33" w:name="_Toc236513676"/>
    <w:bookmarkEnd w:id="32"/>
    <w:p w14:paraId="6F2DA000">
      <w:pPr>
        <w:pStyle w:val="style2"/>
        <w:rPr>
          <w:color w:val="0d0d0d"/>
          <w:lang w:val="en-GB"/>
        </w:rPr>
      </w:pPr>
      <w:r>
        <w:rPr>
          <w:color w:val="0d0d0d"/>
          <w:lang w:val="en-GB"/>
        </w:rPr>
        <w:t>2.3 SWOT Analysis</w:t>
      </w:r>
      <w:bookmarkEnd w:id="33"/>
    </w:p>
    <w:tbl>
      <w:tblPr>
        <w:tblStyle w:val="style4101"/>
        <w:tblW w:w="89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75"/>
        <w:gridCol w:w="2055"/>
        <w:gridCol w:w="2340"/>
        <w:gridCol w:w="2340"/>
      </w:tblGrid>
      <w:tr w14:paraId="91E42D95">
        <w:trPr>
          <w:trHeight w:val="570" w:hRule="atLeast"/>
        </w:trPr>
        <w:tc>
          <w:tcPr>
            <w:tcW w:w="217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C69A2CDF">
            <w:pPr>
              <w:pStyle w:val="style4098"/>
              <w:jc w:val="center"/>
              <w:rPr>
                <w:b/>
                <w:bCs/>
                <w:color w:val="0d0d0d"/>
                <w:lang w:val="en-GB"/>
              </w:rPr>
            </w:pPr>
            <w:r>
              <w:rPr>
                <w:b/>
                <w:bCs/>
                <w:color w:val="0d0d0d"/>
                <w:lang w:val="en-GB"/>
              </w:rPr>
              <w:t>Strengths</w:t>
            </w:r>
          </w:p>
        </w:tc>
        <w:tc>
          <w:tcPr>
            <w:tcW w:w="20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C644C6C">
            <w:pPr>
              <w:pStyle w:val="style4098"/>
              <w:jc w:val="center"/>
              <w:rPr>
                <w:b/>
                <w:bCs/>
                <w:color w:val="0d0d0d"/>
                <w:lang w:val="en-GB"/>
              </w:rPr>
            </w:pPr>
            <w:r>
              <w:rPr>
                <w:b/>
                <w:bCs/>
                <w:color w:val="0d0d0d"/>
                <w:lang w:val="en-GB"/>
              </w:rPr>
              <w:t>Weaknesses</w:t>
            </w:r>
          </w:p>
        </w:tc>
        <w:tc>
          <w:tcPr>
            <w:tcW w:w="23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BE37500A">
            <w:pPr>
              <w:pStyle w:val="style4098"/>
              <w:jc w:val="center"/>
              <w:rPr>
                <w:b/>
                <w:bCs/>
                <w:color w:val="0d0d0d"/>
                <w:lang w:val="en-GB"/>
              </w:rPr>
            </w:pPr>
            <w:r>
              <w:rPr>
                <w:b/>
                <w:bCs/>
                <w:color w:val="0d0d0d"/>
                <w:lang w:val="en-GB"/>
              </w:rPr>
              <w:t>Opportunities</w:t>
            </w:r>
          </w:p>
        </w:tc>
        <w:tc>
          <w:tcPr>
            <w:tcW w:w="23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E35EBFD5">
            <w:pPr>
              <w:pStyle w:val="style4098"/>
              <w:jc w:val="center"/>
              <w:rPr>
                <w:b/>
                <w:bCs/>
                <w:color w:val="0d0d0d"/>
                <w:lang w:val="en-GB"/>
              </w:rPr>
            </w:pPr>
            <w:r>
              <w:rPr>
                <w:b/>
                <w:bCs/>
                <w:color w:val="0d0d0d"/>
                <w:lang w:val="en-GB"/>
              </w:rPr>
              <w:t>Threats</w:t>
            </w:r>
          </w:p>
        </w:tc>
      </w:tr>
      <w:tr w14:paraId="083555A6">
        <w:tblPrEx/>
        <w:trPr>
          <w:trHeight w:val="9735" w:hRule="atLeast"/>
        </w:trPr>
        <w:tc>
          <w:tcPr>
            <w:tcW w:w="217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B3391659">
            <w:pPr>
              <w:pStyle w:val="style4098"/>
              <w:rPr>
                <w:color w:val="0d0d0d"/>
                <w:lang w:val="en-GB"/>
              </w:rPr>
            </w:pPr>
            <w:r>
              <w:rPr>
                <w:color w:val="0d0d0d"/>
                <w:lang w:val="en-GB"/>
              </w:rPr>
              <w:t>Coca-Cola Zero Sugar benefits from one of the world's strongest beverage brands, generating $48.1 billion</w:t>
            </w:r>
            <w:r>
              <w:rPr>
                <w:color w:val="0d0d0d"/>
                <w:lang w:val="en-GB"/>
              </w:rPr>
              <w:t xml:space="preserve"> in global revenue in 2025 (Investors.coca-colacompany, 2025).</w:t>
            </w:r>
          </w:p>
          <w:p w14:paraId="6A8EA53E">
            <w:pPr>
              <w:pStyle w:val="style4098"/>
              <w:rPr>
                <w:color w:val="0d0d0d"/>
                <w:lang w:val="en-GB"/>
              </w:rPr>
            </w:pPr>
            <w:r>
              <w:rPr>
                <w:color w:val="0d0d0d"/>
                <w:lang w:val="en-GB"/>
              </w:rPr>
              <w:t>Extensive UK distribution through Coca-Cola Europacific Partners ensures nationwide availability.</w:t>
            </w:r>
          </w:p>
          <w:p w14:paraId="6C0925AE">
            <w:pPr>
              <w:pStyle w:val="style4098"/>
              <w:rPr>
                <w:color w:val="0d0d0d"/>
                <w:lang w:val="en-GB"/>
              </w:rPr>
            </w:pPr>
            <w:r>
              <w:rPr>
                <w:color w:val="0d0d0d"/>
                <w:lang w:val="en-GB"/>
              </w:rPr>
              <w:t>Strong marketing investment, premium brand equity and consumer loyalty strengthen pricing power</w:t>
            </w:r>
            <w:r>
              <w:rPr>
                <w:color w:val="0d0d0d"/>
                <w:lang w:val="en-GB"/>
              </w:rPr>
              <w:t xml:space="preserve"> and retailer relationships.</w:t>
            </w:r>
          </w:p>
        </w:tc>
        <w:tc>
          <w:tcPr>
            <w:tcW w:w="2055" w:type="dxa"/>
            <w:tcBorders>
              <w:top w:val="nil"/>
              <w:left w:val="nil"/>
              <w:bottom w:val="single" w:sz="5" w:space="0" w:color="000000"/>
              <w:right w:val="single" w:sz="5" w:space="0" w:color="000000"/>
            </w:tcBorders>
            <w:tcMar>
              <w:top w:w="0" w:type="dxa"/>
              <w:left w:w="100" w:type="dxa"/>
              <w:bottom w:w="0" w:type="dxa"/>
              <w:right w:w="100" w:type="dxa"/>
            </w:tcMar>
          </w:tcPr>
          <w:p w14:paraId="2185BDB4">
            <w:pPr>
              <w:pStyle w:val="style4098"/>
              <w:rPr>
                <w:color w:val="0d0d0d"/>
                <w:lang w:val="en-GB"/>
              </w:rPr>
            </w:pPr>
            <w:r>
              <w:rPr>
                <w:color w:val="0d0d0d"/>
                <w:lang w:val="en-GB"/>
              </w:rPr>
              <w:t>Despite rapid growth, Coca-Cola Zero Sugar remains dependent on the mature carbonated soft drinks category. Premium pricing limits accessibility for price-sensitive consumers during economic uncertainty.</w:t>
            </w:r>
          </w:p>
          <w:p w14:paraId="44BE960D">
            <w:pPr>
              <w:pStyle w:val="style4098"/>
              <w:rPr>
                <w:color w:val="0d0d0d"/>
                <w:lang w:val="en-GB"/>
              </w:rPr>
            </w:pPr>
            <w:r>
              <w:rPr>
                <w:color w:val="0d0d0d"/>
                <w:lang w:val="en-GB"/>
              </w:rPr>
              <w:t>The product also relies</w:t>
            </w:r>
            <w:r>
              <w:rPr>
                <w:color w:val="0d0d0d"/>
                <w:lang w:val="en-GB"/>
              </w:rPr>
              <w:t xml:space="preserve"> heavily on artificial sweeteners, which continue attracting consumer scepticism despite regulatory approval.</w:t>
            </w:r>
          </w:p>
        </w:tc>
        <w:tc>
          <w:tcPr>
            <w:tcW w:w="2340" w:type="dxa"/>
            <w:tcBorders>
              <w:top w:val="nil"/>
              <w:left w:val="nil"/>
              <w:bottom w:val="single" w:sz="5" w:space="0" w:color="000000"/>
              <w:right w:val="single" w:sz="5" w:space="0" w:color="000000"/>
            </w:tcBorders>
            <w:tcMar>
              <w:top w:w="0" w:type="dxa"/>
              <w:left w:w="100" w:type="dxa"/>
              <w:bottom w:w="0" w:type="dxa"/>
              <w:right w:w="100" w:type="dxa"/>
            </w:tcMar>
          </w:tcPr>
          <w:p w14:paraId="2059B865">
            <w:pPr>
              <w:pStyle w:val="style4098"/>
              <w:rPr>
                <w:color w:val="0d0d0d"/>
                <w:lang w:val="en-GB"/>
              </w:rPr>
            </w:pPr>
            <w:r>
              <w:rPr>
                <w:color w:val="0d0d0d"/>
                <w:lang w:val="en-GB"/>
              </w:rPr>
              <w:t>Rising health consciousness and expanding demand for sugar-free beverages continue creating significant market growth opportunities. Increasing AI</w:t>
            </w:r>
            <w:r>
              <w:rPr>
                <w:color w:val="0d0d0d"/>
                <w:lang w:val="en-GB"/>
              </w:rPr>
              <w:t xml:space="preserve"> adoption enables personalised marketing, demand forecasting and operational efficiency. Sustainability initiatives, recyclable packaging and product innovation strengthen differentiation while supporting changing consumer preferences and environmental exp</w:t>
            </w:r>
            <w:r>
              <w:rPr>
                <w:color w:val="0d0d0d"/>
                <w:lang w:val="en-GB"/>
              </w:rPr>
              <w:t>ectations.</w:t>
            </w:r>
          </w:p>
        </w:tc>
        <w:tc>
          <w:tcPr>
            <w:tcW w:w="2340" w:type="dxa"/>
            <w:tcBorders>
              <w:top w:val="nil"/>
              <w:left w:val="nil"/>
              <w:bottom w:val="single" w:sz="5" w:space="0" w:color="000000"/>
              <w:right w:val="single" w:sz="5" w:space="0" w:color="000000"/>
            </w:tcBorders>
            <w:tcMar>
              <w:top w:w="0" w:type="dxa"/>
              <w:left w:w="100" w:type="dxa"/>
              <w:bottom w:w="0" w:type="dxa"/>
              <w:right w:w="100" w:type="dxa"/>
            </w:tcMar>
          </w:tcPr>
          <w:p w14:paraId="C6F1A615">
            <w:pPr>
              <w:pStyle w:val="style4098"/>
              <w:rPr>
                <w:color w:val="0d0d0d"/>
                <w:lang w:val="en-GB"/>
              </w:rPr>
            </w:pPr>
            <w:r>
              <w:rPr>
                <w:color w:val="0d0d0d"/>
                <w:lang w:val="en-GB"/>
              </w:rPr>
              <w:t>Intense competition from Pepsi Max, Britvic, AG Barr (IRN-BRU XTRA) and supermarket private-label brands intensifies pricing and promotional pressure (The Grocer, 2024).</w:t>
            </w:r>
          </w:p>
          <w:p w14:paraId="FFC44D9F">
            <w:pPr>
              <w:pStyle w:val="style4098"/>
              <w:rPr>
                <w:color w:val="0d0d0d"/>
                <w:lang w:val="en-GB"/>
              </w:rPr>
            </w:pPr>
            <w:r>
              <w:rPr>
                <w:color w:val="0d0d0d"/>
                <w:lang w:val="en-GB"/>
              </w:rPr>
              <w:t>Trade uncertainty, raw material inflation, stricter environmental regulatio</w:t>
            </w:r>
            <w:r>
              <w:rPr>
                <w:color w:val="0d0d0d"/>
                <w:lang w:val="en-GB"/>
              </w:rPr>
              <w:t>ns and evolving health policies increase operating costs while encouraging continuous product reformulation and innovation investment.</w:t>
            </w:r>
          </w:p>
        </w:tc>
      </w:tr>
    </w:tbl>
    <w:p w14:paraId="30DCE017">
      <w:pPr>
        <w:pStyle w:val="style4098"/>
        <w:jc w:val="center"/>
        <w:rPr>
          <w:b/>
          <w:bCs/>
          <w:color w:val="0d0d0d"/>
          <w:lang w:val="en-GB"/>
        </w:rPr>
      </w:pPr>
      <w:r>
        <w:rPr>
          <w:b/>
          <w:bCs/>
          <w:color w:val="0d0d0d"/>
          <w:lang w:val="en-GB"/>
        </w:rPr>
        <w:t>Table 3: SWOT Analysis</w:t>
      </w:r>
    </w:p>
    <w:p w14:paraId="F830EDBC">
      <w:pPr>
        <w:pStyle w:val="style4098"/>
        <w:jc w:val="center"/>
        <w:rPr>
          <w:color w:val="0d0d0d"/>
          <w:lang w:val="en-GB"/>
        </w:rPr>
      </w:pPr>
      <w:r>
        <w:rPr>
          <w:color w:val="0d0d0d"/>
          <w:lang w:val="en-GB"/>
        </w:rPr>
        <w:t>(Source: Self-developed)</w:t>
      </w:r>
    </w:p>
    <w:p w14:paraId="A9A6A23A">
      <w:pPr>
        <w:pStyle w:val="style4098"/>
        <w:rPr>
          <w:b/>
          <w:bCs/>
          <w:color w:val="0d0d0d"/>
          <w:sz w:val="23"/>
          <w:szCs w:val="23"/>
          <w:lang w:val="en-GB"/>
        </w:rPr>
      </w:pPr>
      <w:r>
        <w:rPr>
          <w:b/>
          <w:bCs/>
          <w:color w:val="0d0d0d"/>
          <w:sz w:val="23"/>
          <w:szCs w:val="23"/>
          <w:lang w:val="en-GB"/>
        </w:rPr>
        <w:t>Critical Evaluation</w:t>
      </w:r>
    </w:p>
    <w:p w14:paraId="615E0D8B">
      <w:pPr>
        <w:pStyle w:val="style4098"/>
        <w:rPr>
          <w:color w:val="0d0d0d"/>
          <w:sz w:val="23"/>
          <w:szCs w:val="23"/>
          <w:lang w:val="en-GB"/>
        </w:rPr>
      </w:pPr>
      <w:r>
        <w:rPr>
          <w:color w:val="0d0d0d"/>
          <w:sz w:val="23"/>
          <w:szCs w:val="23"/>
          <w:lang w:val="en-GB"/>
        </w:rPr>
        <w:t xml:space="preserve">Coca-Cola Zero Sugar has better strategic strengths than weaknesses, implying that its competitive advantage is not confined to just the product but also brand equity, distribution and organisation size. These resources help the company capitalise on the </w:t>
      </w:r>
      <w:r>
        <w:rPr>
          <w:color w:val="0d0d0d"/>
          <w:sz w:val="23"/>
          <w:szCs w:val="23"/>
          <w:lang w:val="en-GB"/>
        </w:rPr>
        <w:t>m</w:t>
      </w:r>
      <w:r>
        <w:rPr>
          <w:color w:val="0d0d0d"/>
          <w:sz w:val="23"/>
          <w:szCs w:val="23"/>
          <w:lang w:val="en-GB"/>
        </w:rPr>
        <w:t>ost important external opportunity it discovered in the PESTEL analysis, which is the consumer shift towards healthier beverages.</w:t>
      </w:r>
    </w:p>
    <w:p w14:paraId="3CC8E6FA">
      <w:pPr>
        <w:pStyle w:val="style4098"/>
        <w:rPr>
          <w:color w:val="0d0d0d"/>
          <w:lang w:val="en-GB"/>
        </w:rPr>
      </w:pPr>
      <w:r>
        <w:rPr>
          <w:color w:val="0d0d0d"/>
          <w:lang w:val="en-GB"/>
        </w:rPr>
        <w:t>But for a brand to remain with customers' fingers, it must also be reliant on the strength of its brands in the past. Pepsi Ma</w:t>
      </w:r>
      <w:r>
        <w:rPr>
          <w:color w:val="0d0d0d"/>
          <w:lang w:val="en-GB"/>
        </w:rPr>
        <w:t xml:space="preserve">x's rivals, including its own competitors, are continuously closing the gap on differentiation with hectic pricing, product innovation and comparable taste offers, and private-label rivals are increasingly going head-to-head on value. As a result, the key </w:t>
      </w:r>
      <w:r>
        <w:rPr>
          <w:color w:val="0d0d0d"/>
          <w:lang w:val="en-GB"/>
        </w:rPr>
        <w:t>strategic issue for Coca-Cola Zero Sugar is holding on to a premium brand while reducing cost without compromising the brand's affordability, especially in the face of ongoing cost pressures (Investors.coca-colacompany, 2026). Therefore, the secret to futu</w:t>
      </w:r>
      <w:r>
        <w:rPr>
          <w:color w:val="0d0d0d"/>
          <w:lang w:val="en-GB"/>
        </w:rPr>
        <w:t>re competitive success will be to marry up its brand image with ongoing product innovation and AI-led consumer engagement and sustainability leadership. By aligning them, the company can better position itself to maintain market dominance and meet evolving</w:t>
      </w:r>
      <w:r>
        <w:rPr>
          <w:color w:val="0d0d0d"/>
          <w:lang w:val="en-GB"/>
        </w:rPr>
        <w:t xml:space="preserve"> consumer demands while adapting to heightened competition in the market. </w:t>
      </w:r>
    </w:p>
    <w:bookmarkStart w:id="34" w:name="_ew1kkdr40bq" w:colFirst="0" w:colLast="0"/>
    <w:bookmarkStart w:id="35" w:name="_Toc236513677"/>
    <w:bookmarkEnd w:id="34"/>
    <w:p w14:paraId="C5CE6DB6">
      <w:pPr>
        <w:pStyle w:val="style1"/>
        <w:rPr>
          <w:color w:val="0d0d0d"/>
          <w:lang w:val="en-GB"/>
        </w:rPr>
      </w:pPr>
      <w:r>
        <w:rPr>
          <w:color w:val="0d0d0d"/>
          <w:lang w:val="en-GB"/>
        </w:rPr>
        <w:t>3.0: Comprehensive and Holistic View of the Organisation</w:t>
      </w:r>
      <w:bookmarkEnd w:id="35"/>
      <w:r>
        <w:rPr>
          <w:color w:val="0d0d0d"/>
          <w:lang w:val="en-GB"/>
        </w:rPr>
        <w:t xml:space="preserve"> </w:t>
      </w:r>
    </w:p>
    <w:bookmarkStart w:id="36" w:name="_62932fv7hpji" w:colFirst="0" w:colLast="0"/>
    <w:bookmarkStart w:id="37" w:name="_Toc236513678"/>
    <w:bookmarkEnd w:id="36"/>
    <w:p w14:paraId="5262B552">
      <w:pPr>
        <w:pStyle w:val="style2"/>
        <w:rPr>
          <w:color w:val="0d0d0d"/>
          <w:lang w:val="en-GB"/>
        </w:rPr>
      </w:pPr>
      <w:r>
        <w:rPr>
          <w:color w:val="0d0d0d"/>
          <w:lang w:val="en-GB"/>
        </w:rPr>
        <w:t>3.1 CSR Strategy and Alignment with Business Objectives</w:t>
      </w:r>
      <w:bookmarkEnd w:id="37"/>
    </w:p>
    <w:p w14:paraId="0E5514A7">
      <w:pPr>
        <w:pStyle w:val="style4098"/>
        <w:rPr>
          <w:color w:val="0d0d0d"/>
          <w:lang w:val="en-GB"/>
        </w:rPr>
      </w:pPr>
      <w:r>
        <w:rPr>
          <w:color w:val="0d0d0d"/>
          <w:lang w:val="en-GB"/>
        </w:rPr>
        <w:t xml:space="preserve">By applying the framework of Triple Bottom Line, it is possible to </w:t>
      </w:r>
      <w:r>
        <w:rPr>
          <w:color w:val="0d0d0d"/>
          <w:lang w:val="en-GB"/>
        </w:rPr>
        <w:t xml:space="preserve">see how the company incorporates People, Planet and Profit into their CSR to dovetail with their business goals (Nogueira </w:t>
      </w:r>
      <w:r>
        <w:rPr>
          <w:i/>
          <w:iCs/>
          <w:color w:val="0d0d0d"/>
          <w:lang w:val="en-GB"/>
        </w:rPr>
        <w:t>et al</w:t>
      </w:r>
      <w:r>
        <w:rPr>
          <w:color w:val="0d0d0d"/>
          <w:lang w:val="en-GB"/>
        </w:rPr>
        <w:t>., 2023). Strategic Sustainability looks beyond doing the right thing to the tangible benefits of sustainability through organisa</w:t>
      </w:r>
      <w:r>
        <w:rPr>
          <w:color w:val="0d0d0d"/>
          <w:lang w:val="en-GB"/>
        </w:rPr>
        <w:t>tional performance, the licence-to-operate and reputation.</w:t>
      </w:r>
    </w:p>
    <w:p w14:paraId="89BF6360">
      <w:pPr>
        <w:pStyle w:val="style4098"/>
        <w:jc w:val="center"/>
        <w:rPr>
          <w:color w:val="0d0d0d"/>
          <w:lang w:val="en-GB"/>
        </w:rPr>
      </w:pPr>
      <w:r>
        <w:rPr>
          <w:noProof/>
          <w:color w:val="0d0d0d"/>
          <w:lang w:val="en-GB"/>
        </w:rPr>
        <w:drawing>
          <wp:inline distL="0" distT="0" distB="0" distR="0">
            <wp:extent cx="3290888" cy="2942110"/>
            <wp:effectExtent l="0" t="0" r="0" b="0"/>
            <wp:docPr id="1033"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9" cstate="print"/>
                    <a:srcRect l="0" t="0" r="0" b="0"/>
                    <a:stretch/>
                  </pic:blipFill>
                  <pic:spPr>
                    <a:xfrm rot="0">
                      <a:off x="0" y="0"/>
                      <a:ext cx="3290888" cy="2942110"/>
                    </a:xfrm>
                    <a:prstGeom prst="rect"/>
                    <a:ln cmpd="sng" cap="flat" w="9525">
                      <a:solidFill>
                        <a:srgbClr val="000000"/>
                      </a:solidFill>
                      <a:prstDash val="solid"/>
                      <a:round/>
                      <a:headEnd/>
                      <a:tailEnd/>
                    </a:ln>
                  </pic:spPr>
                </pic:pic>
              </a:graphicData>
            </a:graphic>
          </wp:inline>
        </w:drawing>
      </w:r>
    </w:p>
    <w:p w14:paraId="7B6B665F">
      <w:pPr>
        <w:pStyle w:val="style4098"/>
        <w:jc w:val="center"/>
        <w:rPr>
          <w:b/>
          <w:bCs/>
          <w:color w:val="0d0d0d"/>
          <w:lang w:val="en-GB"/>
        </w:rPr>
      </w:pPr>
      <w:r>
        <w:rPr>
          <w:b/>
          <w:bCs/>
          <w:color w:val="0d0d0d"/>
          <w:lang w:val="en-GB"/>
        </w:rPr>
        <w:t>Figure 6: Triple Bottom Line</w:t>
      </w:r>
    </w:p>
    <w:p w14:paraId="D0D3EA7D">
      <w:pPr>
        <w:pStyle w:val="style4098"/>
        <w:jc w:val="center"/>
        <w:rPr>
          <w:color w:val="0d0d0d"/>
          <w:lang w:val="en-GB"/>
        </w:rPr>
      </w:pPr>
      <w:r>
        <w:rPr>
          <w:color w:val="0d0d0d"/>
          <w:lang w:val="en-GB"/>
        </w:rPr>
        <w:t>(Source: Self-developed)</w:t>
      </w:r>
    </w:p>
    <w:p w14:paraId="D5E522E1">
      <w:pPr>
        <w:pStyle w:val="style4098"/>
        <w:rPr>
          <w:b/>
          <w:bCs/>
          <w:color w:val="0d0d0d"/>
          <w:lang w:val="en-GB"/>
        </w:rPr>
      </w:pPr>
      <w:r>
        <w:rPr>
          <w:b/>
          <w:bCs/>
          <w:color w:val="0d0d0d"/>
          <w:lang w:val="en-GB"/>
        </w:rPr>
        <w:t>People</w:t>
      </w:r>
    </w:p>
    <w:p w14:paraId="9188BC15">
      <w:pPr>
        <w:pStyle w:val="style4098"/>
        <w:rPr>
          <w:color w:val="0d0d0d"/>
          <w:lang w:val="en-GB"/>
        </w:rPr>
      </w:pPr>
      <w:r>
        <w:rPr>
          <w:color w:val="0d0d0d"/>
          <w:lang w:val="en-GB"/>
        </w:rPr>
        <w:t>Coca-Cola's investment in the People dimension focuses on community partnerships, water stewardship initiatives and Youth Employability Programmes to enhance relationships with communities and other stakeholders (Coca-colacompany, 2026). This helps to buil</w:t>
      </w:r>
      <w:r>
        <w:rPr>
          <w:color w:val="0d0d0d"/>
          <w:lang w:val="en-GB"/>
        </w:rPr>
        <w:t>d stakeholder confidence and strengthens corporate social licence to operate, as the module's argument has it that CSR provides for corporate legitimacy and sustainable value creation.</w:t>
      </w:r>
    </w:p>
    <w:p w14:paraId="28113459">
      <w:pPr>
        <w:pStyle w:val="style4098"/>
        <w:rPr>
          <w:b/>
          <w:bCs/>
          <w:color w:val="0d0d0d"/>
          <w:lang w:val="en-GB"/>
        </w:rPr>
      </w:pPr>
      <w:r>
        <w:rPr>
          <w:b/>
          <w:bCs/>
          <w:color w:val="0d0d0d"/>
          <w:lang w:val="en-GB"/>
        </w:rPr>
        <w:t xml:space="preserve">Profit </w:t>
      </w:r>
    </w:p>
    <w:p w14:paraId="E7E593BD">
      <w:pPr>
        <w:pStyle w:val="style4098"/>
        <w:rPr>
          <w:color w:val="0d0d0d"/>
          <w:lang w:val="en-GB"/>
        </w:rPr>
      </w:pPr>
      <w:r>
        <w:rPr>
          <w:color w:val="0d0d0d"/>
          <w:lang w:val="en-GB"/>
        </w:rPr>
        <w:t xml:space="preserve">From a profit point of view, CSR serves to further the business goals, including building a positive brand reputation, better relationships with retailers and the differentiation of Coca-Cola Zero Sugar in the fast-growing health-conscious drink category. </w:t>
      </w:r>
      <w:r>
        <w:rPr>
          <w:color w:val="0d0d0d"/>
          <w:lang w:val="en-GB"/>
        </w:rPr>
        <w:t>Sustainability is then a strategic investment which safeguards long-term profitability, and not only compliance costs.</w:t>
      </w:r>
    </w:p>
    <w:p w14:paraId="48B1550C">
      <w:pPr>
        <w:pStyle w:val="style4098"/>
        <w:rPr>
          <w:b/>
          <w:bCs/>
          <w:color w:val="0d0d0d"/>
          <w:lang w:val="en-GB"/>
        </w:rPr>
      </w:pPr>
      <w:r>
        <w:rPr>
          <w:b/>
          <w:bCs/>
          <w:color w:val="0d0d0d"/>
          <w:lang w:val="en-GB"/>
        </w:rPr>
        <w:t>Planet</w:t>
      </w:r>
    </w:p>
    <w:p w14:paraId="61311652">
      <w:pPr>
        <w:pStyle w:val="style4098"/>
        <w:rPr>
          <w:color w:val="0d0d0d"/>
          <w:lang w:val="en-GB"/>
        </w:rPr>
      </w:pPr>
      <w:r>
        <w:rPr>
          <w:color w:val="0d0d0d"/>
          <w:lang w:val="en-GB"/>
        </w:rPr>
        <w:t>Coca-Cola has advanced its environmental commitments, with packaging innovation and climate action efforts, from the Planet perspe</w:t>
      </w:r>
      <w:r>
        <w:rPr>
          <w:color w:val="0d0d0d"/>
          <w:lang w:val="en-GB"/>
        </w:rPr>
        <w:t>ctive. Coca-Cola will use the same amount of bottles and cans collected worldwide as it sells worldwide by 2035, and by 2050 become a net-zero GHG emitter (ESG Today, 2024). In the UK, Coca-Cola Europacific Partners has launched a program for all of its br</w:t>
      </w:r>
      <w:r>
        <w:rPr>
          <w:color w:val="0d0d0d"/>
          <w:lang w:val="en-GB"/>
        </w:rPr>
        <w:t>ands to use bottles made from 100% recycled plastic (rPET), helping to decrease the use of virgin plastic and to go through the UK's circular economy (Cocacolaep, 2026). They help to lower environmental risk, enhance regulatory compliance and ensure long-t</w:t>
      </w:r>
      <w:r>
        <w:rPr>
          <w:color w:val="0d0d0d"/>
          <w:lang w:val="en-GB"/>
        </w:rPr>
        <w:t>erm resource efficiency.</w:t>
      </w:r>
    </w:p>
    <w:p w14:paraId="EA67E1E8">
      <w:pPr>
        <w:pStyle w:val="style4098"/>
        <w:jc w:val="center"/>
        <w:rPr>
          <w:color w:val="0d0d0d"/>
          <w:lang w:val="en-GB"/>
        </w:rPr>
      </w:pPr>
      <w:r>
        <w:rPr>
          <w:noProof/>
          <w:color w:val="0d0d0d"/>
          <w:lang w:val="en-GB"/>
        </w:rPr>
        <w:drawing>
          <wp:inline distL="0" distT="0" distB="0" distR="0">
            <wp:extent cx="5538788" cy="2879801"/>
            <wp:effectExtent l="0" t="0" r="0" b="0"/>
            <wp:docPr id="1034"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0" cstate="print"/>
                    <a:srcRect l="0" t="0" r="0" b="0"/>
                    <a:stretch/>
                  </pic:blipFill>
                  <pic:spPr>
                    <a:xfrm rot="0">
                      <a:off x="0" y="0"/>
                      <a:ext cx="5538788" cy="2879801"/>
                    </a:xfrm>
                    <a:prstGeom prst="rect"/>
                    <a:ln cmpd="sng" cap="flat" w="9525">
                      <a:solidFill>
                        <a:srgbClr val="000000"/>
                      </a:solidFill>
                      <a:prstDash val="solid"/>
                      <a:round/>
                      <a:headEnd/>
                      <a:tailEnd/>
                    </a:ln>
                  </pic:spPr>
                </pic:pic>
              </a:graphicData>
            </a:graphic>
          </wp:inline>
        </w:drawing>
      </w:r>
    </w:p>
    <w:p w14:paraId="91F618BE">
      <w:pPr>
        <w:pStyle w:val="style4098"/>
        <w:jc w:val="center"/>
        <w:rPr>
          <w:b/>
          <w:bCs/>
          <w:color w:val="0d0d0d"/>
          <w:lang w:val="en-GB"/>
        </w:rPr>
      </w:pPr>
      <w:r>
        <w:rPr>
          <w:b/>
          <w:bCs/>
          <w:color w:val="0d0d0d"/>
          <w:lang w:val="en-GB"/>
        </w:rPr>
        <w:t>Figure 7: Coca-Cola’s Climate targets</w:t>
      </w:r>
    </w:p>
    <w:p w14:paraId="64AEA9A8">
      <w:pPr>
        <w:pStyle w:val="style4098"/>
        <w:jc w:val="center"/>
        <w:rPr>
          <w:color w:val="0d0d0d"/>
          <w:lang w:val="en-GB"/>
        </w:rPr>
      </w:pPr>
      <w:r>
        <w:rPr>
          <w:color w:val="0d0d0d"/>
          <w:lang w:val="en-GB"/>
        </w:rPr>
        <w:t>(Source: Jennifer, 2024)</w:t>
      </w:r>
    </w:p>
    <w:bookmarkStart w:id="38" w:name="_3pkiwedq2q9h" w:colFirst="0" w:colLast="0"/>
    <w:bookmarkStart w:id="39" w:name="_Toc236513679"/>
    <w:bookmarkEnd w:id="38"/>
    <w:p w14:paraId="74958693">
      <w:pPr>
        <w:pStyle w:val="style2"/>
        <w:rPr>
          <w:color w:val="0d0d0d"/>
          <w:lang w:val="en-GB"/>
        </w:rPr>
      </w:pPr>
      <w:r>
        <w:rPr>
          <w:color w:val="0d0d0d"/>
          <w:lang w:val="en-GB"/>
        </w:rPr>
        <w:t>3.2 Balanced Scorecard</w:t>
      </w:r>
      <w:bookmarkEnd w:id="39"/>
    </w:p>
    <w:p w14:paraId="570D3262">
      <w:pPr>
        <w:pStyle w:val="style4098"/>
        <w:rPr>
          <w:color w:val="0d0d0d"/>
          <w:lang w:val="en-GB"/>
        </w:rPr>
      </w:pPr>
      <w:r>
        <w:rPr>
          <w:color w:val="0d0d0d"/>
          <w:lang w:val="en-GB"/>
        </w:rPr>
        <w:t>The Balanced Scorecard creates measurable goals in financial a</w:t>
      </w:r>
      <w:r>
        <w:rPr>
          <w:color w:val="0d0d0d"/>
          <w:lang w:val="en-GB"/>
        </w:rPr>
        <w:t xml:space="preserve">nd non-financial areas based on the strategy; this makes sure to align activities with the operational objectives to create sustainable competitive advantage in the future (Kumar </w:t>
      </w:r>
      <w:r>
        <w:rPr>
          <w:i/>
          <w:iCs/>
          <w:color w:val="0d0d0d"/>
          <w:lang w:val="en-GB"/>
        </w:rPr>
        <w:t>et al</w:t>
      </w:r>
      <w:r>
        <w:rPr>
          <w:color w:val="0d0d0d"/>
          <w:lang w:val="en-GB"/>
        </w:rPr>
        <w:t>., 2023). The framework allows Coca-Cola Zero Sugar UK to measure perfor</w:t>
      </w:r>
      <w:r>
        <w:rPr>
          <w:color w:val="0d0d0d"/>
          <w:lang w:val="en-GB"/>
        </w:rPr>
        <w:t xml:space="preserve">mance beyond financial results, including customer value, operational excellence and organisational capability and helps the company achieve sustainable market leadership. </w:t>
      </w:r>
    </w:p>
    <w:p w14:paraId="1EB73D69">
      <w:pPr>
        <w:pStyle w:val="style4098"/>
        <w:rPr>
          <w:b/>
          <w:bCs/>
          <w:color w:val="0d0d0d"/>
          <w:lang w:val="en-GB"/>
        </w:rPr>
      </w:pPr>
      <w:r>
        <w:rPr>
          <w:b/>
          <w:bCs/>
          <w:color w:val="0d0d0d"/>
          <w:lang w:val="en-GB"/>
        </w:rPr>
        <w:t>Financial Perspective</w:t>
      </w:r>
    </w:p>
    <w:p w14:paraId="E7E5D0A9">
      <w:pPr>
        <w:pStyle w:val="style4098"/>
        <w:rPr>
          <w:color w:val="0d0d0d"/>
          <w:lang w:val="en-GB"/>
        </w:rPr>
      </w:pPr>
      <w:r>
        <w:rPr>
          <w:color w:val="0d0d0d"/>
          <w:lang w:val="en-GB"/>
        </w:rPr>
        <w:t>The financial goal is to consolidate Coca-Cola Zero Sugar's p</w:t>
      </w:r>
      <w:r>
        <w:rPr>
          <w:color w:val="0d0d0d"/>
          <w:lang w:val="en-GB"/>
        </w:rPr>
        <w:t>rofitability through growth in the premium pricing segment and through an uptrend in the market for zero-sugar coffees in the UK, a market that is growing rapidly. As Coca-Cola’s global net revenue is projected to grow by 16%, reaching $48.1 billion in 202</w:t>
      </w:r>
      <w:r>
        <w:rPr>
          <w:color w:val="0d0d0d"/>
          <w:lang w:val="en-GB"/>
        </w:rPr>
        <w:t>5, continued expansion in the UK should be a strategic objective (Investors.coca-colacompany, 2025).</w:t>
      </w:r>
    </w:p>
    <w:p w14:paraId="988DF4A0">
      <w:pPr>
        <w:pStyle w:val="style4098"/>
        <w:rPr>
          <w:color w:val="0d0d0d"/>
          <w:lang w:val="en-GB"/>
        </w:rPr>
      </w:pPr>
      <w:r>
        <w:rPr>
          <w:color w:val="0d0d0d"/>
          <w:lang w:val="en-GB"/>
        </w:rPr>
        <w:t>Some key performance indicators which will be used are zero sugar category market share, annual sales growth, operating margin and return on marketing inve</w:t>
      </w:r>
      <w:r>
        <w:rPr>
          <w:color w:val="0d0d0d"/>
          <w:lang w:val="en-GB"/>
        </w:rPr>
        <w:t xml:space="preserve">stment. </w:t>
      </w:r>
    </w:p>
    <w:p w14:paraId="0D1F2B64">
      <w:pPr>
        <w:pStyle w:val="style4098"/>
        <w:rPr>
          <w:color w:val="0d0d0d"/>
          <w:lang w:val="en-GB"/>
        </w:rPr>
      </w:pPr>
      <w:r>
        <w:rPr>
          <w:color w:val="0d0d0d"/>
          <w:lang w:val="en-GB"/>
        </w:rPr>
        <w:t>The 5% to 7% annual sales growth target is to be met while category shares are to be raised by 2%, and even in the face of inflationary pressures, premium margins are to be maintained.</w:t>
      </w:r>
    </w:p>
    <w:p w14:paraId="F91E824C">
      <w:pPr>
        <w:pStyle w:val="style4098"/>
        <w:rPr>
          <w:color w:val="0d0d0d"/>
          <w:lang w:val="en-GB"/>
        </w:rPr>
      </w:pPr>
      <w:r>
        <w:rPr>
          <w:color w:val="0d0d0d"/>
          <w:lang w:val="en-GB"/>
        </w:rPr>
        <w:t>Key initiatives for strategic consideration include leveraging</w:t>
      </w:r>
      <w:r>
        <w:rPr>
          <w:color w:val="0d0d0d"/>
          <w:lang w:val="en-GB"/>
        </w:rPr>
        <w:t xml:space="preserve"> AI for demand forecasting, implementing optimal pricing for each retailer, and developing new premium products. In particular, profits should be sustainable, not through aggressive pricing that might undermine long-term brand equity.</w:t>
      </w:r>
    </w:p>
    <w:p w14:paraId="6506C498">
      <w:pPr>
        <w:pStyle w:val="style4098"/>
        <w:rPr>
          <w:b/>
          <w:bCs/>
          <w:color w:val="0d0d0d"/>
          <w:lang w:val="en-GB"/>
        </w:rPr>
      </w:pPr>
      <w:r>
        <w:rPr>
          <w:b/>
          <w:bCs/>
          <w:color w:val="0d0d0d"/>
          <w:lang w:val="en-GB"/>
        </w:rPr>
        <w:t>Customer Perspective</w:t>
      </w:r>
    </w:p>
    <w:p w14:paraId="D26F503C">
      <w:pPr>
        <w:pStyle w:val="style4098"/>
        <w:rPr>
          <w:color w:val="0d0d0d"/>
          <w:lang w:val="en-GB"/>
        </w:rPr>
      </w:pPr>
      <w:r>
        <w:rPr>
          <w:color w:val="0d0d0d"/>
          <w:lang w:val="en-GB"/>
        </w:rPr>
        <w:t xml:space="preserve">The goal is to solidify Coca-Cola Zero Sugar as the UK's leading health-conscious sugar-free cola drink. </w:t>
      </w:r>
    </w:p>
    <w:p w14:paraId="24604335">
      <w:pPr>
        <w:pStyle w:val="style4098"/>
        <w:rPr>
          <w:color w:val="0d0d0d"/>
          <w:lang w:val="en-GB"/>
        </w:rPr>
      </w:pPr>
      <w:r>
        <w:rPr>
          <w:color w:val="0d0d0d"/>
          <w:lang w:val="en-GB"/>
        </w:rPr>
        <w:t>Key performance indicators (KPIs) include Net Promoter Score (NPS), repeat purchase rate, household penetration, digital engagement and brand preferen</w:t>
      </w:r>
      <w:r>
        <w:rPr>
          <w:color w:val="0d0d0d"/>
          <w:lang w:val="en-GB"/>
        </w:rPr>
        <w:t xml:space="preserve">ce. </w:t>
      </w:r>
    </w:p>
    <w:p w14:paraId="67CA527F">
      <w:pPr>
        <w:pStyle w:val="style4098"/>
        <w:rPr>
          <w:color w:val="0d0d0d"/>
          <w:lang w:val="en-GB"/>
        </w:rPr>
      </w:pPr>
      <w:r>
        <w:rPr>
          <w:color w:val="0d0d0d"/>
          <w:lang w:val="en-GB"/>
        </w:rPr>
        <w:t>The goals are to increase household penetration by 3% per year, boost customer retention and ensure the category-leading position in brand preference.</w:t>
      </w:r>
    </w:p>
    <w:p w14:paraId="B807B1EC">
      <w:pPr>
        <w:pStyle w:val="style4098"/>
        <w:rPr>
          <w:color w:val="0d0d0d"/>
          <w:lang w:val="en-GB"/>
        </w:rPr>
      </w:pPr>
      <w:r>
        <w:rPr>
          <w:color w:val="0d0d0d"/>
          <w:lang w:val="en-GB"/>
        </w:rPr>
        <w:t>AI-driven personalised offers, multi-channel marketing, retailer loyalty schemes, and eco-friendly m</w:t>
      </w:r>
      <w:r>
        <w:rPr>
          <w:color w:val="0d0d0d"/>
          <w:lang w:val="en-GB"/>
        </w:rPr>
        <w:t xml:space="preserve">arketing are among the strategic measures implemented (Salhab </w:t>
      </w:r>
      <w:r>
        <w:rPr>
          <w:i/>
          <w:iCs/>
          <w:color w:val="0d0d0d"/>
          <w:lang w:val="en-GB"/>
        </w:rPr>
        <w:t>et al</w:t>
      </w:r>
      <w:r>
        <w:rPr>
          <w:color w:val="0d0d0d"/>
          <w:lang w:val="en-GB"/>
        </w:rPr>
        <w:t>., 2025). Most importantly, the main trait of customer loyalty is becoming more and more environmental credibility and a more healthful positioning of the product in addition to taste. Sust</w:t>
      </w:r>
      <w:r>
        <w:rPr>
          <w:color w:val="0d0d0d"/>
          <w:lang w:val="en-GB"/>
        </w:rPr>
        <w:t>ainability has risen from a reputation management program to a value proposition in strategy, to give it a second chance at differentiation from Pepsi Max and supermarket private label brands.</w:t>
      </w:r>
    </w:p>
    <w:p w14:paraId="F12E503D">
      <w:pPr>
        <w:pStyle w:val="style4098"/>
        <w:rPr>
          <w:b/>
          <w:bCs/>
          <w:color w:val="0d0d0d"/>
          <w:lang w:val="en-GB"/>
        </w:rPr>
      </w:pPr>
      <w:r>
        <w:rPr>
          <w:b/>
          <w:bCs/>
          <w:color w:val="0d0d0d"/>
          <w:lang w:val="en-GB"/>
        </w:rPr>
        <w:t>Internal business process perspective</w:t>
      </w:r>
    </w:p>
    <w:p w14:paraId="A5F3F956">
      <w:pPr>
        <w:pStyle w:val="style4098"/>
        <w:rPr>
          <w:color w:val="0d0d0d"/>
          <w:lang w:val="en-GB"/>
        </w:rPr>
      </w:pPr>
      <w:r>
        <w:rPr>
          <w:color w:val="0d0d0d"/>
          <w:lang w:val="en-GB"/>
        </w:rPr>
        <w:t>The aim is to have more e</w:t>
      </w:r>
      <w:r>
        <w:rPr>
          <w:color w:val="0d0d0d"/>
          <w:lang w:val="en-GB"/>
        </w:rPr>
        <w:t>fficient operations and increased environmental performance at UK sites.</w:t>
      </w:r>
    </w:p>
    <w:p w14:paraId="203B40DA">
      <w:pPr>
        <w:pStyle w:val="style4098"/>
        <w:rPr>
          <w:color w:val="0d0d0d"/>
          <w:lang w:val="en-GB"/>
        </w:rPr>
      </w:pPr>
      <w:r>
        <w:rPr>
          <w:color w:val="0d0d0d"/>
          <w:lang w:val="en-GB"/>
        </w:rPr>
        <w:t>The KPIs can be efficiency of manufacturing, on-time delivery to retailers, recycled packaging used, carbon emissions per litre manufactured, and product quality in manufacturing.</w:t>
      </w:r>
    </w:p>
    <w:p w14:paraId="62D3EC84">
      <w:pPr>
        <w:pStyle w:val="style4098"/>
        <w:rPr>
          <w:color w:val="0d0d0d"/>
          <w:lang w:val="en-GB"/>
        </w:rPr>
      </w:pPr>
      <w:r>
        <w:rPr>
          <w:color w:val="0d0d0d"/>
          <w:lang w:val="en-GB"/>
        </w:rPr>
        <w:t>Key</w:t>
      </w:r>
      <w:r>
        <w:rPr>
          <w:color w:val="0d0d0d"/>
          <w:lang w:val="en-GB"/>
        </w:rPr>
        <w:t xml:space="preserve"> goals are to increase packaging recycled, reduce operational waste, and achieve 98% retailer order fulfilment.</w:t>
      </w:r>
    </w:p>
    <w:p w14:paraId="DE031E8F">
      <w:pPr>
        <w:pStyle w:val="style4098"/>
        <w:rPr>
          <w:color w:val="0d0d0d"/>
          <w:lang w:val="en-GB"/>
        </w:rPr>
      </w:pPr>
      <w:r>
        <w:rPr>
          <w:color w:val="0d0d0d"/>
          <w:lang w:val="en-GB"/>
        </w:rPr>
        <w:t>Predictive maintenance, production scheduling using artificial intelligence, and digital supply-chain optimisation and circular packaging innova</w:t>
      </w:r>
      <w:r>
        <w:rPr>
          <w:color w:val="0d0d0d"/>
          <w:lang w:val="en-GB"/>
        </w:rPr>
        <w:t xml:space="preserve">tion are some of the strategic initiatives (Mohsen </w:t>
      </w:r>
      <w:r>
        <w:rPr>
          <w:i/>
          <w:iCs/>
          <w:color w:val="0d0d0d"/>
          <w:lang w:val="en-GB"/>
        </w:rPr>
        <w:t>et al</w:t>
      </w:r>
      <w:r>
        <w:rPr>
          <w:color w:val="0d0d0d"/>
          <w:lang w:val="en-GB"/>
        </w:rPr>
        <w:t xml:space="preserve">., 2026). Crucially, operational excellence not only needs to increase cost efficiency yet also needs to be cost-effective in terms of improving sustainability, as environmental performance becomes a </w:t>
      </w:r>
      <w:r>
        <w:rPr>
          <w:color w:val="0d0d0d"/>
          <w:lang w:val="en-GB"/>
        </w:rPr>
        <w:t>key factor in both retailer partnerships and regulatory compliance and consumer buying decisions.</w:t>
      </w:r>
    </w:p>
    <w:p w14:paraId="E320101F">
      <w:pPr>
        <w:pStyle w:val="style4098"/>
        <w:rPr>
          <w:b/>
          <w:bCs/>
          <w:color w:val="0d0d0d"/>
          <w:lang w:val="en-GB"/>
        </w:rPr>
      </w:pPr>
      <w:r>
        <w:rPr>
          <w:b/>
          <w:bCs/>
          <w:color w:val="0d0d0d"/>
          <w:lang w:val="en-GB"/>
        </w:rPr>
        <w:t>Learning and Growth Perspective</w:t>
      </w:r>
    </w:p>
    <w:p w14:paraId="9EE06FAA">
      <w:pPr>
        <w:pStyle w:val="style4098"/>
        <w:rPr>
          <w:color w:val="0d0d0d"/>
          <w:lang w:val="en-GB"/>
        </w:rPr>
      </w:pPr>
      <w:r>
        <w:rPr>
          <w:color w:val="0d0d0d"/>
          <w:lang w:val="en-GB"/>
        </w:rPr>
        <w:t>The goal is to mobilise the organisation to become more capable, faster through digital transformation, innovation and growing</w:t>
      </w:r>
      <w:r>
        <w:rPr>
          <w:color w:val="0d0d0d"/>
          <w:lang w:val="en-GB"/>
        </w:rPr>
        <w:t xml:space="preserve"> their workforce.</w:t>
      </w:r>
    </w:p>
    <w:p w14:paraId="DC39633B">
      <w:pPr>
        <w:pStyle w:val="style4098"/>
        <w:rPr>
          <w:color w:val="0d0d0d"/>
          <w:lang w:val="en-GB"/>
        </w:rPr>
      </w:pPr>
      <w:r>
        <w:rPr>
          <w:color w:val="0d0d0d"/>
          <w:lang w:val="en-GB"/>
        </w:rPr>
        <w:t>Some KPIs can be employee engagement, digital competency, AI adoption, Innovation pipeline, and annual hours in training (da SILVA, 2025).</w:t>
      </w:r>
    </w:p>
    <w:p w14:paraId="779E6548">
      <w:pPr>
        <w:pStyle w:val="style4098"/>
        <w:rPr>
          <w:color w:val="0d0d0d"/>
          <w:lang w:val="en-GB"/>
        </w:rPr>
      </w:pPr>
      <w:r>
        <w:rPr>
          <w:color w:val="0d0d0d"/>
          <w:lang w:val="en-GB"/>
        </w:rPr>
        <w:t>Goals should be to enhance digital skills, to increase innovation projects and to increase the participation of employees in sustainability programmes.</w:t>
      </w:r>
    </w:p>
    <w:p w14:paraId="24E00C02">
      <w:pPr>
        <w:pStyle w:val="style4098"/>
        <w:rPr>
          <w:color w:val="0d0d0d"/>
          <w:lang w:val="en-GB"/>
        </w:rPr>
      </w:pPr>
      <w:r>
        <w:rPr>
          <w:color w:val="0d0d0d"/>
          <w:lang w:val="en-GB"/>
        </w:rPr>
        <w:t>There are strategic programs underway such as AI and analytics training, developing cross-functional inn</w:t>
      </w:r>
      <w:r>
        <w:rPr>
          <w:color w:val="0d0d0d"/>
          <w:lang w:val="en-GB"/>
        </w:rPr>
        <w:t>ovation teams, and sustainability education. Most importantly, learning and growth are key to the entire Balanced Scorecard since well-trained workers and digital skills underpin operational excellence, which leads to better customer value, thereby enhanci</w:t>
      </w:r>
      <w:r>
        <w:rPr>
          <w:color w:val="0d0d0d"/>
          <w:lang w:val="en-GB"/>
        </w:rPr>
        <w:t>ng financial performance. Such a cause-and-effect connection allows Coca-Cola Zero Sugar to maintain a competitive advantage in a fast-paced market for beverages in the UK.</w:t>
      </w:r>
    </w:p>
    <w:bookmarkStart w:id="40" w:name="_7vj52j7wkfdz" w:colFirst="0" w:colLast="0"/>
    <w:bookmarkStart w:id="41" w:name="_Toc236513680"/>
    <w:bookmarkEnd w:id="40"/>
    <w:p w14:paraId="E932B6C1">
      <w:pPr>
        <w:pStyle w:val="style1"/>
        <w:rPr>
          <w:color w:val="0d0d0d"/>
          <w:lang w:val="en-GB"/>
        </w:rPr>
      </w:pPr>
      <w:r>
        <w:rPr>
          <w:color w:val="0d0d0d"/>
          <w:lang w:val="en-GB"/>
        </w:rPr>
        <w:t>4.0: Implementation of Strategic Choices</w:t>
      </w:r>
      <w:bookmarkEnd w:id="41"/>
    </w:p>
    <w:bookmarkStart w:id="42" w:name="_za3qs83byd9x" w:colFirst="0" w:colLast="0"/>
    <w:bookmarkStart w:id="43" w:name="_Toc236513681"/>
    <w:bookmarkEnd w:id="42"/>
    <w:p w14:paraId="2BC0663B">
      <w:pPr>
        <w:pStyle w:val="style2"/>
        <w:rPr>
          <w:color w:val="0d0d0d"/>
          <w:lang w:val="en-GB"/>
        </w:rPr>
      </w:pPr>
      <w:r>
        <w:rPr>
          <w:color w:val="0d0d0d"/>
          <w:lang w:val="en-GB"/>
        </w:rPr>
        <w:t>4.1 Business-Level Strategic Choices using</w:t>
      </w:r>
      <w:r>
        <w:rPr>
          <w:color w:val="0d0d0d"/>
          <w:lang w:val="en-GB"/>
        </w:rPr>
        <w:t xml:space="preserve"> Porter's Generic Strategies</w:t>
      </w:r>
      <w:bookmarkEnd w:id="43"/>
    </w:p>
    <w:p w14:paraId="46E7A78F">
      <w:pPr>
        <w:pStyle w:val="style4098"/>
        <w:rPr>
          <w:color w:val="0d0d0d"/>
          <w:lang w:val="en-GB"/>
        </w:rPr>
      </w:pPr>
      <w:r>
        <w:rPr>
          <w:color w:val="0d0d0d"/>
          <w:lang w:val="en-GB"/>
        </w:rPr>
        <w:t xml:space="preserve">From the business level, Coca-Cola Zero Sugar is using a differentiation strategy as its generic strategy to gain a competitive advantage in the soft drinks market in the UK. </w:t>
      </w:r>
    </w:p>
    <w:p w14:paraId="6AB65FF8">
      <w:pPr>
        <w:pStyle w:val="style4098"/>
        <w:jc w:val="center"/>
        <w:rPr>
          <w:color w:val="0d0d0d"/>
          <w:lang w:val="en-GB"/>
        </w:rPr>
      </w:pPr>
      <w:r>
        <w:rPr>
          <w:noProof/>
          <w:color w:val="0d0d0d"/>
          <w:lang w:val="en-GB"/>
        </w:rPr>
        <w:drawing>
          <wp:inline distL="0" distT="0" distB="0" distR="0">
            <wp:extent cx="3373274" cy="3038475"/>
            <wp:effectExtent l="0" t="0" r="0" b="0"/>
            <wp:docPr id="1035"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11" cstate="print"/>
                    <a:srcRect l="0" t="0" r="0" b="0"/>
                    <a:stretch/>
                  </pic:blipFill>
                  <pic:spPr>
                    <a:xfrm rot="0">
                      <a:off x="0" y="0"/>
                      <a:ext cx="3373274" cy="3038475"/>
                    </a:xfrm>
                    <a:prstGeom prst="rect"/>
                    <a:ln cmpd="sng" cap="flat" w="9525">
                      <a:solidFill>
                        <a:srgbClr val="000000"/>
                      </a:solidFill>
                      <a:prstDash val="solid"/>
                      <a:round/>
                      <a:headEnd/>
                      <a:tailEnd/>
                    </a:ln>
                  </pic:spPr>
                </pic:pic>
              </a:graphicData>
            </a:graphic>
          </wp:inline>
        </w:drawing>
      </w:r>
    </w:p>
    <w:p w14:paraId="EC0FE922">
      <w:pPr>
        <w:pStyle w:val="style4098"/>
        <w:jc w:val="center"/>
        <w:rPr>
          <w:b/>
          <w:bCs/>
          <w:color w:val="0d0d0d"/>
          <w:lang w:val="en-GB"/>
        </w:rPr>
      </w:pPr>
      <w:r>
        <w:rPr>
          <w:b/>
          <w:bCs/>
          <w:color w:val="0d0d0d"/>
          <w:lang w:val="en-GB"/>
        </w:rPr>
        <w:t>Figure 8: Porter’s Generic Framework</w:t>
      </w:r>
    </w:p>
    <w:p w14:paraId="24380D19">
      <w:pPr>
        <w:pStyle w:val="style4098"/>
        <w:jc w:val="center"/>
        <w:rPr>
          <w:color w:val="0d0d0d"/>
          <w:lang w:val="en-GB"/>
        </w:rPr>
      </w:pPr>
      <w:r>
        <w:rPr>
          <w:color w:val="0d0d0d"/>
          <w:lang w:val="en-GB"/>
        </w:rPr>
        <w:t>(Source: Sel</w:t>
      </w:r>
      <w:r>
        <w:rPr>
          <w:color w:val="0d0d0d"/>
          <w:lang w:val="en-GB"/>
        </w:rPr>
        <w:t>f-developed)</w:t>
      </w:r>
    </w:p>
    <w:p w14:paraId="368BF335">
      <w:pPr>
        <w:pStyle w:val="style4098"/>
        <w:rPr>
          <w:b/>
          <w:bCs/>
          <w:color w:val="0d0d0d"/>
          <w:lang w:val="en-GB"/>
        </w:rPr>
      </w:pPr>
      <w:r>
        <w:rPr>
          <w:b/>
          <w:bCs/>
          <w:color w:val="0d0d0d"/>
          <w:lang w:val="en-GB"/>
        </w:rPr>
        <w:t>Cost</w:t>
      </w:r>
    </w:p>
    <w:p w14:paraId="A062EDFB">
      <w:pPr>
        <w:pStyle w:val="style4098"/>
        <w:rPr>
          <w:color w:val="0d0d0d"/>
          <w:lang w:val="en-GB"/>
        </w:rPr>
      </w:pPr>
      <w:r>
        <w:rPr>
          <w:color w:val="0d0d0d"/>
          <w:lang w:val="en-GB"/>
        </w:rPr>
        <w:t xml:space="preserve">Cost strategy aims to </w:t>
      </w:r>
      <w:r>
        <w:rPr>
          <w:color w:val="0d0d0d"/>
          <w:lang w:val="en-GB"/>
        </w:rPr>
        <w:t>ensure</w:t>
      </w:r>
      <w:r>
        <w:rPr>
          <w:color w:val="0d0d0d"/>
          <w:lang w:val="en-GB"/>
        </w:rPr>
        <w:t xml:space="preserve"> cost effective or lowest operational and production cost (Ștefan </w:t>
      </w:r>
      <w:r>
        <w:rPr>
          <w:i/>
          <w:iCs/>
          <w:color w:val="0d0d0d"/>
          <w:lang w:val="en-GB"/>
        </w:rPr>
        <w:t>et al</w:t>
      </w:r>
      <w:r>
        <w:rPr>
          <w:color w:val="0d0d0d"/>
          <w:lang w:val="en-GB"/>
        </w:rPr>
        <w:t>., 2023). Coca-Cola does not focus on the lowest industry pricing; they spend billions on advertising, use artificial intelligence to learn from consumer insights, on sustainability efforts, and on recyclable packaging, all of which lead to premium pricing</w:t>
      </w:r>
      <w:r>
        <w:rPr>
          <w:color w:val="0d0d0d"/>
          <w:lang w:val="en-GB"/>
        </w:rPr>
        <w:t xml:space="preserve"> that is higher than own-brand products found in supermarkets. This strategy aims to create value, rather than to minimise costs.</w:t>
      </w:r>
    </w:p>
    <w:p w14:paraId="D112DD7E">
      <w:pPr>
        <w:pStyle w:val="style4098"/>
        <w:rPr>
          <w:b/>
          <w:bCs/>
          <w:color w:val="0d0d0d"/>
          <w:lang w:val="en-GB"/>
        </w:rPr>
      </w:pPr>
      <w:r>
        <w:rPr>
          <w:b/>
          <w:bCs/>
          <w:color w:val="0d0d0d"/>
          <w:lang w:val="en-GB"/>
        </w:rPr>
        <w:t>Focus strategy</w:t>
      </w:r>
    </w:p>
    <w:p w14:paraId="EA7D173B">
      <w:pPr>
        <w:pStyle w:val="style4098"/>
        <w:rPr>
          <w:color w:val="0d0d0d"/>
          <w:lang w:val="en-GB"/>
        </w:rPr>
      </w:pPr>
      <w:r>
        <w:rPr>
          <w:color w:val="0d0d0d"/>
          <w:lang w:val="en-GB"/>
        </w:rPr>
        <w:t>Focus strategy targets a specific market segment to launch products. The strategy is not a traditional cost foc</w:t>
      </w:r>
      <w:r>
        <w:rPr>
          <w:color w:val="0d0d0d"/>
          <w:lang w:val="en-GB"/>
        </w:rPr>
        <w:t>us strategy, as Coca-Cola Zero Sugar has grown to £483 million (Grocerytrader, 2026). It does not focus on the height of a niche yet is targeting the wider market within the UK beverage sector through supermarkets, convenience retailers, hospitality outlet</w:t>
      </w:r>
      <w:r>
        <w:rPr>
          <w:color w:val="0d0d0d"/>
          <w:lang w:val="en-GB"/>
        </w:rPr>
        <w:t>s and e-commerce. However, it showcases aspects of differentiation focus with its targeting of health-conscious consumers who are looking for sugar-free options.</w:t>
      </w:r>
    </w:p>
    <w:p w14:paraId="2C006A91">
      <w:pPr>
        <w:pStyle w:val="style4098"/>
        <w:rPr>
          <w:b/>
          <w:bCs/>
          <w:color w:val="0d0d0d"/>
          <w:lang w:val="en-GB"/>
        </w:rPr>
      </w:pPr>
      <w:r>
        <w:rPr>
          <w:b/>
          <w:bCs/>
          <w:color w:val="0d0d0d"/>
          <w:lang w:val="en-GB"/>
        </w:rPr>
        <w:t>Differentiation</w:t>
      </w:r>
    </w:p>
    <w:p w14:paraId="0B37D0CD">
      <w:pPr>
        <w:pStyle w:val="style4098"/>
        <w:rPr>
          <w:color w:val="0d0d0d"/>
          <w:lang w:val="en-GB"/>
        </w:rPr>
      </w:pPr>
      <w:r>
        <w:rPr>
          <w:color w:val="0d0d0d"/>
          <w:lang w:val="en-GB"/>
        </w:rPr>
        <w:t xml:space="preserve">A differentiation strategy works for generating something unique by </w:t>
      </w:r>
      <w:r>
        <w:rPr>
          <w:color w:val="0d0d0d"/>
          <w:lang w:val="en-GB"/>
        </w:rPr>
        <w:t>companies that make</w:t>
      </w:r>
      <w:r>
        <w:rPr>
          <w:color w:val="0d0d0d"/>
          <w:lang w:val="en-GB"/>
        </w:rPr>
        <w:t xml:space="preserve"> them different from other brands (Ștefan </w:t>
      </w:r>
      <w:r>
        <w:rPr>
          <w:i/>
          <w:color w:val="0d0d0d"/>
          <w:lang w:val="en-GB"/>
        </w:rPr>
        <w:t>et al.</w:t>
      </w:r>
      <w:r>
        <w:rPr>
          <w:color w:val="0d0d0d"/>
          <w:lang w:val="en-GB"/>
        </w:rPr>
        <w:t>, 2023). Differentiation leadership allows organisations to establish uniqueness by lead attributes, customer relations and complementary services valued by customers that are good enough to justify</w:t>
      </w:r>
      <w:r>
        <w:rPr>
          <w:color w:val="0d0d0d"/>
          <w:lang w:val="en-GB"/>
        </w:rPr>
        <w:t xml:space="preserve"> a premium price. By providing the original flavour of Coca-Cola without any sugar or calories, Coca-Cola Zero Sugar differentiates itself in meeting the evolving needs of consumers for healthier options without sacrificing taste (Coca-cola, 2026). With th</w:t>
      </w:r>
      <w:r>
        <w:rPr>
          <w:color w:val="0d0d0d"/>
          <w:lang w:val="en-GB"/>
        </w:rPr>
        <w:t>e Coca-Cola Co's projected worldwide net revenue of $48.1 billion in 2025, the brand is continually investing to strengthen this premium positioning through investments in digital marketing and product innovation.</w:t>
      </w:r>
    </w:p>
    <w:bookmarkStart w:id="44" w:name="_khiybroe2gxg" w:colFirst="0" w:colLast="0"/>
    <w:bookmarkStart w:id="45" w:name="_Toc236513682"/>
    <w:bookmarkEnd w:id="44"/>
    <w:p w14:paraId="BAE9D2C7">
      <w:pPr>
        <w:pStyle w:val="style2"/>
        <w:rPr>
          <w:color w:val="0d0d0d"/>
          <w:lang w:val="en-GB"/>
        </w:rPr>
      </w:pPr>
      <w:r>
        <w:rPr>
          <w:color w:val="0d0d0d"/>
          <w:lang w:val="en-GB"/>
        </w:rPr>
        <w:t>4.2 Evaluation of Strategic Options</w:t>
      </w:r>
      <w:bookmarkEnd w:id="45"/>
      <w:r>
        <w:rPr>
          <w:color w:val="0d0d0d"/>
          <w:lang w:val="en-GB"/>
        </w:rPr>
        <w:t xml:space="preserve"> </w:t>
      </w:r>
    </w:p>
    <w:p w14:paraId="D20BE5EC">
      <w:pPr>
        <w:pStyle w:val="style4098"/>
        <w:rPr>
          <w:color w:val="0d0d0d"/>
          <w:lang w:val="en-GB"/>
        </w:rPr>
      </w:pPr>
      <w:r>
        <w:rPr>
          <w:b/>
          <w:bCs/>
          <w:color w:val="0d0d0d"/>
          <w:lang w:val="en-GB"/>
        </w:rPr>
        <w:t xml:space="preserve">Porter's </w:t>
      </w:r>
      <w:r>
        <w:rPr>
          <w:b/>
          <w:bCs/>
          <w:color w:val="0d0d0d"/>
          <w:lang w:val="en-GB"/>
        </w:rPr>
        <w:t>five</w:t>
      </w:r>
      <w:r>
        <w:rPr>
          <w:b/>
          <w:bCs/>
          <w:color w:val="0d0d0d"/>
          <w:lang w:val="en-GB"/>
        </w:rPr>
        <w:t xml:space="preserve"> forces</w:t>
      </w:r>
    </w:p>
    <w:tbl>
      <w:tblPr>
        <w:tblStyle w:val="style4102"/>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70"/>
        <w:gridCol w:w="3180"/>
        <w:gridCol w:w="3030"/>
      </w:tblGrid>
      <w:tr w14:paraId="D94ADC7D">
        <w:trPr>
          <w:trHeight w:val="1095" w:hRule="atLeast"/>
        </w:trPr>
        <w:tc>
          <w:tcPr>
            <w:tcW w:w="267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D0FF41E9">
            <w:pPr>
              <w:pStyle w:val="style4098"/>
              <w:jc w:val="center"/>
              <w:rPr>
                <w:b/>
                <w:bCs/>
                <w:color w:val="0d0d0d"/>
                <w:lang w:val="en-GB"/>
              </w:rPr>
            </w:pPr>
            <w:r>
              <w:rPr>
                <w:b/>
                <w:bCs/>
                <w:color w:val="0d0d0d"/>
                <w:lang w:val="en-GB"/>
              </w:rPr>
              <w:t>Force</w:t>
            </w:r>
          </w:p>
        </w:tc>
        <w:tc>
          <w:tcPr>
            <w:tcW w:w="31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EB6ECBB3">
            <w:pPr>
              <w:pStyle w:val="style4098"/>
              <w:jc w:val="center"/>
              <w:rPr>
                <w:b/>
                <w:bCs/>
                <w:color w:val="0d0d0d"/>
                <w:lang w:val="en-GB"/>
              </w:rPr>
            </w:pPr>
            <w:r>
              <w:rPr>
                <w:b/>
                <w:bCs/>
                <w:color w:val="0d0d0d"/>
                <w:lang w:val="en-GB"/>
              </w:rPr>
              <w:t>Evaluation of the UK Zero-Sugar Soft Drinks Market</w:t>
            </w:r>
          </w:p>
        </w:tc>
        <w:tc>
          <w:tcPr>
            <w:tcW w:w="30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B71E94B7">
            <w:pPr>
              <w:pStyle w:val="style4098"/>
              <w:jc w:val="center"/>
              <w:rPr>
                <w:b/>
                <w:bCs/>
                <w:color w:val="0d0d0d"/>
                <w:lang w:val="en-GB"/>
              </w:rPr>
            </w:pPr>
            <w:r>
              <w:rPr>
                <w:b/>
                <w:bCs/>
                <w:color w:val="0d0d0d"/>
                <w:lang w:val="en-GB"/>
              </w:rPr>
              <w:t>Strategic Implication for Coca-Cola Zero Sugar</w:t>
            </w:r>
          </w:p>
        </w:tc>
      </w:tr>
      <w:tr w14:paraId="F46147B9">
        <w:tblPrEx/>
        <w:trPr>
          <w:trHeight w:val="7785" w:hRule="atLeast"/>
        </w:trPr>
        <w:tc>
          <w:tcPr>
            <w:tcW w:w="26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8DA8F4D4">
            <w:pPr>
              <w:pStyle w:val="style4098"/>
              <w:rPr>
                <w:b/>
                <w:bCs/>
                <w:color w:val="0d0d0d"/>
                <w:lang w:val="en-GB"/>
              </w:rPr>
            </w:pPr>
            <w:r>
              <w:rPr>
                <w:b/>
                <w:bCs/>
                <w:color w:val="0d0d0d"/>
                <w:lang w:val="en-GB"/>
              </w:rPr>
              <w:t>Competitive Rivalry: High</w:t>
            </w:r>
          </w:p>
        </w:tc>
        <w:tc>
          <w:tcPr>
            <w:tcW w:w="3180" w:type="dxa"/>
            <w:tcBorders>
              <w:top w:val="nil"/>
              <w:left w:val="nil"/>
              <w:bottom w:val="single" w:sz="5" w:space="0" w:color="000000"/>
              <w:right w:val="single" w:sz="5" w:space="0" w:color="000000"/>
            </w:tcBorders>
            <w:tcMar>
              <w:top w:w="0" w:type="dxa"/>
              <w:left w:w="100" w:type="dxa"/>
              <w:bottom w:w="0" w:type="dxa"/>
              <w:right w:w="100" w:type="dxa"/>
            </w:tcMar>
          </w:tcPr>
          <w:p w14:paraId="B485DB96">
            <w:pPr>
              <w:pStyle w:val="style4098"/>
              <w:rPr>
                <w:color w:val="0d0d0d"/>
                <w:lang w:val="en-GB"/>
              </w:rPr>
            </w:pPr>
            <w:r>
              <w:rPr>
                <w:color w:val="0d0d0d"/>
                <w:lang w:val="en-GB"/>
              </w:rPr>
              <w:t>The UK soft drinks market is valued at approximately $118.28 billion in 2025 (Market Data Forecast, 2026). Coca-Cola competes directly with Pepsi Max, Britvic, AG Barr (IRN-BRU XTRA) and supermarket own-label brands. Pepsi Max remains Coca-Cola Zero Sugar'</w:t>
            </w:r>
            <w:r>
              <w:rPr>
                <w:color w:val="0d0d0d"/>
                <w:lang w:val="en-GB"/>
              </w:rPr>
              <w:t xml:space="preserve">s closest competitor, while intensive promotional spending and frequent product launches increase competitive pressure. The mature nature of the UK carbonated drinks market further intensifies rivalry because competitors primarily compete for market share </w:t>
            </w:r>
            <w:r>
              <w:rPr>
                <w:color w:val="0d0d0d"/>
                <w:lang w:val="en-GB"/>
              </w:rPr>
              <w:t>rather than new customers.</w:t>
            </w:r>
          </w:p>
        </w:tc>
        <w:tc>
          <w:tcPr>
            <w:tcW w:w="3030" w:type="dxa"/>
            <w:tcBorders>
              <w:top w:val="nil"/>
              <w:left w:val="nil"/>
              <w:bottom w:val="single" w:sz="5" w:space="0" w:color="000000"/>
              <w:right w:val="single" w:sz="5" w:space="0" w:color="000000"/>
            </w:tcBorders>
            <w:tcMar>
              <w:top w:w="0" w:type="dxa"/>
              <w:left w:w="100" w:type="dxa"/>
              <w:bottom w:w="0" w:type="dxa"/>
              <w:right w:w="100" w:type="dxa"/>
            </w:tcMar>
          </w:tcPr>
          <w:p w14:paraId="899F8151">
            <w:pPr>
              <w:pStyle w:val="style4098"/>
              <w:rPr>
                <w:color w:val="0d0d0d"/>
                <w:lang w:val="en-GB"/>
              </w:rPr>
            </w:pPr>
            <w:r>
              <w:rPr>
                <w:color w:val="0d0d0d"/>
                <w:lang w:val="en-GB"/>
              </w:rPr>
              <w:t>Coca-Cola must sustain differentiation through superior brand equity, healthier positioning, innovation and sustainability rather than competing on price, preserving premium margins and long-term customer loyalty.</w:t>
            </w:r>
          </w:p>
        </w:tc>
      </w:tr>
      <w:tr w14:paraId="544B6B18">
        <w:tblPrEx/>
        <w:trPr>
          <w:trHeight w:val="6510" w:hRule="atLeast"/>
        </w:trPr>
        <w:tc>
          <w:tcPr>
            <w:tcW w:w="26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E90BDE">
            <w:pPr>
              <w:pStyle w:val="style4098"/>
              <w:rPr>
                <w:b/>
                <w:bCs/>
                <w:color w:val="0d0d0d"/>
                <w:lang w:val="en-GB"/>
              </w:rPr>
            </w:pPr>
            <w:r>
              <w:rPr>
                <w:b/>
                <w:bCs/>
                <w:color w:val="0d0d0d"/>
                <w:lang w:val="en-GB"/>
              </w:rPr>
              <w:t>Threat of New Entrants: Low</w:t>
            </w:r>
          </w:p>
        </w:tc>
        <w:tc>
          <w:tcPr>
            <w:tcW w:w="3180" w:type="dxa"/>
            <w:tcBorders>
              <w:top w:val="nil"/>
              <w:left w:val="nil"/>
              <w:bottom w:val="single" w:sz="5" w:space="0" w:color="000000"/>
              <w:right w:val="single" w:sz="5" w:space="0" w:color="000000"/>
            </w:tcBorders>
            <w:tcMar>
              <w:top w:w="0" w:type="dxa"/>
              <w:left w:w="100" w:type="dxa"/>
              <w:bottom w:w="0" w:type="dxa"/>
              <w:right w:w="100" w:type="dxa"/>
            </w:tcMar>
          </w:tcPr>
          <w:p w14:paraId="E93886EB">
            <w:pPr>
              <w:pStyle w:val="style4098"/>
              <w:rPr>
                <w:color w:val="0d0d0d"/>
                <w:lang w:val="en-GB"/>
              </w:rPr>
            </w:pPr>
            <w:r>
              <w:rPr>
                <w:color w:val="0d0d0d"/>
                <w:lang w:val="en-GB"/>
              </w:rPr>
              <w:t>Establishing a national beverage brand requires substantial capital investment in manufacturing, distribution, regulatory compliance and marketing. Coca-Cola Europacific Partners operates multiple production facilities and distr</w:t>
            </w:r>
            <w:r>
              <w:rPr>
                <w:color w:val="0d0d0d"/>
                <w:lang w:val="en-GB"/>
              </w:rPr>
              <w:t>ibutes products through thousands of UK retail outlets, creating economies of scale that are difficult for new entrants to replicate (Cocacolaep, 2026). Long-established consumer loyalty further increases entry barriers.</w:t>
            </w:r>
          </w:p>
        </w:tc>
        <w:tc>
          <w:tcPr>
            <w:tcW w:w="3030" w:type="dxa"/>
            <w:tcBorders>
              <w:top w:val="nil"/>
              <w:left w:val="nil"/>
              <w:bottom w:val="single" w:sz="5" w:space="0" w:color="000000"/>
              <w:right w:val="single" w:sz="5" w:space="0" w:color="000000"/>
            </w:tcBorders>
            <w:tcMar>
              <w:top w:w="0" w:type="dxa"/>
              <w:left w:w="100" w:type="dxa"/>
              <w:bottom w:w="0" w:type="dxa"/>
              <w:right w:w="100" w:type="dxa"/>
            </w:tcMar>
          </w:tcPr>
          <w:p w14:paraId="038FC467">
            <w:pPr>
              <w:pStyle w:val="style4098"/>
              <w:rPr>
                <w:color w:val="0d0d0d"/>
                <w:lang w:val="en-GB"/>
              </w:rPr>
            </w:pPr>
            <w:r>
              <w:rPr>
                <w:color w:val="0d0d0d"/>
                <w:lang w:val="en-GB"/>
              </w:rPr>
              <w:t>Coca-Cola's global brand reputation</w:t>
            </w:r>
            <w:r>
              <w:rPr>
                <w:color w:val="0d0d0d"/>
                <w:lang w:val="en-GB"/>
              </w:rPr>
              <w:t>, financial resources and extensive distribution network provide sustained protection against new market entrants.</w:t>
            </w:r>
          </w:p>
        </w:tc>
      </w:tr>
      <w:tr w14:paraId="F53CB467">
        <w:tblPrEx/>
        <w:trPr>
          <w:trHeight w:val="4815" w:hRule="atLeast"/>
        </w:trPr>
        <w:tc>
          <w:tcPr>
            <w:tcW w:w="26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9CC268F5">
            <w:pPr>
              <w:pStyle w:val="style4098"/>
              <w:rPr>
                <w:b/>
                <w:bCs/>
                <w:color w:val="0d0d0d"/>
                <w:lang w:val="en-GB"/>
              </w:rPr>
            </w:pPr>
            <w:r>
              <w:rPr>
                <w:b/>
                <w:bCs/>
                <w:color w:val="0d0d0d"/>
                <w:lang w:val="en-GB"/>
              </w:rPr>
              <w:t>Threat of Substitutes: High</w:t>
            </w:r>
          </w:p>
        </w:tc>
        <w:tc>
          <w:tcPr>
            <w:tcW w:w="3180" w:type="dxa"/>
            <w:tcBorders>
              <w:top w:val="nil"/>
              <w:left w:val="nil"/>
              <w:bottom w:val="single" w:sz="5" w:space="0" w:color="000000"/>
              <w:right w:val="single" w:sz="5" w:space="0" w:color="000000"/>
            </w:tcBorders>
            <w:tcMar>
              <w:top w:w="0" w:type="dxa"/>
              <w:left w:w="100" w:type="dxa"/>
              <w:bottom w:w="0" w:type="dxa"/>
              <w:right w:w="100" w:type="dxa"/>
            </w:tcMar>
          </w:tcPr>
          <w:p w14:paraId="D2D09363">
            <w:pPr>
              <w:pStyle w:val="style4098"/>
              <w:rPr>
                <w:color w:val="0d0d0d"/>
                <w:lang w:val="en-GB"/>
              </w:rPr>
            </w:pPr>
            <w:r>
              <w:rPr>
                <w:color w:val="0d0d0d"/>
                <w:lang w:val="en-GB"/>
              </w:rPr>
              <w:t>Consumers increasingly substitute carbonated drinks with bottled water, flavoured water, ready-to-drink coffee, functional beverages and energy drinks. More than 70% of carbonated soft drink sales in the UK now come from low- and no-sugar products, reflect</w:t>
            </w:r>
            <w:r>
              <w:rPr>
                <w:color w:val="0d0d0d"/>
                <w:lang w:val="en-GB"/>
              </w:rPr>
              <w:t>ing rapidly changing consumer preferences (Grocerytrader, 2026).</w:t>
            </w:r>
          </w:p>
        </w:tc>
        <w:tc>
          <w:tcPr>
            <w:tcW w:w="3030" w:type="dxa"/>
            <w:tcBorders>
              <w:top w:val="nil"/>
              <w:left w:val="nil"/>
              <w:bottom w:val="single" w:sz="5" w:space="0" w:color="000000"/>
              <w:right w:val="single" w:sz="5" w:space="0" w:color="000000"/>
            </w:tcBorders>
            <w:tcMar>
              <w:top w:w="0" w:type="dxa"/>
              <w:left w:w="100" w:type="dxa"/>
              <w:bottom w:w="0" w:type="dxa"/>
              <w:right w:w="100" w:type="dxa"/>
            </w:tcMar>
          </w:tcPr>
          <w:p w14:paraId="E0EFE4A1">
            <w:pPr>
              <w:pStyle w:val="style4098"/>
              <w:rPr>
                <w:color w:val="0d0d0d"/>
                <w:lang w:val="en-GB"/>
              </w:rPr>
            </w:pPr>
            <w:r>
              <w:rPr>
                <w:color w:val="0d0d0d"/>
                <w:lang w:val="en-GB"/>
              </w:rPr>
              <w:t>Continuous product innovation, healthier formulations and premium branding are essential to reduce switching towards alternative beverage categories while maintaining consumer relevance.</w:t>
            </w:r>
          </w:p>
        </w:tc>
      </w:tr>
      <w:tr w14:paraId="81DE6A0A">
        <w:tblPrEx/>
        <w:trPr>
          <w:trHeight w:val="5370" w:hRule="atLeast"/>
        </w:trPr>
        <w:tc>
          <w:tcPr>
            <w:tcW w:w="26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C976C218">
            <w:pPr>
              <w:pStyle w:val="style4098"/>
              <w:rPr>
                <w:b/>
                <w:bCs/>
                <w:color w:val="0d0d0d"/>
                <w:lang w:val="en-GB"/>
              </w:rPr>
            </w:pPr>
            <w:r>
              <w:rPr>
                <w:b/>
                <w:bCs/>
                <w:color w:val="0d0d0d"/>
                <w:lang w:val="en-GB"/>
              </w:rPr>
              <w:t>Bargaining Power of Buyers: High</w:t>
            </w:r>
          </w:p>
        </w:tc>
        <w:tc>
          <w:tcPr>
            <w:tcW w:w="3180" w:type="dxa"/>
            <w:tcBorders>
              <w:top w:val="nil"/>
              <w:left w:val="nil"/>
              <w:bottom w:val="single" w:sz="5" w:space="0" w:color="000000"/>
              <w:right w:val="single" w:sz="5" w:space="0" w:color="000000"/>
            </w:tcBorders>
            <w:tcMar>
              <w:top w:w="0" w:type="dxa"/>
              <w:left w:w="100" w:type="dxa"/>
              <w:bottom w:w="0" w:type="dxa"/>
              <w:right w:w="100" w:type="dxa"/>
            </w:tcMar>
          </w:tcPr>
          <w:p w14:paraId="1202ED2F">
            <w:pPr>
              <w:pStyle w:val="style4098"/>
              <w:rPr>
                <w:color w:val="0d0d0d"/>
                <w:lang w:val="en-GB"/>
              </w:rPr>
            </w:pPr>
            <w:r>
              <w:rPr>
                <w:color w:val="0d0d0d"/>
                <w:lang w:val="en-GB"/>
              </w:rPr>
              <w:t>Major retailers including Tesco, Sainsbury's, Asda, Morrisons and Aldi dominate UK grocery sales, giving them considerable negotiating power over pricing, shelf allocation and promotional activities (GOV, 2023). Consumers a</w:t>
            </w:r>
            <w:r>
              <w:rPr>
                <w:color w:val="0d0d0d"/>
                <w:lang w:val="en-GB"/>
              </w:rPr>
              <w:t>lso face minimal switching costs because alternative zero-sugar beverages are widely available.</w:t>
            </w:r>
          </w:p>
        </w:tc>
        <w:tc>
          <w:tcPr>
            <w:tcW w:w="3030" w:type="dxa"/>
            <w:tcBorders>
              <w:top w:val="nil"/>
              <w:left w:val="nil"/>
              <w:bottom w:val="single" w:sz="5" w:space="0" w:color="000000"/>
              <w:right w:val="single" w:sz="5" w:space="0" w:color="000000"/>
            </w:tcBorders>
            <w:tcMar>
              <w:top w:w="0" w:type="dxa"/>
              <w:left w:w="100" w:type="dxa"/>
              <w:bottom w:w="0" w:type="dxa"/>
              <w:right w:w="100" w:type="dxa"/>
            </w:tcMar>
          </w:tcPr>
          <w:p w14:paraId="0D2648CC">
            <w:pPr>
              <w:pStyle w:val="style4098"/>
              <w:rPr>
                <w:color w:val="0d0d0d"/>
                <w:lang w:val="en-GB"/>
              </w:rPr>
            </w:pPr>
            <w:r>
              <w:rPr>
                <w:color w:val="0d0d0d"/>
                <w:lang w:val="en-GB"/>
              </w:rPr>
              <w:t>Coca-Cola must strengthen retailer partnerships while reinforcing brand loyalty that reduces consumer price sensitivity and protects negotiating power.</w:t>
            </w:r>
          </w:p>
        </w:tc>
      </w:tr>
      <w:tr w14:paraId="CB9550AC">
        <w:tblPrEx/>
        <w:trPr>
          <w:trHeight w:val="5100" w:hRule="atLeast"/>
        </w:trPr>
        <w:tc>
          <w:tcPr>
            <w:tcW w:w="26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F8A67E1E">
            <w:pPr>
              <w:pStyle w:val="style4098"/>
              <w:rPr>
                <w:b/>
                <w:bCs/>
                <w:color w:val="0d0d0d"/>
                <w:lang w:val="en-GB"/>
              </w:rPr>
            </w:pPr>
            <w:r>
              <w:rPr>
                <w:b/>
                <w:bCs/>
                <w:color w:val="0d0d0d"/>
                <w:lang w:val="en-GB"/>
              </w:rPr>
              <w:t>Bargaining Power of Suppliers: Low to Moderate</w:t>
            </w:r>
          </w:p>
        </w:tc>
        <w:tc>
          <w:tcPr>
            <w:tcW w:w="3180" w:type="dxa"/>
            <w:tcBorders>
              <w:top w:val="nil"/>
              <w:left w:val="nil"/>
              <w:bottom w:val="single" w:sz="5" w:space="0" w:color="000000"/>
              <w:right w:val="single" w:sz="5" w:space="0" w:color="000000"/>
            </w:tcBorders>
            <w:tcMar>
              <w:top w:w="0" w:type="dxa"/>
              <w:left w:w="100" w:type="dxa"/>
              <w:bottom w:w="0" w:type="dxa"/>
              <w:right w:w="100" w:type="dxa"/>
            </w:tcMar>
          </w:tcPr>
          <w:p w14:paraId="1DA73EE1">
            <w:pPr>
              <w:pStyle w:val="style4098"/>
              <w:rPr>
                <w:color w:val="0d0d0d"/>
                <w:lang w:val="en-GB"/>
              </w:rPr>
            </w:pPr>
            <w:r>
              <w:rPr>
                <w:color w:val="0d0d0d"/>
                <w:lang w:val="en-GB"/>
              </w:rPr>
              <w:t>Global fluctuations in aluminium, recycled PET plastic, sweeteners and energy prices continue increasing production costs (Recycleinme, 2026). However, Coca-Cola's global procurement scale, diversified supplie</w:t>
            </w:r>
            <w:r>
              <w:rPr>
                <w:color w:val="0d0d0d"/>
                <w:lang w:val="en-GB"/>
              </w:rPr>
              <w:t>r base and long-term contracts provide stronger purchasing leverage than smaller competitors, reducing dependence on individual suppliers.</w:t>
            </w:r>
          </w:p>
        </w:tc>
        <w:tc>
          <w:tcPr>
            <w:tcW w:w="3030" w:type="dxa"/>
            <w:tcBorders>
              <w:top w:val="nil"/>
              <w:left w:val="nil"/>
              <w:bottom w:val="single" w:sz="5" w:space="0" w:color="000000"/>
              <w:right w:val="single" w:sz="5" w:space="0" w:color="000000"/>
            </w:tcBorders>
            <w:tcMar>
              <w:top w:w="0" w:type="dxa"/>
              <w:left w:w="100" w:type="dxa"/>
              <w:bottom w:w="0" w:type="dxa"/>
              <w:right w:w="100" w:type="dxa"/>
            </w:tcMar>
          </w:tcPr>
          <w:p w14:paraId="5445E6BA">
            <w:pPr>
              <w:pStyle w:val="style4098"/>
              <w:rPr>
                <w:color w:val="0d0d0d"/>
                <w:lang w:val="en-GB"/>
              </w:rPr>
            </w:pPr>
            <w:r>
              <w:rPr>
                <w:color w:val="0d0d0d"/>
                <w:lang w:val="en-GB"/>
              </w:rPr>
              <w:t>Strong supplier relationships and procurement capabilities improve supply-chain resilience despite commodity price vo</w:t>
            </w:r>
            <w:r>
              <w:rPr>
                <w:color w:val="0d0d0d"/>
                <w:lang w:val="en-GB"/>
              </w:rPr>
              <w:t>latility and geopolitical uncertainty.</w:t>
            </w:r>
          </w:p>
        </w:tc>
      </w:tr>
    </w:tbl>
    <w:p w14:paraId="4E40CE95">
      <w:pPr>
        <w:pStyle w:val="style4098"/>
        <w:jc w:val="center"/>
        <w:rPr>
          <w:b/>
          <w:bCs/>
          <w:color w:val="0d0d0d"/>
          <w:lang w:val="en-GB"/>
        </w:rPr>
      </w:pPr>
      <w:r>
        <w:rPr>
          <w:b/>
          <w:bCs/>
          <w:color w:val="0d0d0d"/>
          <w:lang w:val="en-GB"/>
        </w:rPr>
        <w:t xml:space="preserve">Table 4: Porter’s Five Forces Analysis </w:t>
      </w:r>
    </w:p>
    <w:p w14:paraId="60411767">
      <w:pPr>
        <w:pStyle w:val="style4098"/>
        <w:jc w:val="center"/>
        <w:rPr>
          <w:color w:val="0d0d0d"/>
          <w:lang w:val="en-GB"/>
        </w:rPr>
      </w:pPr>
      <w:r>
        <w:rPr>
          <w:color w:val="0d0d0d"/>
          <w:lang w:val="en-GB"/>
        </w:rPr>
        <w:t>(Source: Self-developed)</w:t>
      </w:r>
    </w:p>
    <w:p w14:paraId="BF60A8C9">
      <w:pPr>
        <w:pStyle w:val="style4098"/>
        <w:rPr>
          <w:color w:val="0d0d0d"/>
          <w:lang w:val="en-GB"/>
        </w:rPr>
      </w:pPr>
      <w:r>
        <w:rPr>
          <w:b/>
          <w:bCs/>
          <w:color w:val="0d0d0d"/>
          <w:lang w:val="en-GB"/>
        </w:rPr>
        <w:t>Ansoff Matrix</w:t>
      </w:r>
    </w:p>
    <w:p w14:paraId="59231677">
      <w:pPr>
        <w:pStyle w:val="style4098"/>
        <w:rPr>
          <w:color w:val="0d0d0d"/>
          <w:lang w:val="en-GB"/>
        </w:rPr>
      </w:pPr>
      <w:r>
        <w:rPr>
          <w:color w:val="0d0d0d"/>
          <w:lang w:val="en-GB"/>
        </w:rPr>
        <w:t>Ansoff Matrix assesses four strategic growth options with respect to existing and new products and markets (Aditiya and Kirana, 2025). The two choices represent varying degrees of opportunity and risk for Coca-Cola Zero Sugar UK.</w:t>
      </w:r>
    </w:p>
    <w:p w14:paraId="90FAA667">
      <w:pPr>
        <w:pStyle w:val="style4098"/>
        <w:jc w:val="center"/>
        <w:rPr>
          <w:color w:val="0d0d0d"/>
          <w:lang w:val="en-GB"/>
        </w:rPr>
      </w:pPr>
      <w:r>
        <w:rPr>
          <w:noProof/>
          <w:color w:val="0d0d0d"/>
          <w:lang w:val="en-GB"/>
        </w:rPr>
        <w:drawing>
          <wp:inline distL="0" distT="0" distB="0" distR="0">
            <wp:extent cx="3682838" cy="2781300"/>
            <wp:effectExtent l="0" t="0" r="0" b="0"/>
            <wp:docPr id="1036"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2" cstate="print"/>
                    <a:srcRect l="0" t="0" r="0" b="0"/>
                    <a:stretch/>
                  </pic:blipFill>
                  <pic:spPr>
                    <a:xfrm rot="0">
                      <a:off x="0" y="0"/>
                      <a:ext cx="3682838" cy="2781300"/>
                    </a:xfrm>
                    <a:prstGeom prst="rect"/>
                    <a:ln cmpd="sng" cap="flat" w="9525">
                      <a:solidFill>
                        <a:srgbClr val="000000"/>
                      </a:solidFill>
                      <a:prstDash val="solid"/>
                      <a:round/>
                      <a:headEnd/>
                      <a:tailEnd/>
                    </a:ln>
                  </pic:spPr>
                </pic:pic>
              </a:graphicData>
            </a:graphic>
          </wp:inline>
        </w:drawing>
      </w:r>
    </w:p>
    <w:p w14:paraId="992BDFF8">
      <w:pPr>
        <w:pStyle w:val="style4098"/>
        <w:jc w:val="center"/>
        <w:rPr>
          <w:b/>
          <w:bCs/>
          <w:color w:val="0d0d0d"/>
          <w:lang w:val="en-GB"/>
        </w:rPr>
      </w:pPr>
      <w:r>
        <w:rPr>
          <w:b/>
          <w:bCs/>
          <w:color w:val="0d0d0d"/>
          <w:lang w:val="en-GB"/>
        </w:rPr>
        <w:t>Figure 9: Ansoff Matrix</w:t>
      </w:r>
    </w:p>
    <w:p w14:paraId="4DC62E4F">
      <w:pPr>
        <w:pStyle w:val="style4098"/>
        <w:jc w:val="center"/>
        <w:rPr>
          <w:color w:val="0d0d0d"/>
          <w:lang w:val="en-GB"/>
        </w:rPr>
      </w:pPr>
      <w:r>
        <w:rPr>
          <w:color w:val="0d0d0d"/>
          <w:lang w:val="en-GB"/>
        </w:rPr>
        <w:t>(Source: Self-developed)</w:t>
      </w:r>
    </w:p>
    <w:p w14:paraId="22767872">
      <w:pPr>
        <w:pStyle w:val="style4098"/>
        <w:rPr>
          <w:b/>
          <w:bCs/>
          <w:color w:val="0d0d0d"/>
          <w:lang w:val="en-GB"/>
        </w:rPr>
      </w:pPr>
      <w:r>
        <w:rPr>
          <w:b/>
          <w:bCs/>
          <w:color w:val="0d0d0d"/>
          <w:lang w:val="en-GB"/>
        </w:rPr>
        <w:t>Market Penetration</w:t>
      </w:r>
    </w:p>
    <w:p w14:paraId="7F5F323E">
      <w:pPr>
        <w:pStyle w:val="style4098"/>
        <w:rPr>
          <w:color w:val="0d0d0d"/>
          <w:lang w:val="en-GB"/>
        </w:rPr>
      </w:pPr>
      <w:r>
        <w:rPr>
          <w:color w:val="0d0d0d"/>
          <w:lang w:val="en-GB"/>
        </w:rPr>
        <w:t>Market Penetration is increasing sales of Coca-Cola Zero Sugar in the existing UK market. It can be done through improved promotional campaigns, AI-powered personalised marketing, retailer loyalty schemes and inc</w:t>
      </w:r>
      <w:r>
        <w:rPr>
          <w:color w:val="0d0d0d"/>
          <w:lang w:val="en-GB"/>
        </w:rPr>
        <w:t xml:space="preserve">reased in-store signage (Viswanathan, 2024). This is the least strategic of the options as it offers Coca-Cola high levels of consumer awareness and the company already has a high level of distribution available around the world, via Coca-Cola Europacific </w:t>
      </w:r>
      <w:r>
        <w:rPr>
          <w:color w:val="0d0d0d"/>
          <w:lang w:val="en-GB"/>
        </w:rPr>
        <w:t>Partners, and is benefiting from consumption growth for sugar-free drinks.</w:t>
      </w:r>
    </w:p>
    <w:p w14:paraId="C143F33A">
      <w:pPr>
        <w:pStyle w:val="style4098"/>
        <w:rPr>
          <w:b/>
          <w:bCs/>
          <w:color w:val="0d0d0d"/>
          <w:lang w:val="en-GB"/>
        </w:rPr>
      </w:pPr>
      <w:r>
        <w:rPr>
          <w:b/>
          <w:bCs/>
          <w:color w:val="0d0d0d"/>
          <w:lang w:val="en-GB"/>
        </w:rPr>
        <w:t>Product Development</w:t>
      </w:r>
    </w:p>
    <w:p w14:paraId="53252DB8">
      <w:pPr>
        <w:pStyle w:val="style4098"/>
        <w:rPr>
          <w:color w:val="0d0d0d"/>
          <w:lang w:val="en-GB"/>
        </w:rPr>
      </w:pPr>
      <w:r>
        <w:rPr>
          <w:color w:val="0d0d0d"/>
          <w:lang w:val="en-GB"/>
        </w:rPr>
        <w:t>Product Development would include introducing new Zero Sugar variants, limited edition flavours and functional sugar-free drinks to cater for changing consumer p</w:t>
      </w:r>
      <w:r>
        <w:rPr>
          <w:color w:val="0d0d0d"/>
          <w:lang w:val="en-GB"/>
        </w:rPr>
        <w:t>references. While it might bring in some new clients, the process demands a considerable amount of R&amp;D expense and poses a risk of product displacements and potentially unpopular offerings among customers.</w:t>
      </w:r>
    </w:p>
    <w:p w14:paraId="D0B0F4F9">
      <w:pPr>
        <w:pStyle w:val="style4098"/>
        <w:rPr>
          <w:b/>
          <w:bCs/>
          <w:color w:val="0d0d0d"/>
          <w:lang w:val="en-GB"/>
        </w:rPr>
      </w:pPr>
      <w:r>
        <w:rPr>
          <w:b/>
          <w:bCs/>
          <w:color w:val="0d0d0d"/>
          <w:lang w:val="en-GB"/>
        </w:rPr>
        <w:t>Market Development</w:t>
      </w:r>
    </w:p>
    <w:p w14:paraId="5EFA6FD9">
      <w:pPr>
        <w:pStyle w:val="style4098"/>
        <w:rPr>
          <w:color w:val="0d0d0d"/>
          <w:lang w:val="en-GB"/>
        </w:rPr>
      </w:pPr>
      <w:r>
        <w:rPr>
          <w:color w:val="0d0d0d"/>
          <w:lang w:val="en-GB"/>
        </w:rPr>
        <w:t>Market Development is about int</w:t>
      </w:r>
      <w:r>
        <w:rPr>
          <w:color w:val="0d0d0d"/>
          <w:lang w:val="en-GB"/>
        </w:rPr>
        <w:t xml:space="preserve">roducing a new product to new markets (Aditiya and Kirana, 2025). However, Coca-Cola Zero Sugar is already available in the UK nationwide in supermarkets, convenience stores, restaurants and online shops. </w:t>
      </w:r>
      <w:r>
        <w:rPr>
          <w:color w:val="0d0d0d"/>
          <w:lang w:val="en-GB"/>
        </w:rPr>
        <w:t>Therefore, opportunities for significant domestic m</w:t>
      </w:r>
      <w:r>
        <w:rPr>
          <w:color w:val="0d0d0d"/>
          <w:lang w:val="en-GB"/>
        </w:rPr>
        <w:t>arket expansion are relatively modest, but could be realised by marketing to underrepresented consumer groups like older consumers, or health-conscious families.</w:t>
      </w:r>
    </w:p>
    <w:p w14:paraId="A8B9FEE0">
      <w:pPr>
        <w:pStyle w:val="style4098"/>
        <w:rPr>
          <w:b/>
          <w:bCs/>
          <w:color w:val="0d0d0d"/>
          <w:lang w:val="en-GB"/>
        </w:rPr>
      </w:pPr>
      <w:r>
        <w:rPr>
          <w:b/>
          <w:bCs/>
          <w:color w:val="0d0d0d"/>
          <w:lang w:val="en-GB"/>
        </w:rPr>
        <w:t>Diversification</w:t>
      </w:r>
    </w:p>
    <w:p w14:paraId="D3DC23EE">
      <w:pPr>
        <w:pStyle w:val="style4098"/>
        <w:rPr>
          <w:color w:val="0d0d0d"/>
          <w:lang w:val="en-GB"/>
        </w:rPr>
      </w:pPr>
      <w:r>
        <w:rPr>
          <w:color w:val="0d0d0d"/>
          <w:lang w:val="en-GB"/>
        </w:rPr>
        <w:t xml:space="preserve">Diversification is the highest level of strategic risk and involves entering totally new products and markets, which means new capabilities are needed and a great amount of investment (Cherepovitsyn </w:t>
      </w:r>
      <w:r>
        <w:rPr>
          <w:i/>
          <w:iCs/>
          <w:color w:val="0d0d0d"/>
          <w:lang w:val="en-GB"/>
        </w:rPr>
        <w:t>et al.</w:t>
      </w:r>
      <w:r>
        <w:rPr>
          <w:color w:val="0d0d0d"/>
          <w:lang w:val="en-GB"/>
        </w:rPr>
        <w:t>, 2023). Expansion of unrelated beverage businesses</w:t>
      </w:r>
      <w:r>
        <w:rPr>
          <w:color w:val="0d0d0d"/>
          <w:lang w:val="en-GB"/>
        </w:rPr>
        <w:t xml:space="preserve"> may dilute strategic focus and lower return on investment as opposed to building up the Zero Sugar businesses.</w:t>
      </w:r>
    </w:p>
    <w:bookmarkStart w:id="46" w:name="_3k25bre4kqf3" w:colFirst="0" w:colLast="0"/>
    <w:bookmarkStart w:id="47" w:name="_Toc236513683"/>
    <w:bookmarkEnd w:id="46"/>
    <w:p w14:paraId="22D1A735">
      <w:pPr>
        <w:pStyle w:val="style2"/>
        <w:rPr>
          <w:color w:val="0d0d0d"/>
          <w:lang w:val="en-GB"/>
        </w:rPr>
      </w:pPr>
      <w:r>
        <w:rPr>
          <w:color w:val="0d0d0d"/>
          <w:lang w:val="en-GB"/>
        </w:rPr>
        <w:t>4.3 Recommended Strategy</w:t>
      </w:r>
      <w:bookmarkEnd w:id="47"/>
    </w:p>
    <w:p w14:paraId="3FDF970D">
      <w:pPr>
        <w:pStyle w:val="style4098"/>
        <w:rPr>
          <w:color w:val="0d0d0d"/>
          <w:lang w:val="en-GB"/>
        </w:rPr>
      </w:pPr>
      <w:r>
        <w:rPr>
          <w:color w:val="0d0d0d"/>
          <w:lang w:val="en-GB"/>
        </w:rPr>
        <w:t>Based on the strategic options analyses, the best strategy for Coca-Cola Zero Sugar in the UK can be to use a market pe</w:t>
      </w:r>
      <w:r>
        <w:rPr>
          <w:color w:val="0d0d0d"/>
          <w:lang w:val="en-GB"/>
        </w:rPr>
        <w:t>netration strategy with a differentiation approach. The strategy enables the company to grow sales in a larger market that is expanding as well as build on its established brand equity with its large distribution system and emerging consumer demand for sug</w:t>
      </w:r>
      <w:r>
        <w:rPr>
          <w:color w:val="0d0d0d"/>
          <w:lang w:val="en-GB"/>
        </w:rPr>
        <w:t xml:space="preserve">ar-free drinks (Khan </w:t>
      </w:r>
      <w:r>
        <w:rPr>
          <w:i/>
          <w:iCs/>
          <w:color w:val="0d0d0d"/>
          <w:lang w:val="en-GB"/>
        </w:rPr>
        <w:t>et al.</w:t>
      </w:r>
      <w:r>
        <w:rPr>
          <w:color w:val="0d0d0d"/>
          <w:lang w:val="en-GB"/>
        </w:rPr>
        <w:t>, 2023). The process of market penetration has lower investment risk and faster returns than product development, market development and diversification processes. In addition, digital marketing, sustainability efforts and ongoin</w:t>
      </w:r>
      <w:r>
        <w:rPr>
          <w:color w:val="0d0d0d"/>
          <w:lang w:val="en-GB"/>
        </w:rPr>
        <w:t>g product enhancements will build the brand's customer loyalty, which will further strengthen its position against Pepsi Max and grocery store brands.</w:t>
      </w:r>
    </w:p>
    <w:bookmarkStart w:id="48" w:name="_vie6vr1g3cam" w:colFirst="0" w:colLast="0"/>
    <w:bookmarkStart w:id="49" w:name="_Toc236513684"/>
    <w:bookmarkEnd w:id="48"/>
    <w:p w14:paraId="E0051F7B">
      <w:pPr>
        <w:pStyle w:val="style2"/>
        <w:rPr>
          <w:color w:val="0d0d0d"/>
          <w:lang w:val="en-GB"/>
        </w:rPr>
      </w:pPr>
      <w:r>
        <w:rPr>
          <w:color w:val="0d0d0d"/>
          <w:lang w:val="en-GB"/>
        </w:rPr>
        <w:t>4.4 Strategy Implementation</w:t>
      </w:r>
      <w:bookmarkEnd w:id="49"/>
    </w:p>
    <w:p w14:paraId="EFCA48F2">
      <w:pPr>
        <w:pStyle w:val="style4098"/>
        <w:jc w:val="center"/>
        <w:rPr>
          <w:color w:val="0d0d0d"/>
          <w:lang w:val="en-GB"/>
        </w:rPr>
      </w:pPr>
      <w:r>
        <w:rPr>
          <w:noProof/>
          <w:color w:val="0d0d0d"/>
          <w:lang w:val="en-GB"/>
        </w:rPr>
        <w:drawing>
          <wp:inline distL="0" distT="0" distB="0" distR="0">
            <wp:extent cx="5529263" cy="3381375"/>
            <wp:effectExtent l="0" t="0" r="0" b="0"/>
            <wp:docPr id="1037"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9.png"/>
                    <pic:cNvPicPr/>
                  </pic:nvPicPr>
                  <pic:blipFill>
                    <a:blip r:embed="rId13" cstate="print"/>
                    <a:srcRect l="0" t="0" r="0" b="0"/>
                    <a:stretch/>
                  </pic:blipFill>
                  <pic:spPr>
                    <a:xfrm rot="0">
                      <a:off x="0" y="0"/>
                      <a:ext cx="5529263" cy="3381375"/>
                    </a:xfrm>
                    <a:prstGeom prst="rect"/>
                    <a:ln cmpd="sng" cap="flat" w="9525">
                      <a:solidFill>
                        <a:srgbClr val="000000"/>
                      </a:solidFill>
                      <a:prstDash val="solid"/>
                      <a:round/>
                      <a:headEnd/>
                      <a:tailEnd/>
                    </a:ln>
                  </pic:spPr>
                </pic:pic>
              </a:graphicData>
            </a:graphic>
          </wp:inline>
        </w:drawing>
      </w:r>
    </w:p>
    <w:p w14:paraId="EFD9BD8C">
      <w:pPr>
        <w:pStyle w:val="style4098"/>
        <w:jc w:val="center"/>
        <w:rPr>
          <w:b/>
          <w:bCs/>
          <w:color w:val="0d0d0d"/>
          <w:lang w:val="en-GB"/>
        </w:rPr>
      </w:pPr>
      <w:r>
        <w:rPr>
          <w:b/>
          <w:bCs/>
          <w:color w:val="0d0d0d"/>
          <w:lang w:val="en-GB"/>
        </w:rPr>
        <w:t xml:space="preserve">Figure 10: Strategy Implementation Roadmap </w:t>
      </w:r>
    </w:p>
    <w:p w14:paraId="03E956B3">
      <w:pPr>
        <w:pStyle w:val="style4098"/>
        <w:jc w:val="center"/>
        <w:rPr>
          <w:color w:val="0d0d0d"/>
          <w:lang w:val="en-GB"/>
        </w:rPr>
      </w:pPr>
      <w:r>
        <w:rPr>
          <w:color w:val="0d0d0d"/>
          <w:lang w:val="en-GB"/>
        </w:rPr>
        <w:t>(Source: Self-developed)</w:t>
      </w:r>
    </w:p>
    <w:p w14:paraId="EED363C4">
      <w:pPr>
        <w:pStyle w:val="style4098"/>
        <w:rPr>
          <w:color w:val="0d0d0d"/>
          <w:lang w:val="en-GB"/>
        </w:rPr>
      </w:pPr>
      <w:r>
        <w:rPr>
          <w:color w:val="0d0d0d"/>
          <w:lang w:val="en-GB"/>
        </w:rPr>
        <w:t>AI-pow</w:t>
      </w:r>
      <w:r>
        <w:rPr>
          <w:color w:val="0d0d0d"/>
          <w:lang w:val="en-GB"/>
        </w:rPr>
        <w:t>ered personalised marketing and partnerships with retailers should be leveraged to drive more consumer engagement and repeat sales. The adoption process can start by expanding AI-powered personalised marketing and retailer partnerships to engage more consu</w:t>
      </w:r>
      <w:r>
        <w:rPr>
          <w:color w:val="0d0d0d"/>
          <w:lang w:val="en-GB"/>
        </w:rPr>
        <w:t>mers and get consumers to buy more often. At the same time, Coca-Cola needs to boost supply chain efficiency and the use of recycled materials as part of its sustainability efforts. Continuous analysis of selling performance, market share and customer sati</w:t>
      </w:r>
      <w:r>
        <w:rPr>
          <w:color w:val="0d0d0d"/>
          <w:lang w:val="en-GB"/>
        </w:rPr>
        <w:t xml:space="preserve">sfaction can inform strategic changes (Okeke </w:t>
      </w:r>
      <w:r>
        <w:rPr>
          <w:i/>
          <w:iCs/>
          <w:color w:val="0d0d0d"/>
          <w:lang w:val="en-GB"/>
        </w:rPr>
        <w:t>et al</w:t>
      </w:r>
      <w:r>
        <w:rPr>
          <w:color w:val="0d0d0d"/>
          <w:lang w:val="en-GB"/>
        </w:rPr>
        <w:t xml:space="preserve">., 2024). Increased sales growth, customer loyalty, better engagement with retailers and improved brand reputation are expected outcomes. Coca-Cola Zero Sugar will achieve a sustainable differentiation and </w:t>
      </w:r>
      <w:r>
        <w:rPr>
          <w:color w:val="0d0d0d"/>
          <w:lang w:val="en-GB"/>
        </w:rPr>
        <w:t>competitive advantage in the evolving UK zero sugar market through its product innovation efforts, operational efficiency and sustainability leadership.</w:t>
      </w:r>
    </w:p>
    <w:bookmarkStart w:id="50" w:name="_4mnp6o5ic1ic" w:colFirst="0" w:colLast="0"/>
    <w:bookmarkStart w:id="51" w:name="_Toc236513685"/>
    <w:bookmarkEnd w:id="50"/>
    <w:p w14:paraId="D6260084">
      <w:pPr>
        <w:pStyle w:val="style2"/>
        <w:rPr>
          <w:color w:val="0d0d0d"/>
          <w:lang w:val="en-GB"/>
        </w:rPr>
      </w:pPr>
      <w:r>
        <w:rPr>
          <w:color w:val="0d0d0d"/>
          <w:lang w:val="en-GB"/>
        </w:rPr>
        <w:t>4.5 Potential Implementation Challenges and Mitigation</w:t>
      </w:r>
      <w:bookmarkEnd w:id="51"/>
    </w:p>
    <w:p w14:paraId="E2EB80DB">
      <w:pPr>
        <w:pStyle w:val="style4098"/>
        <w:rPr>
          <w:color w:val="0d0d0d"/>
          <w:lang w:val="en-GB"/>
        </w:rPr>
      </w:pPr>
      <w:r>
        <w:rPr>
          <w:color w:val="0d0d0d"/>
          <w:lang w:val="en-GB"/>
        </w:rPr>
        <w:t>The primary challenges faced in the implementati</w:t>
      </w:r>
      <w:r>
        <w:rPr>
          <w:color w:val="0d0d0d"/>
          <w:lang w:val="en-GB"/>
        </w:rPr>
        <w:t xml:space="preserve">on are the increasing raw material prices, tough competition from rivals and supermarket brands, and evolving consumer preferences (Purcarea </w:t>
      </w:r>
      <w:r>
        <w:rPr>
          <w:i/>
          <w:iCs/>
          <w:color w:val="0d0d0d"/>
          <w:lang w:val="en-GB"/>
        </w:rPr>
        <w:t>et al</w:t>
      </w:r>
      <w:r>
        <w:rPr>
          <w:color w:val="0d0d0d"/>
          <w:lang w:val="en-GB"/>
        </w:rPr>
        <w:t>., 2022). If uncontrolled, these risks could have a negative impact on profitability and market share. To addr</w:t>
      </w:r>
      <w:r>
        <w:rPr>
          <w:color w:val="0d0d0d"/>
          <w:lang w:val="en-GB"/>
        </w:rPr>
        <w:t xml:space="preserve">ess these challenges, </w:t>
      </w:r>
      <w:r>
        <w:rPr>
          <w:color w:val="0d0d0d"/>
          <w:lang w:val="en-GB"/>
        </w:rPr>
        <w:t xml:space="preserve">Coca-Cola should prioritise building long-term relationships with suppliers, make ongoing investments in product innovation, leverage AI for better demand forecasting, and ensure honest sustainability reporting. Routine monitoring of </w:t>
      </w:r>
      <w:r>
        <w:rPr>
          <w:color w:val="0d0d0d"/>
          <w:lang w:val="en-GB"/>
        </w:rPr>
        <w:t>the market and consumer feedback will help for quicker strategic changes and maintaining competitive advantages.</w:t>
      </w:r>
    </w:p>
    <w:tbl>
      <w:tblPr>
        <w:tblStyle w:val="style4103"/>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2400"/>
        <w:gridCol w:w="3375"/>
      </w:tblGrid>
      <w:tr w14:paraId="64EAE64D">
        <w:trPr>
          <w:trHeight w:val="570" w:hRule="atLeast"/>
        </w:trPr>
        <w:tc>
          <w:tcPr>
            <w:tcW w:w="312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C8A832D2">
            <w:pPr>
              <w:pStyle w:val="style4098"/>
              <w:jc w:val="center"/>
              <w:rPr>
                <w:b/>
                <w:bCs/>
                <w:color w:val="0d0d0d"/>
                <w:lang w:val="en-GB"/>
              </w:rPr>
            </w:pPr>
            <w:r>
              <w:rPr>
                <w:b/>
                <w:bCs/>
                <w:color w:val="0d0d0d"/>
                <w:lang w:val="en-GB"/>
              </w:rPr>
              <w:t>Risk</w:t>
            </w:r>
          </w:p>
        </w:tc>
        <w:tc>
          <w:tcPr>
            <w:tcW w:w="24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D350922A">
            <w:pPr>
              <w:pStyle w:val="style4098"/>
              <w:jc w:val="center"/>
              <w:rPr>
                <w:b/>
                <w:bCs/>
                <w:color w:val="0d0d0d"/>
                <w:lang w:val="en-GB"/>
              </w:rPr>
            </w:pPr>
            <w:r>
              <w:rPr>
                <w:b/>
                <w:bCs/>
                <w:color w:val="0d0d0d"/>
                <w:lang w:val="en-GB"/>
              </w:rPr>
              <w:t>Impact</w:t>
            </w:r>
          </w:p>
        </w:tc>
        <w:tc>
          <w:tcPr>
            <w:tcW w:w="33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C4E4C6F">
            <w:pPr>
              <w:pStyle w:val="style4098"/>
              <w:jc w:val="center"/>
              <w:rPr>
                <w:b/>
                <w:bCs/>
                <w:color w:val="0d0d0d"/>
                <w:lang w:val="en-GB"/>
              </w:rPr>
            </w:pPr>
            <w:r>
              <w:rPr>
                <w:b/>
                <w:bCs/>
                <w:color w:val="0d0d0d"/>
                <w:lang w:val="en-GB"/>
              </w:rPr>
              <w:t>Mitigation</w:t>
            </w:r>
          </w:p>
        </w:tc>
      </w:tr>
      <w:tr w14:paraId="A1FCC93C">
        <w:tblPrEx/>
        <w:trPr>
          <w:trHeight w:val="825" w:hRule="atLeast"/>
        </w:trPr>
        <w:tc>
          <w:tcPr>
            <w:tcW w:w="31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9124BC0C">
            <w:pPr>
              <w:pStyle w:val="style4098"/>
              <w:rPr>
                <w:color w:val="0d0d0d"/>
                <w:lang w:val="en-GB"/>
              </w:rPr>
            </w:pPr>
            <w:r>
              <w:rPr>
                <w:color w:val="0d0d0d"/>
                <w:lang w:val="en-GB"/>
              </w:rPr>
              <w:t>Rising raw material costs</w:t>
            </w:r>
          </w:p>
        </w:tc>
        <w:tc>
          <w:tcPr>
            <w:tcW w:w="2400" w:type="dxa"/>
            <w:tcBorders>
              <w:top w:val="nil"/>
              <w:left w:val="nil"/>
              <w:bottom w:val="single" w:sz="5" w:space="0" w:color="000000"/>
              <w:right w:val="single" w:sz="5" w:space="0" w:color="000000"/>
            </w:tcBorders>
            <w:tcMar>
              <w:top w:w="0" w:type="dxa"/>
              <w:left w:w="100" w:type="dxa"/>
              <w:bottom w:w="0" w:type="dxa"/>
              <w:right w:w="100" w:type="dxa"/>
            </w:tcMar>
          </w:tcPr>
          <w:p w14:paraId="8D11D30C">
            <w:pPr>
              <w:pStyle w:val="style4098"/>
              <w:rPr>
                <w:color w:val="0d0d0d"/>
                <w:lang w:val="en-GB"/>
              </w:rPr>
            </w:pPr>
            <w:r>
              <w:rPr>
                <w:color w:val="0d0d0d"/>
                <w:lang w:val="en-GB"/>
              </w:rPr>
              <w:t>Reduces profit margins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17E2378C">
            <w:pPr>
              <w:pStyle w:val="style4098"/>
              <w:rPr>
                <w:color w:val="0d0d0d"/>
                <w:lang w:val="en-GB"/>
              </w:rPr>
            </w:pPr>
            <w:r>
              <w:rPr>
                <w:color w:val="0d0d0d"/>
                <w:lang w:val="en-GB"/>
              </w:rPr>
              <w:t>Long-term supplier contracts and AI demand forecasting</w:t>
            </w:r>
          </w:p>
        </w:tc>
      </w:tr>
      <w:tr w14:paraId="1DF25602">
        <w:tblPrEx/>
        <w:trPr>
          <w:trHeight w:val="1095" w:hRule="atLeast"/>
        </w:trPr>
        <w:tc>
          <w:tcPr>
            <w:tcW w:w="31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DF1683">
            <w:pPr>
              <w:pStyle w:val="style4098"/>
              <w:rPr>
                <w:color w:val="0d0d0d"/>
                <w:lang w:val="en-GB"/>
              </w:rPr>
            </w:pPr>
            <w:r>
              <w:rPr>
                <w:color w:val="0d0d0d"/>
                <w:lang w:val="en-GB"/>
              </w:rPr>
              <w:t>Aggressive competition from Pepsi Max</w:t>
            </w:r>
          </w:p>
        </w:tc>
        <w:tc>
          <w:tcPr>
            <w:tcW w:w="2400" w:type="dxa"/>
            <w:tcBorders>
              <w:top w:val="nil"/>
              <w:left w:val="nil"/>
              <w:bottom w:val="single" w:sz="5" w:space="0" w:color="000000"/>
              <w:right w:val="single" w:sz="5" w:space="0" w:color="000000"/>
            </w:tcBorders>
            <w:tcMar>
              <w:top w:w="0" w:type="dxa"/>
              <w:left w:w="100" w:type="dxa"/>
              <w:bottom w:w="0" w:type="dxa"/>
              <w:right w:w="100" w:type="dxa"/>
            </w:tcMar>
          </w:tcPr>
          <w:p w14:paraId="258B67D6">
            <w:pPr>
              <w:pStyle w:val="style4098"/>
              <w:rPr>
                <w:color w:val="0d0d0d"/>
                <w:lang w:val="en-GB"/>
              </w:rPr>
            </w:pPr>
            <w:r>
              <w:rPr>
                <w:color w:val="0d0d0d"/>
                <w:lang w:val="en-GB"/>
              </w:rPr>
              <w:t>Loss of market share</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A4F5B720">
            <w:pPr>
              <w:pStyle w:val="style4098"/>
              <w:rPr>
                <w:color w:val="0d0d0d"/>
                <w:lang w:val="en-GB"/>
              </w:rPr>
            </w:pPr>
            <w:r>
              <w:rPr>
                <w:color w:val="0d0d0d"/>
                <w:lang w:val="en-GB"/>
              </w:rPr>
              <w:t>Continuous product innovation and premium brand positioning</w:t>
            </w:r>
          </w:p>
        </w:tc>
      </w:tr>
      <w:tr w14:paraId="3F8710F6">
        <w:tblPrEx/>
        <w:trPr>
          <w:trHeight w:val="1095" w:hRule="atLeast"/>
        </w:trPr>
        <w:tc>
          <w:tcPr>
            <w:tcW w:w="31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6CF048">
            <w:pPr>
              <w:pStyle w:val="style4098"/>
              <w:rPr>
                <w:color w:val="0d0d0d"/>
                <w:lang w:val="en-GB"/>
              </w:rPr>
            </w:pPr>
            <w:r>
              <w:rPr>
                <w:color w:val="0d0d0d"/>
                <w:lang w:val="en-GB"/>
              </w:rPr>
              <w:t>Changing consumer preferences</w:t>
            </w:r>
          </w:p>
        </w:tc>
        <w:tc>
          <w:tcPr>
            <w:tcW w:w="2400" w:type="dxa"/>
            <w:tcBorders>
              <w:top w:val="nil"/>
              <w:left w:val="nil"/>
              <w:bottom w:val="single" w:sz="5" w:space="0" w:color="000000"/>
              <w:right w:val="single" w:sz="5" w:space="0" w:color="000000"/>
            </w:tcBorders>
            <w:tcMar>
              <w:top w:w="0" w:type="dxa"/>
              <w:left w:w="100" w:type="dxa"/>
              <w:bottom w:w="0" w:type="dxa"/>
              <w:right w:w="100" w:type="dxa"/>
            </w:tcMar>
          </w:tcPr>
          <w:p w14:paraId="51E5E914">
            <w:pPr>
              <w:pStyle w:val="style4098"/>
              <w:rPr>
                <w:color w:val="0d0d0d"/>
                <w:lang w:val="en-GB"/>
              </w:rPr>
            </w:pPr>
            <w:r>
              <w:rPr>
                <w:color w:val="0d0d0d"/>
                <w:lang w:val="en-GB"/>
              </w:rPr>
              <w:t>Lower product demand</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74659EA2">
            <w:pPr>
              <w:pStyle w:val="style4098"/>
              <w:rPr>
                <w:color w:val="0d0d0d"/>
                <w:lang w:val="en-GB"/>
              </w:rPr>
            </w:pPr>
            <w:r>
              <w:rPr>
                <w:color w:val="0d0d0d"/>
                <w:lang w:val="en-GB"/>
              </w:rPr>
              <w:t>Consumer analytics and regular product improvements</w:t>
            </w:r>
          </w:p>
        </w:tc>
      </w:tr>
      <w:tr w14:paraId="B245F911">
        <w:tblPrEx/>
        <w:trPr>
          <w:trHeight w:val="1095" w:hRule="atLeast"/>
        </w:trPr>
        <w:tc>
          <w:tcPr>
            <w:tcW w:w="31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CAC46857">
            <w:pPr>
              <w:pStyle w:val="style4098"/>
              <w:rPr>
                <w:color w:val="0d0d0d"/>
                <w:lang w:val="en-GB"/>
              </w:rPr>
            </w:pPr>
            <w:r>
              <w:rPr>
                <w:color w:val="0d0d0d"/>
                <w:lang w:val="en-GB"/>
              </w:rPr>
              <w:t>Sustainability compliance costs</w:t>
            </w:r>
          </w:p>
        </w:tc>
        <w:tc>
          <w:tcPr>
            <w:tcW w:w="2400" w:type="dxa"/>
            <w:tcBorders>
              <w:top w:val="nil"/>
              <w:left w:val="nil"/>
              <w:bottom w:val="single" w:sz="5" w:space="0" w:color="000000"/>
              <w:right w:val="single" w:sz="5" w:space="0" w:color="000000"/>
            </w:tcBorders>
            <w:tcMar>
              <w:top w:w="0" w:type="dxa"/>
              <w:left w:w="100" w:type="dxa"/>
              <w:bottom w:w="0" w:type="dxa"/>
              <w:right w:w="100" w:type="dxa"/>
            </w:tcMar>
          </w:tcPr>
          <w:p w14:paraId="61D49ACD">
            <w:pPr>
              <w:pStyle w:val="style4098"/>
              <w:rPr>
                <w:color w:val="0d0d0d"/>
                <w:lang w:val="en-GB"/>
              </w:rPr>
            </w:pPr>
            <w:r>
              <w:rPr>
                <w:color w:val="0d0d0d"/>
                <w:lang w:val="en-GB"/>
              </w:rPr>
              <w:t>Higher operating expenses</w:t>
            </w:r>
          </w:p>
        </w:tc>
        <w:tc>
          <w:tcPr>
            <w:tcW w:w="3375" w:type="dxa"/>
            <w:tcBorders>
              <w:top w:val="nil"/>
              <w:left w:val="nil"/>
              <w:bottom w:val="single" w:sz="5" w:space="0" w:color="000000"/>
              <w:right w:val="single" w:sz="5" w:space="0" w:color="000000"/>
            </w:tcBorders>
            <w:tcMar>
              <w:top w:w="0" w:type="dxa"/>
              <w:left w:w="100" w:type="dxa"/>
              <w:bottom w:w="0" w:type="dxa"/>
              <w:right w:w="100" w:type="dxa"/>
            </w:tcMar>
          </w:tcPr>
          <w:p w14:paraId="F819EC07">
            <w:pPr>
              <w:pStyle w:val="style4098"/>
              <w:rPr>
                <w:color w:val="0d0d0d"/>
                <w:lang w:val="en-GB"/>
              </w:rPr>
            </w:pPr>
            <w:r>
              <w:rPr>
                <w:color w:val="0d0d0d"/>
                <w:lang w:val="en-GB"/>
              </w:rPr>
              <w:t>Invest in recyclable packaging and operational efficiency</w:t>
            </w:r>
          </w:p>
        </w:tc>
      </w:tr>
    </w:tbl>
    <w:p w14:paraId="9A05DC96">
      <w:pPr>
        <w:pStyle w:val="style4098"/>
        <w:jc w:val="center"/>
        <w:rPr>
          <w:b/>
          <w:bCs/>
          <w:color w:val="0d0d0d"/>
          <w:lang w:val="en-GB"/>
        </w:rPr>
      </w:pPr>
      <w:r>
        <w:rPr>
          <w:b/>
          <w:bCs/>
          <w:color w:val="0d0d0d"/>
          <w:lang w:val="en-GB"/>
        </w:rPr>
        <w:t xml:space="preserve">Table 5: Identified Risks and Mitigation Strategies  </w:t>
      </w:r>
    </w:p>
    <w:p w14:paraId="3A694B1A">
      <w:pPr>
        <w:pStyle w:val="style4098"/>
        <w:jc w:val="center"/>
        <w:rPr>
          <w:color w:val="0d0d0d"/>
          <w:lang w:val="en-GB"/>
        </w:rPr>
      </w:pPr>
      <w:r>
        <w:rPr>
          <w:color w:val="0d0d0d"/>
          <w:lang w:val="en-GB"/>
        </w:rPr>
        <w:t>(Source: Self-developed)</w:t>
      </w:r>
    </w:p>
    <w:bookmarkStart w:id="52" w:name="_ofxqprvp7fht" w:colFirst="0" w:colLast="0"/>
    <w:bookmarkStart w:id="53" w:name="_Toc236513686"/>
    <w:bookmarkEnd w:id="52"/>
    <w:p w14:paraId="C4EEE284">
      <w:pPr>
        <w:pStyle w:val="style1"/>
        <w:rPr>
          <w:color w:val="0d0d0d"/>
          <w:lang w:val="en-GB"/>
        </w:rPr>
      </w:pPr>
      <w:r>
        <w:rPr>
          <w:color w:val="0d0d0d"/>
          <w:lang w:val="en-GB"/>
        </w:rPr>
        <w:t>Section 2: Reflective account</w:t>
      </w:r>
      <w:bookmarkEnd w:id="53"/>
      <w:r>
        <w:rPr>
          <w:color w:val="0d0d0d"/>
          <w:lang w:val="en-GB"/>
        </w:rPr>
        <w:t xml:space="preserve"> </w:t>
      </w:r>
    </w:p>
    <w:bookmarkStart w:id="54" w:name="_gok868kck2ud" w:colFirst="0" w:colLast="0"/>
    <w:bookmarkStart w:id="55" w:name="_Toc236513687"/>
    <w:bookmarkEnd w:id="54"/>
    <w:p w14:paraId="8616247A">
      <w:pPr>
        <w:pStyle w:val="style1"/>
        <w:rPr>
          <w:color w:val="0d0d0d"/>
          <w:lang w:val="en-GB"/>
        </w:rPr>
      </w:pPr>
      <w:r>
        <w:rPr>
          <w:color w:val="0d0d0d"/>
          <w:lang w:val="en-GB"/>
        </w:rPr>
        <w:t>5.0: Reflection of Personal Experience using Kolb's Reflectiv</w:t>
      </w:r>
      <w:r>
        <w:rPr>
          <w:color w:val="0d0d0d"/>
          <w:lang w:val="en-GB"/>
        </w:rPr>
        <w:t>e Cycle</w:t>
      </w:r>
      <w:bookmarkEnd w:id="55"/>
    </w:p>
    <w:bookmarkStart w:id="56" w:name="_24abathu2v8y" w:colFirst="0" w:colLast="0"/>
    <w:bookmarkStart w:id="57" w:name="_Toc236513688"/>
    <w:bookmarkEnd w:id="56"/>
    <w:p w14:paraId="CC557B9F">
      <w:pPr>
        <w:pStyle w:val="style2"/>
        <w:rPr>
          <w:color w:val="0d0d0d"/>
          <w:lang w:val="en-GB"/>
        </w:rPr>
      </w:pPr>
      <w:r>
        <w:rPr>
          <w:color w:val="0d0d0d"/>
          <w:lang w:val="en-GB"/>
        </w:rPr>
        <w:t>5.1 Concrete Experience</w:t>
      </w:r>
      <w:bookmarkEnd w:id="57"/>
    </w:p>
    <w:p w14:paraId="8854F266">
      <w:pPr>
        <w:pStyle w:val="style4098"/>
        <w:rPr>
          <w:color w:val="0d0d0d"/>
          <w:lang w:val="en-GB"/>
        </w:rPr>
      </w:pPr>
      <w:r>
        <w:rPr>
          <w:color w:val="0d0d0d"/>
          <w:lang w:val="en-GB"/>
        </w:rPr>
        <w:t>It was becoming more than a simple information-gathering exercise, and one that demanded the ability to compare and evaluate the market opportunity for Coca-Cola Zero Sugar in the UK market, and draw a sounder conclusion as a result. First, I looked throug</w:t>
      </w:r>
      <w:r>
        <w:rPr>
          <w:color w:val="0d0d0d"/>
          <w:lang w:val="en-GB"/>
        </w:rPr>
        <w:t>h academic research, company reports, government reports, and industry reports and data sources to find the most applicable evidence to each of the strategic frameworks. I used the PESTEL, VRIO, SWOT, Porter's Generic Strategies, Porter's Five Forces, Anso</w:t>
      </w:r>
      <w:r>
        <w:rPr>
          <w:color w:val="0d0d0d"/>
          <w:lang w:val="en-GB"/>
        </w:rPr>
        <w:t xml:space="preserve">ff Matrix, Triple Bottom Line and Balanced Scorecard to analyse the organisation along various aspects. The entire way I have </w:t>
      </w:r>
      <w:r>
        <w:rPr>
          <w:color w:val="0d0d0d"/>
          <w:lang w:val="en-GB"/>
        </w:rPr>
        <w:t>emphasised connecting theory with up-to-date and ongoing company data, but not a mere description of the company profile.</w:t>
      </w:r>
    </w:p>
    <w:bookmarkStart w:id="58" w:name="_7wpbs09hbg7l" w:colFirst="0" w:colLast="0"/>
    <w:bookmarkStart w:id="59" w:name="_Toc236513689"/>
    <w:bookmarkEnd w:id="58"/>
    <w:p w14:paraId="C6746EE1">
      <w:pPr>
        <w:pStyle w:val="style2"/>
        <w:rPr>
          <w:color w:val="0d0d0d"/>
          <w:lang w:val="en-GB"/>
        </w:rPr>
      </w:pPr>
      <w:r>
        <w:rPr>
          <w:color w:val="0d0d0d"/>
          <w:lang w:val="en-GB"/>
        </w:rPr>
        <w:t>5.2 Refl</w:t>
      </w:r>
      <w:r>
        <w:rPr>
          <w:color w:val="0d0d0d"/>
          <w:lang w:val="en-GB"/>
        </w:rPr>
        <w:t>ective Observation</w:t>
      </w:r>
      <w:bookmarkEnd w:id="59"/>
    </w:p>
    <w:p w14:paraId="308E1CF4">
      <w:pPr>
        <w:pStyle w:val="style4098"/>
        <w:rPr>
          <w:color w:val="0d0d0d"/>
          <w:lang w:val="en-GB"/>
        </w:rPr>
      </w:pPr>
      <w:r>
        <w:rPr>
          <w:color w:val="0d0d0d"/>
          <w:lang w:val="en-GB"/>
        </w:rPr>
        <w:t>At first, I thought that the main way to create a good strategic report was to gather recent data and apply some of the recognised frameworks. However, as I went along, I discovered that the difficulty was to critically analyse the evide</w:t>
      </w:r>
      <w:r>
        <w:rPr>
          <w:color w:val="0d0d0d"/>
          <w:lang w:val="en-GB"/>
        </w:rPr>
        <w:t>nce, rather than simply present it. Often, I would discover what I considered interesting statistics and not see how they meshed with the particular framework to which I was considering applying them. I found myself wondering if all of the evidence was sol</w:t>
      </w:r>
      <w:r>
        <w:rPr>
          <w:color w:val="0d0d0d"/>
          <w:lang w:val="en-GB"/>
        </w:rPr>
        <w:t>id and on-point, or if it was piling more information on top of what I had. One of the key learning opportunities was the awareness of the inter-relationships between each of the frameworks. I saw PESTEL, VRIO and SWOT as a combination of the two rather th</w:t>
      </w:r>
      <w:r>
        <w:rPr>
          <w:color w:val="0d0d0d"/>
          <w:lang w:val="en-GB"/>
        </w:rPr>
        <w:t>an two separate analysis pieces. The opportunities found in PESTEL were then linked into the SWOT as part of the analysis, and the VRIO was about whether Coca-Cola had the internal capability to exploit the opportunities found in the SWOT. This greatly enh</w:t>
      </w:r>
      <w:r>
        <w:rPr>
          <w:color w:val="0d0d0d"/>
          <w:lang w:val="en-GB"/>
        </w:rPr>
        <w:t>anced the logical sequencing of my report, and proved that strategic management is about synthesising evidence and not analysing each of the frameworks separately.</w:t>
      </w:r>
    </w:p>
    <w:bookmarkStart w:id="60" w:name="_pi34fi3rcsrz" w:colFirst="0" w:colLast="0"/>
    <w:bookmarkStart w:id="61" w:name="_Toc236513690"/>
    <w:bookmarkEnd w:id="60"/>
    <w:p w14:paraId="976266FA">
      <w:pPr>
        <w:pStyle w:val="style2"/>
        <w:rPr>
          <w:color w:val="0d0d0d"/>
          <w:lang w:val="en-GB"/>
        </w:rPr>
      </w:pPr>
      <w:r>
        <w:rPr>
          <w:color w:val="0d0d0d"/>
          <w:lang w:val="en-GB"/>
        </w:rPr>
        <w:t>5.3 Abstract Conceptualisation</w:t>
      </w:r>
      <w:bookmarkEnd w:id="61"/>
    </w:p>
    <w:p w14:paraId="07729166">
      <w:pPr>
        <w:pStyle w:val="style4098"/>
        <w:rPr>
          <w:color w:val="0d0d0d"/>
          <w:lang w:val="en-GB"/>
        </w:rPr>
      </w:pPr>
      <w:r>
        <w:rPr>
          <w:color w:val="0d0d0d"/>
          <w:lang w:val="en-GB"/>
        </w:rPr>
        <w:t>This experience has had an impact on me and has really been a</w:t>
      </w:r>
      <w:r>
        <w:rPr>
          <w:color w:val="0d0d0d"/>
          <w:lang w:val="en-GB"/>
        </w:rPr>
        <w:t xml:space="preserve"> humbling experience in my strategic management experience. Before this assignment, I had a perception of the strategic frameworks as analytical tools working individually. During the research and writing process, I found that their usefulness lies in thes</w:t>
      </w:r>
      <w:r>
        <w:rPr>
          <w:color w:val="0d0d0d"/>
          <w:lang w:val="en-GB"/>
        </w:rPr>
        <w:t>e relationships and how they can work together to aid in strategic decision-making. For instance, using Porter's Five Forces helped to identify how competitive the soft drinks market in the UK is, and the Ansoff Matrix helped to assess the various market g</w:t>
      </w:r>
      <w:r>
        <w:rPr>
          <w:color w:val="0d0d0d"/>
          <w:lang w:val="en-GB"/>
        </w:rPr>
        <w:t>rowth strategies before deciding on market penetration as what was most appropriate in this case. In the same way, the Triple Bottom Line reflects that sustainability is not about corporate responsibility; it is about it being an asset that can boost custo</w:t>
      </w:r>
      <w:r>
        <w:rPr>
          <w:color w:val="0d0d0d"/>
          <w:lang w:val="en-GB"/>
        </w:rPr>
        <w:t xml:space="preserve">mer confidence, manage regulatory uncertainty and provide a long-term business advantage (Nogueira </w:t>
      </w:r>
      <w:r>
        <w:rPr>
          <w:i/>
          <w:iCs/>
          <w:color w:val="0d0d0d"/>
          <w:lang w:val="en-GB"/>
        </w:rPr>
        <w:t>et al</w:t>
      </w:r>
      <w:r>
        <w:rPr>
          <w:color w:val="0d0d0d"/>
          <w:lang w:val="en-GB"/>
        </w:rPr>
        <w:t>., 2025). This experience brought me realisation of the value of Evidence-Based Decision Making and the importance of strategic recommendations to be cr</w:t>
      </w:r>
      <w:r>
        <w:rPr>
          <w:color w:val="0d0d0d"/>
          <w:lang w:val="en-GB"/>
        </w:rPr>
        <w:t xml:space="preserve">edible when they are based on theory, current data and critical </w:t>
      </w:r>
      <w:r>
        <w:rPr>
          <w:color w:val="0d0d0d"/>
          <w:lang w:val="en-GB"/>
        </w:rPr>
        <w:t>judgment</w:t>
      </w:r>
      <w:r>
        <w:rPr>
          <w:color w:val="0d0d0d"/>
          <w:lang w:val="en-GB"/>
        </w:rPr>
        <w:t xml:space="preserve"> and not opinions.</w:t>
      </w:r>
    </w:p>
    <w:bookmarkStart w:id="62" w:name="_vx71fi4vukkp" w:colFirst="0" w:colLast="0"/>
    <w:bookmarkStart w:id="63" w:name="_Toc236513691"/>
    <w:bookmarkEnd w:id="62"/>
    <w:p w14:paraId="B3BC919B">
      <w:pPr>
        <w:pStyle w:val="style2"/>
        <w:rPr>
          <w:color w:val="0d0d0d"/>
          <w:lang w:val="en-GB"/>
        </w:rPr>
      </w:pPr>
      <w:r>
        <w:rPr>
          <w:color w:val="0d0d0d"/>
          <w:lang w:val="en-GB"/>
        </w:rPr>
        <w:t>5.4 Active Experimentation</w:t>
      </w:r>
      <w:bookmarkEnd w:id="63"/>
    </w:p>
    <w:p w14:paraId="7FC50CE6">
      <w:pPr>
        <w:pStyle w:val="style4098"/>
        <w:rPr>
          <w:color w:val="0d0d0d"/>
          <w:lang w:val="en-GB"/>
        </w:rPr>
      </w:pPr>
      <w:r>
        <w:rPr>
          <w:color w:val="0d0d0d"/>
          <w:lang w:val="en-GB"/>
        </w:rPr>
        <w:t>I am inspired for future strategic projects to take a more systematic approach, based on this reflection. I will start by highlighting th</w:t>
      </w:r>
      <w:r>
        <w:rPr>
          <w:color w:val="0d0d0d"/>
          <w:lang w:val="en-GB"/>
        </w:rPr>
        <w:t xml:space="preserve">e most suitable frameworks to then gather evidence in order for my research to be focused and purposeful. Another goal is to improve my synthesis of information, in relation to strategising, by considering various options for solutions, instead of picking </w:t>
      </w:r>
      <w:r>
        <w:rPr>
          <w:color w:val="0d0d0d"/>
          <w:lang w:val="en-GB"/>
        </w:rPr>
        <w:t>the next viable one. In addition, I will be more focused on including recent market information with theory models and achieve more robust evidence-based conclusions. I will be able to apply these enhancements to improve my strategic thinking and practical</w:t>
      </w:r>
      <w:r>
        <w:rPr>
          <w:color w:val="0d0d0d"/>
          <w:lang w:val="en-GB"/>
        </w:rPr>
        <w:t xml:space="preserve"> recommendations that will be made to resolve issues faced in my work environment in a dynamic business context.</w:t>
      </w:r>
    </w:p>
    <w:bookmarkStart w:id="64" w:name="_u82ik0kjfbkg" w:colFirst="0" w:colLast="0"/>
    <w:bookmarkStart w:id="65" w:name="_Toc236513692"/>
    <w:bookmarkEnd w:id="64"/>
    <w:p w14:paraId="282F19A9">
      <w:pPr>
        <w:pStyle w:val="style1"/>
        <w:rPr>
          <w:color w:val="0d0d0d"/>
          <w:lang w:val="en-GB"/>
        </w:rPr>
      </w:pPr>
      <w:r>
        <w:rPr>
          <w:color w:val="0d0d0d"/>
          <w:lang w:val="en-GB"/>
        </w:rPr>
        <w:t>Conclusion</w:t>
      </w:r>
      <w:bookmarkEnd w:id="65"/>
    </w:p>
    <w:p w14:paraId="65AC7289">
      <w:pPr>
        <w:pStyle w:val="style4098"/>
        <w:rPr>
          <w:color w:val="0d0d0d"/>
          <w:lang w:val="en-GB"/>
        </w:rPr>
      </w:pPr>
      <w:r>
        <w:rPr>
          <w:color w:val="0d0d0d"/>
          <w:lang w:val="en-GB"/>
        </w:rPr>
        <w:t>The report critically assessed the strategic position of soft drinks company Coca-Cola Zero Sugar in terms of integration of internal and external analysis with the existing theories of strategic management in the UK soft drinks market. Results indicate th</w:t>
      </w:r>
      <w:r>
        <w:rPr>
          <w:color w:val="0d0d0d"/>
          <w:lang w:val="en-GB"/>
        </w:rPr>
        <w:t>at the biggest competitive edge of the brand is in terms of brand equity, and they have a vast distribution network, as well as they have successfully differentiating their products in accordance with the growth of consumers' thirst and demand for healthie</w:t>
      </w:r>
      <w:r>
        <w:rPr>
          <w:color w:val="0d0d0d"/>
          <w:lang w:val="en-GB"/>
        </w:rPr>
        <w:t xml:space="preserve">r beverages. While the market penetration strategy is under threat by increasing competition, regulatory changes, and sustainability expectations, it is nevertheless the correct way to grow sustainably. The implementation of these, combined with continued </w:t>
      </w:r>
      <w:r>
        <w:rPr>
          <w:color w:val="0d0d0d"/>
          <w:lang w:val="en-GB"/>
        </w:rPr>
        <w:t>innovation and operational excellence, alongside digital innovation, will enhance the company's long-term competitiveness and ensure that Coca-Cola Zero Sugar has a leading position in the market in the UK.</w:t>
      </w:r>
      <w:r>
        <w:rPr>
          <w:color w:val="0d0d0d"/>
          <w:lang w:val="en-GB"/>
        </w:rPr>
        <w:br w:type="page"/>
      </w:r>
    </w:p>
    <w:bookmarkStart w:id="66" w:name="_7ut8v5fda5r3" w:colFirst="0" w:colLast="0"/>
    <w:bookmarkStart w:id="67" w:name="_Toc236513693"/>
    <w:bookmarkEnd w:id="66"/>
    <w:p w14:paraId="E524F0D9">
      <w:pPr>
        <w:pStyle w:val="style1"/>
        <w:rPr>
          <w:color w:val="0d0d0d"/>
          <w:lang w:val="en-GB"/>
        </w:rPr>
      </w:pPr>
      <w:r>
        <w:rPr>
          <w:color w:val="0d0d0d"/>
          <w:lang w:val="en-GB"/>
        </w:rPr>
        <w:t>References</w:t>
      </w:r>
      <w:bookmarkEnd w:id="67"/>
    </w:p>
    <w:p w14:paraId="05707D27">
      <w:pPr>
        <w:pStyle w:val="style4098"/>
        <w:spacing w:after="240"/>
        <w:rPr>
          <w:rFonts w:eastAsia="Times New Roman"/>
          <w:color w:val="0d0d0d"/>
          <w:lang w:val="en-GB"/>
        </w:rPr>
      </w:pPr>
      <w:r>
        <w:rPr>
          <w:rFonts w:eastAsia="Times New Roman"/>
          <w:color w:val="0d0d0d"/>
          <w:lang w:val="en-GB"/>
        </w:rPr>
        <w:t>Aditiya, S. and Kirana, D. (2025) “Sm</w:t>
      </w:r>
      <w:r>
        <w:rPr>
          <w:rFonts w:eastAsia="Times New Roman"/>
          <w:color w:val="0d0d0d"/>
          <w:lang w:val="en-GB"/>
        </w:rPr>
        <w:t xml:space="preserve">artEye.id’s Business Expansion Strategy for Global Market Penetration through the Ansoff Matrix,” </w:t>
      </w:r>
      <w:r>
        <w:rPr>
          <w:rFonts w:eastAsia="Times New Roman"/>
          <w:i/>
          <w:iCs/>
          <w:color w:val="0d0d0d"/>
          <w:lang w:val="en-GB"/>
        </w:rPr>
        <w:t>International Journal of Management and Business Economics (IJMEBE)</w:t>
      </w:r>
      <w:r>
        <w:rPr>
          <w:rFonts w:eastAsia="Times New Roman"/>
          <w:color w:val="0d0d0d"/>
          <w:lang w:val="en-GB"/>
        </w:rPr>
        <w:t xml:space="preserve">, 3(2), pp. 60–65. Available at: </w:t>
      </w:r>
      <w:r>
        <w:rPr/>
        <w:fldChar w:fldCharType="begin"/>
      </w:r>
      <w:r>
        <w:instrText xml:space="preserve"> HYPERLINK "https://www.putrapublisher.org/ojs/index.php/jamis/article/download/705/868" </w:instrText>
      </w:r>
      <w:r>
        <w:rPr/>
        <w:fldChar w:fldCharType="separate"/>
      </w:r>
      <w:r>
        <w:rPr>
          <w:rFonts w:eastAsia="Times New Roman"/>
          <w:color w:val="0d0d0d"/>
          <w:u w:val="single"/>
          <w:lang w:val="en-GB"/>
        </w:rPr>
        <w:t>https://www.putrapublisher.org/ojs/index.php/jamis/article/download/705/868</w:t>
      </w:r>
      <w:r>
        <w:rPr/>
        <w:fldChar w:fldCharType="end"/>
      </w:r>
      <w:r>
        <w:rPr>
          <w:rFonts w:eastAsia="Times New Roman"/>
          <w:color w:val="0d0d0d"/>
          <w:lang w:val="en-GB"/>
        </w:rPr>
        <w:t xml:space="preserve"> (Accessed: August 1, 2026).</w:t>
      </w:r>
    </w:p>
    <w:p w14:paraId="3D28262D">
      <w:pPr>
        <w:pStyle w:val="style4098"/>
        <w:spacing w:after="240"/>
        <w:rPr>
          <w:rFonts w:eastAsia="Times New Roman"/>
          <w:color w:val="0d0d0d"/>
          <w:lang w:val="en-GB"/>
        </w:rPr>
      </w:pPr>
      <w:r>
        <w:rPr>
          <w:rFonts w:eastAsia="Times New Roman"/>
          <w:color w:val="0d0d0d"/>
          <w:lang w:val="en-GB"/>
        </w:rPr>
        <w:t xml:space="preserve">BBC (2021) “Net Zero Announcement: UK Sets Out Plans to Cut Greenhouse Gas Emissions,” </w:t>
      </w:r>
      <w:r>
        <w:rPr>
          <w:rFonts w:eastAsia="Times New Roman"/>
          <w:i/>
          <w:iCs/>
          <w:color w:val="0d0d0d"/>
          <w:lang w:val="en-GB"/>
        </w:rPr>
        <w:t>BBC News</w:t>
      </w:r>
      <w:r>
        <w:rPr>
          <w:rFonts w:eastAsia="Times New Roman"/>
          <w:color w:val="0d0d0d"/>
          <w:lang w:val="en-GB"/>
        </w:rPr>
        <w:t>, 19 October. Availabl</w:t>
      </w:r>
      <w:r>
        <w:rPr>
          <w:rFonts w:eastAsia="Times New Roman"/>
          <w:color w:val="0d0d0d"/>
          <w:lang w:val="en-GB"/>
        </w:rPr>
        <w:t xml:space="preserve">e at: </w:t>
      </w:r>
      <w:r>
        <w:rPr/>
        <w:fldChar w:fldCharType="begin"/>
      </w:r>
      <w:r>
        <w:instrText xml:space="preserve"> HYPERLINK "https://www.bbc.com/news/science-environment-58899006" </w:instrText>
      </w:r>
      <w:r>
        <w:rPr/>
        <w:fldChar w:fldCharType="separate"/>
      </w:r>
      <w:r>
        <w:rPr>
          <w:rFonts w:eastAsia="Times New Roman"/>
          <w:color w:val="0d0d0d"/>
          <w:u w:val="single"/>
          <w:lang w:val="en-GB"/>
        </w:rPr>
        <w:t>https://www.bbc.com/news/science-environment-58899006</w:t>
      </w:r>
      <w:r>
        <w:rPr/>
        <w:fldChar w:fldCharType="end"/>
      </w:r>
      <w:r>
        <w:rPr>
          <w:rFonts w:eastAsia="Times New Roman"/>
          <w:color w:val="0d0d0d"/>
          <w:lang w:val="en-GB"/>
        </w:rPr>
        <w:t xml:space="preserve"> (Accessed: August 1, 2026).</w:t>
      </w:r>
    </w:p>
    <w:p w14:paraId="361D57EE">
      <w:pPr>
        <w:pStyle w:val="style4098"/>
        <w:spacing w:after="240"/>
        <w:rPr>
          <w:rFonts w:eastAsia="Times New Roman"/>
          <w:color w:val="0d0d0d"/>
          <w:lang w:val="en-GB"/>
        </w:rPr>
      </w:pPr>
      <w:r>
        <w:rPr>
          <w:rFonts w:eastAsia="Times New Roman"/>
          <w:color w:val="0d0d0d"/>
          <w:lang w:val="en-GB"/>
        </w:rPr>
        <w:t xml:space="preserve">Burnett, N. and Stewart, I. (2024) </w:t>
      </w:r>
      <w:r>
        <w:rPr>
          <w:rFonts w:eastAsia="Times New Roman"/>
          <w:i/>
          <w:iCs/>
          <w:color w:val="0d0d0d"/>
          <w:lang w:val="en-GB"/>
        </w:rPr>
        <w:t>The UK’s Plans and Progress to Reach Net Zero by 2050</w:t>
      </w:r>
      <w:r>
        <w:rPr>
          <w:rFonts w:eastAsia="Times New Roman"/>
          <w:color w:val="0d0d0d"/>
          <w:lang w:val="en-GB"/>
        </w:rPr>
        <w:t xml:space="preserve">, </w:t>
      </w:r>
      <w:r>
        <w:rPr>
          <w:rFonts w:eastAsia="Times New Roman"/>
          <w:i/>
          <w:iCs/>
          <w:color w:val="0d0d0d"/>
          <w:lang w:val="en-GB"/>
        </w:rPr>
        <w:t>House o</w:t>
      </w:r>
      <w:r>
        <w:rPr>
          <w:rFonts w:eastAsia="Times New Roman"/>
          <w:i/>
          <w:iCs/>
          <w:color w:val="0d0d0d"/>
          <w:lang w:val="en-GB"/>
        </w:rPr>
        <w:t>f Commons Library</w:t>
      </w:r>
      <w:r>
        <w:rPr>
          <w:rFonts w:eastAsia="Times New Roman"/>
          <w:color w:val="0d0d0d"/>
          <w:lang w:val="en-GB"/>
        </w:rPr>
        <w:t xml:space="preserve">. UK Parliament. Available at: </w:t>
      </w:r>
      <w:r>
        <w:rPr/>
        <w:fldChar w:fldCharType="begin"/>
      </w:r>
      <w:r>
        <w:instrText xml:space="preserve"> HYPERLINK "https://commonslibrary.parliament.uk/research-briefings/cbp-9888/" </w:instrText>
      </w:r>
      <w:r>
        <w:rPr/>
        <w:fldChar w:fldCharType="separate"/>
      </w:r>
      <w:r>
        <w:rPr>
          <w:rFonts w:eastAsia="Times New Roman"/>
          <w:color w:val="0d0d0d"/>
          <w:u w:val="single"/>
          <w:lang w:val="en-GB"/>
        </w:rPr>
        <w:t>https://commonslibrary.parliament.uk/research-briefings/cbp-9888/</w:t>
      </w:r>
      <w:r>
        <w:rPr/>
        <w:fldChar w:fldCharType="end"/>
      </w:r>
      <w:r>
        <w:rPr>
          <w:rFonts w:eastAsia="Times New Roman"/>
          <w:color w:val="0d0d0d"/>
          <w:lang w:val="en-GB"/>
        </w:rPr>
        <w:t xml:space="preserve"> (Accessed: August 1, 2026).</w:t>
      </w:r>
    </w:p>
    <w:p w14:paraId="49F28EA6">
      <w:pPr>
        <w:pStyle w:val="style4098"/>
        <w:spacing w:after="240"/>
        <w:rPr>
          <w:rFonts w:eastAsia="Times New Roman"/>
          <w:color w:val="0d0d0d"/>
          <w:lang w:val="en-GB"/>
        </w:rPr>
      </w:pPr>
      <w:r>
        <w:rPr>
          <w:rFonts w:eastAsia="Times New Roman"/>
          <w:color w:val="0d0d0d"/>
          <w:lang w:val="en-GB"/>
        </w:rPr>
        <w:t xml:space="preserve">Cherepovitsyn, A., Kazanin, A. </w:t>
      </w:r>
      <w:r>
        <w:rPr>
          <w:rFonts w:eastAsia="Times New Roman"/>
          <w:color w:val="0d0d0d"/>
          <w:lang w:val="en-GB"/>
        </w:rPr>
        <w:t xml:space="preserve">and Rutenko, E. (2023) “Strategic priorities for green diversification of oil and gas companies,” </w:t>
      </w:r>
      <w:r>
        <w:rPr>
          <w:rFonts w:eastAsia="Times New Roman"/>
          <w:i/>
          <w:iCs/>
          <w:color w:val="0d0d0d"/>
          <w:lang w:val="en-GB"/>
        </w:rPr>
        <w:t>Energies</w:t>
      </w:r>
      <w:r>
        <w:rPr>
          <w:rFonts w:eastAsia="Times New Roman"/>
          <w:color w:val="0d0d0d"/>
          <w:lang w:val="en-GB"/>
        </w:rPr>
        <w:t xml:space="preserve">, 16(13), pp. 4985–4985. Available at: </w:t>
      </w:r>
      <w:r>
        <w:rPr/>
        <w:fldChar w:fldCharType="begin"/>
      </w:r>
      <w:r>
        <w:instrText xml:space="preserve"> HYPERLINK "https://www.mdpi.com/1996-1073/16/13/4985" </w:instrText>
      </w:r>
      <w:r>
        <w:rPr/>
        <w:fldChar w:fldCharType="separate"/>
      </w:r>
      <w:r>
        <w:rPr>
          <w:rFonts w:eastAsia="Times New Roman"/>
          <w:color w:val="0d0d0d"/>
          <w:u w:val="single"/>
          <w:lang w:val="en-GB"/>
        </w:rPr>
        <w:t>https://www.mdpi.com/1996-1073/16/13/4985</w:t>
      </w:r>
      <w:r>
        <w:rPr/>
        <w:fldChar w:fldCharType="end"/>
      </w:r>
      <w:r>
        <w:rPr>
          <w:rFonts w:eastAsia="Times New Roman"/>
          <w:color w:val="0d0d0d"/>
          <w:lang w:val="en-GB"/>
        </w:rPr>
        <w:t xml:space="preserve"> (Accessed:</w:t>
      </w:r>
      <w:r>
        <w:rPr>
          <w:rFonts w:eastAsia="Times New Roman"/>
          <w:color w:val="0d0d0d"/>
          <w:lang w:val="en-GB"/>
        </w:rPr>
        <w:t xml:space="preserve"> August 1, 2026).</w:t>
      </w:r>
    </w:p>
    <w:p w14:paraId="170C0714">
      <w:pPr>
        <w:pStyle w:val="style4098"/>
        <w:spacing w:after="240"/>
        <w:rPr>
          <w:rFonts w:eastAsia="Times New Roman"/>
          <w:color w:val="0d0d0d"/>
          <w:lang w:val="en-GB"/>
        </w:rPr>
      </w:pPr>
      <w:r>
        <w:rPr>
          <w:rFonts w:eastAsia="Times New Roman"/>
          <w:color w:val="0d0d0d"/>
          <w:lang w:val="en-GB"/>
        </w:rPr>
        <w:t xml:space="preserve">Coca-Cola (2026) </w:t>
      </w:r>
      <w:r>
        <w:rPr>
          <w:rFonts w:eastAsia="Times New Roman"/>
          <w:i/>
          <w:iCs/>
          <w:color w:val="0d0d0d"/>
          <w:lang w:val="en-GB"/>
        </w:rPr>
        <w:t>Coca-Cola Zero Sugar - All Products &amp; Ingredients | Coca-Cola US</w:t>
      </w:r>
      <w:r>
        <w:rPr>
          <w:rFonts w:eastAsia="Times New Roman"/>
          <w:color w:val="0d0d0d"/>
          <w:lang w:val="en-GB"/>
        </w:rPr>
        <w:t xml:space="preserve">, </w:t>
      </w:r>
      <w:r>
        <w:rPr>
          <w:rFonts w:eastAsia="Times New Roman"/>
          <w:i/>
          <w:iCs/>
          <w:color w:val="0d0d0d"/>
          <w:lang w:val="en-GB"/>
        </w:rPr>
        <w:t>www.coca-cola.com</w:t>
      </w:r>
      <w:r>
        <w:rPr>
          <w:rFonts w:eastAsia="Times New Roman"/>
          <w:color w:val="0d0d0d"/>
          <w:lang w:val="en-GB"/>
        </w:rPr>
        <w:t xml:space="preserve">. Available at: </w:t>
      </w:r>
      <w:r>
        <w:rPr/>
        <w:fldChar w:fldCharType="begin"/>
      </w:r>
      <w:r>
        <w:instrText xml:space="preserve"> HYPERLINK "https://www.coca-cola.com/us/en/brands/coca-cola/products/zero" </w:instrText>
      </w:r>
      <w:r>
        <w:rPr/>
        <w:fldChar w:fldCharType="separate"/>
      </w:r>
      <w:r>
        <w:rPr>
          <w:rFonts w:eastAsia="Times New Roman"/>
          <w:color w:val="0d0d0d"/>
          <w:u w:val="single"/>
          <w:lang w:val="en-GB"/>
        </w:rPr>
        <w:t>https://www.coca-cola.com/us/en/brands/coc</w:t>
      </w:r>
      <w:r>
        <w:rPr>
          <w:rFonts w:eastAsia="Times New Roman"/>
          <w:color w:val="0d0d0d"/>
          <w:u w:val="single"/>
          <w:lang w:val="en-GB"/>
        </w:rPr>
        <w:t>a-cola/products/zero</w:t>
      </w:r>
      <w:r>
        <w:rPr/>
        <w:fldChar w:fldCharType="end"/>
      </w:r>
      <w:r>
        <w:rPr>
          <w:rFonts w:eastAsia="Times New Roman"/>
          <w:color w:val="0d0d0d"/>
          <w:lang w:val="en-GB"/>
        </w:rPr>
        <w:t xml:space="preserve"> (Accessed: August 1, 2026).</w:t>
      </w:r>
    </w:p>
    <w:p w14:paraId="7086397E">
      <w:pPr>
        <w:pStyle w:val="style4098"/>
        <w:spacing w:after="240"/>
        <w:rPr>
          <w:rFonts w:eastAsia="Times New Roman"/>
          <w:color w:val="0d0d0d"/>
          <w:lang w:val="en-GB"/>
        </w:rPr>
      </w:pPr>
      <w:r>
        <w:rPr>
          <w:rFonts w:eastAsia="Times New Roman"/>
          <w:color w:val="0d0d0d"/>
          <w:lang w:val="en-GB"/>
        </w:rPr>
        <w:t xml:space="preserve">Coca-cola (2026) </w:t>
      </w:r>
      <w:r>
        <w:rPr>
          <w:rFonts w:eastAsia="Times New Roman"/>
          <w:i/>
          <w:iCs/>
          <w:color w:val="0d0d0d"/>
          <w:lang w:val="en-GB"/>
        </w:rPr>
        <w:t>What’s the difference between Coca</w:t>
      </w:r>
      <w:r>
        <w:rPr>
          <w:rFonts w:ascii="Times New Roman" w:eastAsia="Times New Roman" w:hAnsi="Times New Roman"/>
          <w:i/>
          <w:iCs/>
          <w:color w:val="0d0d0d"/>
          <w:lang w:val="en-GB"/>
        </w:rPr>
        <w:t>‑</w:t>
      </w:r>
      <w:r>
        <w:rPr>
          <w:rFonts w:eastAsia="Times New Roman"/>
          <w:i/>
          <w:iCs/>
          <w:color w:val="0d0d0d"/>
          <w:lang w:val="en-GB"/>
        </w:rPr>
        <w:t>Cola zero sugar and Diet Coke?</w:t>
      </w:r>
      <w:r>
        <w:rPr>
          <w:rFonts w:eastAsia="Times New Roman"/>
          <w:color w:val="0d0d0d"/>
          <w:lang w:val="en-GB"/>
        </w:rPr>
        <w:t xml:space="preserve">, </w:t>
      </w:r>
      <w:r>
        <w:rPr>
          <w:rFonts w:eastAsia="Times New Roman"/>
          <w:i/>
          <w:iCs/>
          <w:color w:val="0d0d0d"/>
          <w:lang w:val="en-GB"/>
        </w:rPr>
        <w:t>www.coca-cola.com</w:t>
      </w:r>
      <w:r>
        <w:rPr>
          <w:rFonts w:eastAsia="Times New Roman"/>
          <w:color w:val="0d0d0d"/>
          <w:lang w:val="en-GB"/>
        </w:rPr>
        <w:t xml:space="preserve">. Available at: </w:t>
      </w:r>
      <w:r>
        <w:rPr/>
        <w:fldChar w:fldCharType="begin"/>
      </w:r>
      <w:r>
        <w:instrText xml:space="preserve"> HYPERLINK "https://www.coca-cola.com/gb/en/about-us/faq/what-s-the-difference-between-cocacola-zero-sugar-and-diet-coke" </w:instrText>
      </w:r>
      <w:r>
        <w:rPr/>
        <w:fldChar w:fldCharType="separate"/>
      </w:r>
      <w:r>
        <w:rPr>
          <w:rFonts w:eastAsia="Times New Roman"/>
          <w:color w:val="0d0d0d"/>
          <w:u w:val="single"/>
          <w:lang w:val="en-GB"/>
        </w:rPr>
        <w:t>https://www.coca-cola.com/gb/en/about-us/faq/what-s-the-difference-between-cocacola-zero-sugar-and-diet-coke</w:t>
      </w:r>
      <w:r>
        <w:rPr/>
        <w:fldChar w:fldCharType="end"/>
      </w:r>
      <w:r>
        <w:rPr>
          <w:rFonts w:eastAsia="Times New Roman"/>
          <w:color w:val="0d0d0d"/>
          <w:lang w:val="en-GB"/>
        </w:rPr>
        <w:t xml:space="preserve"> (Accessed: August 1, 2026).</w:t>
      </w:r>
    </w:p>
    <w:p w14:paraId="55F34652">
      <w:pPr>
        <w:pStyle w:val="style4098"/>
        <w:spacing w:after="240"/>
        <w:rPr>
          <w:rFonts w:eastAsia="Times New Roman"/>
          <w:color w:val="0d0d0d"/>
          <w:lang w:val="en-GB"/>
        </w:rPr>
      </w:pPr>
      <w:r>
        <w:rPr>
          <w:rFonts w:eastAsia="Times New Roman"/>
          <w:color w:val="0d0d0d"/>
          <w:lang w:val="en-GB"/>
        </w:rPr>
        <w:t xml:space="preserve">Coca-colacompany (2026) </w:t>
      </w:r>
      <w:r>
        <w:rPr>
          <w:rFonts w:eastAsia="Times New Roman"/>
          <w:i/>
          <w:iCs/>
          <w:color w:val="0d0d0d"/>
          <w:lang w:val="en-GB"/>
        </w:rPr>
        <w:t>The coca-cola Foundation</w:t>
      </w:r>
      <w:r>
        <w:rPr>
          <w:rFonts w:eastAsia="Times New Roman"/>
          <w:color w:val="0d0d0d"/>
          <w:lang w:val="en-GB"/>
        </w:rPr>
        <w:t xml:space="preserve">, </w:t>
      </w:r>
      <w:r>
        <w:rPr>
          <w:rFonts w:eastAsia="Times New Roman"/>
          <w:i/>
          <w:iCs/>
          <w:color w:val="0d0d0d"/>
          <w:lang w:val="en-GB"/>
        </w:rPr>
        <w:t>Coca-colacompany.com</w:t>
      </w:r>
      <w:r>
        <w:rPr>
          <w:rFonts w:eastAsia="Times New Roman"/>
          <w:color w:val="0d0d0d"/>
          <w:lang w:val="en-GB"/>
        </w:rPr>
        <w:t>. Available a</w:t>
      </w:r>
      <w:r>
        <w:rPr>
          <w:rFonts w:eastAsia="Times New Roman"/>
          <w:color w:val="0d0d0d"/>
          <w:lang w:val="en-GB"/>
        </w:rPr>
        <w:t xml:space="preserve">t: </w:t>
      </w:r>
      <w:r>
        <w:rPr/>
        <w:fldChar w:fldCharType="begin"/>
      </w:r>
      <w:r>
        <w:instrText xml:space="preserve"> HYPERLINK "https://www.coca-colacompany.com/about-us/people-and-communities/the-coca-cola-foundation" </w:instrText>
      </w:r>
      <w:r>
        <w:rPr/>
        <w:fldChar w:fldCharType="separate"/>
      </w:r>
      <w:r>
        <w:rPr>
          <w:rFonts w:eastAsia="Times New Roman"/>
          <w:color w:val="0d0d0d"/>
          <w:u w:val="single"/>
          <w:lang w:val="en-GB"/>
        </w:rPr>
        <w:t>https://www.coca-colacompany.com/about-us/people-and-communities/the-coca-cola-foundation</w:t>
      </w:r>
      <w:r>
        <w:rPr/>
        <w:fldChar w:fldCharType="end"/>
      </w:r>
      <w:r>
        <w:rPr>
          <w:rFonts w:eastAsia="Times New Roman"/>
          <w:color w:val="0d0d0d"/>
          <w:lang w:val="en-GB"/>
        </w:rPr>
        <w:t xml:space="preserve"> (Accessed: August 1, 2026).</w:t>
      </w:r>
    </w:p>
    <w:p w14:paraId="E44BC103">
      <w:pPr>
        <w:pStyle w:val="style4098"/>
        <w:spacing w:after="240"/>
        <w:rPr>
          <w:rFonts w:eastAsia="Times New Roman"/>
          <w:color w:val="0d0d0d"/>
          <w:lang w:val="en-GB"/>
        </w:rPr>
      </w:pPr>
      <w:r>
        <w:rPr>
          <w:rFonts w:eastAsia="Times New Roman"/>
          <w:color w:val="0d0d0d"/>
          <w:lang w:val="en-GB"/>
        </w:rPr>
        <w:t xml:space="preserve">Cocacolaep (2026) </w:t>
      </w:r>
      <w:r>
        <w:rPr>
          <w:rFonts w:eastAsia="Times New Roman"/>
          <w:i/>
          <w:iCs/>
          <w:color w:val="0d0d0d"/>
          <w:lang w:val="en-GB"/>
        </w:rPr>
        <w:t>Coca-Cola Europacific Partners</w:t>
      </w:r>
      <w:r>
        <w:rPr>
          <w:rFonts w:eastAsia="Times New Roman"/>
          <w:color w:val="0d0d0d"/>
          <w:lang w:val="en-GB"/>
        </w:rPr>
        <w:t xml:space="preserve">, </w:t>
      </w:r>
      <w:r>
        <w:rPr>
          <w:rFonts w:eastAsia="Times New Roman"/>
          <w:i/>
          <w:iCs/>
          <w:color w:val="0d0d0d"/>
          <w:lang w:val="en-GB"/>
        </w:rPr>
        <w:t>Great Britain</w:t>
      </w:r>
      <w:r>
        <w:rPr>
          <w:rFonts w:eastAsia="Times New Roman"/>
          <w:color w:val="0d0d0d"/>
          <w:lang w:val="en-GB"/>
        </w:rPr>
        <w:t xml:space="preserve">. Available at: </w:t>
      </w:r>
      <w:r>
        <w:rPr/>
        <w:fldChar w:fldCharType="begin"/>
      </w:r>
      <w:r>
        <w:instrText xml:space="preserve"> HYPERLINK "https://www.cocacolaep.com/gb/news-and-stories/coca-cola-zero-caffeine-zero-sugar-relaunches-in-great-britain-with-refreshed-pack-design-to-redefine-evening-occasions/" </w:instrText>
      </w:r>
      <w:r>
        <w:rPr/>
        <w:fldChar w:fldCharType="separate"/>
      </w:r>
      <w:r>
        <w:rPr>
          <w:rFonts w:eastAsia="Times New Roman"/>
          <w:color w:val="0d0d0d"/>
          <w:u w:val="single"/>
          <w:lang w:val="en-GB"/>
        </w:rPr>
        <w:t>https://ww</w:t>
      </w:r>
      <w:r>
        <w:rPr>
          <w:rFonts w:eastAsia="Times New Roman"/>
          <w:color w:val="0d0d0d"/>
          <w:u w:val="single"/>
          <w:lang w:val="en-GB"/>
        </w:rPr>
        <w:t>w.cocacolaep.com/gb/news-and-stories/coca-cola-zero-caffeine-zero-</w:t>
      </w:r>
      <w:r>
        <w:rPr>
          <w:rFonts w:eastAsia="Times New Roman"/>
          <w:color w:val="0d0d0d"/>
          <w:u w:val="single"/>
          <w:lang w:val="en-GB"/>
        </w:rPr>
        <w:t>sugar-relaunches-in-great-britain-with-refreshed-pack-design-to-redefine-evening-occasions/</w:t>
      </w:r>
      <w:r>
        <w:rPr/>
        <w:fldChar w:fldCharType="end"/>
      </w:r>
      <w:r>
        <w:rPr>
          <w:rFonts w:eastAsia="Times New Roman"/>
          <w:color w:val="0d0d0d"/>
          <w:lang w:val="en-GB"/>
        </w:rPr>
        <w:t xml:space="preserve"> (Accessed: August 1, 2026).</w:t>
      </w:r>
    </w:p>
    <w:p w14:paraId="9696DACF">
      <w:pPr>
        <w:pStyle w:val="style4098"/>
        <w:spacing w:after="240"/>
        <w:rPr>
          <w:rFonts w:eastAsia="Times New Roman"/>
          <w:color w:val="0d0d0d"/>
          <w:lang w:val="en-GB"/>
        </w:rPr>
      </w:pPr>
      <w:r>
        <w:rPr>
          <w:rFonts w:eastAsia="Times New Roman"/>
          <w:color w:val="0d0d0d"/>
          <w:lang w:val="en-GB"/>
        </w:rPr>
        <w:t>da SILVA, C.A.G. (2025) “The Future Competencies &amp;amp; Skills Developm</w:t>
      </w:r>
      <w:r>
        <w:rPr>
          <w:rFonts w:eastAsia="Times New Roman"/>
          <w:color w:val="0d0d0d"/>
          <w:lang w:val="en-GB"/>
        </w:rPr>
        <w:t xml:space="preserve">ent Cycle: A New Workforce Model in the Context of Digital Transformation and Artificial Intelligence,” </w:t>
      </w:r>
      <w:r>
        <w:rPr>
          <w:rFonts w:eastAsia="Times New Roman"/>
          <w:i/>
          <w:iCs/>
          <w:color w:val="0d0d0d"/>
          <w:lang w:val="en-GB"/>
        </w:rPr>
        <w:t>Journal of Human Resource Management - HR Advances and Developments</w:t>
      </w:r>
      <w:r>
        <w:rPr>
          <w:rFonts w:eastAsia="Times New Roman"/>
          <w:color w:val="0d0d0d"/>
          <w:lang w:val="en-GB"/>
        </w:rPr>
        <w:t xml:space="preserve">, 28(2), pp. 139–155. Available at: </w:t>
      </w:r>
      <w:r>
        <w:rPr/>
        <w:fldChar w:fldCharType="begin"/>
      </w:r>
      <w:r>
        <w:instrText xml:space="preserve"> HYPERLINK "https://www.researchgate.net/profile/Ciro-Goncalves-Da-Silva/publication/399431896_The_Future_Competencies_Skills_Development_Cycle_A_New_Workforce_Model_in_the_Context_of_Digital_Transformation_and_Artificial_Intelligence/links/69b69c36c325e338e8ea1123/The-Future-Competencies-Skills-Development-Cycle-A-New-Workforce-Model-in-the-Context-of-Digital-Transformation-and-Artificial-Intelligence.pdf" </w:instrText>
      </w:r>
      <w:r>
        <w:rPr/>
        <w:fldChar w:fldCharType="separate"/>
      </w:r>
      <w:r>
        <w:rPr>
          <w:rFonts w:eastAsia="Times New Roman"/>
          <w:color w:val="0d0d0d"/>
          <w:u w:val="single"/>
          <w:lang w:val="en-GB"/>
        </w:rPr>
        <w:t>https://www.researchgate.net/profile/Ciro-Goncalves-Da-Silva/publication/399431896_The_Future_Competencies_Skills_Development_Cycle_A_New_Workforc</w:t>
      </w:r>
      <w:r>
        <w:rPr>
          <w:rFonts w:eastAsia="Times New Roman"/>
          <w:color w:val="0d0d0d"/>
          <w:u w:val="single"/>
          <w:lang w:val="en-GB"/>
        </w:rPr>
        <w:t>e_Model_in_the_Context_of_Digital_Transformation_and_Artificial_Intelligence/links/69b69c36c325e338e8ea1123/The-Future-Competencies-Skills-Development-Cycle-A-New-Workforce-Model-in-the-Context-of-Digital-Transformation-and-Artificial-Intelligence.pdf</w:t>
      </w:r>
      <w:r>
        <w:rPr/>
        <w:fldChar w:fldCharType="end"/>
      </w:r>
      <w:r>
        <w:rPr>
          <w:rFonts w:eastAsia="Times New Roman"/>
          <w:color w:val="0d0d0d"/>
          <w:lang w:val="en-GB"/>
        </w:rPr>
        <w:t xml:space="preserve"> (Acc</w:t>
      </w:r>
      <w:r>
        <w:rPr>
          <w:rFonts w:eastAsia="Times New Roman"/>
          <w:color w:val="0d0d0d"/>
          <w:lang w:val="en-GB"/>
        </w:rPr>
        <w:t>essed: August 1, 2026).</w:t>
      </w:r>
    </w:p>
    <w:p w14:paraId="45A0A650">
      <w:pPr>
        <w:pStyle w:val="style4098"/>
        <w:spacing w:after="240"/>
        <w:rPr>
          <w:rFonts w:eastAsia="Times New Roman"/>
          <w:color w:val="0d0d0d"/>
          <w:lang w:val="en-GB"/>
        </w:rPr>
      </w:pPr>
      <w:r>
        <w:rPr>
          <w:rFonts w:eastAsia="Times New Roman"/>
          <w:color w:val="0d0d0d"/>
          <w:lang w:val="en-GB"/>
        </w:rPr>
        <w:t xml:space="preserve">ESG Today (2024) </w:t>
      </w:r>
      <w:r>
        <w:rPr>
          <w:rFonts w:eastAsia="Times New Roman"/>
          <w:i/>
          <w:iCs/>
          <w:color w:val="0d0d0d"/>
          <w:lang w:val="en-GB"/>
        </w:rPr>
        <w:t>Coca-Cola scales back sustainable packaging, agriculture goals</w:t>
      </w:r>
      <w:r>
        <w:rPr>
          <w:rFonts w:eastAsia="Times New Roman"/>
          <w:color w:val="0d0d0d"/>
          <w:lang w:val="en-GB"/>
        </w:rPr>
        <w:t xml:space="preserve">, </w:t>
      </w:r>
      <w:r>
        <w:rPr>
          <w:rFonts w:eastAsia="Times New Roman"/>
          <w:i/>
          <w:iCs/>
          <w:color w:val="0d0d0d"/>
          <w:lang w:val="en-GB"/>
        </w:rPr>
        <w:t>ESG Today</w:t>
      </w:r>
      <w:r>
        <w:rPr>
          <w:rFonts w:eastAsia="Times New Roman"/>
          <w:color w:val="0d0d0d"/>
          <w:lang w:val="en-GB"/>
        </w:rPr>
        <w:t xml:space="preserve">. Available at: </w:t>
      </w:r>
      <w:r>
        <w:rPr/>
        <w:fldChar w:fldCharType="begin"/>
      </w:r>
      <w:r>
        <w:instrText xml:space="preserve"> HYPERLINK "https://www.esgtoday.com/coca-cola-scales-back-sustainable-packaging-agriculture-goals/" </w:instrText>
      </w:r>
      <w:r>
        <w:rPr/>
        <w:fldChar w:fldCharType="separate"/>
      </w:r>
      <w:r>
        <w:rPr>
          <w:rFonts w:eastAsia="Times New Roman"/>
          <w:color w:val="0d0d0d"/>
          <w:u w:val="single"/>
          <w:lang w:val="en-GB"/>
        </w:rPr>
        <w:t>https://www.esgtoday.</w:t>
      </w:r>
      <w:r>
        <w:rPr>
          <w:rFonts w:eastAsia="Times New Roman"/>
          <w:color w:val="0d0d0d"/>
          <w:u w:val="single"/>
          <w:lang w:val="en-GB"/>
        </w:rPr>
        <w:t>com/coca-cola-scales-back-sustainable-packaging-agriculture-goals/</w:t>
      </w:r>
      <w:r>
        <w:rPr/>
        <w:fldChar w:fldCharType="end"/>
      </w:r>
      <w:r>
        <w:rPr>
          <w:rFonts w:eastAsia="Times New Roman"/>
          <w:color w:val="0d0d0d"/>
          <w:lang w:val="en-GB"/>
        </w:rPr>
        <w:t xml:space="preserve"> (Accessed: August 1, 2026).</w:t>
      </w:r>
    </w:p>
    <w:p w14:paraId="BA528399">
      <w:pPr>
        <w:pStyle w:val="style4098"/>
        <w:spacing w:after="240"/>
        <w:rPr>
          <w:rFonts w:eastAsia="Times New Roman"/>
          <w:color w:val="0d0d0d"/>
          <w:lang w:val="en-GB"/>
        </w:rPr>
      </w:pPr>
      <w:r>
        <w:rPr>
          <w:rFonts w:eastAsia="Times New Roman"/>
          <w:color w:val="0d0d0d"/>
          <w:lang w:val="en-GB"/>
        </w:rPr>
        <w:t xml:space="preserve">GOV (2023) “Competition, Choice and Rising Prices in Groceries,” in. Available at: </w:t>
      </w:r>
      <w:r>
        <w:rPr/>
        <w:fldChar w:fldCharType="begin"/>
      </w:r>
      <w:r>
        <w:instrText xml:space="preserve"> HYPERLINK "https://assets.publishing.service.gov.uk/media/64b80adaef5371000d7aeefb/Competition__choice_and_rising_prices_in_groceries.pdf" </w:instrText>
      </w:r>
      <w:r>
        <w:rPr/>
        <w:fldChar w:fldCharType="separate"/>
      </w:r>
      <w:r>
        <w:rPr>
          <w:rFonts w:eastAsia="Times New Roman"/>
          <w:color w:val="0d0d0d"/>
          <w:u w:val="single"/>
          <w:lang w:val="en-GB"/>
        </w:rPr>
        <w:t>https://assets.publishing.service.gov.uk/media/64b80adaef5371000d7aeefb/Competition__choice_and_rising_prices_in_groceries.pdf</w:t>
      </w:r>
      <w:r>
        <w:rPr/>
        <w:fldChar w:fldCharType="end"/>
      </w:r>
      <w:r>
        <w:rPr>
          <w:rFonts w:eastAsia="Times New Roman"/>
          <w:color w:val="0d0d0d"/>
          <w:lang w:val="en-GB"/>
        </w:rPr>
        <w:t xml:space="preserve"> (Accessed: August 1, 2026).</w:t>
      </w:r>
    </w:p>
    <w:p w14:paraId="0C10D09D">
      <w:pPr>
        <w:pStyle w:val="style4098"/>
        <w:spacing w:after="240"/>
        <w:rPr>
          <w:rFonts w:eastAsia="Times New Roman"/>
          <w:color w:val="0d0d0d"/>
          <w:lang w:val="en-GB"/>
        </w:rPr>
      </w:pPr>
      <w:r>
        <w:rPr>
          <w:rFonts w:eastAsia="Times New Roman"/>
          <w:color w:val="0d0d0d"/>
          <w:lang w:val="en-GB"/>
        </w:rPr>
        <w:t xml:space="preserve">Grand View Research (2021) </w:t>
      </w:r>
      <w:r>
        <w:rPr>
          <w:rFonts w:eastAsia="Times New Roman"/>
          <w:i/>
          <w:iCs/>
          <w:color w:val="0d0d0d"/>
          <w:lang w:val="en-GB"/>
        </w:rPr>
        <w:t>Diet Sof</w:t>
      </w:r>
      <w:r>
        <w:rPr>
          <w:rFonts w:eastAsia="Times New Roman"/>
          <w:i/>
          <w:iCs/>
          <w:color w:val="0d0d0d"/>
          <w:lang w:val="en-GB"/>
        </w:rPr>
        <w:t>t Drinks Market Size, Share | Global Industry Report, 2019-2025</w:t>
      </w:r>
      <w:r>
        <w:rPr>
          <w:rFonts w:eastAsia="Times New Roman"/>
          <w:color w:val="0d0d0d"/>
          <w:lang w:val="en-GB"/>
        </w:rPr>
        <w:t xml:space="preserve">, </w:t>
      </w:r>
      <w:r>
        <w:rPr>
          <w:rFonts w:eastAsia="Times New Roman"/>
          <w:i/>
          <w:iCs/>
          <w:color w:val="0d0d0d"/>
          <w:lang w:val="en-GB"/>
        </w:rPr>
        <w:t>Grandviewresearch.com</w:t>
      </w:r>
      <w:r>
        <w:rPr>
          <w:rFonts w:eastAsia="Times New Roman"/>
          <w:color w:val="0d0d0d"/>
          <w:lang w:val="en-GB"/>
        </w:rPr>
        <w:t xml:space="preserve">. Available at: </w:t>
      </w:r>
      <w:r>
        <w:rPr/>
        <w:fldChar w:fldCharType="begin"/>
      </w:r>
      <w:r>
        <w:instrText xml:space="preserve"> HYPERLINK "https://www.grandviewresearch.com/industry-analysis/diet-soft-drinks-market" </w:instrText>
      </w:r>
      <w:r>
        <w:rPr/>
        <w:fldChar w:fldCharType="separate"/>
      </w:r>
      <w:r>
        <w:rPr>
          <w:rFonts w:eastAsia="Times New Roman"/>
          <w:color w:val="0d0d0d"/>
          <w:u w:val="single"/>
          <w:lang w:val="en-GB"/>
        </w:rPr>
        <w:t>https://www.grandviewresearch.com/industry-analysis/diet-soft</w:t>
      </w:r>
      <w:r>
        <w:rPr>
          <w:rFonts w:eastAsia="Times New Roman"/>
          <w:color w:val="0d0d0d"/>
          <w:u w:val="single"/>
          <w:lang w:val="en-GB"/>
        </w:rPr>
        <w:t>-drinks-market</w:t>
      </w:r>
      <w:r>
        <w:rPr/>
        <w:fldChar w:fldCharType="end"/>
      </w:r>
      <w:r>
        <w:rPr>
          <w:rFonts w:eastAsia="Times New Roman"/>
          <w:color w:val="0d0d0d"/>
          <w:lang w:val="en-GB"/>
        </w:rPr>
        <w:t xml:space="preserve"> (Accessed: August 1, 2026).</w:t>
      </w:r>
    </w:p>
    <w:p w14:paraId="9A380179">
      <w:pPr>
        <w:pStyle w:val="style4098"/>
        <w:spacing w:after="240"/>
        <w:rPr>
          <w:rFonts w:eastAsia="Times New Roman"/>
          <w:color w:val="0d0d0d"/>
          <w:lang w:val="en-GB"/>
        </w:rPr>
      </w:pPr>
      <w:r>
        <w:rPr>
          <w:rFonts w:eastAsia="Times New Roman"/>
          <w:color w:val="0d0d0d"/>
          <w:lang w:val="en-GB"/>
        </w:rPr>
        <w:t xml:space="preserve">Grocerytrader (2026) </w:t>
      </w:r>
      <w:r>
        <w:rPr>
          <w:rFonts w:eastAsia="Times New Roman"/>
          <w:i/>
          <w:iCs/>
          <w:color w:val="0d0d0d"/>
          <w:lang w:val="en-GB"/>
        </w:rPr>
        <w:t>Soft drinks gets healthier – Consumers are moving towards low and no sugar options | Grocery Trader</w:t>
      </w:r>
      <w:r>
        <w:rPr>
          <w:rFonts w:eastAsia="Times New Roman"/>
          <w:color w:val="0d0d0d"/>
          <w:lang w:val="en-GB"/>
        </w:rPr>
        <w:t xml:space="preserve">, </w:t>
      </w:r>
      <w:r>
        <w:rPr>
          <w:rFonts w:eastAsia="Times New Roman"/>
          <w:i/>
          <w:iCs/>
          <w:color w:val="0d0d0d"/>
          <w:lang w:val="en-GB"/>
        </w:rPr>
        <w:t>Grocery Trader | Grocer News from Grocery Trader - Latest news and information for the mult</w:t>
      </w:r>
      <w:r>
        <w:rPr>
          <w:rFonts w:eastAsia="Times New Roman"/>
          <w:i/>
          <w:iCs/>
          <w:color w:val="0d0d0d"/>
          <w:lang w:val="en-GB"/>
        </w:rPr>
        <w:t>iple grocery trade in the UK</w:t>
      </w:r>
      <w:r>
        <w:rPr>
          <w:rFonts w:eastAsia="Times New Roman"/>
          <w:color w:val="0d0d0d"/>
          <w:lang w:val="en-GB"/>
        </w:rPr>
        <w:t xml:space="preserve">. Available at: </w:t>
      </w:r>
      <w:r>
        <w:rPr/>
        <w:fldChar w:fldCharType="begin"/>
      </w:r>
      <w:r>
        <w:instrText xml:space="preserve"> HYPERLINK "https://grocerytrader.co.uk/soft-drinks-gets-healthier-consumers-are-moving-towards-low-and-no-sugar-options/" </w:instrText>
      </w:r>
      <w:r>
        <w:rPr/>
        <w:fldChar w:fldCharType="separate"/>
      </w:r>
      <w:r>
        <w:rPr>
          <w:rFonts w:eastAsia="Times New Roman"/>
          <w:color w:val="0d0d0d"/>
          <w:u w:val="single"/>
          <w:lang w:val="en-GB"/>
        </w:rPr>
        <w:t>https://grocerytrader.co.uk/soft-drinks-gets-healthier-consumers-are-moving-towards-l</w:t>
      </w:r>
      <w:r>
        <w:rPr>
          <w:rFonts w:eastAsia="Times New Roman"/>
          <w:color w:val="0d0d0d"/>
          <w:u w:val="single"/>
          <w:lang w:val="en-GB"/>
        </w:rPr>
        <w:t>ow-and-no-sugar-options/</w:t>
      </w:r>
      <w:r>
        <w:rPr/>
        <w:fldChar w:fldCharType="end"/>
      </w:r>
      <w:r>
        <w:rPr>
          <w:rFonts w:eastAsia="Times New Roman"/>
          <w:color w:val="0d0d0d"/>
          <w:lang w:val="en-GB"/>
        </w:rPr>
        <w:t xml:space="preserve"> (Accessed: August 1, 2026).</w:t>
      </w:r>
    </w:p>
    <w:p w14:paraId="AD0ECD67">
      <w:pPr>
        <w:pStyle w:val="style4098"/>
        <w:spacing w:after="240"/>
        <w:rPr>
          <w:rFonts w:eastAsia="Times New Roman"/>
          <w:color w:val="0d0d0d"/>
          <w:lang w:val="en-GB"/>
        </w:rPr>
      </w:pPr>
      <w:r>
        <w:rPr>
          <w:rFonts w:eastAsia="Times New Roman"/>
          <w:color w:val="0d0d0d"/>
          <w:lang w:val="en-GB"/>
        </w:rPr>
        <w:t xml:space="preserve">HSE (2024) </w:t>
      </w:r>
      <w:r>
        <w:rPr>
          <w:rFonts w:eastAsia="Times New Roman"/>
          <w:i/>
          <w:iCs/>
          <w:color w:val="0d0d0d"/>
          <w:lang w:val="en-GB"/>
        </w:rPr>
        <w:t>Health and Safety at Work Act 1974</w:t>
      </w:r>
      <w:r>
        <w:rPr>
          <w:rFonts w:eastAsia="Times New Roman"/>
          <w:color w:val="0d0d0d"/>
          <w:lang w:val="en-GB"/>
        </w:rPr>
        <w:t xml:space="preserve">, </w:t>
      </w:r>
      <w:r>
        <w:rPr>
          <w:rFonts w:eastAsia="Times New Roman"/>
          <w:i/>
          <w:iCs/>
          <w:color w:val="0d0d0d"/>
          <w:lang w:val="en-GB"/>
        </w:rPr>
        <w:t>Hse.gov.uk</w:t>
      </w:r>
      <w:r>
        <w:rPr>
          <w:rFonts w:eastAsia="Times New Roman"/>
          <w:color w:val="0d0d0d"/>
          <w:lang w:val="en-GB"/>
        </w:rPr>
        <w:t xml:space="preserve">. Health and Safety Executive. Available at: </w:t>
      </w:r>
      <w:r>
        <w:rPr/>
        <w:fldChar w:fldCharType="begin"/>
      </w:r>
      <w:r>
        <w:instrText xml:space="preserve"> HYPERLINK "https://www.hse.gov.uk/legislation/hswa.htm" </w:instrText>
      </w:r>
      <w:r>
        <w:rPr/>
        <w:fldChar w:fldCharType="separate"/>
      </w:r>
      <w:r>
        <w:rPr>
          <w:rFonts w:eastAsia="Times New Roman"/>
          <w:color w:val="0d0d0d"/>
          <w:u w:val="single"/>
          <w:lang w:val="en-GB"/>
        </w:rPr>
        <w:t>https://www.hse.gov.uk/legislation/hswa.</w:t>
      </w:r>
      <w:r>
        <w:rPr>
          <w:rFonts w:eastAsia="Times New Roman"/>
          <w:color w:val="0d0d0d"/>
          <w:u w:val="single"/>
          <w:lang w:val="en-GB"/>
        </w:rPr>
        <w:t>htm</w:t>
      </w:r>
      <w:r>
        <w:rPr/>
        <w:fldChar w:fldCharType="end"/>
      </w:r>
      <w:r>
        <w:rPr>
          <w:rFonts w:eastAsia="Times New Roman"/>
          <w:color w:val="0d0d0d"/>
          <w:lang w:val="en-GB"/>
        </w:rPr>
        <w:t xml:space="preserve"> (Accessed: August 1, 2026).</w:t>
      </w:r>
    </w:p>
    <w:p w14:paraId="4DCE3133">
      <w:pPr>
        <w:pStyle w:val="style4098"/>
        <w:spacing w:after="240"/>
        <w:rPr>
          <w:rFonts w:eastAsia="Times New Roman"/>
          <w:color w:val="0d0d0d"/>
          <w:lang w:val="en-GB"/>
        </w:rPr>
      </w:pPr>
      <w:r>
        <w:rPr>
          <w:rFonts w:eastAsia="Times New Roman"/>
          <w:color w:val="0d0d0d"/>
          <w:lang w:val="en-GB"/>
        </w:rPr>
        <w:t xml:space="preserve">Investors.coca-colacompany (2025) </w:t>
      </w:r>
      <w:r>
        <w:rPr>
          <w:rFonts w:eastAsia="Times New Roman"/>
          <w:i/>
          <w:iCs/>
          <w:color w:val="0d0d0d"/>
          <w:lang w:val="en-GB"/>
        </w:rPr>
        <w:t>Ko-20251231</w:t>
      </w:r>
      <w:r>
        <w:rPr>
          <w:rFonts w:eastAsia="Times New Roman"/>
          <w:color w:val="0d0d0d"/>
          <w:lang w:val="en-GB"/>
        </w:rPr>
        <w:t xml:space="preserve">, </w:t>
      </w:r>
      <w:r>
        <w:rPr>
          <w:rFonts w:eastAsia="Times New Roman"/>
          <w:i/>
          <w:iCs/>
          <w:color w:val="0d0d0d"/>
          <w:lang w:val="en-GB"/>
        </w:rPr>
        <w:t>Coca-colacompany.com</w:t>
      </w:r>
      <w:r>
        <w:rPr>
          <w:rFonts w:eastAsia="Times New Roman"/>
          <w:color w:val="0d0d0d"/>
          <w:lang w:val="en-GB"/>
        </w:rPr>
        <w:t xml:space="preserve">. Available at: </w:t>
      </w:r>
      <w:r>
        <w:rPr/>
        <w:fldChar w:fldCharType="begin"/>
      </w:r>
      <w:r>
        <w:instrText xml:space="preserve"> HYPERLINK "https://investors.coca-colacompany.com/filings-reports/annual-filings-10-k/content/0001628280-26-010047/ko-20251231.htm?utm_" </w:instrText>
      </w:r>
      <w:r>
        <w:rPr/>
        <w:fldChar w:fldCharType="separate"/>
      </w:r>
      <w:r>
        <w:rPr>
          <w:rFonts w:eastAsia="Times New Roman"/>
          <w:color w:val="0d0d0d"/>
          <w:u w:val="single"/>
          <w:lang w:val="en-GB"/>
        </w:rPr>
        <w:t>https://investors.coca-colacompany.com/filings-reports/annual-filings-10-k/content/0001628280-26-010047/ko-20251231.htm</w:t>
      </w:r>
      <w:r>
        <w:rPr/>
        <w:fldChar w:fldCharType="end"/>
      </w:r>
      <w:r>
        <w:rPr>
          <w:rFonts w:eastAsia="Times New Roman"/>
          <w:color w:val="0d0d0d"/>
          <w:lang w:val="en-GB"/>
        </w:rPr>
        <w:t xml:space="preserve"> (Accessed: August 1, 2026).</w:t>
      </w:r>
    </w:p>
    <w:p w14:paraId="B9EE95BF">
      <w:pPr>
        <w:pStyle w:val="style4098"/>
        <w:spacing w:after="240"/>
        <w:rPr>
          <w:rFonts w:eastAsia="Times New Roman"/>
          <w:color w:val="0d0d0d"/>
          <w:lang w:val="en-GB"/>
        </w:rPr>
      </w:pPr>
      <w:r>
        <w:rPr>
          <w:rFonts w:eastAsia="Times New Roman"/>
          <w:color w:val="0d0d0d"/>
          <w:lang w:val="en-GB"/>
        </w:rPr>
        <w:t xml:space="preserve">Investors.coca-colacompany (2026) </w:t>
      </w:r>
      <w:r>
        <w:rPr>
          <w:rFonts w:eastAsia="Times New Roman"/>
          <w:i/>
          <w:iCs/>
          <w:color w:val="0d0d0d"/>
          <w:lang w:val="en-GB"/>
        </w:rPr>
        <w:t>The Coca-Cola Company</w:t>
      </w:r>
      <w:r>
        <w:rPr>
          <w:rFonts w:eastAsia="Times New Roman"/>
          <w:color w:val="0d0d0d"/>
          <w:lang w:val="en-GB"/>
        </w:rPr>
        <w:t xml:space="preserve">, </w:t>
      </w:r>
      <w:r>
        <w:rPr>
          <w:rFonts w:eastAsia="Times New Roman"/>
          <w:i/>
          <w:iCs/>
          <w:color w:val="0d0d0d"/>
          <w:lang w:val="en-GB"/>
        </w:rPr>
        <w:t>The Coca-Cola Company</w:t>
      </w:r>
      <w:r>
        <w:rPr>
          <w:rFonts w:eastAsia="Times New Roman"/>
          <w:color w:val="0d0d0d"/>
          <w:lang w:val="en-GB"/>
        </w:rPr>
        <w:t xml:space="preserve">. Available at: </w:t>
      </w:r>
      <w:r>
        <w:rPr/>
        <w:fldChar w:fldCharType="begin"/>
      </w:r>
      <w:r>
        <w:instrText xml:space="preserve"> HYPERLINK "https://investors.coca-colacompany.com/news-events/press-releases/detail/1158/coca-cola-reports-first-quarter-2026-results-and-updates-full-year-guidance" </w:instrText>
      </w:r>
      <w:r>
        <w:rPr/>
        <w:fldChar w:fldCharType="separate"/>
      </w:r>
      <w:r>
        <w:rPr>
          <w:rFonts w:eastAsia="Times New Roman"/>
          <w:color w:val="0d0d0d"/>
          <w:u w:val="single"/>
          <w:lang w:val="en-GB"/>
        </w:rPr>
        <w:t>https://investors.coca-colacompany.com/news-events/press-releases/detail/1158/coca-cola-reports-fi</w:t>
      </w:r>
      <w:r>
        <w:rPr>
          <w:rFonts w:eastAsia="Times New Roman"/>
          <w:color w:val="0d0d0d"/>
          <w:u w:val="single"/>
          <w:lang w:val="en-GB"/>
        </w:rPr>
        <w:t>rst-quarter-2026-results-and-updates-full-year-guidance</w:t>
      </w:r>
      <w:r>
        <w:rPr/>
        <w:fldChar w:fldCharType="end"/>
      </w:r>
      <w:r>
        <w:rPr>
          <w:rFonts w:eastAsia="Times New Roman"/>
          <w:color w:val="0d0d0d"/>
          <w:lang w:val="en-GB"/>
        </w:rPr>
        <w:t xml:space="preserve"> (Accessed: August 1, 2026).</w:t>
      </w:r>
    </w:p>
    <w:p w14:paraId="A66433B9">
      <w:pPr>
        <w:pStyle w:val="style4098"/>
        <w:spacing w:after="240"/>
        <w:rPr>
          <w:rFonts w:eastAsia="Times New Roman"/>
          <w:color w:val="0d0d0d"/>
          <w:lang w:val="en-GB"/>
        </w:rPr>
      </w:pPr>
      <w:r>
        <w:rPr>
          <w:rFonts w:eastAsia="Times New Roman"/>
          <w:color w:val="0d0d0d"/>
          <w:lang w:val="en-GB"/>
        </w:rPr>
        <w:t xml:space="preserve">Jennifer, L. (2024) </w:t>
      </w:r>
      <w:r>
        <w:rPr>
          <w:rFonts w:eastAsia="Times New Roman"/>
          <w:i/>
          <w:iCs/>
          <w:color w:val="0d0d0d"/>
          <w:lang w:val="en-GB"/>
        </w:rPr>
        <w:t>The bottled truth: Coca-Cola’s new 2035 environmental goals face sustainability backlash</w:t>
      </w:r>
      <w:r>
        <w:rPr>
          <w:rFonts w:eastAsia="Times New Roman"/>
          <w:color w:val="0d0d0d"/>
          <w:lang w:val="en-GB"/>
        </w:rPr>
        <w:t xml:space="preserve">, </w:t>
      </w:r>
      <w:r>
        <w:rPr>
          <w:rFonts w:eastAsia="Times New Roman"/>
          <w:i/>
          <w:iCs/>
          <w:color w:val="0d0d0d"/>
          <w:lang w:val="en-GB"/>
        </w:rPr>
        <w:t>Carbon Credits</w:t>
      </w:r>
      <w:r>
        <w:rPr>
          <w:rFonts w:eastAsia="Times New Roman"/>
          <w:color w:val="0d0d0d"/>
          <w:lang w:val="en-GB"/>
        </w:rPr>
        <w:t xml:space="preserve">. Available at: </w:t>
      </w:r>
      <w:r>
        <w:rPr/>
        <w:fldChar w:fldCharType="begin"/>
      </w:r>
      <w:r>
        <w:instrText xml:space="preserve"> HYPERLINK "https://carboncredits.com/the-bottled-truth-coca-colas-new-2035-carbon-emissions-environmental-goals-face-sustainability-backlash/" </w:instrText>
      </w:r>
      <w:r>
        <w:rPr/>
        <w:fldChar w:fldCharType="separate"/>
      </w:r>
      <w:r>
        <w:rPr>
          <w:rFonts w:eastAsia="Times New Roman"/>
          <w:color w:val="0d0d0d"/>
          <w:u w:val="single"/>
          <w:lang w:val="en-GB"/>
        </w:rPr>
        <w:t>https://carboncredits.com/the-bottled-truth-coca-colas-new-2035-carbon-emissions-environmental-goals-face-sustainability-backlash/</w:t>
      </w:r>
      <w:r>
        <w:rPr/>
        <w:fldChar w:fldCharType="end"/>
      </w:r>
      <w:r>
        <w:rPr>
          <w:rFonts w:eastAsia="Times New Roman"/>
          <w:color w:val="0d0d0d"/>
          <w:lang w:val="en-GB"/>
        </w:rPr>
        <w:t xml:space="preserve"> (Accessed</w:t>
      </w:r>
      <w:r>
        <w:rPr>
          <w:rFonts w:eastAsia="Times New Roman"/>
          <w:color w:val="0d0d0d"/>
          <w:lang w:val="en-GB"/>
        </w:rPr>
        <w:t>: August 1, 2026).</w:t>
      </w:r>
    </w:p>
    <w:p w14:paraId="C1DAE0C1">
      <w:pPr>
        <w:pStyle w:val="style4098"/>
        <w:spacing w:after="240"/>
        <w:rPr>
          <w:rFonts w:eastAsia="Times New Roman"/>
          <w:color w:val="0d0d0d"/>
          <w:lang w:val="en-GB"/>
        </w:rPr>
      </w:pPr>
      <w:r>
        <w:rPr>
          <w:rFonts w:eastAsia="Times New Roman"/>
          <w:color w:val="0d0d0d"/>
          <w:lang w:val="en-GB"/>
        </w:rPr>
        <w:t xml:space="preserve">Khan, A.M., Evangelista, A. and Varua, M.E. (2023) “Evaluating the impact of marketing interventions on sugar-free and sugar-sweetened soft drink sales and sugar purchases in a fast-food restaurant setting,” </w:t>
      </w:r>
      <w:r>
        <w:rPr>
          <w:rFonts w:eastAsia="Times New Roman"/>
          <w:i/>
          <w:iCs/>
          <w:color w:val="0d0d0d"/>
          <w:lang w:val="en-GB"/>
        </w:rPr>
        <w:t>BMC Public Health</w:t>
      </w:r>
      <w:r>
        <w:rPr>
          <w:rFonts w:eastAsia="Times New Roman"/>
          <w:color w:val="0d0d0d"/>
          <w:lang w:val="en-GB"/>
        </w:rPr>
        <w:t>, 23(1). Ava</w:t>
      </w:r>
      <w:r>
        <w:rPr>
          <w:rFonts w:eastAsia="Times New Roman"/>
          <w:color w:val="0d0d0d"/>
          <w:lang w:val="en-GB"/>
        </w:rPr>
        <w:t xml:space="preserve">ilable at: </w:t>
      </w:r>
      <w:r>
        <w:rPr/>
        <w:fldChar w:fldCharType="begin"/>
      </w:r>
      <w:r>
        <w:instrText xml:space="preserve"> HYPERLINK "https://link.springer.com/content/pdf/10.1186/s12889-023-16395-z.pdf" </w:instrText>
      </w:r>
      <w:r>
        <w:rPr/>
        <w:fldChar w:fldCharType="separate"/>
      </w:r>
      <w:r>
        <w:rPr>
          <w:rFonts w:eastAsia="Times New Roman"/>
          <w:color w:val="0d0d0d"/>
          <w:u w:val="single"/>
          <w:lang w:val="en-GB"/>
        </w:rPr>
        <w:t>https://link.springer.com/content/pdf/10.1186/s12889-023-16395-z.pdf</w:t>
      </w:r>
      <w:r>
        <w:rPr/>
        <w:fldChar w:fldCharType="end"/>
      </w:r>
      <w:r>
        <w:rPr>
          <w:rFonts w:eastAsia="Times New Roman"/>
          <w:color w:val="0d0d0d"/>
          <w:lang w:val="en-GB"/>
        </w:rPr>
        <w:t xml:space="preserve"> (Accessed: August 1, 2026).</w:t>
      </w:r>
    </w:p>
    <w:p w14:paraId="68B8815E">
      <w:pPr>
        <w:pStyle w:val="style4098"/>
        <w:spacing w:after="240"/>
        <w:rPr>
          <w:rFonts w:eastAsia="Times New Roman"/>
          <w:color w:val="0d0d0d"/>
          <w:lang w:val="en-GB"/>
        </w:rPr>
      </w:pPr>
      <w:r>
        <w:rPr>
          <w:rFonts w:eastAsia="Times New Roman"/>
          <w:color w:val="0d0d0d"/>
          <w:lang w:val="en-GB"/>
        </w:rPr>
        <w:t xml:space="preserve">Kumar, S., Lim, W.M., Sureka, R., Chiappetta, J. and Bamel, U. (2023) “Balanced Scorecard: Trends, Developments, and Future Directions,” </w:t>
      </w:r>
      <w:r>
        <w:rPr>
          <w:rFonts w:eastAsia="Times New Roman"/>
          <w:i/>
          <w:iCs/>
          <w:color w:val="0d0d0d"/>
          <w:lang w:val="en-GB"/>
        </w:rPr>
        <w:t>Review of Managerial Science</w:t>
      </w:r>
      <w:r>
        <w:rPr>
          <w:rFonts w:eastAsia="Times New Roman"/>
          <w:color w:val="0d0d0d"/>
          <w:lang w:val="en-GB"/>
        </w:rPr>
        <w:t xml:space="preserve">, 18(1), pp. 2397–2439. Available at: </w:t>
      </w:r>
      <w:r>
        <w:rPr/>
        <w:fldChar w:fldCharType="begin"/>
      </w:r>
      <w:r>
        <w:instrText xml:space="preserve"> HYPERLINK "https://link.springer.com/content/pdf/10.1007/s11846-023-00700-6.pdf" </w:instrText>
      </w:r>
      <w:r>
        <w:rPr/>
        <w:fldChar w:fldCharType="separate"/>
      </w:r>
      <w:r>
        <w:rPr>
          <w:rFonts w:eastAsia="Times New Roman"/>
          <w:color w:val="0d0d0d"/>
          <w:u w:val="single"/>
          <w:lang w:val="en-GB"/>
        </w:rPr>
        <w:t>https://link.springer.com/content/pdf/10.1007/s11846-023-00700-6.pdf</w:t>
      </w:r>
      <w:r>
        <w:rPr/>
        <w:fldChar w:fldCharType="end"/>
      </w:r>
      <w:r>
        <w:rPr>
          <w:rFonts w:eastAsia="Times New Roman"/>
          <w:color w:val="0d0d0d"/>
          <w:lang w:val="en-GB"/>
        </w:rPr>
        <w:t xml:space="preserve"> (Accessed: August 1, 2026).</w:t>
      </w:r>
    </w:p>
    <w:p w14:paraId="A8A36C58">
      <w:pPr>
        <w:pStyle w:val="style4098"/>
        <w:spacing w:after="240"/>
        <w:rPr>
          <w:rFonts w:eastAsia="Times New Roman"/>
          <w:color w:val="0d0d0d"/>
          <w:lang w:val="en-GB"/>
        </w:rPr>
      </w:pPr>
      <w:r>
        <w:rPr>
          <w:rFonts w:eastAsia="Times New Roman"/>
          <w:color w:val="0d0d0d"/>
          <w:lang w:val="en-GB"/>
        </w:rPr>
        <w:t xml:space="preserve">Market Data Forecast (2026) </w:t>
      </w:r>
      <w:r>
        <w:rPr>
          <w:rFonts w:eastAsia="Times New Roman"/>
          <w:i/>
          <w:iCs/>
          <w:color w:val="0d0d0d"/>
          <w:lang w:val="en-GB"/>
        </w:rPr>
        <w:t>UK Soft Drinks Market Report</w:t>
      </w:r>
      <w:r>
        <w:rPr>
          <w:rFonts w:eastAsia="Times New Roman"/>
          <w:color w:val="0d0d0d"/>
          <w:lang w:val="en-GB"/>
        </w:rPr>
        <w:t xml:space="preserve">, </w:t>
      </w:r>
      <w:r>
        <w:rPr>
          <w:rFonts w:eastAsia="Times New Roman"/>
          <w:i/>
          <w:iCs/>
          <w:color w:val="0d0d0d"/>
          <w:lang w:val="en-GB"/>
        </w:rPr>
        <w:t>Market Data Forecast</w:t>
      </w:r>
      <w:r>
        <w:rPr>
          <w:rFonts w:eastAsia="Times New Roman"/>
          <w:color w:val="0d0d0d"/>
          <w:lang w:val="en-GB"/>
        </w:rPr>
        <w:t xml:space="preserve">. Available at: </w:t>
      </w:r>
      <w:r>
        <w:rPr/>
        <w:fldChar w:fldCharType="begin"/>
      </w:r>
      <w:r>
        <w:instrText xml:space="preserve"> HYPERLINK "https://www.marketdataforecast.com/market-reports/united-kingdom-soft-drinks-market" </w:instrText>
      </w:r>
      <w:r>
        <w:rPr/>
        <w:fldChar w:fldCharType="separate"/>
      </w:r>
      <w:r>
        <w:rPr>
          <w:rFonts w:eastAsia="Times New Roman"/>
          <w:color w:val="0d0d0d"/>
          <w:u w:val="single"/>
          <w:lang w:val="en-GB"/>
        </w:rPr>
        <w:t>https://www.marketdataforecast.com/market-reports/united-kingdom-soft-drinks-market</w:t>
      </w:r>
      <w:r>
        <w:rPr/>
        <w:fldChar w:fldCharType="end"/>
      </w:r>
      <w:r>
        <w:rPr>
          <w:rFonts w:eastAsia="Times New Roman"/>
          <w:color w:val="0d0d0d"/>
          <w:lang w:val="en-GB"/>
        </w:rPr>
        <w:t xml:space="preserve"> (Accessed: August 1, 2026).</w:t>
      </w:r>
    </w:p>
    <w:p w14:paraId="AA96AA9A">
      <w:pPr>
        <w:pStyle w:val="style4098"/>
        <w:spacing w:after="240"/>
        <w:rPr>
          <w:rFonts w:eastAsia="Times New Roman"/>
          <w:color w:val="0d0d0d"/>
          <w:lang w:val="en-GB"/>
        </w:rPr>
      </w:pPr>
      <w:r>
        <w:rPr>
          <w:rFonts w:eastAsia="Times New Roman"/>
          <w:color w:val="0d0d0d"/>
          <w:lang w:val="en-GB"/>
        </w:rPr>
        <w:t>Mohsen, B.M., Nahleh, Y.A. and Mohsen, M. (2026) “Sustainable digitalizatio</w:t>
      </w:r>
      <w:r>
        <w:rPr>
          <w:rFonts w:eastAsia="Times New Roman"/>
          <w:color w:val="0d0d0d"/>
          <w:lang w:val="en-GB"/>
        </w:rPr>
        <w:t xml:space="preserve">n of manufacturing supply chains: an integrated framework for resilience, efficiency, and circularity,” </w:t>
      </w:r>
      <w:r>
        <w:rPr>
          <w:rFonts w:eastAsia="Times New Roman"/>
          <w:i/>
          <w:iCs/>
          <w:color w:val="0d0d0d"/>
          <w:lang w:val="en-GB"/>
        </w:rPr>
        <w:t>Cleaner Logistics and Supply Chain</w:t>
      </w:r>
      <w:r>
        <w:rPr>
          <w:rFonts w:eastAsia="Times New Roman"/>
          <w:color w:val="0d0d0d"/>
          <w:lang w:val="en-GB"/>
        </w:rPr>
        <w:t xml:space="preserve">, 19, p. 100325. Available at: </w:t>
      </w:r>
      <w:r>
        <w:rPr/>
        <w:fldChar w:fldCharType="begin"/>
      </w:r>
      <w:r>
        <w:instrText xml:space="preserve"> HYPERLINK "https://www.sciencedirect.com/science/article/pii/S2772390926000302" </w:instrText>
      </w:r>
      <w:r>
        <w:rPr/>
        <w:fldChar w:fldCharType="separate"/>
      </w:r>
      <w:r>
        <w:rPr>
          <w:rFonts w:eastAsia="Times New Roman"/>
          <w:color w:val="0d0d0d"/>
          <w:u w:val="single"/>
          <w:lang w:val="en-GB"/>
        </w:rPr>
        <w:t>ht</w:t>
      </w:r>
      <w:r>
        <w:rPr>
          <w:rFonts w:eastAsia="Times New Roman"/>
          <w:color w:val="0d0d0d"/>
          <w:u w:val="single"/>
          <w:lang w:val="en-GB"/>
        </w:rPr>
        <w:t>tps://www.sciencedirect.com/science/article/pii/S2772390926000302</w:t>
      </w:r>
      <w:r>
        <w:rPr/>
        <w:fldChar w:fldCharType="end"/>
      </w:r>
      <w:r>
        <w:rPr>
          <w:rFonts w:eastAsia="Times New Roman"/>
          <w:color w:val="0d0d0d"/>
          <w:lang w:val="en-GB"/>
        </w:rPr>
        <w:t xml:space="preserve"> (Accessed: August 1, 2026).</w:t>
      </w:r>
    </w:p>
    <w:p w14:paraId="9A45C762">
      <w:pPr>
        <w:pStyle w:val="style4098"/>
        <w:spacing w:after="240"/>
        <w:rPr>
          <w:rFonts w:eastAsia="Times New Roman"/>
          <w:color w:val="0d0d0d"/>
          <w:lang w:val="en-GB"/>
        </w:rPr>
      </w:pPr>
      <w:r>
        <w:rPr>
          <w:rFonts w:eastAsia="Times New Roman"/>
          <w:color w:val="0d0d0d"/>
          <w:lang w:val="en-GB"/>
        </w:rPr>
        <w:t xml:space="preserve">Nogueira, E., Gomes, S. and Lopes, J.M. (2023) “Triple bottom line, sustainability, and economic development: What binds them together? A bibliometric approach,” </w:t>
      </w:r>
      <w:r>
        <w:rPr>
          <w:rFonts w:eastAsia="Times New Roman"/>
          <w:i/>
          <w:iCs/>
          <w:color w:val="0d0d0d"/>
          <w:lang w:val="en-GB"/>
        </w:rPr>
        <w:t>Sustainability</w:t>
      </w:r>
      <w:r>
        <w:rPr>
          <w:rFonts w:eastAsia="Times New Roman"/>
          <w:color w:val="0d0d0d"/>
          <w:lang w:val="en-GB"/>
        </w:rPr>
        <w:t xml:space="preserve">, 15(8), p. 6706. Available at: </w:t>
      </w:r>
      <w:r>
        <w:rPr/>
        <w:fldChar w:fldCharType="begin"/>
      </w:r>
      <w:r>
        <w:instrText xml:space="preserve"> HYPERLINK "https://www.mdpi.com/2071-1050/15/8/6706" </w:instrText>
      </w:r>
      <w:r>
        <w:rPr/>
        <w:fldChar w:fldCharType="separate"/>
      </w:r>
      <w:r>
        <w:rPr>
          <w:rFonts w:eastAsia="Times New Roman"/>
          <w:color w:val="0d0d0d"/>
          <w:u w:val="single"/>
          <w:lang w:val="en-GB"/>
        </w:rPr>
        <w:t>https://www.mdpi.com/2071-1050/15/8/6706</w:t>
      </w:r>
      <w:r>
        <w:rPr/>
        <w:fldChar w:fldCharType="end"/>
      </w:r>
      <w:r>
        <w:rPr>
          <w:rFonts w:eastAsia="Times New Roman"/>
          <w:color w:val="0d0d0d"/>
          <w:lang w:val="en-GB"/>
        </w:rPr>
        <w:t xml:space="preserve"> (Accessed: August 1, 2026).</w:t>
      </w:r>
    </w:p>
    <w:p w14:paraId="5AD7E988">
      <w:pPr>
        <w:pStyle w:val="style4098"/>
        <w:spacing w:after="240"/>
        <w:rPr>
          <w:rFonts w:eastAsia="Times New Roman"/>
          <w:color w:val="0d0d0d"/>
          <w:lang w:val="en-GB"/>
        </w:rPr>
      </w:pPr>
      <w:r>
        <w:rPr>
          <w:rFonts w:eastAsia="Times New Roman"/>
          <w:color w:val="0d0d0d"/>
          <w:lang w:val="en-GB"/>
        </w:rPr>
        <w:t xml:space="preserve">Nogueira, E., Gomes, S. and Lopes, J.M. (2025) “Unveiling Triple Bottom Line’s Influence on Business Performance,” </w:t>
      </w:r>
      <w:r>
        <w:rPr>
          <w:rFonts w:eastAsia="Times New Roman"/>
          <w:i/>
          <w:iCs/>
          <w:color w:val="0d0d0d"/>
          <w:lang w:val="en-GB"/>
        </w:rPr>
        <w:t>Discover Sustainability</w:t>
      </w:r>
      <w:r>
        <w:rPr>
          <w:rFonts w:eastAsia="Times New Roman"/>
          <w:color w:val="0d0d0d"/>
          <w:lang w:val="en-GB"/>
        </w:rPr>
        <w:t xml:space="preserve">, 6(1). Available at: </w:t>
      </w:r>
      <w:r>
        <w:rPr/>
        <w:fldChar w:fldCharType="begin"/>
      </w:r>
      <w:r>
        <w:instrText xml:space="preserve"> HYPERLINK "https://link.springer.com/article/10.1007/s43621-025-00804-x" </w:instrText>
      </w:r>
      <w:r>
        <w:rPr/>
        <w:fldChar w:fldCharType="separate"/>
      </w:r>
      <w:r>
        <w:rPr>
          <w:rFonts w:eastAsia="Times New Roman"/>
          <w:color w:val="0d0d0d"/>
          <w:u w:val="single"/>
          <w:lang w:val="en-GB"/>
        </w:rPr>
        <w:t>https://link.sprin</w:t>
      </w:r>
      <w:r>
        <w:rPr>
          <w:rFonts w:eastAsia="Times New Roman"/>
          <w:color w:val="0d0d0d"/>
          <w:u w:val="single"/>
          <w:lang w:val="en-GB"/>
        </w:rPr>
        <w:t>ger.com/article/10.1007/s43621-025-00804-x</w:t>
      </w:r>
      <w:r>
        <w:rPr/>
        <w:fldChar w:fldCharType="end"/>
      </w:r>
      <w:r>
        <w:rPr>
          <w:rFonts w:eastAsia="Times New Roman"/>
          <w:color w:val="0d0d0d"/>
          <w:lang w:val="en-GB"/>
        </w:rPr>
        <w:t xml:space="preserve"> (Accessed: August 1, 2026).</w:t>
      </w:r>
    </w:p>
    <w:p w14:paraId="7C7BAE92">
      <w:pPr>
        <w:pStyle w:val="style4098"/>
        <w:spacing w:after="240"/>
        <w:rPr>
          <w:rFonts w:eastAsia="Times New Roman"/>
          <w:color w:val="0d0d0d"/>
          <w:lang w:val="en-GB"/>
        </w:rPr>
      </w:pPr>
      <w:r>
        <w:rPr>
          <w:rFonts w:eastAsia="Times New Roman"/>
          <w:color w:val="0d0d0d"/>
          <w:lang w:val="en-GB"/>
        </w:rPr>
        <w:t xml:space="preserve">Okeke, I., Alabi, A., Ngochindo, A., Ofodile, N.O.C. and Ewim, N.C.P.-M. (2024) “Customer Journey Mapping Framework for SMEs: Enhancing Customer Satisfaction and Business Growth,” </w:t>
      </w:r>
      <w:r>
        <w:rPr>
          <w:rFonts w:eastAsia="Times New Roman"/>
          <w:i/>
          <w:iCs/>
          <w:color w:val="0d0d0d"/>
          <w:lang w:val="en-GB"/>
        </w:rPr>
        <w:t>World</w:t>
      </w:r>
      <w:r>
        <w:rPr>
          <w:rFonts w:eastAsia="Times New Roman"/>
          <w:i/>
          <w:iCs/>
          <w:color w:val="0d0d0d"/>
          <w:lang w:val="en-GB"/>
        </w:rPr>
        <w:t xml:space="preserve"> Journal of Advanced Research and Reviews</w:t>
      </w:r>
      <w:r>
        <w:rPr>
          <w:rFonts w:eastAsia="Times New Roman"/>
          <w:color w:val="0d0d0d"/>
          <w:lang w:val="en-GB"/>
        </w:rPr>
        <w:t xml:space="preserve">, 24(1), pp. 2004–2018. Available at: </w:t>
      </w:r>
      <w:r>
        <w:rPr/>
        <w:fldChar w:fldCharType="begin"/>
      </w:r>
      <w:r>
        <w:instrText xml:space="preserve"> HYPERLINK "https://www.researchgate.net/profile/Olufunke-Alabi/publication/389680208_Corresponding_author_Nnenna_Ijeoma_Okeke_Customer_journey_mapping_framework_for_SMES_Enhancing_customer_satisfaction_and_business_growth/links/67ccb8a6d7597000650725cc/Corresponding-author-Nnenna-Ijeoma-Okeke-Customer-journey-mapping-framework-for-SMES-Enhancing-customer-satisfaction-and-business-growth.pdf" </w:instrText>
      </w:r>
      <w:r>
        <w:rPr/>
        <w:fldChar w:fldCharType="separate"/>
      </w:r>
      <w:r>
        <w:rPr>
          <w:rFonts w:eastAsia="Times New Roman"/>
          <w:color w:val="0d0d0d"/>
          <w:u w:val="single"/>
          <w:lang w:val="en-GB"/>
        </w:rPr>
        <w:t>https://www.researchgate.net/prof</w:t>
      </w:r>
      <w:r>
        <w:rPr>
          <w:rFonts w:eastAsia="Times New Roman"/>
          <w:color w:val="0d0d0d"/>
          <w:u w:val="single"/>
          <w:lang w:val="en-GB"/>
        </w:rPr>
        <w:t>ile/Olufunke-Alabi/publication/389680208_Corresponding_author_Nnenna_Ijeoma_Okeke_Customer_journey_mapping_framework_for_SMES_Enhancing_customer_satisfaction_and_business_growth/links/67ccb8a6d7597000650725cc/Corresponding-author-Nnenna-Ijeoma-Okeke-Custom</w:t>
      </w:r>
      <w:r>
        <w:rPr>
          <w:rFonts w:eastAsia="Times New Roman"/>
          <w:color w:val="0d0d0d"/>
          <w:u w:val="single"/>
          <w:lang w:val="en-GB"/>
        </w:rPr>
        <w:t>er-journey-mapping-framework-for-SMES-Enhancing-customer-satisfaction-and-business-growth.pdf</w:t>
      </w:r>
      <w:r>
        <w:rPr/>
        <w:fldChar w:fldCharType="end"/>
      </w:r>
      <w:r>
        <w:rPr>
          <w:rFonts w:eastAsia="Times New Roman"/>
          <w:color w:val="0d0d0d"/>
          <w:lang w:val="en-GB"/>
        </w:rPr>
        <w:t xml:space="preserve"> (Accessed: August 1, 2026).</w:t>
      </w:r>
    </w:p>
    <w:p w14:paraId="4FBFC716">
      <w:pPr>
        <w:pStyle w:val="style4098"/>
        <w:spacing w:after="240"/>
        <w:rPr>
          <w:rFonts w:eastAsia="Times New Roman"/>
          <w:color w:val="0d0d0d"/>
          <w:lang w:val="en-GB"/>
        </w:rPr>
      </w:pPr>
      <w:r>
        <w:rPr>
          <w:rFonts w:eastAsia="Times New Roman"/>
          <w:color w:val="0d0d0d"/>
          <w:lang w:val="en-GB"/>
        </w:rPr>
        <w:t xml:space="preserve">ONS (2026a) </w:t>
      </w:r>
      <w:r>
        <w:rPr>
          <w:rFonts w:eastAsia="Times New Roman"/>
          <w:i/>
          <w:iCs/>
          <w:color w:val="0d0d0d"/>
          <w:lang w:val="en-GB"/>
        </w:rPr>
        <w:t>Artificial Intelligence in UK Businesses</w:t>
      </w:r>
      <w:r>
        <w:rPr>
          <w:rFonts w:eastAsia="Times New Roman"/>
          <w:color w:val="0d0d0d"/>
          <w:lang w:val="en-GB"/>
        </w:rPr>
        <w:t xml:space="preserve">, </w:t>
      </w:r>
      <w:r>
        <w:rPr>
          <w:rFonts w:eastAsia="Times New Roman"/>
          <w:i/>
          <w:iCs/>
          <w:color w:val="0d0d0d"/>
          <w:lang w:val="en-GB"/>
        </w:rPr>
        <w:t>Ons.gov.uk</w:t>
      </w:r>
      <w:r>
        <w:rPr>
          <w:rFonts w:eastAsia="Times New Roman"/>
          <w:color w:val="0d0d0d"/>
          <w:lang w:val="en-GB"/>
        </w:rPr>
        <w:t xml:space="preserve">. Office for National Statistics. Available at: </w:t>
      </w:r>
      <w:r>
        <w:rPr/>
        <w:fldChar w:fldCharType="begin"/>
      </w:r>
      <w:r>
        <w:instrText xml:space="preserve"> HYPERLINK "https://www.ons.gov.uk/businessindustryandtrade/business/businessservices/articles/artificialintelligenceinukbusinesses/2023to2026" </w:instrText>
      </w:r>
      <w:r>
        <w:rPr/>
        <w:fldChar w:fldCharType="separate"/>
      </w:r>
      <w:r>
        <w:rPr>
          <w:rFonts w:eastAsia="Times New Roman"/>
          <w:color w:val="0d0d0d"/>
          <w:u w:val="single"/>
          <w:lang w:val="en-GB"/>
        </w:rPr>
        <w:t>https://www.ons.gov.uk/businessindustryandtrade/business/businessservices/articles/artificialintelligenceinukbusinesses/2023to2026</w:t>
      </w:r>
      <w:r>
        <w:rPr/>
        <w:fldChar w:fldCharType="end"/>
      </w:r>
      <w:r>
        <w:rPr>
          <w:rFonts w:eastAsia="Times New Roman"/>
          <w:color w:val="0d0d0d"/>
          <w:lang w:val="en-GB"/>
        </w:rPr>
        <w:t xml:space="preserve"> (Accessed: August 1, 2026).</w:t>
      </w:r>
    </w:p>
    <w:p w14:paraId="E20336C7">
      <w:pPr>
        <w:pStyle w:val="style4098"/>
        <w:spacing w:after="240"/>
        <w:rPr>
          <w:rFonts w:eastAsia="Times New Roman"/>
          <w:color w:val="0d0d0d"/>
          <w:lang w:val="en-GB"/>
        </w:rPr>
      </w:pPr>
      <w:r>
        <w:rPr>
          <w:rFonts w:eastAsia="Times New Roman"/>
          <w:color w:val="0d0d0d"/>
          <w:lang w:val="en-GB"/>
        </w:rPr>
        <w:t xml:space="preserve">ONS (2026b) </w:t>
      </w:r>
      <w:r>
        <w:rPr>
          <w:rFonts w:eastAsia="Times New Roman"/>
          <w:i/>
          <w:iCs/>
          <w:color w:val="0d0d0d"/>
          <w:lang w:val="en-GB"/>
        </w:rPr>
        <w:t>Consumer Price Inflation, UK</w:t>
      </w:r>
      <w:r>
        <w:rPr>
          <w:rFonts w:eastAsia="Times New Roman"/>
          <w:color w:val="0d0d0d"/>
          <w:lang w:val="en-GB"/>
        </w:rPr>
        <w:t xml:space="preserve">, </w:t>
      </w:r>
      <w:r>
        <w:rPr>
          <w:rFonts w:eastAsia="Times New Roman"/>
          <w:i/>
          <w:iCs/>
          <w:color w:val="0d0d0d"/>
          <w:lang w:val="en-GB"/>
        </w:rPr>
        <w:t>Ons.gov.uk</w:t>
      </w:r>
      <w:r>
        <w:rPr>
          <w:rFonts w:eastAsia="Times New Roman"/>
          <w:color w:val="0d0d0d"/>
          <w:lang w:val="en-GB"/>
        </w:rPr>
        <w:t xml:space="preserve">. Office for National Statistics. Available at: </w:t>
      </w:r>
      <w:r>
        <w:rPr/>
        <w:fldChar w:fldCharType="begin"/>
      </w:r>
      <w:r>
        <w:instrText xml:space="preserve"> HYPERLINK "https://www.ons.gov.uk/economy/inflationandpriceindices/bulletins/consumerpriceinflation/april2026" </w:instrText>
      </w:r>
      <w:r>
        <w:rPr/>
        <w:fldChar w:fldCharType="separate"/>
      </w:r>
      <w:r>
        <w:rPr>
          <w:rFonts w:eastAsia="Times New Roman"/>
          <w:color w:val="0d0d0d"/>
          <w:u w:val="single"/>
          <w:lang w:val="en-GB"/>
        </w:rPr>
        <w:t>https://www</w:t>
      </w:r>
      <w:r>
        <w:rPr>
          <w:rFonts w:eastAsia="Times New Roman"/>
          <w:color w:val="0d0d0d"/>
          <w:u w:val="single"/>
          <w:lang w:val="en-GB"/>
        </w:rPr>
        <w:t>.ons.gov.uk/economy/inflationandpriceindices/bulletins/consumerpriceinflation/april2026</w:t>
      </w:r>
      <w:r>
        <w:rPr/>
        <w:fldChar w:fldCharType="end"/>
      </w:r>
      <w:r>
        <w:rPr>
          <w:rFonts w:eastAsia="Times New Roman"/>
          <w:color w:val="0d0d0d"/>
          <w:lang w:val="en-GB"/>
        </w:rPr>
        <w:t xml:space="preserve"> (Accessed: August 1, 2026).</w:t>
      </w:r>
    </w:p>
    <w:p w14:paraId="0C205DC9">
      <w:pPr>
        <w:pStyle w:val="style4098"/>
        <w:spacing w:after="240"/>
        <w:rPr>
          <w:rFonts w:eastAsia="Times New Roman"/>
          <w:color w:val="0d0d0d"/>
          <w:lang w:val="en-GB"/>
        </w:rPr>
      </w:pPr>
      <w:r>
        <w:rPr>
          <w:rFonts w:eastAsia="Times New Roman"/>
          <w:color w:val="0d0d0d"/>
          <w:lang w:val="en-GB"/>
        </w:rPr>
        <w:t>Purcărea, T., Ioan-Franc, V., Ionescu, Ş.-A., Purcărea, I.M., Purcărea, V.L., Purcărea, I., Mateescu-Soare, M.C., Platon, O.-E. and Orzan, A</w:t>
      </w:r>
      <w:r>
        <w:rPr>
          <w:rFonts w:eastAsia="Times New Roman"/>
          <w:color w:val="0d0d0d"/>
          <w:lang w:val="en-GB"/>
        </w:rPr>
        <w:t xml:space="preserve">.-O. (2022) “Major Shifts in Sustainable Consumer Behavior in Romania and Retailers’ Priorities in Agilely Adapting to It,” </w:t>
      </w:r>
      <w:r>
        <w:rPr>
          <w:rFonts w:eastAsia="Times New Roman"/>
          <w:i/>
          <w:iCs/>
          <w:color w:val="0d0d0d"/>
          <w:lang w:val="en-GB"/>
        </w:rPr>
        <w:t>Sustainability</w:t>
      </w:r>
      <w:r>
        <w:rPr>
          <w:rFonts w:eastAsia="Times New Roman"/>
          <w:color w:val="0d0d0d"/>
          <w:lang w:val="en-GB"/>
        </w:rPr>
        <w:t xml:space="preserve">, 14(3), p. 1627. Available at: </w:t>
      </w:r>
      <w:r>
        <w:rPr/>
        <w:fldChar w:fldCharType="begin"/>
      </w:r>
      <w:r>
        <w:instrText xml:space="preserve"> HYPERLINK "https://www.mdpi.com/2071-1050/14/3/1627" </w:instrText>
      </w:r>
      <w:r>
        <w:rPr/>
        <w:fldChar w:fldCharType="separate"/>
      </w:r>
      <w:r>
        <w:rPr>
          <w:rFonts w:eastAsia="Times New Roman"/>
          <w:color w:val="0d0d0d"/>
          <w:u w:val="single"/>
          <w:lang w:val="en-GB"/>
        </w:rPr>
        <w:t>https://www.mdpi.com/2071-10</w:t>
      </w:r>
      <w:r>
        <w:rPr>
          <w:rFonts w:eastAsia="Times New Roman"/>
          <w:color w:val="0d0d0d"/>
          <w:u w:val="single"/>
          <w:lang w:val="en-GB"/>
        </w:rPr>
        <w:t>50/14/3/1627</w:t>
      </w:r>
      <w:r>
        <w:rPr/>
        <w:fldChar w:fldCharType="end"/>
      </w:r>
      <w:r>
        <w:rPr>
          <w:rFonts w:eastAsia="Times New Roman"/>
          <w:color w:val="0d0d0d"/>
          <w:lang w:val="en-GB"/>
        </w:rPr>
        <w:t xml:space="preserve"> (Accessed: August 1, 2026).</w:t>
      </w:r>
    </w:p>
    <w:p w14:paraId="6E812544">
      <w:pPr>
        <w:pStyle w:val="style4098"/>
        <w:spacing w:after="240"/>
        <w:rPr>
          <w:rFonts w:eastAsia="Times New Roman"/>
          <w:color w:val="0d0d0d"/>
          <w:lang w:val="en-GB"/>
        </w:rPr>
      </w:pPr>
      <w:r>
        <w:rPr>
          <w:rFonts w:eastAsia="Times New Roman"/>
          <w:color w:val="0d0d0d"/>
          <w:lang w:val="en-GB"/>
        </w:rPr>
        <w:t xml:space="preserve">Recycleinme (2026) </w:t>
      </w:r>
      <w:r>
        <w:rPr>
          <w:rFonts w:eastAsia="Times New Roman"/>
          <w:i/>
          <w:iCs/>
          <w:color w:val="0d0d0d"/>
          <w:lang w:val="en-GB"/>
        </w:rPr>
        <w:t>Global aluminium price surge drives scrap market volatility</w:t>
      </w:r>
      <w:r>
        <w:rPr>
          <w:rFonts w:eastAsia="Times New Roman"/>
          <w:color w:val="0d0d0d"/>
          <w:lang w:val="en-GB"/>
        </w:rPr>
        <w:t xml:space="preserve">, </w:t>
      </w:r>
      <w:r>
        <w:rPr>
          <w:rFonts w:eastAsia="Times New Roman"/>
          <w:i/>
          <w:iCs/>
          <w:color w:val="0d0d0d"/>
          <w:lang w:val="en-GB"/>
        </w:rPr>
        <w:t>RecycleInMe</w:t>
      </w:r>
      <w:r>
        <w:rPr>
          <w:rFonts w:eastAsia="Times New Roman"/>
          <w:color w:val="0d0d0d"/>
          <w:lang w:val="en-GB"/>
        </w:rPr>
        <w:t xml:space="preserve">. Available at: </w:t>
      </w:r>
      <w:r>
        <w:rPr/>
        <w:fldChar w:fldCharType="begin"/>
      </w:r>
      <w:r>
        <w:instrText xml:space="preserve"> HYPERLINK "https://www.recycleinme.com/scrap-news/newsdetails-970" </w:instrText>
      </w:r>
      <w:r>
        <w:rPr/>
        <w:fldChar w:fldCharType="separate"/>
      </w:r>
      <w:r>
        <w:rPr>
          <w:rFonts w:eastAsia="Times New Roman"/>
          <w:color w:val="0d0d0d"/>
          <w:u w:val="single"/>
          <w:lang w:val="en-GB"/>
        </w:rPr>
        <w:t>https://www.recycleinme.com/scrap-ne</w:t>
      </w:r>
      <w:r>
        <w:rPr>
          <w:rFonts w:eastAsia="Times New Roman"/>
          <w:color w:val="0d0d0d"/>
          <w:u w:val="single"/>
          <w:lang w:val="en-GB"/>
        </w:rPr>
        <w:t>ws/newsdetails-970</w:t>
      </w:r>
      <w:r>
        <w:rPr/>
        <w:fldChar w:fldCharType="end"/>
      </w:r>
      <w:r>
        <w:rPr>
          <w:rFonts w:eastAsia="Times New Roman"/>
          <w:color w:val="0d0d0d"/>
          <w:lang w:val="en-GB"/>
        </w:rPr>
        <w:t xml:space="preserve"> (Accessed: August 1, 2026).</w:t>
      </w:r>
    </w:p>
    <w:p w14:paraId="74E69C67">
      <w:pPr>
        <w:pStyle w:val="style4098"/>
        <w:spacing w:after="240"/>
        <w:rPr>
          <w:rFonts w:eastAsia="Times New Roman"/>
          <w:color w:val="0d0d0d"/>
          <w:lang w:val="en-GB"/>
        </w:rPr>
      </w:pPr>
      <w:r>
        <w:rPr>
          <w:rFonts w:eastAsia="Times New Roman"/>
          <w:color w:val="0d0d0d"/>
          <w:lang w:val="en-GB"/>
        </w:rPr>
        <w:t xml:space="preserve">Salhab, H., Zoubi, M., Khrais, L.T., Estaitia, H., Harb, L., Al Huniti, A. and Morshed, A. (2025) “Ai-driven Sustainable Marketing in Gulf Cooperation Council Retail: Advancing SDGs Through Smart Channels,” </w:t>
      </w:r>
      <w:r>
        <w:rPr>
          <w:rFonts w:eastAsia="Times New Roman"/>
          <w:i/>
          <w:iCs/>
          <w:color w:val="0d0d0d"/>
          <w:lang w:val="en-GB"/>
        </w:rPr>
        <w:t>Ad</w:t>
      </w:r>
      <w:r>
        <w:rPr>
          <w:rFonts w:eastAsia="Times New Roman"/>
          <w:i/>
          <w:iCs/>
          <w:color w:val="0d0d0d"/>
          <w:lang w:val="en-GB"/>
        </w:rPr>
        <w:t>ministrative Sciences</w:t>
      </w:r>
      <w:r>
        <w:rPr>
          <w:rFonts w:eastAsia="Times New Roman"/>
          <w:color w:val="0d0d0d"/>
          <w:lang w:val="en-GB"/>
        </w:rPr>
        <w:t xml:space="preserve">, 15(1), pp. 20–20. Available at: </w:t>
      </w:r>
      <w:r>
        <w:rPr/>
        <w:fldChar w:fldCharType="begin"/>
      </w:r>
      <w:r>
        <w:instrText xml:space="preserve"> HYPERLINK "https://www.mdpi.com/2076-3387/15/1/20" </w:instrText>
      </w:r>
      <w:r>
        <w:rPr/>
        <w:fldChar w:fldCharType="separate"/>
      </w:r>
      <w:r>
        <w:rPr>
          <w:rFonts w:eastAsia="Times New Roman"/>
          <w:color w:val="0d0d0d"/>
          <w:u w:val="single"/>
          <w:lang w:val="en-GB"/>
        </w:rPr>
        <w:t>https://www.mdpi.com/2076-3387/15/1/20</w:t>
      </w:r>
      <w:r>
        <w:rPr/>
        <w:fldChar w:fldCharType="end"/>
      </w:r>
      <w:r>
        <w:rPr>
          <w:rFonts w:eastAsia="Times New Roman"/>
          <w:color w:val="0d0d0d"/>
          <w:lang w:val="en-GB"/>
        </w:rPr>
        <w:t xml:space="preserve"> (Accessed: August 1, 2026).</w:t>
      </w:r>
    </w:p>
    <w:p w14:paraId="CC369C2D">
      <w:pPr>
        <w:pStyle w:val="style4098"/>
        <w:spacing w:after="240"/>
        <w:rPr>
          <w:rFonts w:eastAsia="Times New Roman"/>
          <w:color w:val="0d0d0d"/>
          <w:lang w:val="en-GB"/>
        </w:rPr>
      </w:pPr>
      <w:r>
        <w:rPr>
          <w:rFonts w:eastAsia="Times New Roman"/>
          <w:color w:val="0d0d0d"/>
          <w:lang w:val="en-GB"/>
        </w:rPr>
        <w:t xml:space="preserve">Selwood, D. (2026) </w:t>
      </w:r>
      <w:r>
        <w:rPr>
          <w:rFonts w:eastAsia="Times New Roman"/>
          <w:i/>
          <w:iCs/>
          <w:color w:val="0d0d0d"/>
          <w:lang w:val="en-GB"/>
        </w:rPr>
        <w:t>Coke Zero to be replaced with Coca-Cola Zero Sugar</w:t>
      </w:r>
      <w:r>
        <w:rPr>
          <w:rFonts w:eastAsia="Times New Roman"/>
          <w:color w:val="0d0d0d"/>
          <w:lang w:val="en-GB"/>
        </w:rPr>
        <w:t xml:space="preserve">, </w:t>
      </w:r>
      <w:r>
        <w:rPr>
          <w:rFonts w:eastAsia="Times New Roman"/>
          <w:i/>
          <w:iCs/>
          <w:color w:val="0d0d0d"/>
          <w:lang w:val="en-GB"/>
        </w:rPr>
        <w:t>The Gro</w:t>
      </w:r>
      <w:r>
        <w:rPr>
          <w:rFonts w:eastAsia="Times New Roman"/>
          <w:i/>
          <w:iCs/>
          <w:color w:val="0d0d0d"/>
          <w:lang w:val="en-GB"/>
        </w:rPr>
        <w:t>cer</w:t>
      </w:r>
      <w:r>
        <w:rPr>
          <w:rFonts w:eastAsia="Times New Roman"/>
          <w:color w:val="0d0d0d"/>
          <w:lang w:val="en-GB"/>
        </w:rPr>
        <w:t xml:space="preserve">. Available at: </w:t>
      </w:r>
      <w:r>
        <w:rPr/>
        <w:fldChar w:fldCharType="begin"/>
      </w:r>
      <w:r>
        <w:instrText xml:space="preserve"> HYPERLINK "https://www.thegrocer.co.uk/news/coke-zero-to-be-replaced-with-coca-cola-zero-sugar/534797.article" </w:instrText>
      </w:r>
      <w:r>
        <w:rPr/>
        <w:fldChar w:fldCharType="separate"/>
      </w:r>
      <w:r>
        <w:rPr>
          <w:rFonts w:eastAsia="Times New Roman"/>
          <w:color w:val="0d0d0d"/>
          <w:u w:val="single"/>
          <w:lang w:val="en-GB"/>
        </w:rPr>
        <w:t>https://www.thegrocer.co.uk/news/coke-zero-to-be-replaced-with-coca-cola-zero-sugar/534797.article</w:t>
      </w:r>
      <w:r>
        <w:rPr/>
        <w:fldChar w:fldCharType="end"/>
      </w:r>
      <w:r>
        <w:rPr>
          <w:rFonts w:eastAsia="Times New Roman"/>
          <w:color w:val="0d0d0d"/>
          <w:lang w:val="en-GB"/>
        </w:rPr>
        <w:t xml:space="preserve"> (Accessed: August 1, 2026).</w:t>
      </w:r>
    </w:p>
    <w:p w14:paraId="B879D43D">
      <w:pPr>
        <w:pStyle w:val="style4098"/>
        <w:spacing w:after="240"/>
        <w:rPr>
          <w:rFonts w:eastAsia="Times New Roman"/>
          <w:color w:val="0d0d0d"/>
          <w:lang w:val="en-GB"/>
        </w:rPr>
      </w:pPr>
      <w:r>
        <w:rPr>
          <w:rFonts w:eastAsia="Times New Roman"/>
          <w:color w:val="0d0d0d"/>
          <w:lang w:val="en-GB"/>
        </w:rPr>
        <w:t xml:space="preserve">Statista (2025) </w:t>
      </w:r>
      <w:r>
        <w:rPr>
          <w:rFonts w:eastAsia="Times New Roman"/>
          <w:i/>
          <w:iCs/>
          <w:color w:val="0d0d0d"/>
          <w:lang w:val="en-GB"/>
        </w:rPr>
        <w:t>Coca-Cola revenue 2025| Statista</w:t>
      </w:r>
      <w:r>
        <w:rPr>
          <w:rFonts w:eastAsia="Times New Roman"/>
          <w:color w:val="0d0d0d"/>
          <w:lang w:val="en-GB"/>
        </w:rPr>
        <w:t xml:space="preserve">, </w:t>
      </w:r>
      <w:r>
        <w:rPr>
          <w:rFonts w:eastAsia="Times New Roman"/>
          <w:i/>
          <w:iCs/>
          <w:color w:val="0d0d0d"/>
          <w:lang w:val="en-GB"/>
        </w:rPr>
        <w:t>Statista</w:t>
      </w:r>
      <w:r>
        <w:rPr>
          <w:rFonts w:eastAsia="Times New Roman"/>
          <w:color w:val="0d0d0d"/>
          <w:lang w:val="en-GB"/>
        </w:rPr>
        <w:t xml:space="preserve">. Available at: </w:t>
      </w:r>
      <w:r>
        <w:rPr/>
        <w:fldChar w:fldCharType="begin"/>
      </w:r>
      <w:r>
        <w:instrText xml:space="preserve"> HYPERLINK "https://www.statista.com/statistics/233371/net-operating-revenues-of-the-coca-cola-company-worldwide/?srsltid=AfmBOop283c4LAsDHznOjaRRyvgoQenorytNg8ZjjtYQHvkTgCrnos07" </w:instrText>
      </w:r>
      <w:r>
        <w:rPr/>
        <w:fldChar w:fldCharType="separate"/>
      </w:r>
      <w:r>
        <w:rPr>
          <w:rFonts w:eastAsia="Times New Roman"/>
          <w:color w:val="0d0d0d"/>
          <w:u w:val="single"/>
          <w:lang w:val="en-GB"/>
        </w:rPr>
        <w:t>https://www.statista.com/statistics/233371/net-operating-revenues-of-the-coca-cola-company-worldwide/?srsltid=AfmBOop283c4LAsDHznOjaRRyvgoQenorytNg8ZjjtYQHvkTgCrnos07</w:t>
      </w:r>
      <w:r>
        <w:rPr/>
        <w:fldChar w:fldCharType="end"/>
      </w:r>
      <w:r>
        <w:rPr>
          <w:rFonts w:eastAsia="Times New Roman"/>
          <w:color w:val="0d0d0d"/>
          <w:lang w:val="en-GB"/>
        </w:rPr>
        <w:t xml:space="preserve"> (Accessed: August 1, 2026).</w:t>
      </w:r>
    </w:p>
    <w:p w14:paraId="60EC5C14">
      <w:pPr>
        <w:pStyle w:val="style4098"/>
        <w:spacing w:after="240"/>
        <w:rPr>
          <w:rFonts w:eastAsia="Times New Roman"/>
          <w:color w:val="0d0d0d"/>
          <w:lang w:val="en-GB"/>
        </w:rPr>
      </w:pPr>
      <w:r>
        <w:rPr>
          <w:rFonts w:eastAsia="Times New Roman"/>
          <w:color w:val="0d0d0d"/>
          <w:lang w:val="en-GB"/>
        </w:rPr>
        <w:t xml:space="preserve">The Coca-Cola Company (2025a) </w:t>
      </w:r>
      <w:r>
        <w:rPr>
          <w:rFonts w:eastAsia="Times New Roman"/>
          <w:i/>
          <w:iCs/>
          <w:color w:val="0d0d0d"/>
          <w:lang w:val="en-GB"/>
        </w:rPr>
        <w:t>Purpose &amp; Company Vision</w:t>
      </w:r>
      <w:r>
        <w:rPr>
          <w:rFonts w:eastAsia="Times New Roman"/>
          <w:color w:val="0d0d0d"/>
          <w:lang w:val="en-GB"/>
        </w:rPr>
        <w:t xml:space="preserve">, </w:t>
      </w:r>
      <w:r>
        <w:rPr>
          <w:rFonts w:eastAsia="Times New Roman"/>
          <w:i/>
          <w:iCs/>
          <w:color w:val="0d0d0d"/>
          <w:lang w:val="en-GB"/>
        </w:rPr>
        <w:t>The Coca-Cola Company</w:t>
      </w:r>
      <w:r>
        <w:rPr>
          <w:rFonts w:eastAsia="Times New Roman"/>
          <w:color w:val="0d0d0d"/>
          <w:lang w:val="en-GB"/>
        </w:rPr>
        <w:t xml:space="preserve">. Available at: </w:t>
      </w:r>
      <w:r>
        <w:rPr/>
        <w:fldChar w:fldCharType="begin"/>
      </w:r>
      <w:r>
        <w:instrText xml:space="preserve"> HYPERLINK "https://www.coca-colacompany.com/about-us/purpose-and-vision" </w:instrText>
      </w:r>
      <w:r>
        <w:rPr/>
        <w:fldChar w:fldCharType="separate"/>
      </w:r>
      <w:r>
        <w:rPr>
          <w:rFonts w:eastAsia="Times New Roman"/>
          <w:color w:val="0d0d0d"/>
          <w:u w:val="single"/>
          <w:lang w:val="en-GB"/>
        </w:rPr>
        <w:t>https://www.coca-colacompany.com/about-us/purpose-and-vision</w:t>
      </w:r>
      <w:r>
        <w:rPr/>
        <w:fldChar w:fldCharType="end"/>
      </w:r>
      <w:r>
        <w:rPr>
          <w:rFonts w:eastAsia="Times New Roman"/>
          <w:color w:val="0d0d0d"/>
          <w:lang w:val="en-GB"/>
        </w:rPr>
        <w:t xml:space="preserve"> (Accessed: August 1, 2026).</w:t>
      </w:r>
    </w:p>
    <w:p w14:paraId="536DB855">
      <w:pPr>
        <w:pStyle w:val="style4098"/>
        <w:spacing w:after="240"/>
        <w:rPr>
          <w:rFonts w:eastAsia="Times New Roman"/>
          <w:color w:val="0d0d0d"/>
          <w:lang w:val="en-GB"/>
        </w:rPr>
      </w:pPr>
      <w:r>
        <w:rPr>
          <w:rFonts w:eastAsia="Times New Roman"/>
          <w:color w:val="0d0d0d"/>
          <w:lang w:val="en-GB"/>
        </w:rPr>
        <w:t>The Coca-Cola Company (202</w:t>
      </w:r>
      <w:r>
        <w:rPr>
          <w:rFonts w:eastAsia="Times New Roman"/>
          <w:color w:val="0d0d0d"/>
          <w:lang w:val="en-GB"/>
        </w:rPr>
        <w:t xml:space="preserve">5b) </w:t>
      </w:r>
      <w:r>
        <w:rPr>
          <w:rFonts w:eastAsia="Times New Roman"/>
          <w:i/>
          <w:iCs/>
          <w:color w:val="0d0d0d"/>
          <w:lang w:val="en-GB"/>
        </w:rPr>
        <w:t>The Coca-Cola system</w:t>
      </w:r>
      <w:r>
        <w:rPr>
          <w:rFonts w:eastAsia="Times New Roman"/>
          <w:color w:val="0d0d0d"/>
          <w:lang w:val="en-GB"/>
        </w:rPr>
        <w:t xml:space="preserve">, </w:t>
      </w:r>
      <w:r>
        <w:rPr>
          <w:rFonts w:eastAsia="Times New Roman"/>
          <w:i/>
          <w:iCs/>
          <w:color w:val="0d0d0d"/>
          <w:lang w:val="en-GB"/>
        </w:rPr>
        <w:t>www.coca-colacompany.com</w:t>
      </w:r>
      <w:r>
        <w:rPr>
          <w:rFonts w:eastAsia="Times New Roman"/>
          <w:color w:val="0d0d0d"/>
          <w:lang w:val="en-GB"/>
        </w:rPr>
        <w:t xml:space="preserve">. Available at: </w:t>
      </w:r>
      <w:r>
        <w:rPr/>
        <w:fldChar w:fldCharType="begin"/>
      </w:r>
      <w:r>
        <w:instrText xml:space="preserve"> HYPERLINK "https://www.coca-colacompany.com/about-us/coca-cola-system" </w:instrText>
      </w:r>
      <w:r>
        <w:rPr/>
        <w:fldChar w:fldCharType="separate"/>
      </w:r>
      <w:r>
        <w:rPr>
          <w:rFonts w:eastAsia="Times New Roman"/>
          <w:color w:val="0d0d0d"/>
          <w:u w:val="single"/>
          <w:lang w:val="en-GB"/>
        </w:rPr>
        <w:t>https://www.coca-colacompany.com/about-us/coca-cola-system</w:t>
      </w:r>
      <w:r>
        <w:rPr/>
        <w:fldChar w:fldCharType="end"/>
      </w:r>
      <w:r>
        <w:rPr>
          <w:rFonts w:eastAsia="Times New Roman"/>
          <w:color w:val="0d0d0d"/>
          <w:lang w:val="en-GB"/>
        </w:rPr>
        <w:t xml:space="preserve"> (Accessed: August 1, 2026).</w:t>
      </w:r>
    </w:p>
    <w:p w14:paraId="3A3A6835">
      <w:pPr>
        <w:pStyle w:val="style4098"/>
        <w:spacing w:after="240"/>
        <w:rPr>
          <w:rFonts w:eastAsia="Times New Roman"/>
          <w:color w:val="0d0d0d"/>
          <w:lang w:val="en-GB"/>
        </w:rPr>
      </w:pPr>
      <w:r>
        <w:rPr>
          <w:rFonts w:eastAsia="Times New Roman"/>
          <w:color w:val="0d0d0d"/>
          <w:lang w:val="en-GB"/>
        </w:rPr>
        <w:t xml:space="preserve">The Grocer (2024) </w:t>
      </w:r>
      <w:r>
        <w:rPr>
          <w:rFonts w:eastAsia="Times New Roman"/>
          <w:i/>
          <w:iCs/>
          <w:color w:val="0d0d0d"/>
          <w:lang w:val="en-GB"/>
        </w:rPr>
        <w:t>Britain’s</w:t>
      </w:r>
      <w:r>
        <w:rPr>
          <w:rFonts w:eastAsia="Times New Roman"/>
          <w:i/>
          <w:iCs/>
          <w:color w:val="0d0d0d"/>
          <w:lang w:val="en-GB"/>
        </w:rPr>
        <w:t xml:space="preserve"> Biggest Brands 2024: The top 100</w:t>
      </w:r>
      <w:r>
        <w:rPr>
          <w:rFonts w:eastAsia="Times New Roman"/>
          <w:color w:val="0d0d0d"/>
          <w:lang w:val="en-GB"/>
        </w:rPr>
        <w:t xml:space="preserve">, </w:t>
      </w:r>
      <w:r>
        <w:rPr>
          <w:rFonts w:eastAsia="Times New Roman"/>
          <w:i/>
          <w:iCs/>
          <w:color w:val="0d0d0d"/>
          <w:lang w:val="en-GB"/>
        </w:rPr>
        <w:t>The Grocer</w:t>
      </w:r>
      <w:r>
        <w:rPr>
          <w:rFonts w:eastAsia="Times New Roman"/>
          <w:color w:val="0d0d0d"/>
          <w:lang w:val="en-GB"/>
        </w:rPr>
        <w:t xml:space="preserve">. Available at: </w:t>
      </w:r>
      <w:r>
        <w:rPr/>
        <w:fldChar w:fldCharType="begin"/>
      </w:r>
      <w:r>
        <w:instrText xml:space="preserve"> HYPERLINK "https://www.thegrocer.co.uk/rankings/britains-biggest-brands-2024-the-top-100/689555.article" </w:instrText>
      </w:r>
      <w:r>
        <w:rPr/>
        <w:fldChar w:fldCharType="separate"/>
      </w:r>
      <w:r>
        <w:rPr>
          <w:rFonts w:eastAsia="Times New Roman"/>
          <w:color w:val="0d0d0d"/>
          <w:u w:val="single"/>
          <w:lang w:val="en-GB"/>
        </w:rPr>
        <w:t>https://www.thegrocer.co.uk/rankings/britains-biggest-brands-2024-the-top-100/689555.</w:t>
      </w:r>
      <w:r>
        <w:rPr>
          <w:rFonts w:eastAsia="Times New Roman"/>
          <w:color w:val="0d0d0d"/>
          <w:u w:val="single"/>
          <w:lang w:val="en-GB"/>
        </w:rPr>
        <w:t>article</w:t>
      </w:r>
      <w:r>
        <w:rPr/>
        <w:fldChar w:fldCharType="end"/>
      </w:r>
      <w:r>
        <w:rPr>
          <w:rFonts w:eastAsia="Times New Roman"/>
          <w:color w:val="0d0d0d"/>
          <w:lang w:val="en-GB"/>
        </w:rPr>
        <w:t xml:space="preserve"> (Accessed: August 1, 2026).</w:t>
      </w:r>
    </w:p>
    <w:p w14:paraId="59E12661">
      <w:pPr>
        <w:pStyle w:val="style4098"/>
        <w:spacing w:after="240"/>
        <w:rPr>
          <w:rFonts w:eastAsia="Times New Roman"/>
          <w:color w:val="0d0d0d"/>
          <w:lang w:val="en-GB"/>
        </w:rPr>
      </w:pPr>
      <w:r>
        <w:rPr>
          <w:rFonts w:eastAsia="Times New Roman"/>
          <w:color w:val="0d0d0d"/>
          <w:lang w:val="en-GB"/>
        </w:rPr>
        <w:t xml:space="preserve">UNCTAD (2026) “Top trends redefining global trade in 2026 Global trade update J A N U A R Y 2 0 2 6,” in. Available at: </w:t>
      </w:r>
      <w:r>
        <w:rPr/>
        <w:fldChar w:fldCharType="begin"/>
      </w:r>
      <w:r>
        <w:instrText xml:space="preserve"> HYPERLINK "https://unctad.org/system/files/official-document/ditcinf2025d11_en.pdf" </w:instrText>
      </w:r>
      <w:r>
        <w:rPr/>
        <w:fldChar w:fldCharType="separate"/>
      </w:r>
      <w:r>
        <w:rPr>
          <w:rFonts w:eastAsia="Times New Roman"/>
          <w:color w:val="0d0d0d"/>
          <w:u w:val="single"/>
          <w:lang w:val="en-GB"/>
        </w:rPr>
        <w:t>https://unc</w:t>
      </w:r>
      <w:r>
        <w:rPr>
          <w:rFonts w:eastAsia="Times New Roman"/>
          <w:color w:val="0d0d0d"/>
          <w:u w:val="single"/>
          <w:lang w:val="en-GB"/>
        </w:rPr>
        <w:t>tad.org/system/files/official-document/ditcinf2025d11_en.pdf</w:t>
      </w:r>
      <w:r>
        <w:rPr/>
        <w:fldChar w:fldCharType="end"/>
      </w:r>
      <w:r>
        <w:rPr>
          <w:rFonts w:eastAsia="Times New Roman"/>
          <w:color w:val="0d0d0d"/>
          <w:lang w:val="en-GB"/>
        </w:rPr>
        <w:t xml:space="preserve"> (Accessed: August 1, 2026).</w:t>
      </w:r>
    </w:p>
    <w:p w14:paraId="308DC4CB">
      <w:pPr>
        <w:pStyle w:val="style4098"/>
        <w:spacing w:after="240"/>
        <w:rPr>
          <w:rFonts w:eastAsia="Times New Roman"/>
          <w:color w:val="0d0d0d"/>
          <w:lang w:val="en-GB"/>
        </w:rPr>
      </w:pPr>
      <w:r>
        <w:rPr>
          <w:rFonts w:eastAsia="Times New Roman"/>
          <w:color w:val="0d0d0d"/>
          <w:lang w:val="en-GB"/>
        </w:rPr>
        <w:t xml:space="preserve">Viswanathan, J. (2024) “Artificial Intelligence: Transforming the Future of Retail,” </w:t>
      </w:r>
      <w:r>
        <w:rPr>
          <w:rFonts w:eastAsia="Times New Roman"/>
          <w:i/>
          <w:iCs/>
          <w:color w:val="0d0d0d"/>
          <w:lang w:val="en-GB"/>
        </w:rPr>
        <w:t>International Journal of Science and Research (IJSR)</w:t>
      </w:r>
      <w:r>
        <w:rPr>
          <w:rFonts w:eastAsia="Times New Roman"/>
          <w:color w:val="0d0d0d"/>
          <w:lang w:val="en-GB"/>
        </w:rPr>
        <w:t>, 13(9), pp. 174–178. Availabl</w:t>
      </w:r>
      <w:r>
        <w:rPr>
          <w:rFonts w:eastAsia="Times New Roman"/>
          <w:color w:val="0d0d0d"/>
          <w:lang w:val="en-GB"/>
        </w:rPr>
        <w:t xml:space="preserve">e at: </w:t>
      </w:r>
      <w:r>
        <w:rPr/>
        <w:fldChar w:fldCharType="begin"/>
      </w:r>
      <w:r>
        <w:instrText xml:space="preserve"> HYPERLINK "https://www.researchgate.net/profile/Jeyaganesh-Viswanathan/publication/383756320_Artificial_Intelligence_Transforming_the_Future_of_Retail/links/66d94a7264f7bf7b197b5c01/Artificial-Intelligence-Transforming-the-Future-of-Retail.pdf" </w:instrText>
      </w:r>
      <w:r>
        <w:rPr/>
        <w:fldChar w:fldCharType="separate"/>
      </w:r>
      <w:r>
        <w:rPr>
          <w:rFonts w:eastAsia="Times New Roman"/>
          <w:color w:val="0d0d0d"/>
          <w:u w:val="single"/>
          <w:lang w:val="en-GB"/>
        </w:rPr>
        <w:t>https://www.researchgate.net/profile/Jeyaganesh-Viswanathan/publication/383756320_Artificial_Intelligence_Transforming_the_Future_of_Retail/links/66d94a7264f7bf7b197b5c01/Artificial-Intelligence-Transforming-the-Future-of-Retail.pdf</w:t>
      </w:r>
      <w:r>
        <w:rPr/>
        <w:fldChar w:fldCharType="end"/>
      </w:r>
      <w:r>
        <w:rPr>
          <w:rFonts w:eastAsia="Times New Roman"/>
          <w:color w:val="0d0d0d"/>
          <w:lang w:val="en-GB"/>
        </w:rPr>
        <w:t xml:space="preserve"> (Accessed: August 1, 20</w:t>
      </w:r>
      <w:r>
        <w:rPr>
          <w:rFonts w:eastAsia="Times New Roman"/>
          <w:color w:val="0d0d0d"/>
          <w:lang w:val="en-GB"/>
        </w:rPr>
        <w:t>26).</w:t>
      </w:r>
    </w:p>
    <w:p w14:paraId="F019D708">
      <w:pPr>
        <w:pStyle w:val="style4098"/>
        <w:spacing w:after="240"/>
        <w:rPr>
          <w:rFonts w:eastAsia="Times New Roman"/>
          <w:color w:val="0d0d0d"/>
          <w:lang w:val="en-GB"/>
        </w:rPr>
      </w:pPr>
      <w:r>
        <w:rPr>
          <w:rFonts w:eastAsia="Times New Roman"/>
          <w:color w:val="0d0d0d"/>
          <w:lang w:val="en-GB"/>
        </w:rPr>
        <w:t xml:space="preserve">Ștefan, S.C., Popa, I. and Tărăban, I. (2023) “Strategic Orientation of Romanian Healthcare Organizations from a Contingency Theory Perspective Based on Porter’s Generic Strategy Model,” </w:t>
      </w:r>
      <w:r>
        <w:rPr>
          <w:rFonts w:eastAsia="Times New Roman"/>
          <w:i/>
          <w:iCs/>
          <w:color w:val="0d0d0d"/>
          <w:lang w:val="en-GB"/>
        </w:rPr>
        <w:t>Systems</w:t>
      </w:r>
      <w:r>
        <w:rPr>
          <w:rFonts w:eastAsia="Times New Roman"/>
          <w:color w:val="0d0d0d"/>
          <w:lang w:val="en-GB"/>
        </w:rPr>
        <w:t xml:space="preserve">, 11(10), pp. 488–488. Available at: </w:t>
      </w:r>
      <w:r>
        <w:rPr/>
        <w:fldChar w:fldCharType="begin"/>
      </w:r>
      <w:r>
        <w:instrText xml:space="preserve"> HYPERLINK "https://www.mdpi.com/2079-8954/11/10/488?utm_source=releaseissue&amp;utm_medium=email&amp;utm_campaign=releaseissue_systems&amp;utm_term=titlelink1&amp;recipient=martinqzx@gmail.com&amp;subject=Systems,%20Volume%2011,%20Issue%2010%20(October%202023)%20Released&amp;campaign=ReleaseIssue" </w:instrText>
      </w:r>
      <w:r>
        <w:rPr/>
        <w:fldChar w:fldCharType="separate"/>
      </w:r>
      <w:r>
        <w:rPr>
          <w:rFonts w:eastAsia="Times New Roman"/>
          <w:color w:val="0d0d0d"/>
          <w:u w:val="single"/>
          <w:lang w:val="en-GB"/>
        </w:rPr>
        <w:t>https://www.mdpi.com/2079-8954/11/10/488?utm_source=releaseissue&amp;utm_medium=email&amp;utm_campaign=releaseissue_systems&amp;utm_term=titlelink1&amp;recipient=martinqzx@gmail.com&amp;subject=Systems,%20Volume%2011,%20Issue%2010%20(October%202023)%20Released&amp;campaign=Re</w:t>
      </w:r>
      <w:r>
        <w:rPr>
          <w:rFonts w:eastAsia="Times New Roman"/>
          <w:color w:val="0d0d0d"/>
          <w:u w:val="single"/>
          <w:lang w:val="en-GB"/>
        </w:rPr>
        <w:t>leaseIssue</w:t>
      </w:r>
      <w:r>
        <w:rPr/>
        <w:fldChar w:fldCharType="end"/>
      </w:r>
      <w:r>
        <w:rPr>
          <w:rFonts w:eastAsia="Times New Roman"/>
          <w:color w:val="0d0d0d"/>
          <w:lang w:val="en-GB"/>
        </w:rPr>
        <w:t xml:space="preserve"> (Accessed: August 1, 2026).</w:t>
      </w:r>
    </w:p>
    <w:p w14:paraId="C4155755">
      <w:pPr>
        <w:pStyle w:val="style4098"/>
        <w:rPr>
          <w:color w:val="0d0d0d"/>
          <w:lang w:val="en-GB"/>
        </w:rPr>
      </w:pPr>
    </w:p>
    <w:p w14:paraId="C37549CA">
      <w:pPr>
        <w:pStyle w:val="style4098"/>
        <w:rPr>
          <w:color w:val="0d0d0d"/>
          <w:lang w:val="en-GB"/>
        </w:rPr>
      </w:pPr>
    </w:p>
    <w:p w14:paraId="C86F4A7E">
      <w:pPr>
        <w:pStyle w:val="style4098"/>
        <w:rPr>
          <w:color w:val="0d0d0d"/>
          <w:lang w:val="en-GB"/>
        </w:rPr>
      </w:pPr>
    </w:p>
    <w:bookmarkStart w:id="68" w:name="_qu561knhv4u0" w:colFirst="0" w:colLast="0"/>
    <w:bookmarkEnd w:id="68"/>
    <w:p w14:paraId="7340AC94">
      <w:pPr>
        <w:pStyle w:val="style2"/>
        <w:rPr>
          <w:color w:val="0d0d0d"/>
          <w:lang w:val="en-GB"/>
        </w:rPr>
      </w:pPr>
    </w:p>
    <w:p w14:paraId="77E4E69A">
      <w:pPr>
        <w:pStyle w:val="style4098"/>
        <w:rPr>
          <w:color w:val="0d0d0d"/>
          <w:lang w:val="en-GB"/>
        </w:rPr>
      </w:pPr>
    </w:p>
    <w:bookmarkStart w:id="69" w:name="_s2cxqppti0ns" w:colFirst="0" w:colLast="0"/>
    <w:bookmarkEnd w:id="69"/>
    <w:p w14:paraId="D96215AD">
      <w:pPr>
        <w:pStyle w:val="style62"/>
        <w:rPr>
          <w:color w:val="0d0d0d"/>
          <w:lang w:val="en-GB"/>
        </w:rPr>
      </w:pPr>
    </w:p>
    <w:sectPr>
      <w:footerReference w:type="default" r:id="rId14"/>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1F76AE3">
    <w:pPr>
      <w:pStyle w:val="style32"/>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1</w:t>
    </w:r>
    <w:r>
      <w:rPr>
        <w:sz w:val="20"/>
        <w:szCs w:val="20"/>
      </w:rPr>
      <w:fldChar w:fldCharType="end"/>
    </w:r>
  </w:p>
  <w:p w14:paraId="74EAD71B">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92"/>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val="en-US" w:bidi="ar-SA" w:eastAsia="en-US"/>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4098"/>
    <w:next w:val="style4098"/>
    <w:pPr>
      <w:keepNext/>
      <w:keepLines/>
      <w:outlineLvl w:val="0"/>
    </w:pPr>
    <w:rPr>
      <w:b/>
      <w:bCs/>
      <w:sz w:val="28"/>
      <w:szCs w:val="28"/>
    </w:rPr>
  </w:style>
  <w:style w:type="paragraph" w:styleId="style2">
    <w:name w:val="heading 2"/>
    <w:basedOn w:val="style4098"/>
    <w:next w:val="style4098"/>
    <w:pPr>
      <w:keepNext/>
      <w:keepLines/>
      <w:outlineLvl w:val="1"/>
    </w:pPr>
    <w:rPr>
      <w:b/>
      <w:bCs/>
    </w:rPr>
  </w:style>
  <w:style w:type="paragraph" w:styleId="style3">
    <w:name w:val="heading 3"/>
    <w:basedOn w:val="style4098"/>
    <w:next w:val="style4098"/>
    <w:pPr>
      <w:keepNext/>
      <w:keepLines/>
      <w:spacing w:before="320" w:after="80"/>
      <w:outlineLvl w:val="2"/>
    </w:pPr>
    <w:rPr>
      <w:color w:val="434343"/>
      <w:sz w:val="28"/>
      <w:szCs w:val="28"/>
    </w:rPr>
  </w:style>
  <w:style w:type="paragraph" w:styleId="style4">
    <w:name w:val="heading 4"/>
    <w:basedOn w:val="style4098"/>
    <w:next w:val="style4098"/>
    <w:pPr>
      <w:keepNext/>
      <w:keepLines/>
      <w:spacing w:before="280" w:after="80"/>
      <w:outlineLvl w:val="3"/>
    </w:pPr>
    <w:rPr>
      <w:color w:val="666666"/>
    </w:rPr>
  </w:style>
  <w:style w:type="paragraph" w:styleId="style5">
    <w:name w:val="heading 5"/>
    <w:basedOn w:val="style4098"/>
    <w:next w:val="style4098"/>
    <w:pPr>
      <w:keepNext/>
      <w:keepLines/>
      <w:spacing w:before="240" w:after="80"/>
      <w:outlineLvl w:val="4"/>
    </w:pPr>
    <w:rPr>
      <w:color w:val="666666"/>
      <w:sz w:val="22"/>
      <w:szCs w:val="22"/>
    </w:rPr>
  </w:style>
  <w:style w:type="paragraph" w:styleId="style6">
    <w:name w:val="heading 6"/>
    <w:basedOn w:val="style4098"/>
    <w:next w:val="style4098"/>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customStyle="1" w:styleId="style4098">
    <w:name w:val="normal"/>
    <w:next w:val="style4098"/>
    <w:pPr/>
  </w:style>
  <w:style w:type="paragraph" w:styleId="style62">
    <w:name w:val="Title"/>
    <w:basedOn w:val="style4098"/>
    <w:next w:val="style4098"/>
    <w:pPr>
      <w:keepNext/>
      <w:keepLines/>
      <w:jc w:val="center"/>
    </w:pPr>
    <w:rPr>
      <w:b/>
      <w:bCs/>
      <w:sz w:val="36"/>
      <w:szCs w:val="36"/>
    </w:rPr>
  </w:style>
  <w:style w:type="paragraph" w:styleId="style74">
    <w:name w:val="Subtitle"/>
    <w:basedOn w:val="style4098"/>
    <w:next w:val="style4098"/>
    <w:pPr>
      <w:keepNext/>
      <w:keepLines/>
      <w:spacing w:after="320"/>
    </w:pPr>
    <w:rPr>
      <w:color w:val="666666"/>
      <w:sz w:val="30"/>
      <w:szCs w:val="30"/>
    </w:rPr>
  </w:style>
  <w:style w:type="table" w:customStyle="1" w:styleId="style4099">
    <w:basedOn w:val="style4097"/>
    <w:next w:val="style4099"/>
    <w:pPr/>
    <w:rPr/>
    <w:tblPr>
      <w:tblStyleRowBandSize w:val="1"/>
      <w:tblStyleColBandSize w:val="1"/>
      <w:tblCellMar>
        <w:top w:w="100" w:type="dxa"/>
        <w:left w:w="100" w:type="dxa"/>
        <w:bottom w:w="100" w:type="dxa"/>
        <w:right w:w="100" w:type="dxa"/>
      </w:tblCellMar>
    </w:tblPr>
    <w:tcPr>
      <w:tcBorders/>
    </w:tcPr>
  </w:style>
  <w:style w:type="table" w:customStyle="1" w:styleId="style4100">
    <w:basedOn w:val="style4097"/>
    <w:next w:val="style4100"/>
    <w:pPr/>
    <w:rPr/>
    <w:tblPr>
      <w:tblStyleRowBandSize w:val="1"/>
      <w:tblStyleColBandSize w:val="1"/>
      <w:tblCellMar>
        <w:top w:w="100" w:type="dxa"/>
        <w:left w:w="100" w:type="dxa"/>
        <w:bottom w:w="100" w:type="dxa"/>
        <w:right w:w="100" w:type="dxa"/>
      </w:tblCellMar>
    </w:tblPr>
    <w:tcPr>
      <w:tcBorders/>
    </w:tcPr>
  </w:style>
  <w:style w:type="table" w:customStyle="1" w:styleId="style4101">
    <w:basedOn w:val="style4097"/>
    <w:next w:val="style4101"/>
    <w:pPr/>
    <w:rPr/>
    <w:tblPr>
      <w:tblStyleRowBandSize w:val="1"/>
      <w:tblStyleColBandSize w:val="1"/>
      <w:tblCellMar>
        <w:top w:w="100" w:type="dxa"/>
        <w:left w:w="100" w:type="dxa"/>
        <w:bottom w:w="100" w:type="dxa"/>
        <w:right w:w="100" w:type="dxa"/>
      </w:tblCellMar>
    </w:tblPr>
    <w:tcPr>
      <w:tcBorders/>
    </w:tcPr>
  </w:style>
  <w:style w:type="table" w:customStyle="1" w:styleId="style4102">
    <w:basedOn w:val="style4097"/>
    <w:next w:val="style4102"/>
    <w:pPr/>
    <w:rPr/>
    <w:tblPr>
      <w:tblStyleRowBandSize w:val="1"/>
      <w:tblStyleColBandSize w:val="1"/>
      <w:tblCellMar>
        <w:top w:w="100" w:type="dxa"/>
        <w:left w:w="100" w:type="dxa"/>
        <w:bottom w:w="100" w:type="dxa"/>
        <w:right w:w="100" w:type="dxa"/>
      </w:tblCellMar>
    </w:tblPr>
    <w:tcPr>
      <w:tcBorders/>
    </w:tcPr>
  </w:style>
  <w:style w:type="table" w:customStyle="1" w:styleId="style4103">
    <w:basedOn w:val="style4097"/>
    <w:next w:val="style4103"/>
    <w:pPr/>
    <w:rPr/>
    <w:tblPr>
      <w:tblStyleRowBandSize w:val="1"/>
      <w:tblStyleColBandSize w:val="1"/>
      <w:tblCellMar>
        <w:top w:w="100" w:type="dxa"/>
        <w:left w:w="100" w:type="dxa"/>
        <w:bottom w:w="100" w:type="dxa"/>
        <w:right w:w="100" w:type="dxa"/>
      </w:tblCellMar>
    </w:tblPr>
    <w:tcPr>
      <w:tcBorders/>
    </w:tcPr>
  </w:style>
  <w:style w:type="paragraph" w:styleId="style153">
    <w:name w:val="Balloon Text"/>
    <w:basedOn w:val="style0"/>
    <w:next w:val="style153"/>
    <w:link w:val="style4104"/>
    <w:uiPriority w:val="99"/>
    <w:pPr>
      <w:spacing w:lineRule="auto" w:line="240"/>
    </w:pPr>
    <w:rPr>
      <w:rFonts w:ascii="Tahoma" w:cs="Tahoma" w:hAnsi="Tahoma"/>
      <w:sz w:val="16"/>
      <w:szCs w:val="16"/>
    </w:rPr>
  </w:style>
  <w:style w:type="character" w:customStyle="1" w:styleId="style4104">
    <w:name w:val="Balloon Text Char"/>
    <w:basedOn w:val="style65"/>
    <w:next w:val="style4104"/>
    <w:link w:val="style153"/>
    <w:uiPriority w:val="99"/>
    <w:rPr>
      <w:rFonts w:ascii="Tahoma" w:cs="Tahoma" w:hAnsi="Tahoma"/>
      <w:sz w:val="16"/>
      <w:szCs w:val="16"/>
    </w:rPr>
  </w:style>
  <w:style w:type="paragraph" w:styleId="style266">
    <w:name w:val="TOC Heading"/>
    <w:basedOn w:val="style1"/>
    <w:next w:val="style0"/>
    <w:qFormat/>
    <w:uiPriority w:val="39"/>
    <w:pPr>
      <w:spacing w:before="480" w:lineRule="auto" w:line="276"/>
      <w:jc w:val="left"/>
      <w:outlineLvl w:val="9"/>
    </w:pPr>
    <w:rPr>
      <w:rFonts w:ascii="Calibri" w:cs="宋体" w:eastAsia="宋体" w:hAnsi="Calibri"/>
      <w:color w:val="365f91"/>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5"/>
    <w:uiPriority w:val="99"/>
    <w:pPr>
      <w:tabs>
        <w:tab w:val="center" w:leader="none" w:pos="4680"/>
        <w:tab w:val="right" w:leader="none" w:pos="9360"/>
      </w:tabs>
      <w:spacing w:lineRule="auto" w:line="240"/>
    </w:pPr>
    <w:rPr/>
  </w:style>
  <w:style w:type="character" w:customStyle="1" w:styleId="style4105">
    <w:name w:val="Header Char_40309202-9d0a-44cc-ab9c-ab3609b9e163"/>
    <w:basedOn w:val="style65"/>
    <w:next w:val="style4105"/>
    <w:link w:val="style31"/>
    <w:uiPriority w:val="99"/>
  </w:style>
  <w:style w:type="paragraph" w:styleId="style32">
    <w:name w:val="footer"/>
    <w:basedOn w:val="style0"/>
    <w:next w:val="style32"/>
    <w:link w:val="style4106"/>
    <w:uiPriority w:val="99"/>
    <w:pPr>
      <w:tabs>
        <w:tab w:val="center" w:leader="none" w:pos="4680"/>
        <w:tab w:val="right" w:leader="none" w:pos="9360"/>
      </w:tabs>
      <w:spacing w:lineRule="auto" w:line="240"/>
    </w:pPr>
    <w:rPr/>
  </w:style>
  <w:style w:type="character" w:customStyle="1" w:styleId="style4106">
    <w:name w:val="Footer Char_02f0bbe0-f4ca-4347-9272-d50f661a9ee4"/>
    <w:basedOn w:val="style65"/>
    <w:next w:val="style4106"/>
    <w:link w:val="style32"/>
    <w:uiPriority w:val="99"/>
  </w:style>
</w:styles>
</file>

<file path=word/_rels/document.xml.rels><?xml version="1.0" encoding="UTF-8"?>
<Relationships xmlns="http://schemas.openxmlformats.org/package/2006/relationships"><Relationship Id="rId11" Type="http://schemas.openxmlformats.org/officeDocument/2006/relationships/image" Target="media/image9.png"/><Relationship Id="rId10" Type="http://schemas.openxmlformats.org/officeDocument/2006/relationships/image" Target="media/image8.png"/><Relationship Id="rId13" Type="http://schemas.openxmlformats.org/officeDocument/2006/relationships/image" Target="media/image11.png"/><Relationship Id="rId12" Type="http://schemas.openxmlformats.org/officeDocument/2006/relationships/image" Target="media/image10.png"/><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2.png"/><Relationship Id="rId9" Type="http://schemas.openxmlformats.org/officeDocument/2006/relationships/image" Target="media/image7.png"/><Relationship Id="rId15" Type="http://schemas.openxmlformats.org/officeDocument/2006/relationships/styles" Target="styles.xml"/><Relationship Id="rId14" Type="http://schemas.openxmlformats.org/officeDocument/2006/relationships/footer" Target="footer1.xml"/><Relationship Id="rId17" Type="http://schemas.openxmlformats.org/officeDocument/2006/relationships/settings" Target="settings.xml"/><Relationship Id="rId16" Type="http://schemas.openxmlformats.org/officeDocument/2006/relationships/fontTable" Target="fontTable.xml"/><Relationship Id="rId5" Type="http://schemas.openxmlformats.org/officeDocument/2006/relationships/image" Target="media/image3.png"/><Relationship Id="rId19" Type="http://schemas.openxmlformats.org/officeDocument/2006/relationships/customXml" Target="../customXml/item1.xml"/><Relationship Id="rId6" Type="http://schemas.openxmlformats.org/officeDocument/2006/relationships/image" Target="media/image4.png"/><Relationship Id="rId18" Type="http://schemas.openxmlformats.org/officeDocument/2006/relationships/theme" Target="theme/theme1.xml"/><Relationship Id="rId7" Type="http://schemas.openxmlformats.org/officeDocument/2006/relationships/image" Target="media/image5.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9FF16E-4821-4F1B-B4B6-927D2EED4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Words>6134</Words>
  <Pages>34</Pages>
  <Characters>41874</Characters>
  <Application>WPS Office</Application>
  <DocSecurity>0</DocSecurity>
  <Paragraphs>364</Paragraphs>
  <ScaleCrop>false</ScaleCrop>
  <Company>Microsoft Corporation</Company>
  <LinksUpToDate>false</LinksUpToDate>
  <CharactersWithSpaces>47727</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2026-08-01T16:23:00Z</dcterms:created>
  <dc:creator>WPS Office</dc:creator>
  <lastModifiedBy>moto g86 power 5G</lastModifiedBy>
  <dcterms:modified xsi:type="dcterms:W3CDTF">2026-08-12T11:59:45Z</dcterms:modified>
  <revision>20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49f8c95181584c898fe17599a26f9586_23</vt:lpwstr>
  </property>
</Properties>
</file>