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97304761"/>
        <w:docPartObj>
          <w:docPartGallery w:val="Cover Pages"/>
          <w:docPartUnique/>
        </w:docPartObj>
      </w:sdtPr>
      <w:sdtContent>
        <w:p w14:paraId="2A1AD68A" w14:textId="22C3F779" w:rsidR="0057443A" w:rsidRDefault="00AD6246" w:rsidP="00AD6246">
          <w:r>
            <w:rPr>
              <w:noProof/>
            </w:rPr>
            <w:t xml:space="preserve">                                                            </w:t>
          </w:r>
          <w:r w:rsidR="0057443A">
            <w:rPr>
              <w:noProof/>
            </w:rPr>
            <w:drawing>
              <wp:inline distT="0" distB="0" distL="0" distR="0" wp14:anchorId="539A6C02" wp14:editId="14810748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6835545" w14:textId="10CB07B6" w:rsidR="0057443A" w:rsidRPr="008C0C6F" w:rsidRDefault="00B83104" w:rsidP="00AD6246">
          <w:pPr>
            <w:pStyle w:val="NoSpacing"/>
            <w:jc w:val="center"/>
            <w:rPr>
              <w:rFonts w:asciiTheme="minorBidi" w:hAnsiTheme="minorBidi"/>
              <w:b/>
              <w:bCs/>
              <w:sz w:val="28"/>
              <w:szCs w:val="28"/>
            </w:rPr>
          </w:pPr>
          <w:r w:rsidRPr="008C0C6F">
            <w:rPr>
              <w:rFonts w:asciiTheme="minorBidi" w:hAnsiTheme="minorBidi"/>
              <w:b/>
              <w:bCs/>
              <w:sz w:val="28"/>
              <w:szCs w:val="28"/>
            </w:rPr>
            <w:t>Technologies in health and social care</w:t>
          </w:r>
          <w:r w:rsidR="00174776" w:rsidRPr="008C0C6F">
            <w:rPr>
              <w:rFonts w:asciiTheme="minorBidi" w:hAnsiTheme="minorBidi"/>
              <w:b/>
              <w:bCs/>
              <w:sz w:val="28"/>
              <w:szCs w:val="28"/>
            </w:rPr>
            <w:t xml:space="preserve"> for older people play a vital </w:t>
          </w:r>
          <w:r w:rsidR="008A6078" w:rsidRPr="008C0C6F">
            <w:rPr>
              <w:rFonts w:asciiTheme="minorBidi" w:hAnsiTheme="minorBidi"/>
              <w:b/>
              <w:bCs/>
              <w:sz w:val="28"/>
              <w:szCs w:val="28"/>
            </w:rPr>
            <w:t>role.</w:t>
          </w:r>
        </w:p>
        <w:p w14:paraId="276B1F3F" w14:textId="240C2ED0" w:rsidR="0057443A" w:rsidRDefault="006B69A1" w:rsidP="00AD6246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9504" behindDoc="1" locked="0" layoutInCell="1" allowOverlap="1" wp14:anchorId="32AC4975" wp14:editId="2B882C91">
                <wp:simplePos x="0" y="0"/>
                <wp:positionH relativeFrom="column">
                  <wp:posOffset>2286000</wp:posOffset>
                </wp:positionH>
                <wp:positionV relativeFrom="paragraph">
                  <wp:posOffset>229870</wp:posOffset>
                </wp:positionV>
                <wp:extent cx="758952" cy="478932"/>
                <wp:effectExtent l="0" t="0" r="3175" b="0"/>
                <wp:wrapTight wrapText="bothSides">
                  <wp:wrapPolygon edited="0">
                    <wp:start x="0" y="0"/>
                    <wp:lineTo x="0" y="3438"/>
                    <wp:lineTo x="3796" y="13751"/>
                    <wp:lineTo x="3796" y="14610"/>
                    <wp:lineTo x="7592" y="20626"/>
                    <wp:lineTo x="8134" y="20626"/>
                    <wp:lineTo x="13014" y="20626"/>
                    <wp:lineTo x="13556" y="20626"/>
                    <wp:lineTo x="17352" y="14610"/>
                    <wp:lineTo x="17352" y="13751"/>
                    <wp:lineTo x="21148" y="3438"/>
                    <wp:lineTo x="21148" y="0"/>
                    <wp:lineTo x="0" y="0"/>
                  </wp:wrapPolygon>
                </wp:wrapTight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57443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CD0031E" wp14:editId="731454F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024E02" w14:textId="369AC9A3" w:rsidR="0057443A" w:rsidRDefault="0057443A">
                                <w:pPr>
                                  <w:pStyle w:val="NoSpacing"/>
                                  <w:jc w:val="center"/>
                                  <w:rPr>
                                    <w:color w:val="4F81BD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D0031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62336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60024E02" w14:textId="369AC9A3" w:rsidR="0057443A" w:rsidRDefault="0057443A">
                          <w:pPr>
                            <w:pStyle w:val="NoSpacing"/>
                            <w:jc w:val="center"/>
                            <w:rPr>
                              <w:color w:val="4F81BD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40D939A8" w14:textId="77777777" w:rsidR="00AD6246" w:rsidRDefault="00AD6246" w:rsidP="00AD6246">
      <w:pPr>
        <w:pStyle w:val="NoSpacing"/>
      </w:pPr>
    </w:p>
    <w:p w14:paraId="2B52FE1B" w14:textId="77777777" w:rsidR="00AD6246" w:rsidRDefault="00AD6246" w:rsidP="00AD6246">
      <w:pPr>
        <w:rPr>
          <w:rFonts w:ascii="Arial" w:hAnsi="Arial" w:cs="Arial"/>
          <w:b/>
          <w:bCs/>
          <w:sz w:val="24"/>
          <w:szCs w:val="24"/>
        </w:rPr>
      </w:pPr>
    </w:p>
    <w:p w14:paraId="39532664" w14:textId="77777777" w:rsidR="00AD6246" w:rsidRDefault="00AD6246" w:rsidP="00AD6246">
      <w:pPr>
        <w:rPr>
          <w:rFonts w:ascii="Arial" w:hAnsi="Arial" w:cs="Arial"/>
          <w:b/>
          <w:bCs/>
          <w:sz w:val="24"/>
          <w:szCs w:val="24"/>
        </w:rPr>
      </w:pPr>
    </w:p>
    <w:p w14:paraId="51936219" w14:textId="386D5541" w:rsidR="00AD6246" w:rsidRDefault="00F87D97" w:rsidP="00AD624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2CF98300" wp14:editId="46B6E5D2">
            <wp:simplePos x="0" y="0"/>
            <wp:positionH relativeFrom="column">
              <wp:posOffset>1514475</wp:posOffset>
            </wp:positionH>
            <wp:positionV relativeFrom="paragraph">
              <wp:posOffset>10795</wp:posOffset>
            </wp:positionV>
            <wp:extent cx="2281555" cy="877746"/>
            <wp:effectExtent l="0" t="0" r="4445" b="0"/>
            <wp:wrapTight wrapText="bothSides">
              <wp:wrapPolygon edited="0">
                <wp:start x="0" y="469"/>
                <wp:lineTo x="0" y="13598"/>
                <wp:lineTo x="721" y="16411"/>
                <wp:lineTo x="721" y="18287"/>
                <wp:lineTo x="2705" y="19224"/>
                <wp:lineTo x="5771" y="20162"/>
                <wp:lineTo x="17674" y="20162"/>
                <wp:lineTo x="17855" y="16411"/>
                <wp:lineTo x="21462" y="15473"/>
                <wp:lineTo x="21462" y="11253"/>
                <wp:lineTo x="18937" y="8909"/>
                <wp:lineTo x="19839" y="2344"/>
                <wp:lineTo x="19298" y="1407"/>
                <wp:lineTo x="15330" y="469"/>
                <wp:lineTo x="0" y="469"/>
              </wp:wrapPolygon>
            </wp:wrapTight>
            <wp:docPr id="19497748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877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FB5553" w14:textId="5E67351C" w:rsidR="00AD6246" w:rsidRDefault="00AD6246" w:rsidP="00AD6246">
      <w:pPr>
        <w:rPr>
          <w:rFonts w:ascii="Arial" w:hAnsi="Arial" w:cs="Arial"/>
          <w:b/>
          <w:bCs/>
          <w:sz w:val="24"/>
          <w:szCs w:val="24"/>
        </w:rPr>
      </w:pPr>
    </w:p>
    <w:p w14:paraId="6A2BC261" w14:textId="77777777" w:rsidR="008A6078" w:rsidRDefault="008A6078" w:rsidP="00AD6246">
      <w:pPr>
        <w:rPr>
          <w:rFonts w:ascii="Arial" w:hAnsi="Arial" w:cs="Arial"/>
          <w:b/>
          <w:bCs/>
          <w:sz w:val="24"/>
          <w:szCs w:val="24"/>
        </w:rPr>
      </w:pPr>
    </w:p>
    <w:p w14:paraId="374EC911" w14:textId="77777777" w:rsidR="008A6078" w:rsidRDefault="008A6078" w:rsidP="00AD6246">
      <w:pPr>
        <w:rPr>
          <w:rFonts w:ascii="Arial" w:hAnsi="Arial" w:cs="Arial"/>
          <w:b/>
          <w:bCs/>
          <w:sz w:val="24"/>
          <w:szCs w:val="24"/>
        </w:rPr>
      </w:pPr>
    </w:p>
    <w:p w14:paraId="48605ABC" w14:textId="77777777" w:rsidR="008A6078" w:rsidRDefault="008A6078" w:rsidP="00AD6246">
      <w:pPr>
        <w:rPr>
          <w:rFonts w:ascii="Arial" w:hAnsi="Arial" w:cs="Arial"/>
          <w:b/>
          <w:bCs/>
          <w:sz w:val="24"/>
          <w:szCs w:val="24"/>
        </w:rPr>
      </w:pPr>
    </w:p>
    <w:p w14:paraId="3BFFBB34" w14:textId="77777777" w:rsidR="00F87D97" w:rsidRDefault="00F87D97" w:rsidP="00AD6246">
      <w:pPr>
        <w:rPr>
          <w:rFonts w:ascii="Arial" w:hAnsi="Arial" w:cs="Arial"/>
          <w:b/>
          <w:bCs/>
          <w:sz w:val="24"/>
          <w:szCs w:val="24"/>
        </w:rPr>
      </w:pPr>
    </w:p>
    <w:p w14:paraId="6457D318" w14:textId="556C6F89" w:rsidR="00D53843" w:rsidRPr="00AD6246" w:rsidRDefault="00D53843" w:rsidP="00AD6246">
      <w:r w:rsidRPr="008C0C6F">
        <w:rPr>
          <w:rFonts w:ascii="Arial" w:hAnsi="Arial" w:cs="Arial"/>
          <w:b/>
          <w:bCs/>
          <w:sz w:val="24"/>
          <w:szCs w:val="24"/>
        </w:rPr>
        <w:t>Student name: Fatemeh Heydari</w:t>
      </w:r>
    </w:p>
    <w:p w14:paraId="7066D63A" w14:textId="77777777" w:rsidR="00D53843" w:rsidRPr="008C0C6F" w:rsidRDefault="00D53843" w:rsidP="00D53843">
      <w:pPr>
        <w:rPr>
          <w:rFonts w:ascii="Arial" w:hAnsi="Arial" w:cs="Arial"/>
          <w:b/>
          <w:bCs/>
          <w:sz w:val="24"/>
          <w:szCs w:val="24"/>
        </w:rPr>
      </w:pPr>
      <w:r w:rsidRPr="008C0C6F">
        <w:rPr>
          <w:rFonts w:ascii="Arial" w:hAnsi="Arial" w:cs="Arial"/>
          <w:b/>
          <w:bCs/>
          <w:sz w:val="24"/>
          <w:szCs w:val="24"/>
        </w:rPr>
        <w:t>Student ID: 2323552</w:t>
      </w:r>
    </w:p>
    <w:p w14:paraId="3C216929" w14:textId="77777777" w:rsidR="00D53843" w:rsidRPr="008C0C6F" w:rsidRDefault="00D53843" w:rsidP="00D53843">
      <w:pPr>
        <w:rPr>
          <w:rFonts w:ascii="Arial" w:hAnsi="Arial" w:cs="Arial"/>
          <w:b/>
          <w:bCs/>
          <w:sz w:val="24"/>
          <w:szCs w:val="24"/>
        </w:rPr>
      </w:pPr>
      <w:r w:rsidRPr="008C0C6F">
        <w:rPr>
          <w:rFonts w:ascii="Arial" w:hAnsi="Arial" w:cs="Arial"/>
          <w:b/>
          <w:bCs/>
          <w:sz w:val="24"/>
          <w:szCs w:val="24"/>
        </w:rPr>
        <w:t>Module name: BMHP6027_LON</w:t>
      </w:r>
    </w:p>
    <w:p w14:paraId="271C21C4" w14:textId="2857F7D9" w:rsidR="001D5593" w:rsidRPr="008C0C6F" w:rsidRDefault="00D53843" w:rsidP="00D53843">
      <w:pPr>
        <w:rPr>
          <w:rFonts w:ascii="Arial" w:hAnsi="Arial" w:cs="Arial"/>
          <w:b/>
          <w:bCs/>
          <w:sz w:val="24"/>
          <w:szCs w:val="24"/>
        </w:rPr>
      </w:pPr>
      <w:r w:rsidRPr="008C0C6F">
        <w:rPr>
          <w:rFonts w:ascii="Arial" w:hAnsi="Arial" w:cs="Arial"/>
          <w:b/>
          <w:bCs/>
          <w:sz w:val="24"/>
          <w:szCs w:val="24"/>
        </w:rPr>
        <w:t>Lecturer’s name: Laila Surani</w:t>
      </w:r>
    </w:p>
    <w:p w14:paraId="7029F8D4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31B160FA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0880A277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7E481F99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5173B194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1730E70F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53CA989E" w14:textId="77777777" w:rsidR="008A6078" w:rsidRDefault="008A6078" w:rsidP="00D53843">
      <w:pPr>
        <w:rPr>
          <w:rFonts w:ascii="Arial" w:hAnsi="Arial" w:cs="Arial"/>
          <w:b/>
          <w:bCs/>
          <w:sz w:val="28"/>
          <w:szCs w:val="28"/>
        </w:rPr>
      </w:pPr>
    </w:p>
    <w:p w14:paraId="63674A08" w14:textId="0505D8DC" w:rsidR="0057443A" w:rsidRDefault="0057443A" w:rsidP="00D53843">
      <w:pPr>
        <w:rPr>
          <w:rFonts w:ascii="Arial" w:hAnsi="Arial" w:cs="Arial"/>
          <w:b/>
          <w:bCs/>
          <w:sz w:val="28"/>
          <w:szCs w:val="28"/>
        </w:rPr>
      </w:pPr>
      <w:r w:rsidRPr="0057443A">
        <w:rPr>
          <w:rFonts w:ascii="Arial" w:hAnsi="Arial" w:cs="Arial"/>
          <w:b/>
          <w:bCs/>
          <w:sz w:val="28"/>
          <w:szCs w:val="28"/>
        </w:rPr>
        <w:lastRenderedPageBreak/>
        <w:t xml:space="preserve">References </w:t>
      </w:r>
      <w:r w:rsidR="008A6078" w:rsidRPr="0057443A">
        <w:rPr>
          <w:rFonts w:ascii="Arial" w:hAnsi="Arial" w:cs="Arial"/>
          <w:b/>
          <w:bCs/>
          <w:sz w:val="28"/>
          <w:szCs w:val="28"/>
        </w:rPr>
        <w:t>list.</w:t>
      </w:r>
    </w:p>
    <w:p w14:paraId="3347E15A" w14:textId="7BF3926D" w:rsidR="0098779F" w:rsidRDefault="0098779F" w:rsidP="001A7C9E">
      <w:pPr>
        <w:jc w:val="both"/>
        <w:rPr>
          <w:rFonts w:ascii="Arial" w:hAnsi="Arial" w:cs="Arial"/>
        </w:rPr>
      </w:pPr>
      <w:proofErr w:type="spellStart"/>
      <w:r w:rsidRPr="0098779F">
        <w:rPr>
          <w:rFonts w:ascii="Arial" w:hAnsi="Arial" w:cs="Arial"/>
        </w:rPr>
        <w:t>Amouzadeh</w:t>
      </w:r>
      <w:proofErr w:type="spellEnd"/>
      <w:r w:rsidRPr="0098779F">
        <w:rPr>
          <w:rFonts w:ascii="Arial" w:hAnsi="Arial" w:cs="Arial"/>
        </w:rPr>
        <w:t xml:space="preserve">, E., Dianat, I., </w:t>
      </w:r>
      <w:proofErr w:type="spellStart"/>
      <w:r w:rsidRPr="0098779F">
        <w:rPr>
          <w:rFonts w:ascii="Arial" w:hAnsi="Arial" w:cs="Arial"/>
        </w:rPr>
        <w:t>Faradmal</w:t>
      </w:r>
      <w:proofErr w:type="spellEnd"/>
      <w:r w:rsidRPr="0098779F">
        <w:rPr>
          <w:rFonts w:ascii="Arial" w:hAnsi="Arial" w:cs="Arial"/>
        </w:rPr>
        <w:t xml:space="preserve">, J. and </w:t>
      </w:r>
      <w:proofErr w:type="spellStart"/>
      <w:r w:rsidRPr="0098779F">
        <w:rPr>
          <w:rFonts w:ascii="Arial" w:hAnsi="Arial" w:cs="Arial"/>
        </w:rPr>
        <w:t>Babamiri</w:t>
      </w:r>
      <w:proofErr w:type="spellEnd"/>
      <w:r w:rsidRPr="0098779F">
        <w:rPr>
          <w:rFonts w:ascii="Arial" w:hAnsi="Arial" w:cs="Arial"/>
        </w:rPr>
        <w:t xml:space="preserve">, M., </w:t>
      </w:r>
      <w:r w:rsidR="00EA6F88">
        <w:rPr>
          <w:rFonts w:ascii="Arial" w:hAnsi="Arial" w:cs="Arial"/>
        </w:rPr>
        <w:t>(</w:t>
      </w:r>
      <w:r w:rsidRPr="0098779F">
        <w:rPr>
          <w:rFonts w:ascii="Arial" w:hAnsi="Arial" w:cs="Arial"/>
        </w:rPr>
        <w:t>2025</w:t>
      </w:r>
      <w:r w:rsidR="00EA6F88">
        <w:rPr>
          <w:rFonts w:ascii="Arial" w:hAnsi="Arial" w:cs="Arial"/>
        </w:rPr>
        <w:t>)</w:t>
      </w:r>
      <w:r w:rsidRPr="0098779F">
        <w:rPr>
          <w:rFonts w:ascii="Arial" w:hAnsi="Arial" w:cs="Arial"/>
        </w:rPr>
        <w:t>. Optimizing mobile app design for older adults: systematic review of age-friendly design. Aging Clinical and Experimental Research, 37, article 248.</w:t>
      </w:r>
      <w:r>
        <w:rPr>
          <w:rFonts w:ascii="Arial" w:hAnsi="Arial" w:cs="Arial"/>
        </w:rPr>
        <w:t xml:space="preserve"> Available at: </w:t>
      </w:r>
      <w:hyperlink r:id="rId12" w:history="1">
        <w:r w:rsidR="00411975" w:rsidRPr="00823F7C">
          <w:rPr>
            <w:rStyle w:val="Hyperlink"/>
            <w:rFonts w:ascii="Arial" w:hAnsi="Arial" w:cs="Arial"/>
          </w:rPr>
          <w:t>https://pubmed.ncbi.nlm.nih.gov/40804492/</w:t>
        </w:r>
      </w:hyperlink>
      <w:r w:rsidR="00411975">
        <w:rPr>
          <w:rFonts w:ascii="Arial" w:hAnsi="Arial" w:cs="Arial"/>
        </w:rPr>
        <w:t xml:space="preserve"> (Accessed: 11 July 2026).</w:t>
      </w:r>
    </w:p>
    <w:p w14:paraId="70FEE654" w14:textId="62061264" w:rsidR="009E0E36" w:rsidRPr="009E0E36" w:rsidRDefault="009E0E36" w:rsidP="001A7C9E">
      <w:pPr>
        <w:jc w:val="both"/>
        <w:rPr>
          <w:rFonts w:ascii="Arial" w:hAnsi="Arial" w:cs="Arial"/>
        </w:rPr>
      </w:pPr>
      <w:r w:rsidRPr="009E0E36">
        <w:rPr>
          <w:rFonts w:ascii="Arial" w:hAnsi="Arial" w:cs="Arial"/>
        </w:rPr>
        <w:t xml:space="preserve">Arain, M.A., Ahmad, A., Chiu, V. and Kembel, </w:t>
      </w:r>
      <w:proofErr w:type="gramStart"/>
      <w:r w:rsidRPr="009E0E36">
        <w:rPr>
          <w:rFonts w:ascii="Arial" w:hAnsi="Arial" w:cs="Arial"/>
        </w:rPr>
        <w:t>L.,</w:t>
      </w:r>
      <w:proofErr w:type="gramEnd"/>
      <w:r w:rsidRPr="009E0E36">
        <w:rPr>
          <w:rFonts w:ascii="Arial" w:hAnsi="Arial" w:cs="Arial"/>
        </w:rPr>
        <w:t xml:space="preserve"> </w:t>
      </w:r>
      <w:r w:rsidR="00EA6F88">
        <w:rPr>
          <w:rFonts w:ascii="Arial" w:hAnsi="Arial" w:cs="Arial"/>
        </w:rPr>
        <w:t>(</w:t>
      </w:r>
      <w:r w:rsidRPr="009E0E36">
        <w:rPr>
          <w:rFonts w:ascii="Arial" w:hAnsi="Arial" w:cs="Arial"/>
        </w:rPr>
        <w:t>2021</w:t>
      </w:r>
      <w:r w:rsidR="00EA6F88">
        <w:rPr>
          <w:rFonts w:ascii="Arial" w:hAnsi="Arial" w:cs="Arial"/>
        </w:rPr>
        <w:t>)</w:t>
      </w:r>
      <w:r w:rsidRPr="009E0E36">
        <w:rPr>
          <w:rFonts w:ascii="Arial" w:hAnsi="Arial" w:cs="Arial"/>
        </w:rPr>
        <w:t xml:space="preserve">. Medication adherence </w:t>
      </w:r>
      <w:proofErr w:type="gramStart"/>
      <w:r w:rsidRPr="009E0E36">
        <w:rPr>
          <w:rFonts w:ascii="Arial" w:hAnsi="Arial" w:cs="Arial"/>
        </w:rPr>
        <w:t>support of</w:t>
      </w:r>
      <w:proofErr w:type="gramEnd"/>
      <w:r w:rsidRPr="009E0E36">
        <w:rPr>
          <w:rFonts w:ascii="Arial" w:hAnsi="Arial" w:cs="Arial"/>
        </w:rPr>
        <w:t xml:space="preserve"> an in-home electronic medication dispensing system for individuals living with chronic conditions: a pilot </w:t>
      </w:r>
      <w:proofErr w:type="spellStart"/>
      <w:r w:rsidRPr="009E0E36">
        <w:rPr>
          <w:rFonts w:ascii="Arial" w:hAnsi="Arial" w:cs="Arial"/>
        </w:rPr>
        <w:t>randomised</w:t>
      </w:r>
      <w:proofErr w:type="spellEnd"/>
      <w:r w:rsidRPr="009E0E36">
        <w:rPr>
          <w:rFonts w:ascii="Arial" w:hAnsi="Arial" w:cs="Arial"/>
        </w:rPr>
        <w:t xml:space="preserve"> controlled trial. </w:t>
      </w:r>
      <w:r w:rsidRPr="00720D8C">
        <w:rPr>
          <w:rFonts w:ascii="Arial" w:hAnsi="Arial" w:cs="Arial"/>
          <w:i/>
          <w:iCs/>
        </w:rPr>
        <w:t>BMC Geriatrics,</w:t>
      </w:r>
      <w:r w:rsidRPr="009E0E36">
        <w:rPr>
          <w:rFonts w:ascii="Arial" w:hAnsi="Arial" w:cs="Arial"/>
        </w:rPr>
        <w:t xml:space="preserve"> 21, article 56. Available at: </w:t>
      </w:r>
      <w:hyperlink r:id="rId13" w:history="1">
        <w:r w:rsidR="001A7C9E" w:rsidRPr="00823F7C">
          <w:rPr>
            <w:rStyle w:val="Hyperlink"/>
            <w:rFonts w:ascii="Arial" w:hAnsi="Arial" w:cs="Arial"/>
          </w:rPr>
          <w:t>https://link.springer.com/article/10.1186/s12877-020-01979-w</w:t>
        </w:r>
      </w:hyperlink>
      <w:r w:rsidR="001A7C9E">
        <w:rPr>
          <w:rFonts w:ascii="Arial" w:hAnsi="Arial" w:cs="Arial"/>
        </w:rPr>
        <w:t xml:space="preserve"> (</w:t>
      </w:r>
      <w:r w:rsidRPr="009E0E36">
        <w:rPr>
          <w:rFonts w:ascii="Arial" w:hAnsi="Arial" w:cs="Arial"/>
        </w:rPr>
        <w:t>Accessed</w:t>
      </w:r>
      <w:r w:rsidR="00715AC9">
        <w:rPr>
          <w:rFonts w:ascii="Arial" w:hAnsi="Arial" w:cs="Arial"/>
        </w:rPr>
        <w:t>:</w:t>
      </w:r>
      <w:r w:rsidR="001A7C9E">
        <w:rPr>
          <w:rFonts w:ascii="Arial" w:hAnsi="Arial" w:cs="Arial"/>
        </w:rPr>
        <w:t xml:space="preserve"> 12 </w:t>
      </w:r>
      <w:r w:rsidRPr="009E0E36">
        <w:rPr>
          <w:rFonts w:ascii="Arial" w:hAnsi="Arial" w:cs="Arial"/>
        </w:rPr>
        <w:t>July 2026</w:t>
      </w:r>
      <w:r w:rsidR="001A7C9E">
        <w:rPr>
          <w:rFonts w:ascii="Arial" w:hAnsi="Arial" w:cs="Arial"/>
        </w:rPr>
        <w:t>).</w:t>
      </w:r>
    </w:p>
    <w:p w14:paraId="7DD71235" w14:textId="78B12462" w:rsidR="009E0E36" w:rsidRPr="009E0E36" w:rsidRDefault="009E0E36" w:rsidP="00715AC9">
      <w:pPr>
        <w:jc w:val="both"/>
        <w:rPr>
          <w:rFonts w:ascii="Arial" w:hAnsi="Arial" w:cs="Arial"/>
        </w:rPr>
      </w:pPr>
      <w:r w:rsidRPr="009E0E36">
        <w:rPr>
          <w:rFonts w:ascii="Arial" w:hAnsi="Arial" w:cs="Arial"/>
        </w:rPr>
        <w:t xml:space="preserve">Armitage, L.C., </w:t>
      </w:r>
      <w:proofErr w:type="spellStart"/>
      <w:r w:rsidRPr="009E0E36">
        <w:rPr>
          <w:rFonts w:ascii="Arial" w:hAnsi="Arial" w:cs="Arial"/>
        </w:rPr>
        <w:t>Kassavou</w:t>
      </w:r>
      <w:proofErr w:type="spellEnd"/>
      <w:r w:rsidRPr="009E0E36">
        <w:rPr>
          <w:rFonts w:ascii="Arial" w:hAnsi="Arial" w:cs="Arial"/>
        </w:rPr>
        <w:t xml:space="preserve">, A. and Sutton, S., </w:t>
      </w:r>
      <w:r w:rsidR="00EA6F88">
        <w:rPr>
          <w:rFonts w:ascii="Arial" w:hAnsi="Arial" w:cs="Arial"/>
        </w:rPr>
        <w:t>(</w:t>
      </w:r>
      <w:r w:rsidRPr="009E0E36">
        <w:rPr>
          <w:rFonts w:ascii="Arial" w:hAnsi="Arial" w:cs="Arial"/>
        </w:rPr>
        <w:t>2020</w:t>
      </w:r>
      <w:r w:rsidR="00EA6F88">
        <w:rPr>
          <w:rFonts w:ascii="Arial" w:hAnsi="Arial" w:cs="Arial"/>
        </w:rPr>
        <w:t>)</w:t>
      </w:r>
      <w:r w:rsidRPr="009E0E36">
        <w:rPr>
          <w:rFonts w:ascii="Arial" w:hAnsi="Arial" w:cs="Arial"/>
        </w:rPr>
        <w:t xml:space="preserve">. Do mobile device apps designed to support medication adherence demonstrate efficacy? A systematic review of </w:t>
      </w:r>
      <w:proofErr w:type="spellStart"/>
      <w:r w:rsidRPr="009E0E36">
        <w:rPr>
          <w:rFonts w:ascii="Arial" w:hAnsi="Arial" w:cs="Arial"/>
        </w:rPr>
        <w:t>randomised</w:t>
      </w:r>
      <w:proofErr w:type="spellEnd"/>
      <w:r w:rsidRPr="009E0E36">
        <w:rPr>
          <w:rFonts w:ascii="Arial" w:hAnsi="Arial" w:cs="Arial"/>
        </w:rPr>
        <w:t xml:space="preserve"> controlled trials, with meta-analysis. </w:t>
      </w:r>
      <w:r w:rsidRPr="00715AC9">
        <w:rPr>
          <w:rFonts w:ascii="Arial" w:hAnsi="Arial" w:cs="Arial"/>
          <w:i/>
          <w:iCs/>
        </w:rPr>
        <w:t>BMJ Open</w:t>
      </w:r>
      <w:r w:rsidRPr="009E0E36">
        <w:rPr>
          <w:rFonts w:ascii="Arial" w:hAnsi="Arial" w:cs="Arial"/>
        </w:rPr>
        <w:t xml:space="preserve">, 10(1), article e032045. Available at: </w:t>
      </w:r>
      <w:hyperlink r:id="rId14" w:history="1">
        <w:r w:rsidR="00715AC9" w:rsidRPr="00823F7C">
          <w:rPr>
            <w:rStyle w:val="Hyperlink"/>
            <w:rFonts w:ascii="Arial" w:hAnsi="Arial" w:cs="Arial"/>
          </w:rPr>
          <w:t>https://bmjopen.bmj.com/content/10/1/e032045</w:t>
        </w:r>
      </w:hyperlink>
      <w:r w:rsidR="00715AC9">
        <w:rPr>
          <w:rFonts w:ascii="Arial" w:hAnsi="Arial" w:cs="Arial"/>
        </w:rPr>
        <w:t xml:space="preserve"> (</w:t>
      </w:r>
      <w:r w:rsidRPr="009E0E36">
        <w:rPr>
          <w:rFonts w:ascii="Arial" w:hAnsi="Arial" w:cs="Arial"/>
        </w:rPr>
        <w:t>Accessed</w:t>
      </w:r>
      <w:r w:rsidR="00715AC9">
        <w:rPr>
          <w:rFonts w:ascii="Arial" w:hAnsi="Arial" w:cs="Arial"/>
        </w:rPr>
        <w:t>: 11</w:t>
      </w:r>
      <w:r w:rsidRPr="009E0E36">
        <w:rPr>
          <w:rFonts w:ascii="Arial" w:hAnsi="Arial" w:cs="Arial"/>
        </w:rPr>
        <w:t xml:space="preserve"> July 2026</w:t>
      </w:r>
      <w:r w:rsidR="00715AC9">
        <w:rPr>
          <w:rFonts w:ascii="Arial" w:hAnsi="Arial" w:cs="Arial"/>
        </w:rPr>
        <w:t>).</w:t>
      </w:r>
    </w:p>
    <w:p w14:paraId="61E5BCD2" w14:textId="72EC94E6" w:rsidR="00EF2A80" w:rsidRDefault="00EF2A80" w:rsidP="00912115">
      <w:pPr>
        <w:jc w:val="both"/>
        <w:rPr>
          <w:rFonts w:ascii="Arial" w:hAnsi="Arial" w:cs="Arial"/>
        </w:rPr>
      </w:pPr>
      <w:r w:rsidRPr="00EF2A80">
        <w:rPr>
          <w:rFonts w:ascii="Arial" w:hAnsi="Arial" w:cs="Arial"/>
        </w:rPr>
        <w:t xml:space="preserve">Das, D.C., Rony, M.K.K., Dutta, S., </w:t>
      </w:r>
      <w:proofErr w:type="spellStart"/>
      <w:r w:rsidRPr="00EF2A80">
        <w:rPr>
          <w:rFonts w:ascii="Arial" w:hAnsi="Arial" w:cs="Arial"/>
        </w:rPr>
        <w:t>Zujbe</w:t>
      </w:r>
      <w:proofErr w:type="spellEnd"/>
      <w:r w:rsidRPr="00EF2A80">
        <w:rPr>
          <w:rFonts w:ascii="Arial" w:hAnsi="Arial" w:cs="Arial"/>
        </w:rPr>
        <w:t xml:space="preserve">, M.S.A.Z., Bhattacharjee, T., Debnath, N., Maruf, S.A., </w:t>
      </w:r>
      <w:proofErr w:type="spellStart"/>
      <w:r w:rsidRPr="00EF2A80">
        <w:rPr>
          <w:rFonts w:ascii="Arial" w:hAnsi="Arial" w:cs="Arial"/>
        </w:rPr>
        <w:t>Mortuza</w:t>
      </w:r>
      <w:proofErr w:type="spellEnd"/>
      <w:r w:rsidRPr="00EF2A80">
        <w:rPr>
          <w:rFonts w:ascii="Arial" w:hAnsi="Arial" w:cs="Arial"/>
        </w:rPr>
        <w:t xml:space="preserve">, C.G., Rahman, F. and Das, A., </w:t>
      </w:r>
      <w:r w:rsidR="00EA6F88">
        <w:rPr>
          <w:rFonts w:ascii="Arial" w:hAnsi="Arial" w:cs="Arial"/>
        </w:rPr>
        <w:t>(</w:t>
      </w:r>
      <w:r w:rsidRPr="00EF2A80">
        <w:rPr>
          <w:rFonts w:ascii="Arial" w:hAnsi="Arial" w:cs="Arial"/>
        </w:rPr>
        <w:t>2026</w:t>
      </w:r>
      <w:r w:rsidR="00EA6F88">
        <w:rPr>
          <w:rFonts w:ascii="Arial" w:hAnsi="Arial" w:cs="Arial"/>
        </w:rPr>
        <w:t>)</w:t>
      </w:r>
      <w:r w:rsidRPr="00EF2A80">
        <w:rPr>
          <w:rFonts w:ascii="Arial" w:hAnsi="Arial" w:cs="Arial"/>
        </w:rPr>
        <w:t xml:space="preserve">. The role of artificial intelligence in medication management for older adults: a systematic review. </w:t>
      </w:r>
      <w:r w:rsidRPr="001C3BB4">
        <w:rPr>
          <w:rFonts w:ascii="Arial" w:hAnsi="Arial" w:cs="Arial"/>
          <w:i/>
          <w:iCs/>
        </w:rPr>
        <w:t>Aging Medicine,</w:t>
      </w:r>
      <w:r w:rsidRPr="00EF2A80">
        <w:rPr>
          <w:rFonts w:ascii="Arial" w:hAnsi="Arial" w:cs="Arial"/>
        </w:rPr>
        <w:t xml:space="preserve"> 9(2), pp.196–213. Available at: </w:t>
      </w:r>
      <w:hyperlink r:id="rId15" w:history="1">
        <w:r w:rsidR="0073617B" w:rsidRPr="00823F7C">
          <w:rPr>
            <w:rStyle w:val="Hyperlink"/>
            <w:rFonts w:ascii="Arial" w:hAnsi="Arial" w:cs="Arial"/>
          </w:rPr>
          <w:t>https://onlinelibrary.wiley.com/doi/10.1002/agm2.70074</w:t>
        </w:r>
      </w:hyperlink>
      <w:r w:rsidR="0073617B">
        <w:rPr>
          <w:rFonts w:ascii="Arial" w:hAnsi="Arial" w:cs="Arial"/>
        </w:rPr>
        <w:t xml:space="preserve"> (Accessed: 12 July 2026).</w:t>
      </w:r>
    </w:p>
    <w:p w14:paraId="11340E6D" w14:textId="5653079A" w:rsidR="009E0E36" w:rsidRPr="009E0E36" w:rsidRDefault="009E0E36" w:rsidP="00912115">
      <w:pPr>
        <w:jc w:val="both"/>
        <w:rPr>
          <w:rFonts w:ascii="Arial" w:hAnsi="Arial" w:cs="Arial"/>
        </w:rPr>
      </w:pPr>
      <w:r w:rsidRPr="009E0E36">
        <w:rPr>
          <w:rFonts w:ascii="Arial" w:hAnsi="Arial" w:cs="Arial"/>
        </w:rPr>
        <w:t xml:space="preserve">Faisal, S., Ivo, J. and Patel, T., </w:t>
      </w:r>
      <w:r w:rsidR="00EA6F88">
        <w:rPr>
          <w:rFonts w:ascii="Arial" w:hAnsi="Arial" w:cs="Arial"/>
        </w:rPr>
        <w:t>(</w:t>
      </w:r>
      <w:r w:rsidRPr="009E0E36">
        <w:rPr>
          <w:rFonts w:ascii="Arial" w:hAnsi="Arial" w:cs="Arial"/>
        </w:rPr>
        <w:t>2021</w:t>
      </w:r>
      <w:r w:rsidR="00EA6F88">
        <w:rPr>
          <w:rFonts w:ascii="Arial" w:hAnsi="Arial" w:cs="Arial"/>
        </w:rPr>
        <w:t>)</w:t>
      </w:r>
      <w:r w:rsidRPr="009E0E36">
        <w:rPr>
          <w:rFonts w:ascii="Arial" w:hAnsi="Arial" w:cs="Arial"/>
        </w:rPr>
        <w:t xml:space="preserve">. A review of features and characteristics of smart medication adherence products. </w:t>
      </w:r>
      <w:r w:rsidRPr="00073212">
        <w:rPr>
          <w:rFonts w:ascii="Arial" w:hAnsi="Arial" w:cs="Arial"/>
          <w:i/>
          <w:iCs/>
        </w:rPr>
        <w:t>Canadian Pharmacists Journal</w:t>
      </w:r>
      <w:r w:rsidRPr="009E0E36">
        <w:rPr>
          <w:rFonts w:ascii="Arial" w:hAnsi="Arial" w:cs="Arial"/>
        </w:rPr>
        <w:t xml:space="preserve">, 154(5), pp.312–323. Available at: </w:t>
      </w:r>
      <w:hyperlink r:id="rId16" w:history="1">
        <w:r w:rsidR="00912115" w:rsidRPr="00823F7C">
          <w:rPr>
            <w:rStyle w:val="Hyperlink"/>
            <w:rFonts w:ascii="Arial" w:hAnsi="Arial" w:cs="Arial"/>
          </w:rPr>
          <w:t>https://journals.sagepub.com/doi/10.1177/17151635211034198</w:t>
        </w:r>
      </w:hyperlink>
      <w:r w:rsidR="00912115">
        <w:rPr>
          <w:rFonts w:ascii="Arial" w:hAnsi="Arial" w:cs="Arial"/>
        </w:rPr>
        <w:t xml:space="preserve"> (</w:t>
      </w:r>
      <w:r w:rsidRPr="009E0E36">
        <w:rPr>
          <w:rFonts w:ascii="Arial" w:hAnsi="Arial" w:cs="Arial"/>
        </w:rPr>
        <w:t xml:space="preserve">Accessed </w:t>
      </w:r>
      <w:r w:rsidR="00912115">
        <w:rPr>
          <w:rFonts w:ascii="Arial" w:hAnsi="Arial" w:cs="Arial"/>
        </w:rPr>
        <w:t xml:space="preserve">13 </w:t>
      </w:r>
      <w:r w:rsidRPr="009E0E36">
        <w:rPr>
          <w:rFonts w:ascii="Arial" w:hAnsi="Arial" w:cs="Arial"/>
        </w:rPr>
        <w:t>July 2026</w:t>
      </w:r>
      <w:r w:rsidR="00912115">
        <w:rPr>
          <w:rFonts w:ascii="Arial" w:hAnsi="Arial" w:cs="Arial"/>
        </w:rPr>
        <w:t>)</w:t>
      </w:r>
      <w:r w:rsidRPr="009E0E36">
        <w:rPr>
          <w:rFonts w:ascii="Arial" w:hAnsi="Arial" w:cs="Arial"/>
        </w:rPr>
        <w:t>.</w:t>
      </w:r>
    </w:p>
    <w:p w14:paraId="151A30FC" w14:textId="1A037A36" w:rsidR="009E0E36" w:rsidRPr="009E0E36" w:rsidRDefault="009E0E36" w:rsidP="009E0E36">
      <w:pPr>
        <w:rPr>
          <w:rFonts w:ascii="Arial" w:hAnsi="Arial" w:cs="Arial"/>
        </w:rPr>
      </w:pPr>
      <w:r w:rsidRPr="009E0E36">
        <w:rPr>
          <w:rFonts w:ascii="Arial" w:hAnsi="Arial" w:cs="Arial"/>
        </w:rPr>
        <w:t xml:space="preserve">Faisal, S., </w:t>
      </w:r>
      <w:proofErr w:type="spellStart"/>
      <w:r w:rsidRPr="009E0E36">
        <w:rPr>
          <w:rFonts w:ascii="Arial" w:hAnsi="Arial" w:cs="Arial"/>
        </w:rPr>
        <w:t>Samoth</w:t>
      </w:r>
      <w:proofErr w:type="spellEnd"/>
      <w:r w:rsidRPr="009E0E36">
        <w:rPr>
          <w:rFonts w:ascii="Arial" w:hAnsi="Arial" w:cs="Arial"/>
        </w:rPr>
        <w:t xml:space="preserve">, D., Aslam, Y., Patel, H., Park, S., Baby, B. and Patel, T., </w:t>
      </w:r>
      <w:r w:rsidR="00EA6F88">
        <w:rPr>
          <w:rFonts w:ascii="Arial" w:hAnsi="Arial" w:cs="Arial"/>
        </w:rPr>
        <w:t>(</w:t>
      </w:r>
      <w:r w:rsidRPr="009E0E36">
        <w:rPr>
          <w:rFonts w:ascii="Arial" w:hAnsi="Arial" w:cs="Arial"/>
        </w:rPr>
        <w:t>2023.</w:t>
      </w:r>
      <w:r w:rsidR="00EA6F88">
        <w:rPr>
          <w:rFonts w:ascii="Arial" w:hAnsi="Arial" w:cs="Arial"/>
        </w:rPr>
        <w:t>)</w:t>
      </w:r>
      <w:r w:rsidRPr="009E0E36">
        <w:rPr>
          <w:rFonts w:ascii="Arial" w:hAnsi="Arial" w:cs="Arial"/>
        </w:rPr>
        <w:t xml:space="preserve"> Key features of smart medication adherence products: updated scoping review. </w:t>
      </w:r>
      <w:r w:rsidRPr="00775686">
        <w:rPr>
          <w:rFonts w:ascii="Arial" w:hAnsi="Arial" w:cs="Arial"/>
          <w:i/>
          <w:iCs/>
        </w:rPr>
        <w:t>JMIR Aging</w:t>
      </w:r>
      <w:r w:rsidRPr="009E0E36">
        <w:rPr>
          <w:rFonts w:ascii="Arial" w:hAnsi="Arial" w:cs="Arial"/>
        </w:rPr>
        <w:t>, 6, article e50990. Available at:</w:t>
      </w:r>
      <w:r w:rsidR="00C73393" w:rsidRPr="00C73393">
        <w:t xml:space="preserve"> </w:t>
      </w:r>
      <w:hyperlink r:id="rId17" w:history="1">
        <w:r w:rsidR="00C73393" w:rsidRPr="00823F7C">
          <w:rPr>
            <w:rStyle w:val="Hyperlink"/>
            <w:rFonts w:ascii="Arial" w:hAnsi="Arial" w:cs="Arial"/>
          </w:rPr>
          <w:t>https://aging.jmir.org/2023/1/e50990</w:t>
        </w:r>
      </w:hyperlink>
      <w:r w:rsidR="00C73393">
        <w:rPr>
          <w:rFonts w:ascii="Arial" w:hAnsi="Arial" w:cs="Arial"/>
        </w:rPr>
        <w:t xml:space="preserve"> (</w:t>
      </w:r>
      <w:r w:rsidRPr="009E0E36">
        <w:rPr>
          <w:rFonts w:ascii="Arial" w:hAnsi="Arial" w:cs="Arial"/>
        </w:rPr>
        <w:t>Accessed</w:t>
      </w:r>
      <w:r w:rsidR="002C7DFC">
        <w:rPr>
          <w:rFonts w:ascii="Arial" w:hAnsi="Arial" w:cs="Arial"/>
        </w:rPr>
        <w:t xml:space="preserve">: </w:t>
      </w:r>
      <w:r w:rsidRPr="009E0E36">
        <w:rPr>
          <w:rFonts w:ascii="Arial" w:hAnsi="Arial" w:cs="Arial"/>
        </w:rPr>
        <w:t xml:space="preserve"> </w:t>
      </w:r>
      <w:r w:rsidR="001C3BB4">
        <w:rPr>
          <w:rFonts w:ascii="Arial" w:hAnsi="Arial" w:cs="Arial"/>
        </w:rPr>
        <w:t xml:space="preserve">22 </w:t>
      </w:r>
      <w:r w:rsidRPr="009E0E36">
        <w:rPr>
          <w:rFonts w:ascii="Arial" w:hAnsi="Arial" w:cs="Arial"/>
        </w:rPr>
        <w:t>July 2026</w:t>
      </w:r>
      <w:r w:rsidR="00C73393">
        <w:rPr>
          <w:rFonts w:ascii="Arial" w:hAnsi="Arial" w:cs="Arial"/>
        </w:rPr>
        <w:t>).</w:t>
      </w:r>
    </w:p>
    <w:p w14:paraId="7B7B2F9E" w14:textId="0B4DB63D" w:rsidR="00BE430F" w:rsidRPr="00BE430F" w:rsidRDefault="00BE430F" w:rsidP="001B1144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Jeon, H.O., Chae, M-O. and Kim, A., </w:t>
      </w:r>
      <w:r w:rsidR="00EA6F88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2022</w:t>
      </w:r>
      <w:r w:rsidR="00EA6F88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 Effects of medication adherence interventions for older adults with chronic illnesses: a systematic review and meta-analysis</w:t>
      </w:r>
      <w:r w:rsidRPr="00D30455">
        <w:rPr>
          <w:rFonts w:ascii="Arial" w:hAnsi="Arial" w:cs="Arial"/>
          <w:i/>
          <w:iCs/>
        </w:rPr>
        <w:t xml:space="preserve">. </w:t>
      </w:r>
      <w:proofErr w:type="spellStart"/>
      <w:r w:rsidRPr="00D30455">
        <w:rPr>
          <w:rFonts w:ascii="Arial" w:hAnsi="Arial" w:cs="Arial"/>
          <w:i/>
          <w:iCs/>
        </w:rPr>
        <w:t>Osong</w:t>
      </w:r>
      <w:proofErr w:type="spellEnd"/>
      <w:r w:rsidRPr="00D30455">
        <w:rPr>
          <w:rFonts w:ascii="Arial" w:hAnsi="Arial" w:cs="Arial"/>
          <w:i/>
          <w:iCs/>
        </w:rPr>
        <w:t xml:space="preserve"> Public Health and Research Perspectives</w:t>
      </w:r>
      <w:r w:rsidRPr="00BE430F">
        <w:rPr>
          <w:rFonts w:ascii="Arial" w:hAnsi="Arial" w:cs="Arial"/>
        </w:rPr>
        <w:t>, 13(5), pp.328–340. Available at:</w:t>
      </w:r>
      <w:r w:rsidR="001B1144" w:rsidRPr="001B1144">
        <w:t xml:space="preserve"> </w:t>
      </w:r>
      <w:hyperlink r:id="rId18" w:history="1">
        <w:r w:rsidR="001B1144" w:rsidRPr="00823F7C">
          <w:rPr>
            <w:rStyle w:val="Hyperlink"/>
            <w:rFonts w:ascii="Arial" w:hAnsi="Arial" w:cs="Arial"/>
          </w:rPr>
          <w:t>https://ophrp.org/journal/view.php?doi=10.24171/j.phrp.2022.0168</w:t>
        </w:r>
      </w:hyperlink>
      <w:r w:rsidR="001B1144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2C7DFC">
        <w:rPr>
          <w:rFonts w:ascii="Arial" w:hAnsi="Arial" w:cs="Arial"/>
        </w:rPr>
        <w:t xml:space="preserve">: </w:t>
      </w:r>
      <w:r w:rsidR="001B1144">
        <w:rPr>
          <w:rFonts w:ascii="Arial" w:hAnsi="Arial" w:cs="Arial"/>
        </w:rPr>
        <w:t xml:space="preserve">14 </w:t>
      </w:r>
      <w:r w:rsidRPr="00BE430F">
        <w:rPr>
          <w:rFonts w:ascii="Arial" w:hAnsi="Arial" w:cs="Arial"/>
        </w:rPr>
        <w:t>July 2026</w:t>
      </w:r>
      <w:r w:rsidR="001B1144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3FDEC1A6" w14:textId="3B65A89C" w:rsidR="00BE430F" w:rsidRPr="00BE430F" w:rsidRDefault="00BE430F" w:rsidP="001B1144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Li, C., </w:t>
      </w:r>
      <w:proofErr w:type="spellStart"/>
      <w:r w:rsidRPr="00BE430F">
        <w:rPr>
          <w:rFonts w:ascii="Arial" w:hAnsi="Arial" w:cs="Arial"/>
        </w:rPr>
        <w:t>Neugroschl</w:t>
      </w:r>
      <w:proofErr w:type="spellEnd"/>
      <w:r w:rsidRPr="00BE430F">
        <w:rPr>
          <w:rFonts w:ascii="Arial" w:hAnsi="Arial" w:cs="Arial"/>
        </w:rPr>
        <w:t xml:space="preserve">, J., Zhu, C.W., </w:t>
      </w:r>
      <w:proofErr w:type="spellStart"/>
      <w:r w:rsidRPr="00BE430F">
        <w:rPr>
          <w:rFonts w:ascii="Arial" w:hAnsi="Arial" w:cs="Arial"/>
        </w:rPr>
        <w:t>Aloysi</w:t>
      </w:r>
      <w:proofErr w:type="spellEnd"/>
      <w:r w:rsidRPr="00BE430F">
        <w:rPr>
          <w:rFonts w:ascii="Arial" w:hAnsi="Arial" w:cs="Arial"/>
        </w:rPr>
        <w:t xml:space="preserve">, A., Schimming, C.A., Cai, D., Grossman, H., Martin, J., Sewell, M., Loizos, M., Zeng, X. and Sano, M., </w:t>
      </w:r>
      <w:r w:rsidR="00EA6F88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2021</w:t>
      </w:r>
      <w:r w:rsidR="00EA6F88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Design considerations for mobile health applications targeting older adults. </w:t>
      </w:r>
      <w:r w:rsidRPr="00883063">
        <w:rPr>
          <w:rFonts w:ascii="Arial" w:hAnsi="Arial" w:cs="Arial"/>
          <w:i/>
          <w:iCs/>
        </w:rPr>
        <w:t>Journal of Alzheimer’s Disease,</w:t>
      </w:r>
      <w:r w:rsidRPr="00BE430F">
        <w:rPr>
          <w:rFonts w:ascii="Arial" w:hAnsi="Arial" w:cs="Arial"/>
        </w:rPr>
        <w:t xml:space="preserve"> 79(1), pp.1–8. Available at:</w:t>
      </w:r>
      <w:r w:rsidR="002C7DFC">
        <w:t xml:space="preserve"> </w:t>
      </w:r>
      <w:hyperlink r:id="rId19" w:history="1">
        <w:r w:rsidR="002C7DFC" w:rsidRPr="00823F7C">
          <w:rPr>
            <w:rStyle w:val="Hyperlink"/>
            <w:rFonts w:ascii="Arial" w:hAnsi="Arial" w:cs="Arial"/>
          </w:rPr>
          <w:t>https://journals.sagepub.com/doi/abs/10.3233/JAD-200485</w:t>
        </w:r>
      </w:hyperlink>
      <w:r w:rsidR="002C7DFC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2C7DFC">
        <w:rPr>
          <w:rFonts w:ascii="Arial" w:hAnsi="Arial" w:cs="Arial"/>
        </w:rPr>
        <w:t>: 22</w:t>
      </w:r>
      <w:r w:rsidRPr="00BE430F">
        <w:rPr>
          <w:rFonts w:ascii="Arial" w:hAnsi="Arial" w:cs="Arial"/>
        </w:rPr>
        <w:t xml:space="preserve"> July 2026</w:t>
      </w:r>
      <w:r w:rsidR="002C7DFC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5FB7E3E1" w14:textId="5DBEC448" w:rsidR="00BE430F" w:rsidRPr="00BE430F" w:rsidRDefault="00BE430F" w:rsidP="001653D2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lastRenderedPageBreak/>
        <w:t xml:space="preserve">Liu, N., Yin, J., Tan, S.S-L., Ngiam, K.Y. and Teo, H.H., </w:t>
      </w:r>
      <w:r w:rsidR="00EA6F88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2021</w:t>
      </w:r>
      <w:r w:rsidR="00EA6F88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Mobile health applications for older adults: a systematic review of interface and persuasive feature design. </w:t>
      </w:r>
      <w:r w:rsidRPr="009B0C07">
        <w:rPr>
          <w:rFonts w:ascii="Arial" w:hAnsi="Arial" w:cs="Arial"/>
          <w:i/>
          <w:iCs/>
        </w:rPr>
        <w:t>Journal of the American Medical Informatics Association</w:t>
      </w:r>
      <w:r w:rsidRPr="00BE430F">
        <w:rPr>
          <w:rFonts w:ascii="Arial" w:hAnsi="Arial" w:cs="Arial"/>
        </w:rPr>
        <w:t xml:space="preserve">, 28(11), pp.2483–2501. Available at: </w:t>
      </w:r>
      <w:hyperlink r:id="rId20" w:history="1">
        <w:r w:rsidR="001653D2" w:rsidRPr="00823F7C">
          <w:rPr>
            <w:rStyle w:val="Hyperlink"/>
            <w:rFonts w:ascii="Arial" w:hAnsi="Arial" w:cs="Arial"/>
          </w:rPr>
          <w:t>https://academic.oup.com/jamia/article-abstract/28/11/2483/6362566?redirectedFrom=fulltext</w:t>
        </w:r>
      </w:hyperlink>
      <w:r w:rsidR="001653D2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1653D2">
        <w:rPr>
          <w:rFonts w:ascii="Arial" w:hAnsi="Arial" w:cs="Arial"/>
        </w:rPr>
        <w:t xml:space="preserve">: </w:t>
      </w:r>
      <w:r w:rsidR="00534A2D">
        <w:rPr>
          <w:rFonts w:ascii="Arial" w:hAnsi="Arial" w:cs="Arial"/>
        </w:rPr>
        <w:t xml:space="preserve">15 </w:t>
      </w:r>
      <w:r w:rsidRPr="00BE430F">
        <w:rPr>
          <w:rFonts w:ascii="Arial" w:hAnsi="Arial" w:cs="Arial"/>
        </w:rPr>
        <w:t>July 2026</w:t>
      </w:r>
      <w:r w:rsidR="001653D2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2CAE2221" w14:textId="676E582F" w:rsidR="00BE430F" w:rsidRPr="00BE430F" w:rsidRDefault="00BE430F" w:rsidP="00447D1A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Marcolino, M.S., Oliveira, J.A.Q., D’Agostino, M., Ribeiro, A.L., </w:t>
      </w:r>
      <w:proofErr w:type="spellStart"/>
      <w:r w:rsidRPr="00BE430F">
        <w:rPr>
          <w:rFonts w:ascii="Arial" w:hAnsi="Arial" w:cs="Arial"/>
        </w:rPr>
        <w:t>Alkmim</w:t>
      </w:r>
      <w:proofErr w:type="spellEnd"/>
      <w:r w:rsidRPr="00BE430F">
        <w:rPr>
          <w:rFonts w:ascii="Arial" w:hAnsi="Arial" w:cs="Arial"/>
        </w:rPr>
        <w:t xml:space="preserve">, M.B.M. and Novillo-Ortiz, D.,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2018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The impact of mHealth interventions: systematic </w:t>
      </w:r>
      <w:proofErr w:type="gramStart"/>
      <w:r w:rsidRPr="00BE430F">
        <w:rPr>
          <w:rFonts w:ascii="Arial" w:hAnsi="Arial" w:cs="Arial"/>
        </w:rPr>
        <w:t>review</w:t>
      </w:r>
      <w:proofErr w:type="gramEnd"/>
      <w:r w:rsidRPr="00BE430F">
        <w:rPr>
          <w:rFonts w:ascii="Arial" w:hAnsi="Arial" w:cs="Arial"/>
        </w:rPr>
        <w:t xml:space="preserve"> of systematic reviews. </w:t>
      </w:r>
      <w:r w:rsidRPr="009B0C07">
        <w:rPr>
          <w:rFonts w:ascii="Arial" w:hAnsi="Arial" w:cs="Arial"/>
          <w:i/>
          <w:iCs/>
        </w:rPr>
        <w:t xml:space="preserve">JMIR mHealth and </w:t>
      </w:r>
      <w:proofErr w:type="spellStart"/>
      <w:r w:rsidRPr="009B0C07">
        <w:rPr>
          <w:rFonts w:ascii="Arial" w:hAnsi="Arial" w:cs="Arial"/>
          <w:i/>
          <w:iCs/>
        </w:rPr>
        <w:t>uHealth</w:t>
      </w:r>
      <w:proofErr w:type="spellEnd"/>
      <w:r w:rsidRPr="00BE430F">
        <w:rPr>
          <w:rFonts w:ascii="Arial" w:hAnsi="Arial" w:cs="Arial"/>
        </w:rPr>
        <w:t xml:space="preserve">, 6(1), article e23. Available at: </w:t>
      </w:r>
      <w:hyperlink r:id="rId21" w:history="1">
        <w:r w:rsidR="005E5DCE" w:rsidRPr="00823F7C">
          <w:rPr>
            <w:rStyle w:val="Hyperlink"/>
            <w:rFonts w:ascii="Arial" w:hAnsi="Arial" w:cs="Arial"/>
          </w:rPr>
          <w:t>https://mhealth.jmir.org/2018/1/e23/</w:t>
        </w:r>
      </w:hyperlink>
      <w:r w:rsidR="005E5DCE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5E5DCE">
        <w:rPr>
          <w:rFonts w:ascii="Arial" w:hAnsi="Arial" w:cs="Arial"/>
        </w:rPr>
        <w:t xml:space="preserve">: </w:t>
      </w:r>
      <w:r w:rsidR="00447D1A">
        <w:rPr>
          <w:rFonts w:ascii="Arial" w:hAnsi="Arial" w:cs="Arial"/>
        </w:rPr>
        <w:t>10</w:t>
      </w:r>
      <w:r w:rsidRPr="00BE430F">
        <w:rPr>
          <w:rFonts w:ascii="Arial" w:hAnsi="Arial" w:cs="Arial"/>
        </w:rPr>
        <w:t xml:space="preserve"> July 2026</w:t>
      </w:r>
      <w:r w:rsidR="00447D1A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2F601B57" w14:textId="3C55323A" w:rsidR="00BE430F" w:rsidRPr="00BE430F" w:rsidRDefault="00BE430F" w:rsidP="00447D1A">
      <w:pPr>
        <w:jc w:val="both"/>
        <w:rPr>
          <w:rFonts w:ascii="Arial" w:hAnsi="Arial" w:cs="Arial"/>
        </w:rPr>
      </w:pPr>
      <w:proofErr w:type="spellStart"/>
      <w:r w:rsidRPr="00BE430F">
        <w:rPr>
          <w:rFonts w:ascii="Arial" w:hAnsi="Arial" w:cs="Arial"/>
        </w:rPr>
        <w:t>Mehany</w:t>
      </w:r>
      <w:proofErr w:type="spellEnd"/>
      <w:r w:rsidRPr="00BE430F">
        <w:rPr>
          <w:rFonts w:ascii="Arial" w:hAnsi="Arial" w:cs="Arial"/>
        </w:rPr>
        <w:t xml:space="preserve">, O., Artner, A., Sebők, S., Hankó, B. and </w:t>
      </w:r>
      <w:proofErr w:type="spellStart"/>
      <w:r w:rsidRPr="00BE430F">
        <w:rPr>
          <w:rFonts w:ascii="Arial" w:hAnsi="Arial" w:cs="Arial"/>
        </w:rPr>
        <w:t>Zelkó</w:t>
      </w:r>
      <w:proofErr w:type="spellEnd"/>
      <w:r w:rsidRPr="00BE430F">
        <w:rPr>
          <w:rFonts w:ascii="Arial" w:hAnsi="Arial" w:cs="Arial"/>
        </w:rPr>
        <w:t xml:space="preserve">, R., 2026. Multilevel interventions to improve medication adherence in older adults: a systematic review and meta-analysis of cognitive, digital, </w:t>
      </w:r>
      <w:proofErr w:type="spellStart"/>
      <w:r w:rsidRPr="00BE430F">
        <w:rPr>
          <w:rFonts w:ascii="Arial" w:hAnsi="Arial" w:cs="Arial"/>
        </w:rPr>
        <w:t>behavioural</w:t>
      </w:r>
      <w:proofErr w:type="spellEnd"/>
      <w:r w:rsidRPr="00BE430F">
        <w:rPr>
          <w:rFonts w:ascii="Arial" w:hAnsi="Arial" w:cs="Arial"/>
        </w:rPr>
        <w:t xml:space="preserve"> and socioeconomic strategies,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2015–2025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</w:t>
      </w:r>
      <w:r w:rsidRPr="002E321D">
        <w:rPr>
          <w:rFonts w:ascii="Arial" w:hAnsi="Arial" w:cs="Arial"/>
          <w:i/>
          <w:iCs/>
        </w:rPr>
        <w:t>Journal of Clinical Medicine,</w:t>
      </w:r>
      <w:r w:rsidRPr="00BE430F">
        <w:rPr>
          <w:rFonts w:ascii="Arial" w:hAnsi="Arial" w:cs="Arial"/>
        </w:rPr>
        <w:t xml:space="preserve"> 15(5), article 2069. Available at: </w:t>
      </w:r>
      <w:hyperlink r:id="rId22" w:history="1">
        <w:r w:rsidR="00B16644" w:rsidRPr="00823F7C">
          <w:rPr>
            <w:rStyle w:val="Hyperlink"/>
            <w:rFonts w:ascii="Arial" w:hAnsi="Arial" w:cs="Arial"/>
          </w:rPr>
          <w:t>https://www.mdpi.com/2077-0383/15/5/2069</w:t>
        </w:r>
      </w:hyperlink>
      <w:r w:rsidR="00B16644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B16644">
        <w:rPr>
          <w:rFonts w:ascii="Arial" w:hAnsi="Arial" w:cs="Arial"/>
        </w:rPr>
        <w:t xml:space="preserve">: 22 </w:t>
      </w:r>
      <w:r w:rsidRPr="00BE430F">
        <w:rPr>
          <w:rFonts w:ascii="Arial" w:hAnsi="Arial" w:cs="Arial"/>
        </w:rPr>
        <w:t>July 2026</w:t>
      </w:r>
      <w:r w:rsidR="00B16644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150599CC" w14:textId="395848C8" w:rsidR="00BE430F" w:rsidRPr="00BE430F" w:rsidRDefault="00BE430F" w:rsidP="008179E2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National Institute for Health and Care Excellence,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2015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Medicines </w:t>
      </w:r>
      <w:proofErr w:type="spellStart"/>
      <w:r w:rsidRPr="00BE430F">
        <w:rPr>
          <w:rFonts w:ascii="Arial" w:hAnsi="Arial" w:cs="Arial"/>
        </w:rPr>
        <w:t>optimisation</w:t>
      </w:r>
      <w:proofErr w:type="spellEnd"/>
      <w:r w:rsidRPr="00BE430F">
        <w:rPr>
          <w:rFonts w:ascii="Arial" w:hAnsi="Arial" w:cs="Arial"/>
        </w:rPr>
        <w:t xml:space="preserve">: </w:t>
      </w:r>
      <w:r w:rsidRPr="00757ED1">
        <w:rPr>
          <w:rFonts w:ascii="Arial" w:hAnsi="Arial" w:cs="Arial"/>
          <w:i/>
          <w:iCs/>
        </w:rPr>
        <w:t>the safe and effective use of medicines to enable the best possible outcomes. NICE Guideline NG5</w:t>
      </w:r>
      <w:r w:rsidRPr="00BE430F">
        <w:rPr>
          <w:rFonts w:ascii="Arial" w:hAnsi="Arial" w:cs="Arial"/>
        </w:rPr>
        <w:t>. London: NICE. Available at:</w:t>
      </w:r>
      <w:r w:rsidR="008179E2" w:rsidRPr="008179E2">
        <w:t xml:space="preserve"> </w:t>
      </w:r>
      <w:hyperlink r:id="rId23" w:history="1">
        <w:r w:rsidR="008179E2" w:rsidRPr="00823F7C">
          <w:rPr>
            <w:rStyle w:val="Hyperlink"/>
            <w:rFonts w:ascii="Arial" w:hAnsi="Arial" w:cs="Arial"/>
          </w:rPr>
          <w:t>https://www.nice.org.uk/guidance/ng5</w:t>
        </w:r>
      </w:hyperlink>
      <w:r w:rsidR="008179E2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8179E2">
        <w:rPr>
          <w:rFonts w:ascii="Arial" w:hAnsi="Arial" w:cs="Arial"/>
        </w:rPr>
        <w:t xml:space="preserve">: 11 </w:t>
      </w:r>
      <w:r w:rsidRPr="00BE430F">
        <w:rPr>
          <w:rFonts w:ascii="Arial" w:hAnsi="Arial" w:cs="Arial"/>
        </w:rPr>
        <w:t>July 2026</w:t>
      </w:r>
      <w:r w:rsidR="008179E2">
        <w:rPr>
          <w:rFonts w:ascii="Arial" w:hAnsi="Arial" w:cs="Arial"/>
        </w:rPr>
        <w:t>).</w:t>
      </w:r>
    </w:p>
    <w:p w14:paraId="12E9DBA3" w14:textId="3D16D10E" w:rsidR="00BE430F" w:rsidRPr="00BE430F" w:rsidRDefault="00BE430F" w:rsidP="000C1BD6">
      <w:pPr>
        <w:jc w:val="both"/>
        <w:rPr>
          <w:rFonts w:ascii="Arial" w:hAnsi="Arial" w:cs="Arial"/>
        </w:rPr>
      </w:pPr>
      <w:proofErr w:type="spellStart"/>
      <w:r w:rsidRPr="00BE430F">
        <w:rPr>
          <w:rFonts w:ascii="Arial" w:hAnsi="Arial" w:cs="Arial"/>
        </w:rPr>
        <w:t>Poorcheraghi</w:t>
      </w:r>
      <w:proofErr w:type="spellEnd"/>
      <w:r w:rsidRPr="00BE430F">
        <w:rPr>
          <w:rFonts w:ascii="Arial" w:hAnsi="Arial" w:cs="Arial"/>
        </w:rPr>
        <w:t xml:space="preserve">, H., </w:t>
      </w:r>
      <w:proofErr w:type="spellStart"/>
      <w:r w:rsidRPr="00BE430F">
        <w:rPr>
          <w:rFonts w:ascii="Arial" w:hAnsi="Arial" w:cs="Arial"/>
        </w:rPr>
        <w:t>Negarandeh</w:t>
      </w:r>
      <w:proofErr w:type="spellEnd"/>
      <w:r w:rsidRPr="00BE430F">
        <w:rPr>
          <w:rFonts w:ascii="Arial" w:hAnsi="Arial" w:cs="Arial"/>
        </w:rPr>
        <w:t xml:space="preserve">, R., </w:t>
      </w:r>
      <w:proofErr w:type="spellStart"/>
      <w:r w:rsidRPr="00BE430F">
        <w:rPr>
          <w:rFonts w:ascii="Arial" w:hAnsi="Arial" w:cs="Arial"/>
        </w:rPr>
        <w:t>Pashaeypoor</w:t>
      </w:r>
      <w:proofErr w:type="spellEnd"/>
      <w:r w:rsidRPr="00BE430F">
        <w:rPr>
          <w:rFonts w:ascii="Arial" w:hAnsi="Arial" w:cs="Arial"/>
        </w:rPr>
        <w:t xml:space="preserve">, S. and Jorian, J.,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2023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Effect of using a mobile drug management application on medication adherence and hospital readmission among elderly patients with polypharmacy: </w:t>
      </w:r>
      <w:r w:rsidRPr="00A341BB">
        <w:rPr>
          <w:rFonts w:ascii="Arial" w:hAnsi="Arial" w:cs="Arial"/>
          <w:i/>
          <w:iCs/>
        </w:rPr>
        <w:t>a randomized controlled trial. BMC Health Services Research</w:t>
      </w:r>
      <w:r w:rsidRPr="00A341BB">
        <w:rPr>
          <w:rFonts w:ascii="Arial" w:hAnsi="Arial" w:cs="Arial"/>
        </w:rPr>
        <w:t>,</w:t>
      </w:r>
      <w:r w:rsidRPr="00BE430F">
        <w:rPr>
          <w:rFonts w:ascii="Arial" w:hAnsi="Arial" w:cs="Arial"/>
        </w:rPr>
        <w:t xml:space="preserve"> 23, article 1192. Available at: </w:t>
      </w:r>
      <w:hyperlink r:id="rId24" w:history="1">
        <w:r w:rsidR="000C1BD6" w:rsidRPr="00823F7C">
          <w:rPr>
            <w:rStyle w:val="Hyperlink"/>
            <w:rFonts w:ascii="Arial" w:hAnsi="Arial" w:cs="Arial"/>
          </w:rPr>
          <w:t>https://link.springer.com/article/10.1186/s12913-023-10177-4</w:t>
        </w:r>
      </w:hyperlink>
      <w:r w:rsidR="000C1BD6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0C1BD6">
        <w:rPr>
          <w:rFonts w:ascii="Arial" w:hAnsi="Arial" w:cs="Arial"/>
        </w:rPr>
        <w:t xml:space="preserve">: 12 </w:t>
      </w:r>
      <w:r w:rsidRPr="00BE430F">
        <w:rPr>
          <w:rFonts w:ascii="Arial" w:hAnsi="Arial" w:cs="Arial"/>
        </w:rPr>
        <w:t>July 2026</w:t>
      </w:r>
      <w:r w:rsidR="000C1BD6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309BBC5B" w14:textId="65541DAF" w:rsidR="00BE430F" w:rsidRPr="00BE430F" w:rsidRDefault="00BE430F" w:rsidP="008B4430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Pratiwi, H., Kristina, S.A., </w:t>
      </w:r>
      <w:proofErr w:type="spellStart"/>
      <w:r w:rsidRPr="00BE430F">
        <w:rPr>
          <w:rFonts w:ascii="Arial" w:hAnsi="Arial" w:cs="Arial"/>
        </w:rPr>
        <w:t>Widayanti</w:t>
      </w:r>
      <w:proofErr w:type="spellEnd"/>
      <w:r w:rsidRPr="00BE430F">
        <w:rPr>
          <w:rFonts w:ascii="Arial" w:hAnsi="Arial" w:cs="Arial"/>
        </w:rPr>
        <w:t xml:space="preserve">, A.W., </w:t>
      </w:r>
      <w:proofErr w:type="spellStart"/>
      <w:r w:rsidRPr="00BE430F">
        <w:rPr>
          <w:rFonts w:ascii="Arial" w:hAnsi="Arial" w:cs="Arial"/>
        </w:rPr>
        <w:t>Prabandari</w:t>
      </w:r>
      <w:proofErr w:type="spellEnd"/>
      <w:r w:rsidRPr="00BE430F">
        <w:rPr>
          <w:rFonts w:ascii="Arial" w:hAnsi="Arial" w:cs="Arial"/>
        </w:rPr>
        <w:t xml:space="preserve">, Y.S. and Kusuma, I.Y.,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2023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A systematic review of compensation and technology-mediated strategies to maintain older adults’ medication adherence. </w:t>
      </w:r>
      <w:r w:rsidRPr="008B4430">
        <w:rPr>
          <w:rFonts w:ascii="Arial" w:hAnsi="Arial" w:cs="Arial"/>
          <w:i/>
          <w:iCs/>
        </w:rPr>
        <w:t>International Journal of Environmental Research and Public Health</w:t>
      </w:r>
      <w:r w:rsidRPr="00BE430F">
        <w:rPr>
          <w:rFonts w:ascii="Arial" w:hAnsi="Arial" w:cs="Arial"/>
        </w:rPr>
        <w:t xml:space="preserve">, 20(1), article 803. Available at: </w:t>
      </w:r>
      <w:hyperlink r:id="rId25" w:history="1">
        <w:r w:rsidR="007E223A" w:rsidRPr="00823F7C">
          <w:rPr>
            <w:rStyle w:val="Hyperlink"/>
            <w:rFonts w:ascii="Arial" w:hAnsi="Arial" w:cs="Arial"/>
          </w:rPr>
          <w:t>https://www.mdpi.com/1660-4601/20/1/803</w:t>
        </w:r>
      </w:hyperlink>
      <w:r w:rsidR="007E223A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7E223A">
        <w:rPr>
          <w:rFonts w:ascii="Arial" w:hAnsi="Arial" w:cs="Arial"/>
        </w:rPr>
        <w:t xml:space="preserve">: </w:t>
      </w:r>
      <w:r w:rsidR="008B4430">
        <w:rPr>
          <w:rFonts w:ascii="Arial" w:hAnsi="Arial" w:cs="Arial"/>
        </w:rPr>
        <w:t xml:space="preserve">14 </w:t>
      </w:r>
      <w:r w:rsidRPr="00BE430F">
        <w:rPr>
          <w:rFonts w:ascii="Arial" w:hAnsi="Arial" w:cs="Arial"/>
        </w:rPr>
        <w:t>July 2026].</w:t>
      </w:r>
    </w:p>
    <w:p w14:paraId="6195B51D" w14:textId="10FBDB87" w:rsidR="00BE430F" w:rsidRPr="00BE430F" w:rsidRDefault="00BE430F" w:rsidP="00F34F20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Scotti, S., Pasina, L., Lunghi, C., Raschi, E., Rossi, A., Olmastroni, E., </w:t>
      </w:r>
      <w:proofErr w:type="spellStart"/>
      <w:r w:rsidRPr="00BE430F">
        <w:rPr>
          <w:rFonts w:ascii="Arial" w:hAnsi="Arial" w:cs="Arial"/>
        </w:rPr>
        <w:t>Salluzzo</w:t>
      </w:r>
      <w:proofErr w:type="spellEnd"/>
      <w:r w:rsidRPr="00BE430F">
        <w:rPr>
          <w:rFonts w:ascii="Arial" w:hAnsi="Arial" w:cs="Arial"/>
        </w:rPr>
        <w:t xml:space="preserve">, M., Mucherino, S., Orlando, V., Nobili, A., Menditto, E., </w:t>
      </w:r>
      <w:proofErr w:type="spellStart"/>
      <w:r w:rsidRPr="00BE430F">
        <w:rPr>
          <w:rFonts w:ascii="Arial" w:hAnsi="Arial" w:cs="Arial"/>
        </w:rPr>
        <w:t>Poluzzi</w:t>
      </w:r>
      <w:proofErr w:type="spellEnd"/>
      <w:r w:rsidRPr="00BE430F">
        <w:rPr>
          <w:rFonts w:ascii="Arial" w:hAnsi="Arial" w:cs="Arial"/>
        </w:rPr>
        <w:t xml:space="preserve">, E. and Casula, M.,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2026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Enhancing medication adherence in older adults: a systematic review of evidence-based strategies. </w:t>
      </w:r>
      <w:r w:rsidRPr="00027741">
        <w:rPr>
          <w:rFonts w:ascii="Arial" w:hAnsi="Arial" w:cs="Arial"/>
          <w:i/>
          <w:iCs/>
        </w:rPr>
        <w:t>Journal of the American Geriatrics Society</w:t>
      </w:r>
      <w:r w:rsidRPr="00BE430F">
        <w:rPr>
          <w:rFonts w:ascii="Arial" w:hAnsi="Arial" w:cs="Arial"/>
        </w:rPr>
        <w:t xml:space="preserve">, 74(2), pp.479–487. Available at: </w:t>
      </w:r>
      <w:hyperlink r:id="rId26" w:history="1">
        <w:r w:rsidR="00F34F20" w:rsidRPr="00823F7C">
          <w:rPr>
            <w:rStyle w:val="Hyperlink"/>
            <w:rFonts w:ascii="Arial" w:hAnsi="Arial" w:cs="Arial"/>
          </w:rPr>
          <w:t>https://agsjournals.onlinelibrary.wiley.com/doi/10.1111/jgs.70257</w:t>
        </w:r>
      </w:hyperlink>
      <w:r w:rsidR="00F34F20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F34F20">
        <w:rPr>
          <w:rFonts w:ascii="Arial" w:hAnsi="Arial" w:cs="Arial"/>
        </w:rPr>
        <w:t>: 16</w:t>
      </w:r>
      <w:r w:rsidRPr="00BE430F">
        <w:rPr>
          <w:rFonts w:ascii="Arial" w:hAnsi="Arial" w:cs="Arial"/>
        </w:rPr>
        <w:t xml:space="preserve"> July 2026</w:t>
      </w:r>
      <w:r w:rsidR="00F34F20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4752135E" w14:textId="058B60F9" w:rsidR="00BE430F" w:rsidRPr="00BE430F" w:rsidRDefault="00BE430F" w:rsidP="00235FDD">
      <w:pPr>
        <w:jc w:val="both"/>
        <w:rPr>
          <w:rFonts w:ascii="Arial" w:hAnsi="Arial" w:cs="Arial"/>
        </w:rPr>
      </w:pPr>
      <w:proofErr w:type="spellStart"/>
      <w:r w:rsidRPr="00BE430F">
        <w:rPr>
          <w:rFonts w:ascii="Arial" w:hAnsi="Arial" w:cs="Arial"/>
        </w:rPr>
        <w:t>Smaje</w:t>
      </w:r>
      <w:proofErr w:type="spellEnd"/>
      <w:r w:rsidRPr="00BE430F">
        <w:rPr>
          <w:rFonts w:ascii="Arial" w:hAnsi="Arial" w:cs="Arial"/>
        </w:rPr>
        <w:t xml:space="preserve">, A., Weston-Clark, M., Raj, R., Orlu, M., Davis, D. and Rawle, M.,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2018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Factors associated with medication adherence in older patients: a systematic review. </w:t>
      </w:r>
      <w:r w:rsidRPr="00235FDD">
        <w:rPr>
          <w:rFonts w:ascii="Arial" w:hAnsi="Arial" w:cs="Arial"/>
          <w:i/>
          <w:iCs/>
        </w:rPr>
        <w:t>Aging Medicine</w:t>
      </w:r>
      <w:r w:rsidRPr="00BE430F">
        <w:rPr>
          <w:rFonts w:ascii="Arial" w:hAnsi="Arial" w:cs="Arial"/>
        </w:rPr>
        <w:t xml:space="preserve">, 1(3), pp.254–266. Available at: </w:t>
      </w:r>
      <w:hyperlink r:id="rId27" w:history="1">
        <w:r w:rsidR="00E008C0" w:rsidRPr="00823F7C">
          <w:rPr>
            <w:rStyle w:val="Hyperlink"/>
            <w:rFonts w:ascii="Arial" w:hAnsi="Arial" w:cs="Arial"/>
          </w:rPr>
          <w:t>https://onlinelibrary.wiley.com/doi/10.1002/agm2.12045</w:t>
        </w:r>
      </w:hyperlink>
      <w:r w:rsidR="00E008C0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E008C0">
        <w:rPr>
          <w:rFonts w:ascii="Arial" w:hAnsi="Arial" w:cs="Arial"/>
        </w:rPr>
        <w:t xml:space="preserve">: 16 </w:t>
      </w:r>
      <w:r w:rsidRPr="00BE430F">
        <w:rPr>
          <w:rFonts w:ascii="Arial" w:hAnsi="Arial" w:cs="Arial"/>
        </w:rPr>
        <w:t>July 2026</w:t>
      </w:r>
      <w:r w:rsidR="00E008C0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32BDE453" w14:textId="4AFF03C5" w:rsidR="00BE430F" w:rsidRPr="00BE430F" w:rsidRDefault="00BE430F" w:rsidP="005E2667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lastRenderedPageBreak/>
        <w:t xml:space="preserve">Taborri, S., Renzi, E., Massimi, A., Improta, A., Di Simone, E., Giannetta, N., Panattoni, N., Dionisi, S., Di Muzio, M. and Amato, L.,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2026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Wearable devices for improving medication adherence in older adults with chronic conditions: a systematic review. </w:t>
      </w:r>
      <w:r w:rsidRPr="005B0902">
        <w:rPr>
          <w:rFonts w:ascii="Arial" w:hAnsi="Arial" w:cs="Arial"/>
          <w:i/>
          <w:iCs/>
        </w:rPr>
        <w:t>International Journal of Medical Informatics,</w:t>
      </w:r>
      <w:r w:rsidRPr="00BE430F">
        <w:rPr>
          <w:rFonts w:ascii="Arial" w:hAnsi="Arial" w:cs="Arial"/>
        </w:rPr>
        <w:t xml:space="preserve"> 218, article 106515. Available at: </w:t>
      </w:r>
      <w:hyperlink r:id="rId28" w:history="1">
        <w:r w:rsidR="005E2667" w:rsidRPr="00823F7C">
          <w:rPr>
            <w:rStyle w:val="Hyperlink"/>
            <w:rFonts w:ascii="Arial" w:hAnsi="Arial" w:cs="Arial"/>
          </w:rPr>
          <w:t>https://www.sciencedirect.com/science/article/pii/S1386505626002558?via%3Dihub</w:t>
        </w:r>
      </w:hyperlink>
      <w:r w:rsidR="005E2667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5E2667">
        <w:rPr>
          <w:rFonts w:ascii="Arial" w:hAnsi="Arial" w:cs="Arial"/>
        </w:rPr>
        <w:t xml:space="preserve">: 14 </w:t>
      </w:r>
      <w:r w:rsidRPr="00BE430F">
        <w:rPr>
          <w:rFonts w:ascii="Arial" w:hAnsi="Arial" w:cs="Arial"/>
        </w:rPr>
        <w:t>July 2026</w:t>
      </w:r>
      <w:r w:rsidR="005E266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39ED2290" w14:textId="2A073CCA" w:rsidR="00BE430F" w:rsidRPr="00BE430F" w:rsidRDefault="00BE430F" w:rsidP="00AA15AC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  <w:lang w:val="nl-NL"/>
        </w:rPr>
        <w:t xml:space="preserve">Turjamaa, R., Kapanen, S. and Kangasniemi, M., </w:t>
      </w:r>
      <w:r w:rsidR="005F61F7">
        <w:rPr>
          <w:rFonts w:ascii="Arial" w:hAnsi="Arial" w:cs="Arial"/>
          <w:lang w:val="nl-NL"/>
        </w:rPr>
        <w:t>(</w:t>
      </w:r>
      <w:r w:rsidRPr="00BE430F">
        <w:rPr>
          <w:rFonts w:ascii="Arial" w:hAnsi="Arial" w:cs="Arial"/>
          <w:lang w:val="nl-NL"/>
        </w:rPr>
        <w:t>2020</w:t>
      </w:r>
      <w:r w:rsidR="005F61F7">
        <w:rPr>
          <w:rFonts w:ascii="Arial" w:hAnsi="Arial" w:cs="Arial"/>
          <w:lang w:val="nl-NL"/>
        </w:rPr>
        <w:t>)</w:t>
      </w:r>
      <w:r w:rsidRPr="00BE430F">
        <w:rPr>
          <w:rFonts w:ascii="Arial" w:hAnsi="Arial" w:cs="Arial"/>
          <w:lang w:val="nl-NL"/>
        </w:rPr>
        <w:t xml:space="preserve">. </w:t>
      </w:r>
      <w:r w:rsidRPr="00BE430F">
        <w:rPr>
          <w:rFonts w:ascii="Arial" w:hAnsi="Arial" w:cs="Arial"/>
        </w:rPr>
        <w:t xml:space="preserve">How smart medication systems are used to support older people’s drug </w:t>
      </w:r>
      <w:proofErr w:type="gramStart"/>
      <w:r w:rsidRPr="00BE430F">
        <w:rPr>
          <w:rFonts w:ascii="Arial" w:hAnsi="Arial" w:cs="Arial"/>
        </w:rPr>
        <w:t>regimens</w:t>
      </w:r>
      <w:proofErr w:type="gramEnd"/>
      <w:r w:rsidRPr="00BE430F">
        <w:rPr>
          <w:rFonts w:ascii="Arial" w:hAnsi="Arial" w:cs="Arial"/>
        </w:rPr>
        <w:t xml:space="preserve">: a systematic literature review. </w:t>
      </w:r>
      <w:r w:rsidRPr="00402BF4">
        <w:rPr>
          <w:rFonts w:ascii="Arial" w:hAnsi="Arial" w:cs="Arial"/>
          <w:i/>
          <w:iCs/>
        </w:rPr>
        <w:t>Geriatric Nursing</w:t>
      </w:r>
      <w:r w:rsidRPr="00BE430F">
        <w:rPr>
          <w:rFonts w:ascii="Arial" w:hAnsi="Arial" w:cs="Arial"/>
        </w:rPr>
        <w:t xml:space="preserve">, 41(6), pp.677–684. Available at: </w:t>
      </w:r>
      <w:hyperlink r:id="rId29" w:history="1">
        <w:r w:rsidR="00AA15AC" w:rsidRPr="00823F7C">
          <w:rPr>
            <w:rStyle w:val="Hyperlink"/>
            <w:rFonts w:ascii="Arial" w:hAnsi="Arial" w:cs="Arial"/>
          </w:rPr>
          <w:t>https://www.sciencedirect.com/science/article/abs/pii/S0197457220300690?via%3Dihub(Accessed</w:t>
        </w:r>
      </w:hyperlink>
      <w:r w:rsidR="00AA15AC">
        <w:rPr>
          <w:rFonts w:ascii="Arial" w:hAnsi="Arial" w:cs="Arial"/>
        </w:rPr>
        <w:t xml:space="preserve">: </w:t>
      </w:r>
      <w:r w:rsidR="005A0AA6">
        <w:rPr>
          <w:rFonts w:ascii="Arial" w:hAnsi="Arial" w:cs="Arial"/>
        </w:rPr>
        <w:t xml:space="preserve">27 </w:t>
      </w:r>
      <w:r w:rsidRPr="00BE430F">
        <w:rPr>
          <w:rFonts w:ascii="Arial" w:hAnsi="Arial" w:cs="Arial"/>
        </w:rPr>
        <w:t>July 2026</w:t>
      </w:r>
      <w:r w:rsidR="00AA15AC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7D6EDAA1" w14:textId="15D1811C" w:rsidR="00BE430F" w:rsidRPr="00BE430F" w:rsidRDefault="00040C57" w:rsidP="006E4D1C">
      <w:pPr>
        <w:jc w:val="both"/>
        <w:rPr>
          <w:rFonts w:ascii="Arial" w:hAnsi="Arial" w:cs="Arial"/>
        </w:rPr>
      </w:pPr>
      <w:proofErr w:type="spellStart"/>
      <w:r w:rsidRPr="00040C57">
        <w:rPr>
          <w:rFonts w:ascii="Arial" w:hAnsi="Arial" w:cs="Arial"/>
        </w:rPr>
        <w:t>Vamadevan</w:t>
      </w:r>
      <w:proofErr w:type="spellEnd"/>
      <w:r w:rsidRPr="00040C57">
        <w:rPr>
          <w:rFonts w:ascii="Arial" w:hAnsi="Arial" w:cs="Arial"/>
        </w:rPr>
        <w:t xml:space="preserve">, A., Vijayan, V., Cole, C., Jayasudha, K., Yusuf, N. and Walker, </w:t>
      </w:r>
      <w:r w:rsidR="006E4D1C" w:rsidRPr="00040C57">
        <w:rPr>
          <w:rFonts w:ascii="Arial" w:hAnsi="Arial" w:cs="Arial"/>
        </w:rPr>
        <w:t>L.E</w:t>
      </w:r>
      <w:r w:rsidR="006E4D1C">
        <w:rPr>
          <w:rFonts w:ascii="Arial" w:hAnsi="Arial" w:cs="Arial"/>
        </w:rPr>
        <w:t>.</w:t>
      </w:r>
      <w:r w:rsidR="00BE430F" w:rsidRPr="00BE430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(</w:t>
      </w:r>
      <w:r w:rsidR="00BE430F" w:rsidRPr="00BE430F">
        <w:rPr>
          <w:rFonts w:ascii="Arial" w:hAnsi="Arial" w:cs="Arial"/>
        </w:rPr>
        <w:t>2025</w:t>
      </w:r>
      <w:r>
        <w:rPr>
          <w:rFonts w:ascii="Arial" w:hAnsi="Arial" w:cs="Arial"/>
        </w:rPr>
        <w:t>)</w:t>
      </w:r>
      <w:r w:rsidR="00BE430F" w:rsidRPr="00BE430F">
        <w:rPr>
          <w:rFonts w:ascii="Arial" w:hAnsi="Arial" w:cs="Arial"/>
        </w:rPr>
        <w:t xml:space="preserve">. A NASSS framework-guided systematic review and exploratory modelling of digital health interventions for polypharmacy management in older adults. BMC Geriatrics. Available at: </w:t>
      </w:r>
      <w:hyperlink r:id="rId30" w:history="1">
        <w:r w:rsidR="00EA6F88" w:rsidRPr="003A68F3">
          <w:rPr>
            <w:rStyle w:val="Hyperlink"/>
            <w:rFonts w:ascii="Arial" w:hAnsi="Arial" w:cs="Arial"/>
          </w:rPr>
          <w:t>https://pubmed.ncbi.nlm.nih.gov/41272510/</w:t>
        </w:r>
      </w:hyperlink>
      <w:r w:rsidR="00EA6F88">
        <w:rPr>
          <w:rFonts w:ascii="Arial" w:hAnsi="Arial" w:cs="Arial"/>
        </w:rPr>
        <w:t xml:space="preserve"> </w:t>
      </w:r>
      <w:r w:rsidR="006E4D1C">
        <w:rPr>
          <w:rFonts w:ascii="Arial" w:hAnsi="Arial" w:cs="Arial"/>
        </w:rPr>
        <w:t>(</w:t>
      </w:r>
      <w:r w:rsidR="00BE430F" w:rsidRPr="00BE430F">
        <w:rPr>
          <w:rFonts w:ascii="Arial" w:hAnsi="Arial" w:cs="Arial"/>
        </w:rPr>
        <w:t>Accessed</w:t>
      </w:r>
      <w:r w:rsidR="006E4D1C">
        <w:rPr>
          <w:rFonts w:ascii="Arial" w:hAnsi="Arial" w:cs="Arial"/>
        </w:rPr>
        <w:t xml:space="preserve">: 24 </w:t>
      </w:r>
      <w:r w:rsidR="00BE430F" w:rsidRPr="00BE430F">
        <w:rPr>
          <w:rFonts w:ascii="Arial" w:hAnsi="Arial" w:cs="Arial"/>
        </w:rPr>
        <w:t>July 2026].</w:t>
      </w:r>
    </w:p>
    <w:p w14:paraId="20C65DEF" w14:textId="4CB7658C" w:rsidR="00BE430F" w:rsidRPr="00BE430F" w:rsidRDefault="00BE430F" w:rsidP="00BE430F">
      <w:pPr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Wang, Q., Liu, J., Zhou, L., Tian, J., Chen, X., Zhang, W., Wang, H., Zhou, W. and Gao, Y.,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2022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Usability evaluation of mHealth apps for elderly individuals: a scoping review. </w:t>
      </w:r>
      <w:r w:rsidRPr="001A3235">
        <w:rPr>
          <w:rFonts w:ascii="Arial" w:hAnsi="Arial" w:cs="Arial"/>
          <w:i/>
          <w:iCs/>
        </w:rPr>
        <w:t>BMC Medical Informatics and Decision Making</w:t>
      </w:r>
      <w:r w:rsidRPr="00BE430F">
        <w:rPr>
          <w:rFonts w:ascii="Arial" w:hAnsi="Arial" w:cs="Arial"/>
        </w:rPr>
        <w:t xml:space="preserve">, 22, article 317. Available at: </w:t>
      </w:r>
      <w:hyperlink r:id="rId31" w:history="1">
        <w:r w:rsidR="002C4E30" w:rsidRPr="00823F7C">
          <w:rPr>
            <w:rStyle w:val="Hyperlink"/>
            <w:rFonts w:ascii="Arial" w:hAnsi="Arial" w:cs="Arial"/>
          </w:rPr>
          <w:t>https://link.springer.com/article/10.1186/s12911-022-02064-5</w:t>
        </w:r>
      </w:hyperlink>
      <w:r w:rsidR="002C4E30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2C4E30">
        <w:rPr>
          <w:rFonts w:ascii="Arial" w:hAnsi="Arial" w:cs="Arial"/>
        </w:rPr>
        <w:t xml:space="preserve">: 25 </w:t>
      </w:r>
      <w:r w:rsidRPr="00BE430F">
        <w:rPr>
          <w:rFonts w:ascii="Arial" w:hAnsi="Arial" w:cs="Arial"/>
        </w:rPr>
        <w:t>July 2026</w:t>
      </w:r>
      <w:r w:rsidR="002C4E30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750E4EA5" w14:textId="7AB21C17" w:rsidR="00BE430F" w:rsidRPr="00BE430F" w:rsidRDefault="00BE430F" w:rsidP="00F0028A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  <w:lang w:val="nl-NL"/>
        </w:rPr>
        <w:t xml:space="preserve">Wildenbos, G.A., Jaspers, M.W.M., Schijven, M.P. and Dusseljee-Peute, L.W., </w:t>
      </w:r>
      <w:r w:rsidR="005F61F7">
        <w:rPr>
          <w:rFonts w:ascii="Arial" w:hAnsi="Arial" w:cs="Arial"/>
          <w:lang w:val="nl-NL"/>
        </w:rPr>
        <w:t>(</w:t>
      </w:r>
      <w:r w:rsidRPr="00BE430F">
        <w:rPr>
          <w:rFonts w:ascii="Arial" w:hAnsi="Arial" w:cs="Arial"/>
          <w:lang w:val="nl-NL"/>
        </w:rPr>
        <w:t>2019</w:t>
      </w:r>
      <w:r w:rsidR="005F61F7">
        <w:rPr>
          <w:rFonts w:ascii="Arial" w:hAnsi="Arial" w:cs="Arial"/>
          <w:lang w:val="nl-NL"/>
        </w:rPr>
        <w:t>)</w:t>
      </w:r>
      <w:r w:rsidRPr="00BE430F">
        <w:rPr>
          <w:rFonts w:ascii="Arial" w:hAnsi="Arial" w:cs="Arial"/>
          <w:lang w:val="nl-NL"/>
        </w:rPr>
        <w:t xml:space="preserve">. </w:t>
      </w:r>
      <w:r w:rsidRPr="00BE430F">
        <w:rPr>
          <w:rFonts w:ascii="Arial" w:hAnsi="Arial" w:cs="Arial"/>
        </w:rPr>
        <w:t xml:space="preserve">Mobile health for older adult patients: using an aging barriers framework to classify usability problems. </w:t>
      </w:r>
      <w:r w:rsidRPr="00C6662E">
        <w:rPr>
          <w:rFonts w:ascii="Arial" w:hAnsi="Arial" w:cs="Arial"/>
          <w:i/>
          <w:iCs/>
        </w:rPr>
        <w:t>International Journal of Medical Informatics</w:t>
      </w:r>
      <w:r w:rsidRPr="00BE430F">
        <w:rPr>
          <w:rFonts w:ascii="Arial" w:hAnsi="Arial" w:cs="Arial"/>
        </w:rPr>
        <w:t>, 124, pp.68–77. Available at:</w:t>
      </w:r>
      <w:r w:rsidR="00F0028A">
        <w:rPr>
          <w:rFonts w:ascii="Arial" w:hAnsi="Arial" w:cs="Arial"/>
        </w:rPr>
        <w:t xml:space="preserve"> </w:t>
      </w:r>
      <w:hyperlink r:id="rId32" w:history="1">
        <w:r w:rsidR="00F0028A" w:rsidRPr="00823F7C">
          <w:rPr>
            <w:rStyle w:val="Hyperlink"/>
            <w:rFonts w:ascii="Arial" w:hAnsi="Arial" w:cs="Arial"/>
          </w:rPr>
          <w:t>https://www.sciencedirect.com/science/article/abs/pii/S1386505618305008?via%3Dihu</w:t>
        </w:r>
      </w:hyperlink>
      <w:r w:rsidR="00F0028A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F0028A">
        <w:rPr>
          <w:rFonts w:ascii="Arial" w:hAnsi="Arial" w:cs="Arial"/>
        </w:rPr>
        <w:t xml:space="preserve">: 24 </w:t>
      </w:r>
      <w:r w:rsidRPr="00BE430F">
        <w:rPr>
          <w:rFonts w:ascii="Arial" w:hAnsi="Arial" w:cs="Arial"/>
        </w:rPr>
        <w:t>July 2026</w:t>
      </w:r>
      <w:r w:rsidR="00F0028A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40EC1251" w14:textId="17EDB852" w:rsidR="00BE430F" w:rsidRPr="00BE430F" w:rsidRDefault="00BE430F" w:rsidP="00BE430F">
      <w:pPr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World Health Organization,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2017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Medication Without Harm: </w:t>
      </w:r>
      <w:r w:rsidRPr="00986453">
        <w:rPr>
          <w:rFonts w:ascii="Arial" w:hAnsi="Arial" w:cs="Arial"/>
          <w:i/>
          <w:iCs/>
        </w:rPr>
        <w:t xml:space="preserve">WHO Global Patient Safety Challenge. </w:t>
      </w:r>
      <w:r w:rsidRPr="00BE430F">
        <w:rPr>
          <w:rFonts w:ascii="Arial" w:hAnsi="Arial" w:cs="Arial"/>
        </w:rPr>
        <w:t>Geneva: World Health Organization. Available at:</w:t>
      </w:r>
      <w:r w:rsidR="00220508" w:rsidRPr="00220508">
        <w:t xml:space="preserve"> </w:t>
      </w:r>
      <w:hyperlink r:id="rId33" w:history="1">
        <w:r w:rsidR="00220508" w:rsidRPr="00823F7C">
          <w:rPr>
            <w:rStyle w:val="Hyperlink"/>
            <w:rFonts w:ascii="Arial" w:hAnsi="Arial" w:cs="Arial"/>
          </w:rPr>
          <w:t>https://www.who.int/publications/i/item/WHO-HIS-SDS-2017.6</w:t>
        </w:r>
      </w:hyperlink>
      <w:r w:rsidR="00220508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220508">
        <w:rPr>
          <w:rFonts w:ascii="Arial" w:hAnsi="Arial" w:cs="Arial"/>
        </w:rPr>
        <w:t>: 24</w:t>
      </w:r>
      <w:r w:rsidRPr="00BE430F">
        <w:rPr>
          <w:rFonts w:ascii="Arial" w:hAnsi="Arial" w:cs="Arial"/>
        </w:rPr>
        <w:t xml:space="preserve"> July 2026</w:t>
      </w:r>
      <w:r w:rsidR="00220508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06F37FF9" w14:textId="3EE25916" w:rsidR="00F17690" w:rsidRDefault="00BE430F" w:rsidP="00BE430F">
      <w:pPr>
        <w:jc w:val="both"/>
        <w:rPr>
          <w:rFonts w:ascii="Arial" w:hAnsi="Arial" w:cs="Arial"/>
        </w:rPr>
      </w:pPr>
      <w:r w:rsidRPr="00BE430F">
        <w:rPr>
          <w:rFonts w:ascii="Arial" w:hAnsi="Arial" w:cs="Arial"/>
        </w:rPr>
        <w:t xml:space="preserve">World Health Organization, </w:t>
      </w:r>
      <w:r w:rsidR="005F61F7">
        <w:rPr>
          <w:rFonts w:ascii="Arial" w:hAnsi="Arial" w:cs="Arial"/>
        </w:rPr>
        <w:t>(</w:t>
      </w:r>
      <w:r w:rsidRPr="00BE430F">
        <w:rPr>
          <w:rFonts w:ascii="Arial" w:hAnsi="Arial" w:cs="Arial"/>
        </w:rPr>
        <w:t>2025</w:t>
      </w:r>
      <w:r w:rsidR="005F61F7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 xml:space="preserve">. </w:t>
      </w:r>
      <w:r w:rsidRPr="007C2BC6">
        <w:rPr>
          <w:rFonts w:ascii="Arial" w:hAnsi="Arial" w:cs="Arial"/>
          <w:i/>
          <w:iCs/>
        </w:rPr>
        <w:t>Global strategy on digital health 2020–2027. Geneva: World Health Organization</w:t>
      </w:r>
      <w:r w:rsidRPr="00BE430F">
        <w:rPr>
          <w:rFonts w:ascii="Arial" w:hAnsi="Arial" w:cs="Arial"/>
        </w:rPr>
        <w:t xml:space="preserve">. Available at: </w:t>
      </w:r>
      <w:hyperlink r:id="rId34" w:history="1">
        <w:r w:rsidR="00107E9D" w:rsidRPr="00823F7C">
          <w:rPr>
            <w:rStyle w:val="Hyperlink"/>
            <w:rFonts w:ascii="Arial" w:hAnsi="Arial" w:cs="Arial"/>
          </w:rPr>
          <w:t>https://www.who.int/publications/i/item/9789240116870</w:t>
        </w:r>
      </w:hyperlink>
      <w:r w:rsidR="00107E9D">
        <w:rPr>
          <w:rFonts w:ascii="Arial" w:hAnsi="Arial" w:cs="Arial"/>
        </w:rPr>
        <w:t xml:space="preserve"> (</w:t>
      </w:r>
      <w:r w:rsidRPr="00BE430F">
        <w:rPr>
          <w:rFonts w:ascii="Arial" w:hAnsi="Arial" w:cs="Arial"/>
        </w:rPr>
        <w:t>Accessed</w:t>
      </w:r>
      <w:r w:rsidR="00107E9D">
        <w:rPr>
          <w:rFonts w:ascii="Arial" w:hAnsi="Arial" w:cs="Arial"/>
        </w:rPr>
        <w:t xml:space="preserve">: 14 </w:t>
      </w:r>
      <w:r w:rsidRPr="00BE430F">
        <w:rPr>
          <w:rFonts w:ascii="Arial" w:hAnsi="Arial" w:cs="Arial"/>
        </w:rPr>
        <w:t>July 2026</w:t>
      </w:r>
      <w:r w:rsidR="00107E9D">
        <w:rPr>
          <w:rFonts w:ascii="Arial" w:hAnsi="Arial" w:cs="Arial"/>
        </w:rPr>
        <w:t>)</w:t>
      </w:r>
      <w:r w:rsidRPr="00BE430F">
        <w:rPr>
          <w:rFonts w:ascii="Arial" w:hAnsi="Arial" w:cs="Arial"/>
        </w:rPr>
        <w:t>.</w:t>
      </w:r>
    </w:p>
    <w:p w14:paraId="64F022C9" w14:textId="77777777" w:rsidR="00F17690" w:rsidRDefault="00F17690" w:rsidP="00FB1F4A">
      <w:pPr>
        <w:jc w:val="both"/>
        <w:rPr>
          <w:rFonts w:ascii="Arial" w:hAnsi="Arial" w:cs="Arial"/>
        </w:rPr>
      </w:pPr>
    </w:p>
    <w:p w14:paraId="45B3EBC3" w14:textId="77777777" w:rsidR="00F17690" w:rsidRDefault="00F17690" w:rsidP="00FB1F4A">
      <w:pPr>
        <w:jc w:val="both"/>
        <w:rPr>
          <w:rFonts w:ascii="Arial" w:hAnsi="Arial" w:cs="Arial"/>
        </w:rPr>
      </w:pPr>
    </w:p>
    <w:p w14:paraId="1B53F818" w14:textId="77777777" w:rsidR="00F17690" w:rsidRDefault="00F17690" w:rsidP="00FB1F4A">
      <w:pPr>
        <w:jc w:val="both"/>
        <w:rPr>
          <w:rFonts w:ascii="Arial" w:hAnsi="Arial" w:cs="Arial"/>
        </w:rPr>
      </w:pPr>
    </w:p>
    <w:p w14:paraId="57225A44" w14:textId="77777777" w:rsidR="00F17690" w:rsidRDefault="00F17690" w:rsidP="00FB1F4A">
      <w:pPr>
        <w:jc w:val="both"/>
        <w:rPr>
          <w:rFonts w:ascii="Arial" w:hAnsi="Arial" w:cs="Arial"/>
        </w:rPr>
      </w:pPr>
    </w:p>
    <w:p w14:paraId="4AA06F95" w14:textId="77777777" w:rsidR="00F17690" w:rsidRDefault="00F17690" w:rsidP="00FB1F4A">
      <w:pPr>
        <w:jc w:val="both"/>
        <w:rPr>
          <w:rFonts w:ascii="Arial" w:hAnsi="Arial" w:cs="Arial"/>
        </w:rPr>
      </w:pPr>
    </w:p>
    <w:p w14:paraId="09A5C660" w14:textId="77777777" w:rsidR="00F17690" w:rsidRDefault="00F17690" w:rsidP="00FB1F4A">
      <w:pPr>
        <w:jc w:val="both"/>
        <w:rPr>
          <w:rFonts w:ascii="Arial" w:hAnsi="Arial" w:cs="Arial"/>
        </w:rPr>
      </w:pPr>
    </w:p>
    <w:p w14:paraId="2860CFD2" w14:textId="77777777" w:rsidR="00F17690" w:rsidRDefault="00F17690" w:rsidP="00FB1F4A">
      <w:pPr>
        <w:jc w:val="both"/>
        <w:rPr>
          <w:rFonts w:ascii="Arial" w:hAnsi="Arial" w:cs="Arial"/>
        </w:rPr>
      </w:pPr>
    </w:p>
    <w:p w14:paraId="27590C46" w14:textId="77777777" w:rsidR="00F17690" w:rsidRDefault="00F17690" w:rsidP="00FB1F4A">
      <w:pPr>
        <w:jc w:val="both"/>
        <w:rPr>
          <w:rFonts w:ascii="Arial" w:hAnsi="Arial" w:cs="Arial"/>
        </w:rPr>
      </w:pPr>
    </w:p>
    <w:p w14:paraId="7B8AE60D" w14:textId="77777777" w:rsidR="00F17690" w:rsidRDefault="00F17690" w:rsidP="00FB1F4A">
      <w:pPr>
        <w:jc w:val="both"/>
        <w:rPr>
          <w:rFonts w:ascii="Arial" w:hAnsi="Arial" w:cs="Arial"/>
        </w:rPr>
      </w:pPr>
    </w:p>
    <w:p w14:paraId="4E020EDC" w14:textId="77777777" w:rsidR="00F17690" w:rsidRDefault="00F17690" w:rsidP="00FB1F4A">
      <w:pPr>
        <w:jc w:val="both"/>
        <w:rPr>
          <w:rFonts w:ascii="Arial" w:hAnsi="Arial" w:cs="Arial"/>
        </w:rPr>
      </w:pPr>
    </w:p>
    <w:p w14:paraId="0EFD5F42" w14:textId="050B3F23" w:rsidR="00CA4618" w:rsidRDefault="00CA4618" w:rsidP="007C2BC6">
      <w:pPr>
        <w:jc w:val="both"/>
        <w:rPr>
          <w:rFonts w:ascii="Arial" w:hAnsi="Arial" w:cs="Arial"/>
        </w:rPr>
      </w:pPr>
    </w:p>
    <w:p w14:paraId="1E796DBC" w14:textId="77777777" w:rsidR="00201658" w:rsidRDefault="00201658" w:rsidP="00FB1F4A">
      <w:pPr>
        <w:jc w:val="both"/>
        <w:rPr>
          <w:rFonts w:ascii="Arial" w:hAnsi="Arial" w:cs="Arial"/>
        </w:rPr>
      </w:pPr>
    </w:p>
    <w:p w14:paraId="1675AE2E" w14:textId="77777777" w:rsidR="004A40B6" w:rsidRPr="004D317B" w:rsidRDefault="004A40B6" w:rsidP="00FB1F4A">
      <w:pPr>
        <w:jc w:val="both"/>
        <w:rPr>
          <w:rFonts w:ascii="Arial" w:hAnsi="Arial" w:cs="Arial"/>
        </w:rPr>
      </w:pPr>
    </w:p>
    <w:p w14:paraId="3EB87913" w14:textId="77777777" w:rsidR="00F87D97" w:rsidRPr="0057443A" w:rsidRDefault="00F87D97" w:rsidP="00D53843">
      <w:pPr>
        <w:rPr>
          <w:rFonts w:ascii="Arial" w:hAnsi="Arial" w:cs="Arial"/>
          <w:b/>
          <w:bCs/>
          <w:sz w:val="28"/>
          <w:szCs w:val="28"/>
        </w:rPr>
      </w:pPr>
    </w:p>
    <w:p w14:paraId="05ECE715" w14:textId="77777777" w:rsidR="0057443A" w:rsidRDefault="0057443A" w:rsidP="00D53843">
      <w:pPr>
        <w:rPr>
          <w:b/>
          <w:bCs/>
          <w:sz w:val="40"/>
          <w:szCs w:val="40"/>
        </w:rPr>
      </w:pPr>
    </w:p>
    <w:p w14:paraId="2F7B5E28" w14:textId="77777777" w:rsidR="0057443A" w:rsidRDefault="0057443A" w:rsidP="00D53843">
      <w:pPr>
        <w:rPr>
          <w:b/>
          <w:bCs/>
          <w:sz w:val="40"/>
          <w:szCs w:val="40"/>
        </w:rPr>
      </w:pPr>
    </w:p>
    <w:p w14:paraId="387D7442" w14:textId="77777777" w:rsidR="0057443A" w:rsidRDefault="0057443A" w:rsidP="00D53843">
      <w:pPr>
        <w:rPr>
          <w:b/>
          <w:bCs/>
          <w:sz w:val="40"/>
          <w:szCs w:val="40"/>
        </w:rPr>
      </w:pPr>
    </w:p>
    <w:p w14:paraId="557EB92B" w14:textId="77777777" w:rsidR="0057443A" w:rsidRPr="00D53843" w:rsidRDefault="0057443A" w:rsidP="00D53843">
      <w:pPr>
        <w:rPr>
          <w:b/>
          <w:bCs/>
          <w:sz w:val="40"/>
          <w:szCs w:val="40"/>
        </w:rPr>
      </w:pPr>
    </w:p>
    <w:sectPr w:rsidR="0057443A" w:rsidRPr="00D53843" w:rsidSect="0057443A"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9965808">
    <w:abstractNumId w:val="8"/>
  </w:num>
  <w:num w:numId="2" w16cid:durableId="364329213">
    <w:abstractNumId w:val="6"/>
  </w:num>
  <w:num w:numId="3" w16cid:durableId="1656565771">
    <w:abstractNumId w:val="5"/>
  </w:num>
  <w:num w:numId="4" w16cid:durableId="1125074754">
    <w:abstractNumId w:val="4"/>
  </w:num>
  <w:num w:numId="5" w16cid:durableId="415515813">
    <w:abstractNumId w:val="7"/>
  </w:num>
  <w:num w:numId="6" w16cid:durableId="142236900">
    <w:abstractNumId w:val="3"/>
  </w:num>
  <w:num w:numId="7" w16cid:durableId="674957670">
    <w:abstractNumId w:val="2"/>
  </w:num>
  <w:num w:numId="8" w16cid:durableId="1773745717">
    <w:abstractNumId w:val="1"/>
  </w:num>
  <w:num w:numId="9" w16cid:durableId="133984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7741"/>
    <w:rsid w:val="00030D47"/>
    <w:rsid w:val="00034616"/>
    <w:rsid w:val="00040C57"/>
    <w:rsid w:val="0006063C"/>
    <w:rsid w:val="00073212"/>
    <w:rsid w:val="000C1BD6"/>
    <w:rsid w:val="000F6159"/>
    <w:rsid w:val="00107E9D"/>
    <w:rsid w:val="001468BD"/>
    <w:rsid w:val="0015074B"/>
    <w:rsid w:val="001653D2"/>
    <w:rsid w:val="00172FDB"/>
    <w:rsid w:val="00174776"/>
    <w:rsid w:val="001A3235"/>
    <w:rsid w:val="001A7C9E"/>
    <w:rsid w:val="001B1144"/>
    <w:rsid w:val="001C3BB4"/>
    <w:rsid w:val="001D5593"/>
    <w:rsid w:val="00201658"/>
    <w:rsid w:val="00220508"/>
    <w:rsid w:val="00235FDD"/>
    <w:rsid w:val="0025661C"/>
    <w:rsid w:val="0029639D"/>
    <w:rsid w:val="002C4E30"/>
    <w:rsid w:val="002C7DFC"/>
    <w:rsid w:val="002E321D"/>
    <w:rsid w:val="002E4990"/>
    <w:rsid w:val="00301C6B"/>
    <w:rsid w:val="00326F90"/>
    <w:rsid w:val="00361153"/>
    <w:rsid w:val="003A76F2"/>
    <w:rsid w:val="003D253D"/>
    <w:rsid w:val="003D663E"/>
    <w:rsid w:val="00402BF4"/>
    <w:rsid w:val="00411975"/>
    <w:rsid w:val="004403C4"/>
    <w:rsid w:val="00447D1A"/>
    <w:rsid w:val="004A40B6"/>
    <w:rsid w:val="004D317B"/>
    <w:rsid w:val="00502E01"/>
    <w:rsid w:val="00534A2D"/>
    <w:rsid w:val="00572F89"/>
    <w:rsid w:val="0057443A"/>
    <w:rsid w:val="00582403"/>
    <w:rsid w:val="0058617D"/>
    <w:rsid w:val="00594C6D"/>
    <w:rsid w:val="005A0AA6"/>
    <w:rsid w:val="005B0902"/>
    <w:rsid w:val="005C68A8"/>
    <w:rsid w:val="005E2667"/>
    <w:rsid w:val="005E5DCE"/>
    <w:rsid w:val="005F61F7"/>
    <w:rsid w:val="00610F98"/>
    <w:rsid w:val="006B69A1"/>
    <w:rsid w:val="006E4D1C"/>
    <w:rsid w:val="006F7962"/>
    <w:rsid w:val="00715AC9"/>
    <w:rsid w:val="00720D8C"/>
    <w:rsid w:val="0073617B"/>
    <w:rsid w:val="0074418D"/>
    <w:rsid w:val="00757ED1"/>
    <w:rsid w:val="00775686"/>
    <w:rsid w:val="007C2BC6"/>
    <w:rsid w:val="007E104A"/>
    <w:rsid w:val="007E223A"/>
    <w:rsid w:val="007F069A"/>
    <w:rsid w:val="008179E2"/>
    <w:rsid w:val="00883063"/>
    <w:rsid w:val="008A6078"/>
    <w:rsid w:val="008B4430"/>
    <w:rsid w:val="008C0C6F"/>
    <w:rsid w:val="008F16F5"/>
    <w:rsid w:val="00907482"/>
    <w:rsid w:val="00912115"/>
    <w:rsid w:val="00986453"/>
    <w:rsid w:val="0098779F"/>
    <w:rsid w:val="009B0C07"/>
    <w:rsid w:val="009B4E58"/>
    <w:rsid w:val="009D735E"/>
    <w:rsid w:val="009E0E36"/>
    <w:rsid w:val="009E4030"/>
    <w:rsid w:val="009E635D"/>
    <w:rsid w:val="00A341BB"/>
    <w:rsid w:val="00A36377"/>
    <w:rsid w:val="00A90CFB"/>
    <w:rsid w:val="00AA15AC"/>
    <w:rsid w:val="00AA1D8D"/>
    <w:rsid w:val="00AC7F01"/>
    <w:rsid w:val="00AD6246"/>
    <w:rsid w:val="00B040A9"/>
    <w:rsid w:val="00B16644"/>
    <w:rsid w:val="00B21280"/>
    <w:rsid w:val="00B47730"/>
    <w:rsid w:val="00B65D3A"/>
    <w:rsid w:val="00B83104"/>
    <w:rsid w:val="00BE430F"/>
    <w:rsid w:val="00C56F5C"/>
    <w:rsid w:val="00C6662E"/>
    <w:rsid w:val="00C73393"/>
    <w:rsid w:val="00CA4618"/>
    <w:rsid w:val="00CB0664"/>
    <w:rsid w:val="00CC0CD4"/>
    <w:rsid w:val="00CC1003"/>
    <w:rsid w:val="00D30455"/>
    <w:rsid w:val="00D518CB"/>
    <w:rsid w:val="00D53843"/>
    <w:rsid w:val="00DC3563"/>
    <w:rsid w:val="00E008C0"/>
    <w:rsid w:val="00EA6F88"/>
    <w:rsid w:val="00EB1E22"/>
    <w:rsid w:val="00EF2A80"/>
    <w:rsid w:val="00F0028A"/>
    <w:rsid w:val="00F17690"/>
    <w:rsid w:val="00F34F20"/>
    <w:rsid w:val="00F87D97"/>
    <w:rsid w:val="00FA4D30"/>
    <w:rsid w:val="00FB1F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95448"/>
  <w14:defaultImageDpi w14:val="300"/>
  <w15:docId w15:val="{D506EB83-E47F-48A7-B231-C7BCD7BE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57443A"/>
  </w:style>
  <w:style w:type="character" w:styleId="Hyperlink">
    <w:name w:val="Hyperlink"/>
    <w:basedOn w:val="DefaultParagraphFont"/>
    <w:uiPriority w:val="99"/>
    <w:unhideWhenUsed/>
    <w:rsid w:val="00FB1F4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ink.springer.com/article/10.1186/s12877-020-01979-w" TargetMode="External"/><Relationship Id="rId18" Type="http://schemas.openxmlformats.org/officeDocument/2006/relationships/hyperlink" Target="https://ophrp.org/journal/view.php?doi=10.24171/j.phrp.2022.0168" TargetMode="External"/><Relationship Id="rId26" Type="http://schemas.openxmlformats.org/officeDocument/2006/relationships/hyperlink" Target="https://agsjournals.onlinelibrary.wiley.com/doi/10.1111/jgs.7025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health.jmir.org/2018/1/e23/" TargetMode="External"/><Relationship Id="rId34" Type="http://schemas.openxmlformats.org/officeDocument/2006/relationships/hyperlink" Target="https://www.who.int/publications/i/item/9789240116870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pubmed.ncbi.nlm.nih.gov/40804492/" TargetMode="External"/><Relationship Id="rId17" Type="http://schemas.openxmlformats.org/officeDocument/2006/relationships/hyperlink" Target="https://aging.jmir.org/2023/1/e50990" TargetMode="External"/><Relationship Id="rId25" Type="http://schemas.openxmlformats.org/officeDocument/2006/relationships/hyperlink" Target="https://www.mdpi.com/1660-4601/20/1/803" TargetMode="External"/><Relationship Id="rId33" Type="http://schemas.openxmlformats.org/officeDocument/2006/relationships/hyperlink" Target="https://www.who.int/publications/i/item/WHO-HIS-SDS-2017.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journals.sagepub.com/doi/10.1177/17151635211034198" TargetMode="External"/><Relationship Id="rId20" Type="http://schemas.openxmlformats.org/officeDocument/2006/relationships/hyperlink" Target="https://academic.oup.com/jamia/article-abstract/28/11/2483/6362566?redirectedFrom=fulltext" TargetMode="External"/><Relationship Id="rId29" Type="http://schemas.openxmlformats.org/officeDocument/2006/relationships/hyperlink" Target="https://www.sciencedirect.com/science/article/abs/pii/S0197457220300690?via%3Dihub(Accessed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link.springer.com/article/10.1186/s12913-023-10177-4" TargetMode="External"/><Relationship Id="rId32" Type="http://schemas.openxmlformats.org/officeDocument/2006/relationships/hyperlink" Target="https://www.sciencedirect.com/science/article/abs/pii/S1386505618305008?via%3Dih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onlinelibrary.wiley.com/doi/10.1002/agm2.70074" TargetMode="External"/><Relationship Id="rId23" Type="http://schemas.openxmlformats.org/officeDocument/2006/relationships/hyperlink" Target="https://www.nice.org.uk/guidance/ng5" TargetMode="External"/><Relationship Id="rId28" Type="http://schemas.openxmlformats.org/officeDocument/2006/relationships/hyperlink" Target="https://www.sciencedirect.com/science/article/pii/S1386505626002558?via%3Dihub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journals.sagepub.com/doi/abs/10.3233/JAD-200485" TargetMode="External"/><Relationship Id="rId31" Type="http://schemas.openxmlformats.org/officeDocument/2006/relationships/hyperlink" Target="https://link.springer.com/article/10.1186/s12911-022-02064-5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bmjopen.bmj.com/content/10/1/e032045" TargetMode="External"/><Relationship Id="rId22" Type="http://schemas.openxmlformats.org/officeDocument/2006/relationships/hyperlink" Target="https://www.mdpi.com/2077-0383/15/5/2069" TargetMode="External"/><Relationship Id="rId27" Type="http://schemas.openxmlformats.org/officeDocument/2006/relationships/hyperlink" Target="https://onlinelibrary.wiley.com/doi/10.1002/agm2.12045" TargetMode="External"/><Relationship Id="rId30" Type="http://schemas.openxmlformats.org/officeDocument/2006/relationships/hyperlink" Target="https://pubmed.ncbi.nlm.nih.gov/41272510/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8" ma:contentTypeDescription="Create a new document." ma:contentTypeScope="" ma:versionID="887035d4e898cddc4c2a70bbcb600a12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f0403ca7055f550e3968d5ad1c66b273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E3FBCA-F4E0-429C-861D-E8C56E4741A4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2.xml><?xml version="1.0" encoding="utf-8"?>
<ds:datastoreItem xmlns:ds="http://schemas.openxmlformats.org/officeDocument/2006/customXml" ds:itemID="{F4634FD8-C768-469C-8C1C-DDAD306366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AF32B-E231-4CCA-9190-9BA94DCBC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Fatemeh Heydari (2323552)</cp:lastModifiedBy>
  <cp:revision>105</cp:revision>
  <dcterms:created xsi:type="dcterms:W3CDTF">2026-07-25T06:10:00Z</dcterms:created>
  <dcterms:modified xsi:type="dcterms:W3CDTF">2026-07-27T23:22:00Z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