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48389331"/>
        <w:docPartObj>
          <w:docPartGallery w:val="Cover Pages"/>
          <w:docPartUnique/>
        </w:docPartObj>
      </w:sdtPr>
      <w:sdtEndPr>
        <w:rPr>
          <w:rFonts w:ascii="Arial" w:hAnsi="Arial" w:cs="Arial"/>
          <w:b/>
          <w:bCs/>
          <w:sz w:val="28"/>
          <w:szCs w:val="28"/>
          <w:lang w:eastAsia="en-GB"/>
        </w:rPr>
      </w:sdtEndPr>
      <w:sdtContent>
        <w:p w14:paraId="3CA1C63C" w14:textId="075DD1A4" w:rsidR="004F37C8" w:rsidRDefault="004F37C8" w:rsidP="006D47B8">
          <w:pPr>
            <w:jc w:val="both"/>
          </w:pPr>
        </w:p>
        <w:p w14:paraId="0D12EF48" w14:textId="77777777" w:rsidR="004F37C8" w:rsidRDefault="00000000" w:rsidP="006D47B8">
          <w:pPr>
            <w:jc w:val="both"/>
            <w:rPr>
              <w:rFonts w:ascii="Arial" w:hAnsi="Arial" w:cs="Arial"/>
              <w:b/>
              <w:bCs/>
              <w:sz w:val="28"/>
              <w:szCs w:val="28"/>
              <w:lang w:eastAsia="en-GB"/>
            </w:rPr>
          </w:pPr>
        </w:p>
      </w:sdtContent>
    </w:sdt>
    <w:p w14:paraId="0C8A67AD" w14:textId="6212395D" w:rsidR="00A323D1" w:rsidRDefault="00E71CCD" w:rsidP="00BF72A4">
      <w:pPr>
        <w:rPr>
          <w:rFonts w:ascii="Arial" w:eastAsiaTheme="minorEastAsia" w:hAnsi="Arial" w:cs="Arial"/>
          <w:color w:val="000000" w:themeColor="text1"/>
          <w:kern w:val="24"/>
          <w:sz w:val="40"/>
          <w:szCs w:val="40"/>
          <w:lang w:val="en-US"/>
        </w:rPr>
      </w:pPr>
      <w:r>
        <w:rPr>
          <w:rFonts w:ascii="Arial" w:eastAsiaTheme="minorEastAsia" w:hAnsi="Arial" w:cs="Arial"/>
          <w:color w:val="000000" w:themeColor="text1"/>
          <w:kern w:val="24"/>
          <w:sz w:val="40"/>
          <w:szCs w:val="40"/>
          <w:lang w:val="en-US"/>
        </w:rPr>
        <w:t>Student: Daljeet Matharu</w:t>
      </w:r>
      <w:r>
        <w:rPr>
          <w:rFonts w:ascii="Arial" w:eastAsiaTheme="minorEastAsia" w:hAnsi="Arial" w:cs="Arial"/>
          <w:color w:val="000000" w:themeColor="text1"/>
          <w:kern w:val="24"/>
          <w:sz w:val="40"/>
          <w:szCs w:val="40"/>
          <w:lang w:val="en-US"/>
        </w:rPr>
        <w:br/>
        <w:t>Student ID: 2433456</w:t>
      </w:r>
      <w:r>
        <w:rPr>
          <w:rFonts w:ascii="Arial" w:eastAsiaTheme="minorEastAsia" w:hAnsi="Arial" w:cs="Arial"/>
          <w:color w:val="000000" w:themeColor="text1"/>
          <w:kern w:val="24"/>
          <w:sz w:val="40"/>
          <w:szCs w:val="40"/>
          <w:lang w:val="en-US"/>
        </w:rPr>
        <w:br/>
        <w:t xml:space="preserve">Module </w:t>
      </w:r>
      <w:r w:rsidR="00C457B6">
        <w:rPr>
          <w:rFonts w:ascii="Arial" w:eastAsiaTheme="minorEastAsia" w:hAnsi="Arial" w:cs="Arial"/>
          <w:color w:val="000000" w:themeColor="text1"/>
          <w:kern w:val="24"/>
          <w:sz w:val="40"/>
          <w:szCs w:val="40"/>
          <w:lang w:val="en-US"/>
        </w:rPr>
        <w:t>Code: LCHS</w:t>
      </w:r>
      <w:r>
        <w:rPr>
          <w:rFonts w:ascii="Arial" w:eastAsiaTheme="minorEastAsia" w:hAnsi="Arial" w:cs="Arial"/>
          <w:color w:val="000000" w:themeColor="text1"/>
          <w:kern w:val="24"/>
          <w:sz w:val="40"/>
          <w:szCs w:val="40"/>
          <w:lang w:val="en-US"/>
        </w:rPr>
        <w:t>4010</w:t>
      </w:r>
      <w:r>
        <w:rPr>
          <w:rFonts w:ascii="Arial" w:eastAsiaTheme="minorEastAsia" w:hAnsi="Arial" w:cs="Arial"/>
          <w:color w:val="000000" w:themeColor="text1"/>
          <w:kern w:val="24"/>
          <w:sz w:val="40"/>
          <w:szCs w:val="40"/>
          <w:lang w:val="en-US"/>
        </w:rPr>
        <w:br/>
        <w:t>Module: Psychology</w:t>
      </w:r>
      <w:r>
        <w:rPr>
          <w:rFonts w:ascii="Arial" w:eastAsiaTheme="minorEastAsia" w:hAnsi="Arial" w:cs="Arial"/>
          <w:b/>
          <w:bCs/>
          <w:color w:val="000000" w:themeColor="text1"/>
          <w:kern w:val="24"/>
          <w:sz w:val="40"/>
          <w:szCs w:val="40"/>
          <w:lang w:val="en-US"/>
        </w:rPr>
        <w:t xml:space="preserve"> </w:t>
      </w:r>
      <w:r>
        <w:rPr>
          <w:rFonts w:ascii="Arial" w:eastAsiaTheme="minorEastAsia" w:hAnsi="Arial" w:cs="Arial"/>
          <w:color w:val="000000" w:themeColor="text1"/>
          <w:kern w:val="24"/>
          <w:sz w:val="40"/>
          <w:szCs w:val="40"/>
          <w:lang w:val="en-US"/>
        </w:rPr>
        <w:t>in Health and Social Care</w:t>
      </w:r>
      <w:r>
        <w:rPr>
          <w:rFonts w:ascii="Arial" w:eastAsiaTheme="minorEastAsia" w:hAnsi="Arial" w:cs="Arial"/>
          <w:color w:val="000000" w:themeColor="text1"/>
          <w:kern w:val="24"/>
          <w:sz w:val="40"/>
          <w:szCs w:val="40"/>
          <w:lang w:val="en-US"/>
        </w:rPr>
        <w:br/>
        <w:t xml:space="preserve">Lecturer: Alice </w:t>
      </w:r>
      <w:r w:rsidR="00523693">
        <w:rPr>
          <w:rFonts w:ascii="Arial" w:eastAsiaTheme="minorEastAsia" w:hAnsi="Arial" w:cs="Arial"/>
          <w:color w:val="000000" w:themeColor="text1"/>
          <w:kern w:val="24"/>
          <w:sz w:val="40"/>
          <w:szCs w:val="40"/>
          <w:lang w:val="en-US"/>
        </w:rPr>
        <w:t>C</w:t>
      </w:r>
      <w:r>
        <w:rPr>
          <w:rFonts w:ascii="Arial" w:eastAsiaTheme="minorEastAsia" w:hAnsi="Arial" w:cs="Arial"/>
          <w:color w:val="000000" w:themeColor="text1"/>
          <w:kern w:val="24"/>
          <w:sz w:val="40"/>
          <w:szCs w:val="40"/>
          <w:lang w:val="en-US"/>
        </w:rPr>
        <w:t>layton</w:t>
      </w:r>
    </w:p>
    <w:p w14:paraId="5637C929" w14:textId="52907FF9" w:rsidR="00982342" w:rsidRPr="008B06E3" w:rsidRDefault="00982342" w:rsidP="00BF72A4">
      <w:pPr>
        <w:rPr>
          <w:rFonts w:ascii="Arial" w:eastAsiaTheme="minorEastAsia" w:hAnsi="Arial" w:cs="Arial"/>
          <w:color w:val="000000" w:themeColor="text1"/>
          <w:kern w:val="24"/>
          <w:sz w:val="40"/>
          <w:szCs w:val="40"/>
          <w:lang w:val="en-US"/>
        </w:rPr>
      </w:pPr>
      <w:r w:rsidRPr="00307022">
        <w:rPr>
          <w:rFonts w:ascii="Arial" w:hAnsi="Arial" w:cs="Arial"/>
          <w:bCs/>
          <w:sz w:val="40"/>
          <w:szCs w:val="40"/>
        </w:rPr>
        <w:t>Assignment</w:t>
      </w:r>
      <w:r w:rsidRPr="00307022">
        <w:rPr>
          <w:rFonts w:ascii="Arial" w:hAnsi="Arial" w:cs="Arial"/>
          <w:bCs/>
          <w:spacing w:val="-10"/>
          <w:sz w:val="40"/>
          <w:szCs w:val="40"/>
        </w:rPr>
        <w:t xml:space="preserve"> </w:t>
      </w:r>
      <w:r w:rsidRPr="00307022">
        <w:rPr>
          <w:rFonts w:ascii="Arial" w:hAnsi="Arial" w:cs="Arial"/>
          <w:bCs/>
          <w:spacing w:val="-2"/>
          <w:sz w:val="40"/>
          <w:szCs w:val="40"/>
        </w:rPr>
        <w:t>Title:</w:t>
      </w:r>
      <w:r w:rsidR="00307022" w:rsidRPr="00307022">
        <w:rPr>
          <w:rFonts w:ascii="Arial" w:hAnsi="Arial" w:cs="Arial"/>
          <w:bCs/>
          <w:sz w:val="40"/>
          <w:szCs w:val="40"/>
        </w:rPr>
        <w:t xml:space="preserve"> Assessment</w:t>
      </w:r>
      <w:r w:rsidR="00307022" w:rsidRPr="00307022">
        <w:rPr>
          <w:rFonts w:ascii="Arial" w:hAnsi="Arial" w:cs="Arial"/>
          <w:bCs/>
          <w:spacing w:val="-16"/>
          <w:sz w:val="40"/>
          <w:szCs w:val="40"/>
        </w:rPr>
        <w:t xml:space="preserve"> </w:t>
      </w:r>
      <w:r w:rsidR="00307022" w:rsidRPr="00307022">
        <w:rPr>
          <w:rFonts w:ascii="Arial" w:hAnsi="Arial" w:cs="Arial"/>
          <w:bCs/>
          <w:sz w:val="40"/>
          <w:szCs w:val="40"/>
        </w:rPr>
        <w:t xml:space="preserve">2: Bibliography &amp;  </w:t>
      </w:r>
      <w:r w:rsidR="00C7320F">
        <w:rPr>
          <w:rFonts w:ascii="Arial" w:hAnsi="Arial" w:cs="Arial"/>
          <w:bCs/>
          <w:sz w:val="40"/>
          <w:szCs w:val="40"/>
        </w:rPr>
        <w:t>R</w:t>
      </w:r>
      <w:r w:rsidR="00307022" w:rsidRPr="00307022">
        <w:rPr>
          <w:rFonts w:ascii="Arial" w:hAnsi="Arial" w:cs="Arial"/>
          <w:bCs/>
          <w:sz w:val="40"/>
          <w:szCs w:val="40"/>
        </w:rPr>
        <w:t>eport</w:t>
      </w:r>
    </w:p>
    <w:p w14:paraId="6F82B977" w14:textId="6F78F681" w:rsidR="00686159" w:rsidRDefault="00686159" w:rsidP="006D47B8">
      <w:pPr>
        <w:jc w:val="both"/>
        <w:rPr>
          <w:rFonts w:ascii="Arial" w:hAnsi="Arial" w:cs="Arial"/>
          <w:b/>
          <w:bCs/>
          <w:sz w:val="28"/>
          <w:szCs w:val="28"/>
          <w:lang w:eastAsia="en-GB"/>
        </w:rPr>
      </w:pPr>
    </w:p>
    <w:p w14:paraId="7C83DFEE" w14:textId="77777777" w:rsidR="004F37C8" w:rsidRDefault="004F37C8" w:rsidP="006D47B8">
      <w:pPr>
        <w:spacing w:line="360" w:lineRule="auto"/>
        <w:jc w:val="both"/>
        <w:rPr>
          <w:rFonts w:ascii="Arial" w:hAnsi="Arial" w:cs="Arial"/>
          <w:b/>
          <w:bCs/>
          <w:sz w:val="28"/>
          <w:szCs w:val="28"/>
          <w:lang w:eastAsia="en-GB"/>
        </w:rPr>
      </w:pPr>
    </w:p>
    <w:p w14:paraId="31F8AA11" w14:textId="77777777" w:rsidR="004F37C8" w:rsidRDefault="004F37C8" w:rsidP="006D47B8">
      <w:pPr>
        <w:spacing w:line="360" w:lineRule="auto"/>
        <w:jc w:val="both"/>
        <w:rPr>
          <w:rFonts w:ascii="Arial" w:hAnsi="Arial" w:cs="Arial"/>
          <w:b/>
          <w:bCs/>
          <w:sz w:val="28"/>
          <w:szCs w:val="28"/>
          <w:lang w:eastAsia="en-GB"/>
        </w:rPr>
      </w:pPr>
    </w:p>
    <w:p w14:paraId="5C3644EA" w14:textId="77777777" w:rsidR="004F37C8" w:rsidRDefault="004F37C8" w:rsidP="006D47B8">
      <w:pPr>
        <w:spacing w:line="360" w:lineRule="auto"/>
        <w:jc w:val="both"/>
        <w:rPr>
          <w:rFonts w:ascii="Arial" w:hAnsi="Arial" w:cs="Arial"/>
          <w:b/>
          <w:bCs/>
          <w:sz w:val="28"/>
          <w:szCs w:val="28"/>
          <w:lang w:eastAsia="en-GB"/>
        </w:rPr>
      </w:pPr>
    </w:p>
    <w:p w14:paraId="4D1D859D" w14:textId="7B4CC61D" w:rsidR="004F37C8" w:rsidRDefault="00EE2151" w:rsidP="006D47B8">
      <w:pPr>
        <w:spacing w:line="360" w:lineRule="auto"/>
        <w:jc w:val="both"/>
        <w:rPr>
          <w:rFonts w:ascii="Arial" w:hAnsi="Arial" w:cs="Arial"/>
          <w:b/>
          <w:bCs/>
          <w:sz w:val="28"/>
          <w:szCs w:val="28"/>
          <w:lang w:eastAsia="en-GB"/>
        </w:rPr>
      </w:pPr>
      <w:r>
        <w:rPr>
          <w:noProof/>
        </w:rPr>
        <w:drawing>
          <wp:inline distT="0" distB="0" distL="0" distR="0" wp14:anchorId="4B594F0E" wp14:editId="3C3AA421">
            <wp:extent cx="5334000" cy="2156460"/>
            <wp:effectExtent l="0" t="0" r="0" b="0"/>
            <wp:docPr id="4" name="Image 2">
              <a:extLst xmlns:a="http://schemas.openxmlformats.org/drawingml/2006/main">
                <a:ext uri="{FF2B5EF4-FFF2-40B4-BE49-F238E27FC236}">
                  <a16:creationId xmlns:a16="http://schemas.microsoft.com/office/drawing/2014/main" id="{C838DE56-073A-E006-2A2F-37301162397E}"/>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2">
                      <a:extLst>
                        <a:ext uri="{FF2B5EF4-FFF2-40B4-BE49-F238E27FC236}">
                          <a16:creationId xmlns:a16="http://schemas.microsoft.com/office/drawing/2014/main" id="{C838DE56-073A-E006-2A2F-37301162397E}"/>
                        </a:ext>
                      </a:extLst>
                    </pic:cNvPr>
                    <pic:cNvPicPr>
                      <a:picLocks/>
                    </pic:cNvPicPr>
                  </pic:nvPicPr>
                  <pic:blipFill>
                    <a:blip r:embed="rId10" cstate="print"/>
                    <a:stretch>
                      <a:fillRect/>
                    </a:stretch>
                  </pic:blipFill>
                  <pic:spPr>
                    <a:xfrm>
                      <a:off x="0" y="0"/>
                      <a:ext cx="5353372" cy="2164292"/>
                    </a:xfrm>
                    <a:prstGeom prst="rect">
                      <a:avLst/>
                    </a:prstGeom>
                  </pic:spPr>
                </pic:pic>
              </a:graphicData>
            </a:graphic>
          </wp:inline>
        </w:drawing>
      </w:r>
    </w:p>
    <w:p w14:paraId="6FDE51BA" w14:textId="77777777" w:rsidR="004F37C8" w:rsidRDefault="004F37C8" w:rsidP="006D47B8">
      <w:pPr>
        <w:spacing w:line="360" w:lineRule="auto"/>
        <w:jc w:val="both"/>
        <w:rPr>
          <w:rFonts w:ascii="Arial" w:hAnsi="Arial" w:cs="Arial"/>
          <w:b/>
          <w:bCs/>
          <w:sz w:val="28"/>
          <w:szCs w:val="28"/>
          <w:lang w:eastAsia="en-GB"/>
        </w:rPr>
      </w:pPr>
    </w:p>
    <w:p w14:paraId="6CEEADE0" w14:textId="77777777" w:rsidR="004F37C8" w:rsidRDefault="004F37C8" w:rsidP="006D47B8">
      <w:pPr>
        <w:spacing w:line="360" w:lineRule="auto"/>
        <w:jc w:val="both"/>
        <w:rPr>
          <w:rFonts w:ascii="Arial" w:hAnsi="Arial" w:cs="Arial"/>
          <w:b/>
          <w:bCs/>
          <w:sz w:val="28"/>
          <w:szCs w:val="28"/>
          <w:lang w:eastAsia="en-GB"/>
        </w:rPr>
      </w:pPr>
    </w:p>
    <w:p w14:paraId="338A6EC2" w14:textId="77777777" w:rsidR="004F37C8" w:rsidRDefault="004F37C8" w:rsidP="006D47B8">
      <w:pPr>
        <w:spacing w:line="360" w:lineRule="auto"/>
        <w:jc w:val="both"/>
        <w:rPr>
          <w:rFonts w:ascii="Arial" w:hAnsi="Arial" w:cs="Arial"/>
          <w:b/>
          <w:bCs/>
          <w:sz w:val="28"/>
          <w:szCs w:val="28"/>
          <w:lang w:eastAsia="en-GB"/>
        </w:rPr>
      </w:pPr>
    </w:p>
    <w:p w14:paraId="197B1989" w14:textId="7C3682B4" w:rsidR="00614E4C" w:rsidRDefault="00614E4C" w:rsidP="00614E4C">
      <w:pPr>
        <w:spacing w:after="0" w:line="240" w:lineRule="auto"/>
        <w:rPr>
          <w:rFonts w:ascii="Arial" w:hAnsi="Arial" w:cs="Arial"/>
          <w:b/>
          <w:bCs/>
          <w:sz w:val="28"/>
          <w:szCs w:val="28"/>
          <w:lang w:eastAsia="en-GB"/>
        </w:rPr>
      </w:pPr>
    </w:p>
    <w:p w14:paraId="782BF1D3" w14:textId="77777777" w:rsidR="007F1039" w:rsidRPr="00614E4C" w:rsidRDefault="007F1039" w:rsidP="00614E4C">
      <w:pPr>
        <w:spacing w:after="0" w:line="240" w:lineRule="auto"/>
        <w:rPr>
          <w:rFonts w:ascii="Times New Roman" w:eastAsia="Times New Roman" w:hAnsi="Times New Roman" w:cs="Times New Roman"/>
          <w:color w:val="EE0000"/>
          <w:kern w:val="0"/>
          <w:lang w:eastAsia="en-GB"/>
          <w14:ligatures w14:val="none"/>
        </w:rPr>
      </w:pPr>
    </w:p>
    <w:p w14:paraId="690E1250" w14:textId="77777777" w:rsidR="00523693" w:rsidRDefault="00523693" w:rsidP="00EE7050">
      <w:pPr>
        <w:spacing w:line="360" w:lineRule="auto"/>
        <w:rPr>
          <w:rFonts w:ascii="Arial" w:hAnsi="Arial" w:cs="Arial"/>
          <w:b/>
          <w:bCs/>
          <w:sz w:val="22"/>
          <w:szCs w:val="22"/>
          <w:lang w:eastAsia="en-GB"/>
        </w:rPr>
      </w:pPr>
    </w:p>
    <w:p w14:paraId="72BC33A7" w14:textId="07CB0EEF" w:rsidR="00523693" w:rsidRDefault="00523693" w:rsidP="00460CF6">
      <w:pPr>
        <w:spacing w:line="360" w:lineRule="auto"/>
        <w:jc w:val="center"/>
        <w:rPr>
          <w:rFonts w:ascii="Arial" w:hAnsi="Arial" w:cs="Arial"/>
          <w:b/>
          <w:bCs/>
          <w:sz w:val="22"/>
          <w:szCs w:val="22"/>
          <w:lang w:eastAsia="en-GB"/>
        </w:rPr>
      </w:pPr>
      <w:r>
        <w:rPr>
          <w:rFonts w:ascii="Arial" w:hAnsi="Arial" w:cs="Arial"/>
          <w:b/>
          <w:bCs/>
          <w:sz w:val="22"/>
          <w:szCs w:val="22"/>
          <w:lang w:eastAsia="en-GB"/>
        </w:rPr>
        <w:t>Contents page</w:t>
      </w:r>
    </w:p>
    <w:p w14:paraId="05AB4802" w14:textId="77777777" w:rsidR="00523693" w:rsidRDefault="00523693" w:rsidP="00EE7050">
      <w:pPr>
        <w:spacing w:line="360" w:lineRule="auto"/>
        <w:rPr>
          <w:rFonts w:ascii="Arial" w:hAnsi="Arial" w:cs="Arial"/>
          <w:b/>
          <w:bCs/>
          <w:sz w:val="22"/>
          <w:szCs w:val="22"/>
          <w:lang w:eastAsia="en-GB"/>
        </w:rPr>
      </w:pPr>
    </w:p>
    <w:p w14:paraId="7CE13F84" w14:textId="0F985EC8" w:rsidR="00523693" w:rsidRDefault="00523693" w:rsidP="00EE7050">
      <w:pPr>
        <w:spacing w:line="360" w:lineRule="auto"/>
        <w:rPr>
          <w:rFonts w:ascii="Arial" w:hAnsi="Arial" w:cs="Arial"/>
          <w:sz w:val="22"/>
          <w:szCs w:val="22"/>
          <w:lang w:eastAsia="en-GB"/>
        </w:rPr>
      </w:pPr>
      <w:r>
        <w:rPr>
          <w:rFonts w:ascii="Arial" w:hAnsi="Arial" w:cs="Arial"/>
          <w:sz w:val="22"/>
          <w:szCs w:val="22"/>
          <w:lang w:eastAsia="en-GB"/>
        </w:rPr>
        <w:t>Part A: Annotated bibliography ……………………………………………………..</w:t>
      </w:r>
      <w:r>
        <w:rPr>
          <w:rFonts w:ascii="Arial" w:hAnsi="Arial" w:cs="Arial"/>
          <w:sz w:val="22"/>
          <w:szCs w:val="22"/>
          <w:lang w:eastAsia="en-GB"/>
        </w:rPr>
        <w:tab/>
        <w:t>2-</w:t>
      </w:r>
      <w:r w:rsidR="00460CF6">
        <w:rPr>
          <w:rFonts w:ascii="Arial" w:hAnsi="Arial" w:cs="Arial"/>
          <w:sz w:val="22"/>
          <w:szCs w:val="22"/>
          <w:lang w:eastAsia="en-GB"/>
        </w:rPr>
        <w:t>4</w:t>
      </w:r>
    </w:p>
    <w:p w14:paraId="2E6145AB" w14:textId="6B0F7250" w:rsidR="00460CF6" w:rsidRDefault="00460CF6" w:rsidP="00EE7050">
      <w:pPr>
        <w:spacing w:line="360" w:lineRule="auto"/>
        <w:rPr>
          <w:rFonts w:ascii="Arial" w:hAnsi="Arial" w:cs="Arial"/>
          <w:sz w:val="22"/>
          <w:szCs w:val="22"/>
          <w:lang w:eastAsia="en-GB"/>
        </w:rPr>
      </w:pPr>
      <w:r>
        <w:rPr>
          <w:rFonts w:ascii="Arial" w:hAnsi="Arial" w:cs="Arial"/>
          <w:sz w:val="22"/>
          <w:szCs w:val="22"/>
          <w:lang w:eastAsia="en-GB"/>
        </w:rPr>
        <w:t>Part B: Report …………………………………………………………………………</w:t>
      </w:r>
      <w:r>
        <w:rPr>
          <w:rFonts w:ascii="Arial" w:hAnsi="Arial" w:cs="Arial"/>
          <w:sz w:val="22"/>
          <w:szCs w:val="22"/>
          <w:lang w:eastAsia="en-GB"/>
        </w:rPr>
        <w:tab/>
        <w:t>5-7</w:t>
      </w:r>
    </w:p>
    <w:p w14:paraId="2B3A7904" w14:textId="4D7B21C3" w:rsidR="00460CF6" w:rsidRDefault="00460CF6" w:rsidP="00EE7050">
      <w:pPr>
        <w:spacing w:line="360" w:lineRule="auto"/>
        <w:rPr>
          <w:rFonts w:ascii="Arial" w:hAnsi="Arial" w:cs="Arial"/>
          <w:sz w:val="22"/>
          <w:szCs w:val="22"/>
          <w:lang w:eastAsia="en-GB"/>
        </w:rPr>
      </w:pPr>
      <w:r>
        <w:rPr>
          <w:rFonts w:ascii="Arial" w:hAnsi="Arial" w:cs="Arial"/>
          <w:sz w:val="22"/>
          <w:szCs w:val="22"/>
          <w:lang w:eastAsia="en-GB"/>
        </w:rPr>
        <w:t>Reference list ………………………………………………………………………….</w:t>
      </w:r>
      <w:r>
        <w:rPr>
          <w:rFonts w:ascii="Arial" w:hAnsi="Arial" w:cs="Arial"/>
          <w:sz w:val="22"/>
          <w:szCs w:val="22"/>
          <w:lang w:eastAsia="en-GB"/>
        </w:rPr>
        <w:tab/>
        <w:t>8-9</w:t>
      </w:r>
    </w:p>
    <w:p w14:paraId="63D0ACC5" w14:textId="77777777" w:rsidR="00460CF6" w:rsidRPr="00523693" w:rsidRDefault="00460CF6" w:rsidP="00EE7050">
      <w:pPr>
        <w:spacing w:line="360" w:lineRule="auto"/>
        <w:rPr>
          <w:rFonts w:ascii="Arial" w:hAnsi="Arial" w:cs="Arial"/>
          <w:sz w:val="22"/>
          <w:szCs w:val="22"/>
          <w:lang w:eastAsia="en-GB"/>
        </w:rPr>
      </w:pPr>
    </w:p>
    <w:p w14:paraId="301143FC" w14:textId="77777777" w:rsidR="00523693" w:rsidRDefault="00523693" w:rsidP="00EE7050">
      <w:pPr>
        <w:spacing w:line="360" w:lineRule="auto"/>
        <w:rPr>
          <w:rFonts w:ascii="Arial" w:hAnsi="Arial" w:cs="Arial"/>
          <w:b/>
          <w:bCs/>
          <w:sz w:val="22"/>
          <w:szCs w:val="22"/>
          <w:lang w:eastAsia="en-GB"/>
        </w:rPr>
      </w:pPr>
    </w:p>
    <w:p w14:paraId="78BD2C8A" w14:textId="77777777" w:rsidR="00523693" w:rsidRDefault="00523693" w:rsidP="00EE7050">
      <w:pPr>
        <w:spacing w:line="360" w:lineRule="auto"/>
        <w:rPr>
          <w:rFonts w:ascii="Arial" w:hAnsi="Arial" w:cs="Arial"/>
          <w:b/>
          <w:bCs/>
          <w:sz w:val="22"/>
          <w:szCs w:val="22"/>
          <w:lang w:eastAsia="en-GB"/>
        </w:rPr>
      </w:pPr>
    </w:p>
    <w:p w14:paraId="3EAF2844" w14:textId="77777777" w:rsidR="00523693" w:rsidRDefault="00523693" w:rsidP="00EE7050">
      <w:pPr>
        <w:spacing w:line="360" w:lineRule="auto"/>
        <w:rPr>
          <w:rFonts w:ascii="Arial" w:hAnsi="Arial" w:cs="Arial"/>
          <w:b/>
          <w:bCs/>
          <w:sz w:val="22"/>
          <w:szCs w:val="22"/>
          <w:lang w:eastAsia="en-GB"/>
        </w:rPr>
      </w:pPr>
    </w:p>
    <w:p w14:paraId="3BF6E818" w14:textId="77777777" w:rsidR="00523693" w:rsidRDefault="00523693" w:rsidP="00EE7050">
      <w:pPr>
        <w:spacing w:line="360" w:lineRule="auto"/>
        <w:rPr>
          <w:rFonts w:ascii="Arial" w:hAnsi="Arial" w:cs="Arial"/>
          <w:b/>
          <w:bCs/>
          <w:sz w:val="22"/>
          <w:szCs w:val="22"/>
          <w:lang w:eastAsia="en-GB"/>
        </w:rPr>
      </w:pPr>
    </w:p>
    <w:p w14:paraId="565FBACD" w14:textId="77777777" w:rsidR="00523693" w:rsidRDefault="00523693" w:rsidP="00EE7050">
      <w:pPr>
        <w:spacing w:line="360" w:lineRule="auto"/>
        <w:rPr>
          <w:rFonts w:ascii="Arial" w:hAnsi="Arial" w:cs="Arial"/>
          <w:b/>
          <w:bCs/>
          <w:sz w:val="22"/>
          <w:szCs w:val="22"/>
          <w:lang w:eastAsia="en-GB"/>
        </w:rPr>
      </w:pPr>
    </w:p>
    <w:p w14:paraId="389D59FF" w14:textId="77777777" w:rsidR="00523693" w:rsidRDefault="00523693" w:rsidP="00EE7050">
      <w:pPr>
        <w:spacing w:line="360" w:lineRule="auto"/>
        <w:rPr>
          <w:rFonts w:ascii="Arial" w:hAnsi="Arial" w:cs="Arial"/>
          <w:b/>
          <w:bCs/>
          <w:sz w:val="22"/>
          <w:szCs w:val="22"/>
          <w:lang w:eastAsia="en-GB"/>
        </w:rPr>
      </w:pPr>
    </w:p>
    <w:p w14:paraId="17292109" w14:textId="77777777" w:rsidR="00523693" w:rsidRDefault="00523693" w:rsidP="00EE7050">
      <w:pPr>
        <w:spacing w:line="360" w:lineRule="auto"/>
        <w:rPr>
          <w:rFonts w:ascii="Arial" w:hAnsi="Arial" w:cs="Arial"/>
          <w:b/>
          <w:bCs/>
          <w:sz w:val="22"/>
          <w:szCs w:val="22"/>
          <w:lang w:eastAsia="en-GB"/>
        </w:rPr>
      </w:pPr>
    </w:p>
    <w:p w14:paraId="34D2A699" w14:textId="77777777" w:rsidR="00523693" w:rsidRDefault="00523693" w:rsidP="00EE7050">
      <w:pPr>
        <w:spacing w:line="360" w:lineRule="auto"/>
        <w:rPr>
          <w:rFonts w:ascii="Arial" w:hAnsi="Arial" w:cs="Arial"/>
          <w:b/>
          <w:bCs/>
          <w:sz w:val="22"/>
          <w:szCs w:val="22"/>
          <w:lang w:eastAsia="en-GB"/>
        </w:rPr>
      </w:pPr>
    </w:p>
    <w:p w14:paraId="1C179EC0" w14:textId="77777777" w:rsidR="00523693" w:rsidRDefault="00523693" w:rsidP="00EE7050">
      <w:pPr>
        <w:spacing w:line="360" w:lineRule="auto"/>
        <w:rPr>
          <w:rFonts w:ascii="Arial" w:hAnsi="Arial" w:cs="Arial"/>
          <w:b/>
          <w:bCs/>
          <w:sz w:val="22"/>
          <w:szCs w:val="22"/>
          <w:lang w:eastAsia="en-GB"/>
        </w:rPr>
      </w:pPr>
    </w:p>
    <w:p w14:paraId="00FA297F" w14:textId="77777777" w:rsidR="00523693" w:rsidRDefault="00523693" w:rsidP="00EE7050">
      <w:pPr>
        <w:spacing w:line="360" w:lineRule="auto"/>
        <w:rPr>
          <w:rFonts w:ascii="Arial" w:hAnsi="Arial" w:cs="Arial"/>
          <w:b/>
          <w:bCs/>
          <w:sz w:val="22"/>
          <w:szCs w:val="22"/>
          <w:lang w:eastAsia="en-GB"/>
        </w:rPr>
      </w:pPr>
    </w:p>
    <w:p w14:paraId="37B4D1DB" w14:textId="77777777" w:rsidR="00523693" w:rsidRDefault="00523693" w:rsidP="00EE7050">
      <w:pPr>
        <w:spacing w:line="360" w:lineRule="auto"/>
        <w:rPr>
          <w:rFonts w:ascii="Arial" w:hAnsi="Arial" w:cs="Arial"/>
          <w:b/>
          <w:bCs/>
          <w:sz w:val="22"/>
          <w:szCs w:val="22"/>
          <w:lang w:eastAsia="en-GB"/>
        </w:rPr>
      </w:pPr>
    </w:p>
    <w:p w14:paraId="6A05DD86" w14:textId="77777777" w:rsidR="00523693" w:rsidRDefault="00523693" w:rsidP="00EE7050">
      <w:pPr>
        <w:spacing w:line="360" w:lineRule="auto"/>
        <w:rPr>
          <w:rFonts w:ascii="Arial" w:hAnsi="Arial" w:cs="Arial"/>
          <w:b/>
          <w:bCs/>
          <w:sz w:val="22"/>
          <w:szCs w:val="22"/>
          <w:lang w:eastAsia="en-GB"/>
        </w:rPr>
      </w:pPr>
    </w:p>
    <w:p w14:paraId="5042AE93" w14:textId="77777777" w:rsidR="00523693" w:rsidRDefault="00523693" w:rsidP="00EE7050">
      <w:pPr>
        <w:spacing w:line="360" w:lineRule="auto"/>
        <w:rPr>
          <w:rFonts w:ascii="Arial" w:hAnsi="Arial" w:cs="Arial"/>
          <w:b/>
          <w:bCs/>
          <w:sz w:val="22"/>
          <w:szCs w:val="22"/>
          <w:lang w:eastAsia="en-GB"/>
        </w:rPr>
      </w:pPr>
    </w:p>
    <w:p w14:paraId="33210C68" w14:textId="77777777" w:rsidR="00523693" w:rsidRDefault="00523693" w:rsidP="00EE7050">
      <w:pPr>
        <w:spacing w:line="360" w:lineRule="auto"/>
        <w:rPr>
          <w:rFonts w:ascii="Arial" w:hAnsi="Arial" w:cs="Arial"/>
          <w:b/>
          <w:bCs/>
          <w:sz w:val="22"/>
          <w:szCs w:val="22"/>
          <w:lang w:eastAsia="en-GB"/>
        </w:rPr>
      </w:pPr>
    </w:p>
    <w:p w14:paraId="297CBE8F" w14:textId="77777777" w:rsidR="00523693" w:rsidRDefault="00523693" w:rsidP="00EE7050">
      <w:pPr>
        <w:spacing w:line="360" w:lineRule="auto"/>
        <w:rPr>
          <w:rFonts w:ascii="Arial" w:hAnsi="Arial" w:cs="Arial"/>
          <w:b/>
          <w:bCs/>
          <w:sz w:val="22"/>
          <w:szCs w:val="22"/>
          <w:lang w:eastAsia="en-GB"/>
        </w:rPr>
      </w:pPr>
    </w:p>
    <w:p w14:paraId="789424BE" w14:textId="77777777" w:rsidR="00523693" w:rsidRDefault="00523693" w:rsidP="00EE7050">
      <w:pPr>
        <w:spacing w:line="360" w:lineRule="auto"/>
        <w:rPr>
          <w:rFonts w:ascii="Arial" w:hAnsi="Arial" w:cs="Arial"/>
          <w:b/>
          <w:bCs/>
          <w:sz w:val="22"/>
          <w:szCs w:val="22"/>
          <w:lang w:eastAsia="en-GB"/>
        </w:rPr>
      </w:pPr>
    </w:p>
    <w:p w14:paraId="0903702E" w14:textId="77777777" w:rsidR="00523693" w:rsidRDefault="00523693" w:rsidP="00EE7050">
      <w:pPr>
        <w:spacing w:line="360" w:lineRule="auto"/>
        <w:rPr>
          <w:rFonts w:ascii="Arial" w:hAnsi="Arial" w:cs="Arial"/>
          <w:b/>
          <w:bCs/>
          <w:sz w:val="22"/>
          <w:szCs w:val="22"/>
          <w:lang w:eastAsia="en-GB"/>
        </w:rPr>
      </w:pPr>
    </w:p>
    <w:p w14:paraId="4634D2DC" w14:textId="77777777" w:rsidR="00523693" w:rsidRDefault="00523693" w:rsidP="00EE7050">
      <w:pPr>
        <w:spacing w:line="360" w:lineRule="auto"/>
        <w:rPr>
          <w:rFonts w:ascii="Arial" w:hAnsi="Arial" w:cs="Arial"/>
          <w:b/>
          <w:bCs/>
          <w:sz w:val="22"/>
          <w:szCs w:val="22"/>
          <w:lang w:eastAsia="en-GB"/>
        </w:rPr>
      </w:pPr>
    </w:p>
    <w:p w14:paraId="737FBB8E" w14:textId="77777777" w:rsidR="00523693" w:rsidRDefault="00523693" w:rsidP="00EE7050">
      <w:pPr>
        <w:spacing w:line="360" w:lineRule="auto"/>
        <w:rPr>
          <w:rFonts w:ascii="Arial" w:hAnsi="Arial" w:cs="Arial"/>
          <w:b/>
          <w:bCs/>
          <w:sz w:val="22"/>
          <w:szCs w:val="22"/>
          <w:lang w:eastAsia="en-GB"/>
        </w:rPr>
      </w:pPr>
    </w:p>
    <w:p w14:paraId="228F5CFC" w14:textId="5D6E820B" w:rsidR="00614E4C" w:rsidRPr="00BF299E" w:rsidRDefault="00614E4C" w:rsidP="00EE7050">
      <w:pPr>
        <w:spacing w:line="360" w:lineRule="auto"/>
        <w:rPr>
          <w:rFonts w:ascii="Arial" w:hAnsi="Arial" w:cs="Arial"/>
          <w:b/>
          <w:bCs/>
          <w:sz w:val="22"/>
          <w:szCs w:val="22"/>
          <w:lang w:eastAsia="en-GB"/>
        </w:rPr>
      </w:pPr>
      <w:r w:rsidRPr="00BF299E">
        <w:rPr>
          <w:rFonts w:ascii="Arial" w:hAnsi="Arial" w:cs="Arial"/>
          <w:b/>
          <w:bCs/>
          <w:sz w:val="22"/>
          <w:szCs w:val="22"/>
          <w:lang w:eastAsia="en-GB"/>
        </w:rPr>
        <w:lastRenderedPageBreak/>
        <w:t xml:space="preserve">Annotated Bibliography </w:t>
      </w:r>
    </w:p>
    <w:p w14:paraId="715739FC" w14:textId="0D20C0A8" w:rsidR="00927E85" w:rsidRDefault="00927E85" w:rsidP="00EE7050">
      <w:pPr>
        <w:spacing w:after="0" w:line="360" w:lineRule="auto"/>
        <w:rPr>
          <w:rFonts w:ascii="Arial" w:eastAsia="Times New Roman" w:hAnsi="Arial" w:cs="Arial"/>
          <w:kern w:val="0"/>
          <w:sz w:val="22"/>
          <w:szCs w:val="22"/>
          <w:lang w:eastAsia="en-GB"/>
          <w14:ligatures w14:val="none"/>
        </w:rPr>
      </w:pPr>
      <w:r w:rsidRPr="00927E85">
        <w:rPr>
          <w:rFonts w:ascii="Arial" w:eastAsia="Times New Roman" w:hAnsi="Arial" w:cs="Arial"/>
          <w:kern w:val="0"/>
          <w:sz w:val="22"/>
          <w:szCs w:val="22"/>
          <w:u w:val="single"/>
          <w:lang w:eastAsia="en-GB"/>
          <w14:ligatures w14:val="none"/>
        </w:rPr>
        <w:t>Source 1</w:t>
      </w:r>
      <w:r>
        <w:rPr>
          <w:rFonts w:ascii="Arial" w:eastAsia="Times New Roman" w:hAnsi="Arial" w:cs="Arial"/>
          <w:kern w:val="0"/>
          <w:sz w:val="22"/>
          <w:szCs w:val="22"/>
          <w:lang w:eastAsia="en-GB"/>
          <w14:ligatures w14:val="none"/>
        </w:rPr>
        <w:t>:</w:t>
      </w:r>
    </w:p>
    <w:p w14:paraId="55EF51FF" w14:textId="77777777" w:rsidR="00927E85" w:rsidRDefault="00927E85" w:rsidP="00EE7050">
      <w:pPr>
        <w:spacing w:after="0" w:line="360" w:lineRule="auto"/>
        <w:rPr>
          <w:rFonts w:ascii="Arial" w:eastAsia="Times New Roman" w:hAnsi="Arial" w:cs="Arial"/>
          <w:kern w:val="0"/>
          <w:sz w:val="22"/>
          <w:szCs w:val="22"/>
          <w:lang w:eastAsia="en-GB"/>
          <w14:ligatures w14:val="none"/>
        </w:rPr>
      </w:pPr>
    </w:p>
    <w:p w14:paraId="10DBFF05" w14:textId="168B4C6C" w:rsidR="006B0D6D" w:rsidRDefault="005032B5" w:rsidP="00EE7050">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Abbasi, M., Radfar, M., Jafarizadeh, H. and Khalkhali, H.</w:t>
      </w:r>
      <w:r w:rsidR="00927E85">
        <w:rPr>
          <w:rFonts w:ascii="Arial" w:eastAsia="Times New Roman" w:hAnsi="Arial" w:cs="Arial"/>
          <w:kern w:val="0"/>
          <w:sz w:val="22"/>
          <w:szCs w:val="22"/>
          <w:lang w:eastAsia="en-GB"/>
          <w14:ligatures w14:val="none"/>
        </w:rPr>
        <w:t xml:space="preserve"> (</w:t>
      </w:r>
      <w:r w:rsidRPr="00BF299E">
        <w:rPr>
          <w:rFonts w:ascii="Arial" w:eastAsia="Times New Roman" w:hAnsi="Arial" w:cs="Arial"/>
          <w:kern w:val="0"/>
          <w:sz w:val="22"/>
          <w:szCs w:val="22"/>
          <w:lang w:eastAsia="en-GB"/>
          <w14:ligatures w14:val="none"/>
        </w:rPr>
        <w:t>2025</w:t>
      </w:r>
      <w:r w:rsidR="00927E85">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sidR="00927E85">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Does life story work based on Erikson's theory enhance psychological well-being in elderly residents of nursing homes? A randomized controlled trial</w:t>
      </w:r>
      <w:r w:rsidR="00927E85">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sidRPr="00927E85">
        <w:rPr>
          <w:rFonts w:ascii="Arial" w:eastAsia="Times New Roman" w:hAnsi="Arial" w:cs="Arial"/>
          <w:i/>
          <w:iCs/>
          <w:kern w:val="0"/>
          <w:sz w:val="22"/>
          <w:szCs w:val="22"/>
          <w:lang w:eastAsia="en-GB"/>
          <w14:ligatures w14:val="none"/>
        </w:rPr>
        <w:t>Geriatric Nursing</w:t>
      </w:r>
      <w:r w:rsidRPr="00BF299E">
        <w:rPr>
          <w:rFonts w:ascii="Arial" w:eastAsia="Times New Roman" w:hAnsi="Arial" w:cs="Arial"/>
          <w:kern w:val="0"/>
          <w:sz w:val="22"/>
          <w:szCs w:val="22"/>
          <w:lang w:eastAsia="en-GB"/>
          <w14:ligatures w14:val="none"/>
        </w:rPr>
        <w:t>, 61, pp.140-148.</w:t>
      </w:r>
    </w:p>
    <w:p w14:paraId="2B741851" w14:textId="77777777" w:rsidR="00927E85" w:rsidRDefault="00927E85" w:rsidP="00EE7050">
      <w:pPr>
        <w:spacing w:after="0" w:line="360" w:lineRule="auto"/>
        <w:rPr>
          <w:rFonts w:ascii="Arial" w:eastAsia="Times New Roman" w:hAnsi="Arial" w:cs="Arial"/>
          <w:kern w:val="0"/>
          <w:sz w:val="22"/>
          <w:szCs w:val="22"/>
          <w:lang w:eastAsia="en-GB"/>
          <w14:ligatures w14:val="none"/>
        </w:rPr>
      </w:pPr>
    </w:p>
    <w:p w14:paraId="57362AFA" w14:textId="59299633" w:rsidR="006B0D6D" w:rsidRPr="00BF299E" w:rsidRDefault="000E2AB9" w:rsidP="00EE7050">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 xml:space="preserve">Abbasi </w:t>
      </w:r>
      <w:r w:rsidRPr="00846854">
        <w:rPr>
          <w:rFonts w:ascii="Arial" w:eastAsia="Times New Roman" w:hAnsi="Arial" w:cs="Arial"/>
          <w:i/>
          <w:iCs/>
          <w:kern w:val="0"/>
          <w:sz w:val="22"/>
          <w:szCs w:val="22"/>
          <w:lang w:eastAsia="en-GB"/>
          <w14:ligatures w14:val="none"/>
        </w:rPr>
        <w:t>et al.</w:t>
      </w:r>
      <w:r w:rsidRPr="00BF299E">
        <w:rPr>
          <w:rFonts w:ascii="Arial" w:eastAsia="Times New Roman" w:hAnsi="Arial" w:cs="Arial"/>
          <w:kern w:val="0"/>
          <w:sz w:val="22"/>
          <w:szCs w:val="22"/>
          <w:lang w:eastAsia="en-GB"/>
          <w14:ligatures w14:val="none"/>
        </w:rPr>
        <w:t xml:space="preserve"> (2025) found that life story work based on Erikson’s psychosocial theory can significantly improve psychological wellbeing in nursing</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home residents. The intervention focused on Erikson’s final stage, ego integrity vs despair, encouraging older adults to reflect on meaningful life events, relationships, and achievements. Through structured life</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review sessions, participants created personalised life story materials that helped them integrate past experiences. The study reported notable benefits, including reduced depressive symptoms and increased life satisfaction compared with the control group. These outcomes support Erikson’s view that reflective processes promote ego integrity, leading to greater acceptance, coherence, and emotional stability in later life.</w:t>
      </w:r>
    </w:p>
    <w:p w14:paraId="4F0A4443" w14:textId="77777777" w:rsidR="00846854" w:rsidRDefault="00846854" w:rsidP="00EE7050">
      <w:pPr>
        <w:spacing w:after="0" w:line="360" w:lineRule="auto"/>
        <w:rPr>
          <w:rFonts w:ascii="Arial" w:eastAsia="Times New Roman" w:hAnsi="Arial" w:cs="Arial"/>
          <w:kern w:val="0"/>
          <w:sz w:val="22"/>
          <w:szCs w:val="22"/>
          <w:lang w:eastAsia="en-GB"/>
          <w14:ligatures w14:val="none"/>
        </w:rPr>
      </w:pPr>
    </w:p>
    <w:p w14:paraId="541BA11F" w14:textId="19EA5D4E" w:rsidR="006B0D6D" w:rsidRPr="00BF299E" w:rsidRDefault="006B0D6D" w:rsidP="00EE7050">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This research is highly relevant to residential care practice because it demonstrates that Erikson</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based interventions can meaningfully enhance emotional wellbeing. It supports the use of reminiscence therapy,</w:t>
      </w:r>
      <w:r w:rsidR="00960733" w:rsidRPr="00BF299E">
        <w:rPr>
          <w:rFonts w:ascii="Arial" w:eastAsia="Times New Roman" w:hAnsi="Arial" w:cs="Arial"/>
          <w:kern w:val="0"/>
          <w:sz w:val="22"/>
          <w:szCs w:val="22"/>
          <w:lang w:eastAsia="en-GB"/>
          <w14:ligatures w14:val="none"/>
        </w:rPr>
        <w:t xml:space="preserve"> </w:t>
      </w:r>
      <w:r w:rsidRPr="00BF299E">
        <w:rPr>
          <w:rFonts w:ascii="Arial" w:eastAsia="Times New Roman" w:hAnsi="Arial" w:cs="Arial"/>
          <w:kern w:val="0"/>
          <w:sz w:val="22"/>
          <w:szCs w:val="22"/>
          <w:lang w:eastAsia="en-GB"/>
          <w14:ligatures w14:val="none"/>
        </w:rPr>
        <w:t>life story books, and meaning</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centred activities</w:t>
      </w:r>
      <w:r w:rsidR="005500CA" w:rsidRPr="00BF299E">
        <w:rPr>
          <w:rFonts w:ascii="Arial" w:eastAsia="Times New Roman" w:hAnsi="Arial" w:cs="Arial"/>
          <w:kern w:val="0"/>
          <w:sz w:val="22"/>
          <w:szCs w:val="22"/>
          <w:lang w:eastAsia="en-GB"/>
          <w14:ligatures w14:val="none"/>
        </w:rPr>
        <w:t xml:space="preserve"> </w:t>
      </w:r>
      <w:r w:rsidRPr="00BF299E">
        <w:rPr>
          <w:rFonts w:ascii="Arial" w:eastAsia="Times New Roman" w:hAnsi="Arial" w:cs="Arial"/>
          <w:kern w:val="0"/>
          <w:sz w:val="22"/>
          <w:szCs w:val="22"/>
          <w:lang w:eastAsia="en-GB"/>
          <w14:ligatures w14:val="none"/>
        </w:rPr>
        <w:t>as part of person</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centred care. However, the approach may not suit all residents, particularly those with trauma histories or cultural norms that discourage self</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disclosure. Despite these limitations, the study offers strong evidence that life story work can promote identity, dignity, and psychological wellbeing in later life.</w:t>
      </w:r>
    </w:p>
    <w:p w14:paraId="26F85B51" w14:textId="7C4D37AC" w:rsidR="00614E4C" w:rsidRDefault="00614E4C" w:rsidP="00EE7050">
      <w:pPr>
        <w:spacing w:after="0" w:line="360" w:lineRule="auto"/>
        <w:rPr>
          <w:rFonts w:ascii="Arial" w:eastAsia="Times New Roman" w:hAnsi="Arial" w:cs="Arial"/>
          <w:kern w:val="0"/>
          <w:sz w:val="22"/>
          <w:szCs w:val="22"/>
          <w:lang w:eastAsia="en-GB"/>
          <w14:ligatures w14:val="none"/>
        </w:rPr>
      </w:pPr>
    </w:p>
    <w:p w14:paraId="785B9921" w14:textId="77777777" w:rsidR="00600475" w:rsidRDefault="00600475" w:rsidP="00EE7050">
      <w:pPr>
        <w:spacing w:after="0" w:line="360" w:lineRule="auto"/>
        <w:rPr>
          <w:rFonts w:ascii="Arial" w:eastAsia="Times New Roman" w:hAnsi="Arial" w:cs="Arial"/>
          <w:kern w:val="0"/>
          <w:sz w:val="22"/>
          <w:szCs w:val="22"/>
          <w:lang w:eastAsia="en-GB"/>
          <w14:ligatures w14:val="none"/>
        </w:rPr>
      </w:pPr>
    </w:p>
    <w:p w14:paraId="5E90E0D5" w14:textId="69E3FA2D" w:rsidR="00600475" w:rsidRPr="00BF299E" w:rsidRDefault="00600475" w:rsidP="00EE7050">
      <w:pPr>
        <w:spacing w:after="0" w:line="360" w:lineRule="auto"/>
        <w:rPr>
          <w:rFonts w:ascii="Arial" w:eastAsia="Times New Roman" w:hAnsi="Arial" w:cs="Arial"/>
          <w:kern w:val="0"/>
          <w:sz w:val="22"/>
          <w:szCs w:val="22"/>
          <w:lang w:eastAsia="en-GB"/>
          <w14:ligatures w14:val="none"/>
        </w:rPr>
      </w:pPr>
      <w:r w:rsidRPr="00600475">
        <w:rPr>
          <w:rFonts w:ascii="Arial" w:eastAsia="Times New Roman" w:hAnsi="Arial" w:cs="Arial"/>
          <w:kern w:val="0"/>
          <w:sz w:val="22"/>
          <w:szCs w:val="22"/>
          <w:u w:val="single"/>
          <w:lang w:eastAsia="en-GB"/>
          <w14:ligatures w14:val="none"/>
        </w:rPr>
        <w:t>Source 2</w:t>
      </w:r>
      <w:r>
        <w:rPr>
          <w:rFonts w:ascii="Arial" w:eastAsia="Times New Roman" w:hAnsi="Arial" w:cs="Arial"/>
          <w:kern w:val="0"/>
          <w:sz w:val="22"/>
          <w:szCs w:val="22"/>
          <w:lang w:eastAsia="en-GB"/>
          <w14:ligatures w14:val="none"/>
        </w:rPr>
        <w:t>:</w:t>
      </w:r>
    </w:p>
    <w:p w14:paraId="558CAB80" w14:textId="77777777" w:rsidR="00600475" w:rsidRDefault="00600475" w:rsidP="00EE7050">
      <w:pPr>
        <w:spacing w:after="0" w:line="360" w:lineRule="auto"/>
        <w:rPr>
          <w:rFonts w:ascii="Arial" w:eastAsia="Times New Roman" w:hAnsi="Arial" w:cs="Arial"/>
          <w:kern w:val="0"/>
          <w:sz w:val="22"/>
          <w:szCs w:val="22"/>
          <w:lang w:eastAsia="en-GB"/>
          <w14:ligatures w14:val="none"/>
        </w:rPr>
      </w:pPr>
    </w:p>
    <w:p w14:paraId="7D0CA2E9" w14:textId="6CE8D9C5" w:rsidR="00AA379A" w:rsidRPr="00BF299E" w:rsidRDefault="00CC07F9" w:rsidP="00EE7050">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O</w:t>
      </w:r>
      <w:r w:rsidR="006029ED" w:rsidRPr="00BF299E">
        <w:rPr>
          <w:rFonts w:ascii="Arial" w:eastAsia="Times New Roman" w:hAnsi="Arial" w:cs="Arial"/>
          <w:kern w:val="0"/>
          <w:sz w:val="22"/>
          <w:szCs w:val="22"/>
          <w:lang w:eastAsia="en-GB"/>
          <w14:ligatures w14:val="none"/>
        </w:rPr>
        <w:t>zsungur, F.</w:t>
      </w:r>
      <w:r w:rsidR="001371BA">
        <w:rPr>
          <w:rFonts w:ascii="Arial" w:eastAsia="Times New Roman" w:hAnsi="Arial" w:cs="Arial"/>
          <w:kern w:val="0"/>
          <w:sz w:val="22"/>
          <w:szCs w:val="22"/>
          <w:lang w:eastAsia="en-GB"/>
          <w14:ligatures w14:val="none"/>
        </w:rPr>
        <w:t xml:space="preserve"> (</w:t>
      </w:r>
      <w:r w:rsidR="006029ED" w:rsidRPr="00BF299E">
        <w:rPr>
          <w:rFonts w:ascii="Arial" w:eastAsia="Times New Roman" w:hAnsi="Arial" w:cs="Arial"/>
          <w:kern w:val="0"/>
          <w:sz w:val="22"/>
          <w:szCs w:val="22"/>
          <w:lang w:eastAsia="en-GB"/>
          <w14:ligatures w14:val="none"/>
        </w:rPr>
        <w:t>2020</w:t>
      </w:r>
      <w:r w:rsidR="001371BA">
        <w:rPr>
          <w:rFonts w:ascii="Arial" w:eastAsia="Times New Roman" w:hAnsi="Arial" w:cs="Arial"/>
          <w:kern w:val="0"/>
          <w:sz w:val="22"/>
          <w:szCs w:val="22"/>
          <w:lang w:eastAsia="en-GB"/>
          <w14:ligatures w14:val="none"/>
        </w:rPr>
        <w:t>)</w:t>
      </w:r>
      <w:r w:rsidR="006029ED" w:rsidRPr="00BF299E">
        <w:rPr>
          <w:rFonts w:ascii="Arial" w:eastAsia="Times New Roman" w:hAnsi="Arial" w:cs="Arial"/>
          <w:kern w:val="0"/>
          <w:sz w:val="22"/>
          <w:szCs w:val="22"/>
          <w:lang w:eastAsia="en-GB"/>
          <w14:ligatures w14:val="none"/>
        </w:rPr>
        <w:t xml:space="preserve"> </w:t>
      </w:r>
      <w:r w:rsidR="000E4868">
        <w:rPr>
          <w:rFonts w:ascii="Arial" w:eastAsia="Times New Roman" w:hAnsi="Arial" w:cs="Arial"/>
          <w:kern w:val="0"/>
          <w:sz w:val="22"/>
          <w:szCs w:val="22"/>
          <w:lang w:eastAsia="en-GB"/>
          <w14:ligatures w14:val="none"/>
        </w:rPr>
        <w:t>‘</w:t>
      </w:r>
      <w:r w:rsidR="006029ED" w:rsidRPr="00BF299E">
        <w:rPr>
          <w:rFonts w:ascii="Arial" w:eastAsia="Times New Roman" w:hAnsi="Arial" w:cs="Arial"/>
          <w:kern w:val="0"/>
          <w:sz w:val="22"/>
          <w:szCs w:val="22"/>
          <w:lang w:eastAsia="en-GB"/>
          <w14:ligatures w14:val="none"/>
        </w:rPr>
        <w:t>Successful aging management in social work. OPUS International</w:t>
      </w:r>
      <w:r w:rsidR="000E4868">
        <w:rPr>
          <w:rFonts w:ascii="Arial" w:eastAsia="Times New Roman" w:hAnsi="Arial" w:cs="Arial"/>
          <w:kern w:val="0"/>
          <w:sz w:val="22"/>
          <w:szCs w:val="22"/>
          <w:lang w:eastAsia="en-GB"/>
          <w14:ligatures w14:val="none"/>
        </w:rPr>
        <w:t>’,</w:t>
      </w:r>
      <w:r w:rsidR="006029ED" w:rsidRPr="00BF299E">
        <w:rPr>
          <w:rFonts w:ascii="Arial" w:eastAsia="Times New Roman" w:hAnsi="Arial" w:cs="Arial"/>
          <w:kern w:val="0"/>
          <w:sz w:val="22"/>
          <w:szCs w:val="22"/>
          <w:lang w:eastAsia="en-GB"/>
          <w14:ligatures w14:val="none"/>
        </w:rPr>
        <w:t xml:space="preserve"> </w:t>
      </w:r>
      <w:r w:rsidR="006029ED" w:rsidRPr="000E4868">
        <w:rPr>
          <w:rFonts w:ascii="Arial" w:eastAsia="Times New Roman" w:hAnsi="Arial" w:cs="Arial"/>
          <w:i/>
          <w:iCs/>
          <w:kern w:val="0"/>
          <w:sz w:val="22"/>
          <w:szCs w:val="22"/>
          <w:lang w:eastAsia="en-GB"/>
          <w14:ligatures w14:val="none"/>
        </w:rPr>
        <w:t>Journal of Society Researches</w:t>
      </w:r>
      <w:r w:rsidR="006029ED" w:rsidRPr="00BF299E">
        <w:rPr>
          <w:rFonts w:ascii="Arial" w:eastAsia="Times New Roman" w:hAnsi="Arial" w:cs="Arial"/>
          <w:kern w:val="0"/>
          <w:sz w:val="22"/>
          <w:szCs w:val="22"/>
          <w:lang w:eastAsia="en-GB"/>
          <w14:ligatures w14:val="none"/>
        </w:rPr>
        <w:t>, 15(1), pp.5277-5307.</w:t>
      </w:r>
    </w:p>
    <w:p w14:paraId="7BF7CCDD" w14:textId="77777777" w:rsidR="001371BA" w:rsidRDefault="001371BA" w:rsidP="00EE7050">
      <w:pPr>
        <w:spacing w:after="0" w:line="360" w:lineRule="auto"/>
        <w:rPr>
          <w:rFonts w:ascii="Arial" w:eastAsia="Times New Roman" w:hAnsi="Arial" w:cs="Arial"/>
          <w:kern w:val="0"/>
          <w:sz w:val="22"/>
          <w:szCs w:val="22"/>
          <w:lang w:eastAsia="en-GB"/>
          <w14:ligatures w14:val="none"/>
        </w:rPr>
      </w:pPr>
    </w:p>
    <w:p w14:paraId="68D2D1BB" w14:textId="45F8FC67" w:rsidR="00AA379A" w:rsidRPr="00BF299E" w:rsidRDefault="00AA379A" w:rsidP="00EE7050">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Özsungur (2020) examines successful ageing from a social</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work perspective, drawing heavily on Havighurst’s Activity Theory. The article argues that maintaining meaningful activities, social roles, and engagement with the environment is central to wellbeing in later life. Consistent with Havighurst, Özsungur highlights that active participation supports identity, autonomy, and life satisfaction, while withdrawal can contribute to loneliness, </w:t>
      </w:r>
      <w:r w:rsidRPr="00BF299E">
        <w:rPr>
          <w:rFonts w:ascii="Arial" w:eastAsia="Times New Roman" w:hAnsi="Arial" w:cs="Arial"/>
          <w:kern w:val="0"/>
          <w:sz w:val="22"/>
          <w:szCs w:val="22"/>
          <w:lang w:eastAsia="en-GB"/>
          <w14:ligatures w14:val="none"/>
        </w:rPr>
        <w:lastRenderedPageBreak/>
        <w:t>reduced self</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worth, and poorer mental health. The paper also links activity to broader concepts such as empowerment, resilience, and social inclusion, suggesting that continuity between earlier life roles and later</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life activities strengthens psychological wellbeing. This positions Activity Theory as a foundation for modern wellbeing models that emphasise purpose, participation, and social connection.</w:t>
      </w:r>
    </w:p>
    <w:p w14:paraId="57D58079" w14:textId="77777777" w:rsidR="00D121A9" w:rsidRDefault="00D121A9" w:rsidP="00EE7050">
      <w:pPr>
        <w:spacing w:after="0" w:line="360" w:lineRule="auto"/>
        <w:rPr>
          <w:rFonts w:ascii="Arial" w:eastAsia="Times New Roman" w:hAnsi="Arial" w:cs="Arial"/>
          <w:kern w:val="0"/>
          <w:sz w:val="22"/>
          <w:szCs w:val="22"/>
          <w:lang w:eastAsia="en-GB"/>
          <w14:ligatures w14:val="none"/>
        </w:rPr>
      </w:pPr>
    </w:p>
    <w:p w14:paraId="70DE5551" w14:textId="75C313A4" w:rsidR="00AA379A" w:rsidRPr="00BF299E" w:rsidRDefault="00AA379A" w:rsidP="00EE7050">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The article is highly relevant to health and social care because it reinforces the importance of enabling older adults to remain active and engaged. It supports practices such as personalised activity planning, strengths</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based interventions, and opportunities for residents to maintain hobbies or valued roles. However, the theory assumes that activity is universally beneficial, overlooking individuals who prefer rest, solitude, or low</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stimulation environments. This means Activity Theory must be applied flexibly and in a person</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centred way, ensuring activities align with each resident’s preferences, abilities, and cultural background.</w:t>
      </w:r>
    </w:p>
    <w:p w14:paraId="7F176EA6" w14:textId="2FF7C14C" w:rsidR="00AA379A" w:rsidRPr="00BF299E" w:rsidRDefault="00AA379A" w:rsidP="00EE7050">
      <w:pPr>
        <w:spacing w:after="0" w:line="360" w:lineRule="auto"/>
        <w:rPr>
          <w:rFonts w:ascii="Arial" w:eastAsia="Times New Roman" w:hAnsi="Arial" w:cs="Arial"/>
          <w:kern w:val="0"/>
          <w:sz w:val="22"/>
          <w:szCs w:val="22"/>
          <w:lang w:eastAsia="en-GB"/>
          <w14:ligatures w14:val="none"/>
        </w:rPr>
      </w:pPr>
    </w:p>
    <w:p w14:paraId="0241C79E" w14:textId="77777777" w:rsidR="00CB1BB1" w:rsidRDefault="00CB1BB1" w:rsidP="00EE7050">
      <w:pPr>
        <w:spacing w:after="0" w:line="360" w:lineRule="auto"/>
        <w:rPr>
          <w:rFonts w:ascii="Arial" w:eastAsia="Times New Roman" w:hAnsi="Arial" w:cs="Arial"/>
          <w:kern w:val="0"/>
          <w:sz w:val="22"/>
          <w:szCs w:val="22"/>
          <w:lang w:eastAsia="en-GB"/>
          <w14:ligatures w14:val="none"/>
        </w:rPr>
      </w:pPr>
    </w:p>
    <w:p w14:paraId="50B4E866" w14:textId="77777777" w:rsidR="00CB1BB1" w:rsidRDefault="00CB1BB1" w:rsidP="00EE7050">
      <w:pPr>
        <w:spacing w:after="0" w:line="360" w:lineRule="auto"/>
        <w:rPr>
          <w:rFonts w:ascii="Arial" w:eastAsia="Times New Roman" w:hAnsi="Arial" w:cs="Arial"/>
          <w:kern w:val="0"/>
          <w:sz w:val="22"/>
          <w:szCs w:val="22"/>
          <w:lang w:eastAsia="en-GB"/>
          <w14:ligatures w14:val="none"/>
        </w:rPr>
      </w:pPr>
      <w:r w:rsidRPr="00CB1BB1">
        <w:rPr>
          <w:rFonts w:ascii="Arial" w:eastAsia="Times New Roman" w:hAnsi="Arial" w:cs="Arial"/>
          <w:kern w:val="0"/>
          <w:sz w:val="22"/>
          <w:szCs w:val="22"/>
          <w:u w:val="single"/>
          <w:lang w:eastAsia="en-GB"/>
          <w14:ligatures w14:val="none"/>
        </w:rPr>
        <w:t>Source 3</w:t>
      </w:r>
      <w:r>
        <w:rPr>
          <w:rFonts w:ascii="Arial" w:eastAsia="Times New Roman" w:hAnsi="Arial" w:cs="Arial"/>
          <w:kern w:val="0"/>
          <w:sz w:val="22"/>
          <w:szCs w:val="22"/>
          <w:lang w:eastAsia="en-GB"/>
          <w14:ligatures w14:val="none"/>
        </w:rPr>
        <w:t xml:space="preserve">: </w:t>
      </w:r>
    </w:p>
    <w:p w14:paraId="284113CB" w14:textId="77777777" w:rsidR="00CB1BB1" w:rsidRDefault="00CB1BB1" w:rsidP="00EE7050">
      <w:pPr>
        <w:spacing w:after="0" w:line="360" w:lineRule="auto"/>
        <w:rPr>
          <w:rFonts w:ascii="Arial" w:eastAsia="Times New Roman" w:hAnsi="Arial" w:cs="Arial"/>
          <w:kern w:val="0"/>
          <w:sz w:val="22"/>
          <w:szCs w:val="22"/>
          <w:lang w:eastAsia="en-GB"/>
          <w14:ligatures w14:val="none"/>
        </w:rPr>
      </w:pPr>
    </w:p>
    <w:p w14:paraId="1D09C4B1" w14:textId="30876984" w:rsidR="00614E4C" w:rsidRPr="00BF299E" w:rsidRDefault="0066072D" w:rsidP="00EE7050">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Woodward, J.</w:t>
      </w:r>
      <w:r w:rsidR="00CB1BB1">
        <w:rPr>
          <w:rFonts w:ascii="Arial" w:eastAsia="Times New Roman" w:hAnsi="Arial" w:cs="Arial"/>
          <w:kern w:val="0"/>
          <w:sz w:val="22"/>
          <w:szCs w:val="22"/>
          <w:lang w:eastAsia="en-GB"/>
          <w14:ligatures w14:val="none"/>
        </w:rPr>
        <w:t xml:space="preserve"> (</w:t>
      </w:r>
      <w:r w:rsidRPr="00BF299E">
        <w:rPr>
          <w:rFonts w:ascii="Arial" w:eastAsia="Times New Roman" w:hAnsi="Arial" w:cs="Arial"/>
          <w:kern w:val="0"/>
          <w:sz w:val="22"/>
          <w:szCs w:val="22"/>
          <w:lang w:eastAsia="en-GB"/>
          <w14:ligatures w14:val="none"/>
        </w:rPr>
        <w:t>2018</w:t>
      </w:r>
      <w:r w:rsidR="00CB1BB1">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sidR="00CB1BB1">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Attachment theory and ageing</w:t>
      </w:r>
      <w:r w:rsidR="00CB1BB1">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sidR="00CB1BB1">
        <w:rPr>
          <w:rFonts w:ascii="Arial" w:eastAsia="Times New Roman" w:hAnsi="Arial" w:cs="Arial"/>
          <w:kern w:val="0"/>
          <w:sz w:val="22"/>
          <w:szCs w:val="22"/>
          <w:lang w:eastAsia="en-GB"/>
          <w14:ligatures w14:val="none"/>
        </w:rPr>
        <w:t>i</w:t>
      </w:r>
      <w:r w:rsidRPr="00BF299E">
        <w:rPr>
          <w:rFonts w:ascii="Arial" w:eastAsia="Times New Roman" w:hAnsi="Arial" w:cs="Arial"/>
          <w:kern w:val="0"/>
          <w:sz w:val="22"/>
          <w:szCs w:val="22"/>
          <w:lang w:eastAsia="en-GB"/>
          <w14:ligatures w14:val="none"/>
        </w:rPr>
        <w:t xml:space="preserve">n </w:t>
      </w:r>
      <w:r w:rsidRPr="00CB1BB1">
        <w:rPr>
          <w:rFonts w:ascii="Arial" w:eastAsia="Times New Roman" w:hAnsi="Arial" w:cs="Arial"/>
          <w:i/>
          <w:iCs/>
          <w:kern w:val="0"/>
          <w:sz w:val="22"/>
          <w:szCs w:val="22"/>
          <w:lang w:eastAsia="en-GB"/>
          <w14:ligatures w14:val="none"/>
        </w:rPr>
        <w:t>Attachment and Human Survival</w:t>
      </w:r>
      <w:r w:rsidRPr="00BF299E">
        <w:rPr>
          <w:rFonts w:ascii="Arial" w:eastAsia="Times New Roman" w:hAnsi="Arial" w:cs="Arial"/>
          <w:kern w:val="0"/>
          <w:sz w:val="22"/>
          <w:szCs w:val="22"/>
          <w:lang w:eastAsia="en-GB"/>
          <w14:ligatures w14:val="none"/>
        </w:rPr>
        <w:t xml:space="preserve"> (pp. 53-70). Routledge</w:t>
      </w:r>
      <w:r w:rsidR="0079631C" w:rsidRPr="00BF299E">
        <w:rPr>
          <w:rFonts w:ascii="Arial" w:eastAsia="Times New Roman" w:hAnsi="Arial" w:cs="Arial"/>
          <w:kern w:val="0"/>
          <w:sz w:val="22"/>
          <w:szCs w:val="22"/>
          <w:lang w:eastAsia="en-GB"/>
          <w14:ligatures w14:val="none"/>
        </w:rPr>
        <w:t>.</w:t>
      </w:r>
    </w:p>
    <w:p w14:paraId="381E94D7" w14:textId="77777777" w:rsidR="00CB1BB1" w:rsidRDefault="00CB1BB1" w:rsidP="00EE7050">
      <w:pPr>
        <w:spacing w:after="0" w:line="360" w:lineRule="auto"/>
        <w:rPr>
          <w:rFonts w:ascii="Arial" w:eastAsia="Times New Roman" w:hAnsi="Arial" w:cs="Arial"/>
          <w:kern w:val="0"/>
          <w:sz w:val="22"/>
          <w:szCs w:val="22"/>
          <w:lang w:eastAsia="en-GB"/>
          <w14:ligatures w14:val="none"/>
        </w:rPr>
      </w:pPr>
    </w:p>
    <w:p w14:paraId="1A59B48F" w14:textId="63A1253E" w:rsidR="0079631C" w:rsidRPr="00BF299E" w:rsidRDefault="0079631C" w:rsidP="00EE7050">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Woodward (2018) explores how Bowlby’s attachment theory applies to later life, arguing that the need for secure emotional bonds continues throughout adulthood and becomes especially important in older age. Although originally focused on child</w:t>
      </w:r>
      <w:r w:rsidR="006249D7" w:rsidRPr="00BF299E">
        <w:rPr>
          <w:rFonts w:ascii="Arial" w:eastAsia="Times New Roman" w:hAnsi="Arial" w:cs="Arial"/>
          <w:kern w:val="0"/>
          <w:sz w:val="22"/>
          <w:szCs w:val="22"/>
          <w:lang w:eastAsia="en-GB"/>
          <w14:ligatures w14:val="none"/>
        </w:rPr>
        <w:t xml:space="preserve"> </w:t>
      </w:r>
      <w:r w:rsidRPr="00BF299E">
        <w:rPr>
          <w:rFonts w:ascii="Arial" w:eastAsia="Times New Roman" w:hAnsi="Arial" w:cs="Arial"/>
          <w:kern w:val="0"/>
          <w:sz w:val="22"/>
          <w:szCs w:val="22"/>
          <w:lang w:eastAsia="en-GB"/>
          <w14:ligatures w14:val="none"/>
        </w:rPr>
        <w:t xml:space="preserve">caregiver relationships, attachment theory is shown to extend into later life transitions such as bereavement, illness, and moving into residential care. Woodward highlights that older adults may experience heightened attachment needs when facing loss or unfamiliar environments, and that secure relationships can provide emotional stability, reduce anxiety, and support coping. The chapter emphasises the role of trust, consistency, and emotional </w:t>
      </w:r>
      <w:r w:rsidR="00816F4B" w:rsidRPr="00BF299E">
        <w:rPr>
          <w:rFonts w:ascii="Arial" w:eastAsia="Times New Roman" w:hAnsi="Arial" w:cs="Arial"/>
          <w:kern w:val="0"/>
          <w:sz w:val="22"/>
          <w:szCs w:val="22"/>
          <w:lang w:eastAsia="en-GB"/>
          <w14:ligatures w14:val="none"/>
        </w:rPr>
        <w:t>atonement</w:t>
      </w:r>
      <w:r w:rsidRPr="00BF299E">
        <w:rPr>
          <w:rFonts w:ascii="Arial" w:eastAsia="Times New Roman" w:hAnsi="Arial" w:cs="Arial"/>
          <w:kern w:val="0"/>
          <w:sz w:val="22"/>
          <w:szCs w:val="22"/>
          <w:lang w:eastAsia="en-GB"/>
          <w14:ligatures w14:val="none"/>
        </w:rPr>
        <w:t xml:space="preserve"> in promoting a sense of safety and wellbeing.</w:t>
      </w:r>
    </w:p>
    <w:p w14:paraId="238B2ACE" w14:textId="77777777" w:rsidR="00AA24F8" w:rsidRDefault="00AA24F8" w:rsidP="00EE7050">
      <w:pPr>
        <w:spacing w:after="0" w:line="360" w:lineRule="auto"/>
        <w:rPr>
          <w:rFonts w:ascii="Arial" w:eastAsia="Times New Roman" w:hAnsi="Arial" w:cs="Arial"/>
          <w:kern w:val="0"/>
          <w:sz w:val="22"/>
          <w:szCs w:val="22"/>
          <w:lang w:eastAsia="en-GB"/>
          <w14:ligatures w14:val="none"/>
        </w:rPr>
      </w:pPr>
    </w:p>
    <w:p w14:paraId="20420748" w14:textId="69CAC8ED" w:rsidR="00993977" w:rsidRPr="00BF299E" w:rsidRDefault="0079631C" w:rsidP="00EE7050">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This work is highly relevant to health and social care because it explains why older adults often rely on strong, predictable relationships with staff. It supports practices such as consistent staffing, relational care, and creating emotionally supportive environments. Woodward’s analysis helps practitioners understand behaviours such as withdrawal, distress, or dependency as attachment</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related responses rather than signs of decline. However, attachment theory focuses mainly on individual emotional patterns and may </w:t>
      </w:r>
      <w:r w:rsidRPr="00BF299E">
        <w:rPr>
          <w:rFonts w:ascii="Arial" w:eastAsia="Times New Roman" w:hAnsi="Arial" w:cs="Arial"/>
          <w:kern w:val="0"/>
          <w:sz w:val="22"/>
          <w:szCs w:val="22"/>
          <w:lang w:eastAsia="en-GB"/>
          <w14:ligatures w14:val="none"/>
        </w:rPr>
        <w:lastRenderedPageBreak/>
        <w:t>overlook wider cultural, social, or structural influences on wellbeing. Despite this limitation, it remains a valuable framework for promoting compassionate, person</w:t>
      </w:r>
      <w:r w:rsidRPr="00BF299E">
        <w:rPr>
          <w:rFonts w:ascii="Cambria Math" w:eastAsia="Times New Roman" w:hAnsi="Cambria Math" w:cs="Cambria Math"/>
          <w:kern w:val="0"/>
          <w:sz w:val="22"/>
          <w:szCs w:val="22"/>
          <w:lang w:eastAsia="en-GB"/>
          <w14:ligatures w14:val="none"/>
        </w:rPr>
        <w:t>‑</w:t>
      </w:r>
      <w:r w:rsidRPr="00BF299E">
        <w:rPr>
          <w:rFonts w:ascii="Arial" w:eastAsia="Times New Roman" w:hAnsi="Arial" w:cs="Arial"/>
          <w:kern w:val="0"/>
          <w:sz w:val="22"/>
          <w:szCs w:val="22"/>
          <w:lang w:eastAsia="en-GB"/>
          <w14:ligatures w14:val="none"/>
        </w:rPr>
        <w:t>centred care in residential settings</w:t>
      </w:r>
      <w:r w:rsidR="00345884" w:rsidRPr="00BF299E">
        <w:rPr>
          <w:rFonts w:ascii="Arial" w:eastAsia="Times New Roman" w:hAnsi="Arial" w:cs="Arial"/>
          <w:kern w:val="0"/>
          <w:sz w:val="22"/>
          <w:szCs w:val="22"/>
          <w:lang w:eastAsia="en-GB"/>
          <w14:ligatures w14:val="none"/>
        </w:rPr>
        <w:t>.</w:t>
      </w:r>
    </w:p>
    <w:p w14:paraId="7371920C" w14:textId="77777777" w:rsidR="00345884" w:rsidRDefault="00345884" w:rsidP="00EE7050">
      <w:pPr>
        <w:spacing w:after="0" w:line="360" w:lineRule="auto"/>
        <w:rPr>
          <w:rFonts w:ascii="Arial" w:eastAsia="Times New Roman" w:hAnsi="Arial" w:cs="Arial"/>
          <w:kern w:val="0"/>
          <w:sz w:val="22"/>
          <w:szCs w:val="22"/>
          <w:lang w:eastAsia="en-GB"/>
          <w14:ligatures w14:val="none"/>
        </w:rPr>
      </w:pPr>
    </w:p>
    <w:p w14:paraId="75E76699" w14:textId="77777777" w:rsidR="003861D6" w:rsidRPr="00BF299E" w:rsidRDefault="003861D6" w:rsidP="00EE7050">
      <w:pPr>
        <w:spacing w:after="0" w:line="360" w:lineRule="auto"/>
        <w:rPr>
          <w:rFonts w:ascii="Arial" w:eastAsia="Times New Roman" w:hAnsi="Arial" w:cs="Arial"/>
          <w:kern w:val="0"/>
          <w:sz w:val="22"/>
          <w:szCs w:val="22"/>
          <w:lang w:eastAsia="en-GB"/>
          <w14:ligatures w14:val="none"/>
        </w:rPr>
      </w:pPr>
    </w:p>
    <w:p w14:paraId="744700C7" w14:textId="28850527" w:rsidR="003861D6" w:rsidRDefault="003861D6" w:rsidP="00EE7050">
      <w:pPr>
        <w:spacing w:after="0" w:line="360" w:lineRule="auto"/>
        <w:rPr>
          <w:rFonts w:ascii="Arial" w:eastAsia="Times New Roman" w:hAnsi="Arial" w:cs="Arial"/>
          <w:kern w:val="0"/>
          <w:sz w:val="22"/>
          <w:szCs w:val="22"/>
          <w:lang w:eastAsia="en-GB"/>
          <w14:ligatures w14:val="none"/>
        </w:rPr>
      </w:pPr>
      <w:r w:rsidRPr="003861D6">
        <w:rPr>
          <w:rFonts w:ascii="Arial" w:eastAsia="Times New Roman" w:hAnsi="Arial" w:cs="Arial"/>
          <w:kern w:val="0"/>
          <w:sz w:val="22"/>
          <w:szCs w:val="22"/>
          <w:u w:val="single"/>
          <w:lang w:eastAsia="en-GB"/>
          <w14:ligatures w14:val="none"/>
        </w:rPr>
        <w:t>Source 4</w:t>
      </w:r>
      <w:r>
        <w:rPr>
          <w:rFonts w:ascii="Arial" w:eastAsia="Times New Roman" w:hAnsi="Arial" w:cs="Arial"/>
          <w:kern w:val="0"/>
          <w:sz w:val="22"/>
          <w:szCs w:val="22"/>
          <w:lang w:eastAsia="en-GB"/>
          <w14:ligatures w14:val="none"/>
        </w:rPr>
        <w:t>:</w:t>
      </w:r>
    </w:p>
    <w:p w14:paraId="4B38AFAC" w14:textId="77777777" w:rsidR="003861D6" w:rsidRDefault="003861D6" w:rsidP="00EE7050">
      <w:pPr>
        <w:spacing w:after="0" w:line="360" w:lineRule="auto"/>
        <w:rPr>
          <w:rFonts w:ascii="Arial" w:eastAsia="Times New Roman" w:hAnsi="Arial" w:cs="Arial"/>
          <w:kern w:val="0"/>
          <w:sz w:val="22"/>
          <w:szCs w:val="22"/>
          <w:lang w:eastAsia="en-GB"/>
          <w14:ligatures w14:val="none"/>
        </w:rPr>
      </w:pPr>
    </w:p>
    <w:p w14:paraId="0CFC8146" w14:textId="36CCBB8F" w:rsidR="00345884" w:rsidRPr="00BF299E" w:rsidRDefault="00345884" w:rsidP="00EE7050">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 xml:space="preserve">Yuan, R., Luo, C., Liu, Q., Li, X. and He, Y. </w:t>
      </w:r>
      <w:r w:rsidR="003861D6">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2025</w:t>
      </w:r>
      <w:r w:rsidR="003861D6">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sidR="003861D6">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Exploring the needs of older adults for social assistive robots: A qualitative analysis based on Maslow's hierarchy of needs</w:t>
      </w:r>
      <w:r w:rsidR="007C77B9">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w:t>
      </w:r>
      <w:r w:rsidRPr="00BF299E">
        <w:rPr>
          <w:rFonts w:ascii="Arial" w:eastAsia="Times New Roman" w:hAnsi="Arial" w:cs="Arial"/>
          <w:i/>
          <w:iCs/>
          <w:kern w:val="0"/>
          <w:sz w:val="22"/>
          <w:szCs w:val="22"/>
          <w:lang w:eastAsia="en-GB"/>
          <w14:ligatures w14:val="none"/>
        </w:rPr>
        <w:t>Geriatric Nursing</w:t>
      </w:r>
      <w:r w:rsidRPr="00BF299E">
        <w:rPr>
          <w:rFonts w:ascii="Arial" w:eastAsia="Times New Roman" w:hAnsi="Arial" w:cs="Arial"/>
          <w:kern w:val="0"/>
          <w:sz w:val="22"/>
          <w:szCs w:val="22"/>
          <w:lang w:eastAsia="en-GB"/>
          <w14:ligatures w14:val="none"/>
        </w:rPr>
        <w:t>, </w:t>
      </w:r>
      <w:r w:rsidRPr="00BF299E">
        <w:rPr>
          <w:rFonts w:ascii="Arial" w:eastAsia="Times New Roman" w:hAnsi="Arial" w:cs="Arial"/>
          <w:i/>
          <w:iCs/>
          <w:kern w:val="0"/>
          <w:sz w:val="22"/>
          <w:szCs w:val="22"/>
          <w:lang w:eastAsia="en-GB"/>
          <w14:ligatures w14:val="none"/>
        </w:rPr>
        <w:t>66</w:t>
      </w:r>
      <w:r w:rsidRPr="00BF299E">
        <w:rPr>
          <w:rFonts w:ascii="Arial" w:eastAsia="Times New Roman" w:hAnsi="Arial" w:cs="Arial"/>
          <w:kern w:val="0"/>
          <w:sz w:val="22"/>
          <w:szCs w:val="22"/>
          <w:lang w:eastAsia="en-GB"/>
          <w14:ligatures w14:val="none"/>
        </w:rPr>
        <w:t>, p.103616.</w:t>
      </w:r>
    </w:p>
    <w:p w14:paraId="3F5E3066" w14:textId="77777777" w:rsidR="007C77B9" w:rsidRDefault="007C77B9" w:rsidP="00EE7050">
      <w:pPr>
        <w:spacing w:after="0" w:line="360" w:lineRule="auto"/>
        <w:rPr>
          <w:rFonts w:ascii="Arial" w:eastAsia="Times New Roman" w:hAnsi="Arial" w:cs="Arial"/>
          <w:kern w:val="0"/>
          <w:sz w:val="22"/>
          <w:szCs w:val="22"/>
          <w:lang w:eastAsia="en-GB"/>
          <w14:ligatures w14:val="none"/>
        </w:rPr>
      </w:pPr>
    </w:p>
    <w:p w14:paraId="06FDD053" w14:textId="6744397C" w:rsidR="00BA26D4" w:rsidRPr="00BA26D4" w:rsidRDefault="00BA26D4" w:rsidP="00EE7050">
      <w:pPr>
        <w:spacing w:after="0" w:line="360" w:lineRule="auto"/>
        <w:rPr>
          <w:rFonts w:ascii="Arial" w:eastAsia="Times New Roman" w:hAnsi="Arial" w:cs="Arial"/>
          <w:kern w:val="0"/>
          <w:sz w:val="22"/>
          <w:szCs w:val="22"/>
          <w:lang w:eastAsia="en-GB"/>
          <w14:ligatures w14:val="none"/>
        </w:rPr>
      </w:pPr>
      <w:r w:rsidRPr="00BA26D4">
        <w:rPr>
          <w:rFonts w:ascii="Arial" w:eastAsia="Times New Roman" w:hAnsi="Arial" w:cs="Arial"/>
          <w:kern w:val="0"/>
          <w:sz w:val="22"/>
          <w:szCs w:val="22"/>
          <w:lang w:eastAsia="en-GB"/>
          <w14:ligatures w14:val="none"/>
        </w:rPr>
        <w:t>Yuan et al. (2025) explore older adults’ wellbeing needs through Maslow’s hierarchy, highlighting the importance of emotional security, social connection, autonomy, and meaning in later life. Although the study focuses on social assistive robots, its findings align closely with Positive Psychology, particularly Seligman’s PERMA model, which emphasises positive emotion, engagement, relationships, meaning, and accomplishment. The authors show that older adults value activities and interactions that promote purpose, enjoyment, and supportive relationships</w:t>
      </w:r>
      <w:r w:rsidR="00A11840" w:rsidRPr="00BF299E">
        <w:rPr>
          <w:rFonts w:ascii="Arial" w:eastAsia="Times New Roman" w:hAnsi="Arial" w:cs="Arial"/>
          <w:kern w:val="0"/>
          <w:sz w:val="22"/>
          <w:szCs w:val="22"/>
          <w:lang w:eastAsia="en-GB"/>
          <w14:ligatures w14:val="none"/>
        </w:rPr>
        <w:t xml:space="preserve"> </w:t>
      </w:r>
      <w:r w:rsidRPr="00BA26D4">
        <w:rPr>
          <w:rFonts w:ascii="Arial" w:eastAsia="Times New Roman" w:hAnsi="Arial" w:cs="Arial"/>
          <w:kern w:val="0"/>
          <w:sz w:val="22"/>
          <w:szCs w:val="22"/>
          <w:lang w:eastAsia="en-GB"/>
          <w14:ligatures w14:val="none"/>
        </w:rPr>
        <w:t>core elements of Positive Psychology. They also note that wellbeing is strengthened when individuals feel respected, capable, and able to contribute, reflecting strengths</w:t>
      </w:r>
      <w:r w:rsidRPr="00BA26D4">
        <w:rPr>
          <w:rFonts w:ascii="Arial" w:eastAsia="Times New Roman" w:hAnsi="Arial" w:cs="Arial"/>
          <w:kern w:val="0"/>
          <w:sz w:val="22"/>
          <w:szCs w:val="22"/>
          <w:lang w:eastAsia="en-GB"/>
          <w14:ligatures w14:val="none"/>
        </w:rPr>
        <w:noBreakHyphen/>
        <w:t>based and resilience</w:t>
      </w:r>
      <w:r w:rsidRPr="00BA26D4">
        <w:rPr>
          <w:rFonts w:ascii="Arial" w:eastAsia="Times New Roman" w:hAnsi="Arial" w:cs="Arial"/>
          <w:kern w:val="0"/>
          <w:sz w:val="22"/>
          <w:szCs w:val="22"/>
          <w:lang w:eastAsia="en-GB"/>
          <w14:ligatures w14:val="none"/>
        </w:rPr>
        <w:noBreakHyphen/>
        <w:t>focused approaches.</w:t>
      </w:r>
    </w:p>
    <w:p w14:paraId="5563EBB7" w14:textId="77777777" w:rsidR="00422E40" w:rsidRDefault="00422E40" w:rsidP="00EE7050">
      <w:pPr>
        <w:spacing w:after="0" w:line="360" w:lineRule="auto"/>
        <w:rPr>
          <w:rFonts w:ascii="Arial" w:eastAsia="Times New Roman" w:hAnsi="Arial" w:cs="Arial"/>
          <w:kern w:val="0"/>
          <w:sz w:val="22"/>
          <w:szCs w:val="22"/>
          <w:lang w:eastAsia="en-GB"/>
          <w14:ligatures w14:val="none"/>
        </w:rPr>
      </w:pPr>
    </w:p>
    <w:p w14:paraId="522DA671" w14:textId="7742B698" w:rsidR="00BA26D4" w:rsidRPr="00BA26D4" w:rsidRDefault="00BA26D4" w:rsidP="00EE7050">
      <w:pPr>
        <w:spacing w:after="0" w:line="360" w:lineRule="auto"/>
        <w:rPr>
          <w:rFonts w:ascii="Arial" w:eastAsia="Times New Roman" w:hAnsi="Arial" w:cs="Arial"/>
          <w:kern w:val="0"/>
          <w:sz w:val="22"/>
          <w:szCs w:val="22"/>
          <w:lang w:eastAsia="en-GB"/>
          <w14:ligatures w14:val="none"/>
        </w:rPr>
      </w:pPr>
      <w:r w:rsidRPr="00BA26D4">
        <w:rPr>
          <w:rFonts w:ascii="Arial" w:eastAsia="Times New Roman" w:hAnsi="Arial" w:cs="Arial"/>
          <w:kern w:val="0"/>
          <w:sz w:val="22"/>
          <w:szCs w:val="22"/>
          <w:lang w:eastAsia="en-GB"/>
          <w14:ligatures w14:val="none"/>
        </w:rPr>
        <w:t>This research is relevant to health and social care because it reinforces the value of meaningful, person</w:t>
      </w:r>
      <w:r w:rsidRPr="00BA26D4">
        <w:rPr>
          <w:rFonts w:ascii="Arial" w:eastAsia="Times New Roman" w:hAnsi="Arial" w:cs="Arial"/>
          <w:kern w:val="0"/>
          <w:sz w:val="22"/>
          <w:szCs w:val="22"/>
          <w:lang w:eastAsia="en-GB"/>
          <w14:ligatures w14:val="none"/>
        </w:rPr>
        <w:noBreakHyphen/>
        <w:t>centred activities that enhance autonomy and emotional wellbeing. It supports the use of Positive Psychology interventions such as gratitude practices, strengths</w:t>
      </w:r>
      <w:r w:rsidRPr="00BA26D4">
        <w:rPr>
          <w:rFonts w:ascii="Arial" w:eastAsia="Times New Roman" w:hAnsi="Arial" w:cs="Arial"/>
          <w:kern w:val="0"/>
          <w:sz w:val="22"/>
          <w:szCs w:val="22"/>
          <w:lang w:eastAsia="en-GB"/>
          <w14:ligatures w14:val="none"/>
        </w:rPr>
        <w:noBreakHyphen/>
        <w:t>based engagement, and opportunities for purposeful involvement. However, the approach may overlook structural barriers, health limitations, or emotional complexities faced by some older adults. When applied sensitively, the study’s insights complement Positive Psychology by highlighting how environments and relationships can promote resilience, optimism, and quality of life in residential care.</w:t>
      </w:r>
    </w:p>
    <w:p w14:paraId="753F906D" w14:textId="77777777" w:rsidR="0079631C" w:rsidRPr="00EE7050" w:rsidRDefault="0079631C" w:rsidP="00EE7050">
      <w:pPr>
        <w:spacing w:after="0" w:line="360" w:lineRule="auto"/>
        <w:rPr>
          <w:rFonts w:ascii="Arial" w:eastAsia="Times New Roman" w:hAnsi="Arial" w:cs="Arial"/>
          <w:color w:val="EE0000"/>
          <w:kern w:val="0"/>
          <w:sz w:val="22"/>
          <w:szCs w:val="22"/>
          <w:lang w:eastAsia="en-GB"/>
          <w14:ligatures w14:val="none"/>
        </w:rPr>
      </w:pPr>
    </w:p>
    <w:p w14:paraId="55714AEF" w14:textId="185BB077" w:rsidR="00614E4C" w:rsidRPr="00614E4C" w:rsidRDefault="00614E4C" w:rsidP="00EE7050">
      <w:pPr>
        <w:spacing w:before="100" w:beforeAutospacing="1" w:after="100" w:afterAutospacing="1" w:line="360" w:lineRule="auto"/>
        <w:rPr>
          <w:rFonts w:ascii="Arial" w:eastAsia="Times New Roman" w:hAnsi="Arial" w:cs="Arial"/>
          <w:kern w:val="0"/>
          <w:sz w:val="22"/>
          <w:szCs w:val="22"/>
          <w:lang w:eastAsia="en-GB"/>
          <w14:ligatures w14:val="none"/>
        </w:rPr>
      </w:pPr>
    </w:p>
    <w:p w14:paraId="42C4D729" w14:textId="77777777" w:rsidR="00614E4C" w:rsidRPr="00EE7050" w:rsidRDefault="00614E4C" w:rsidP="00EE7050">
      <w:pPr>
        <w:spacing w:line="360" w:lineRule="auto"/>
        <w:jc w:val="both"/>
        <w:rPr>
          <w:rFonts w:ascii="Arial" w:hAnsi="Arial" w:cs="Arial"/>
          <w:b/>
          <w:bCs/>
          <w:sz w:val="22"/>
          <w:szCs w:val="22"/>
          <w:lang w:eastAsia="en-GB"/>
        </w:rPr>
      </w:pPr>
    </w:p>
    <w:p w14:paraId="6BE58923" w14:textId="77777777" w:rsidR="00614E4C" w:rsidRPr="00EE7050" w:rsidRDefault="00614E4C" w:rsidP="00EE7050">
      <w:pPr>
        <w:spacing w:line="360" w:lineRule="auto"/>
        <w:jc w:val="both"/>
        <w:rPr>
          <w:rFonts w:ascii="Arial" w:hAnsi="Arial" w:cs="Arial"/>
          <w:b/>
          <w:bCs/>
          <w:sz w:val="22"/>
          <w:szCs w:val="22"/>
          <w:lang w:eastAsia="en-GB"/>
        </w:rPr>
      </w:pPr>
    </w:p>
    <w:p w14:paraId="3AFC32C1" w14:textId="77777777" w:rsidR="00992D62" w:rsidRDefault="00992D62" w:rsidP="00EE7050">
      <w:pPr>
        <w:spacing w:line="360" w:lineRule="auto"/>
        <w:jc w:val="both"/>
        <w:rPr>
          <w:rFonts w:ascii="Arial" w:hAnsi="Arial" w:cs="Arial"/>
          <w:b/>
          <w:bCs/>
          <w:sz w:val="22"/>
          <w:szCs w:val="22"/>
          <w:lang w:eastAsia="en-GB"/>
        </w:rPr>
      </w:pPr>
    </w:p>
    <w:p w14:paraId="1DD3AEAE" w14:textId="6DD26772" w:rsidR="00B27A18" w:rsidRPr="00EE7050" w:rsidRDefault="003E6334" w:rsidP="00EE7050">
      <w:pPr>
        <w:spacing w:line="360" w:lineRule="auto"/>
        <w:jc w:val="both"/>
        <w:rPr>
          <w:rFonts w:ascii="Arial" w:hAnsi="Arial" w:cs="Arial"/>
          <w:b/>
          <w:bCs/>
          <w:sz w:val="22"/>
          <w:szCs w:val="22"/>
          <w:lang w:eastAsia="en-GB"/>
        </w:rPr>
      </w:pPr>
      <w:r w:rsidRPr="00EE7050">
        <w:rPr>
          <w:rFonts w:ascii="Arial" w:hAnsi="Arial" w:cs="Arial"/>
          <w:b/>
          <w:bCs/>
          <w:sz w:val="22"/>
          <w:szCs w:val="22"/>
          <w:lang w:eastAsia="en-GB"/>
        </w:rPr>
        <w:lastRenderedPageBreak/>
        <w:t xml:space="preserve">Part </w:t>
      </w:r>
      <w:r w:rsidR="00B27A18" w:rsidRPr="00EE7050">
        <w:rPr>
          <w:rFonts w:ascii="Arial" w:hAnsi="Arial" w:cs="Arial"/>
          <w:b/>
          <w:bCs/>
          <w:sz w:val="22"/>
          <w:szCs w:val="22"/>
          <w:lang w:eastAsia="en-GB"/>
        </w:rPr>
        <w:t>B</w:t>
      </w:r>
      <w:r w:rsidR="000442F6" w:rsidRPr="00EE7050">
        <w:rPr>
          <w:rFonts w:ascii="Arial" w:hAnsi="Arial" w:cs="Arial"/>
          <w:b/>
          <w:bCs/>
          <w:sz w:val="22"/>
          <w:szCs w:val="22"/>
          <w:lang w:eastAsia="en-GB"/>
        </w:rPr>
        <w:t xml:space="preserve"> </w:t>
      </w:r>
      <w:r w:rsidR="008B06E3" w:rsidRPr="00EE7050">
        <w:rPr>
          <w:rFonts w:ascii="Arial" w:hAnsi="Arial" w:cs="Arial"/>
          <w:b/>
          <w:bCs/>
          <w:sz w:val="22"/>
          <w:szCs w:val="22"/>
          <w:lang w:eastAsia="en-GB"/>
        </w:rPr>
        <w:t>R</w:t>
      </w:r>
      <w:r w:rsidR="000442F6" w:rsidRPr="00EE7050">
        <w:rPr>
          <w:rFonts w:ascii="Arial" w:hAnsi="Arial" w:cs="Arial"/>
          <w:b/>
          <w:bCs/>
          <w:sz w:val="22"/>
          <w:szCs w:val="22"/>
          <w:lang w:eastAsia="en-GB"/>
        </w:rPr>
        <w:t xml:space="preserve">eport </w:t>
      </w:r>
    </w:p>
    <w:p w14:paraId="6158604E" w14:textId="647224AF" w:rsidR="00AF2F75" w:rsidRPr="00EE7050" w:rsidRDefault="00AF2F75" w:rsidP="00EE7050">
      <w:pPr>
        <w:pStyle w:val="NoSpacing"/>
        <w:spacing w:line="360" w:lineRule="auto"/>
        <w:jc w:val="both"/>
        <w:rPr>
          <w:rFonts w:ascii="Arial" w:hAnsi="Arial" w:cs="Arial"/>
          <w:b/>
          <w:bCs/>
          <w:sz w:val="22"/>
          <w:szCs w:val="22"/>
        </w:rPr>
      </w:pPr>
      <w:r w:rsidRPr="00EE7050">
        <w:rPr>
          <w:rFonts w:ascii="Arial" w:hAnsi="Arial" w:cs="Arial"/>
          <w:b/>
          <w:bCs/>
          <w:sz w:val="22"/>
          <w:szCs w:val="22"/>
        </w:rPr>
        <w:t>Using Erikson’s Psychosocial Theory to Improve Psychological Wellbeing in Residential Care</w:t>
      </w:r>
    </w:p>
    <w:p w14:paraId="6A14E721" w14:textId="77777777" w:rsidR="00422E40" w:rsidRDefault="00422E40" w:rsidP="00EE7050">
      <w:pPr>
        <w:pStyle w:val="NoSpacing"/>
        <w:spacing w:line="360" w:lineRule="auto"/>
        <w:jc w:val="both"/>
        <w:rPr>
          <w:rFonts w:ascii="Arial" w:hAnsi="Arial" w:cs="Arial"/>
          <w:b/>
          <w:bCs/>
          <w:sz w:val="22"/>
          <w:szCs w:val="22"/>
        </w:rPr>
      </w:pPr>
    </w:p>
    <w:p w14:paraId="16737DBC" w14:textId="582DA4B7" w:rsidR="00AF2F75" w:rsidRPr="00EE7050" w:rsidRDefault="00D729E9" w:rsidP="00EE7050">
      <w:pPr>
        <w:pStyle w:val="NoSpacing"/>
        <w:spacing w:line="360" w:lineRule="auto"/>
        <w:jc w:val="both"/>
        <w:rPr>
          <w:rFonts w:ascii="Arial" w:hAnsi="Arial" w:cs="Arial"/>
          <w:b/>
          <w:bCs/>
          <w:sz w:val="22"/>
          <w:szCs w:val="22"/>
        </w:rPr>
      </w:pPr>
      <w:r w:rsidRPr="00EE7050">
        <w:rPr>
          <w:rFonts w:ascii="Arial" w:hAnsi="Arial" w:cs="Arial"/>
          <w:b/>
          <w:bCs/>
          <w:sz w:val="22"/>
          <w:szCs w:val="22"/>
        </w:rPr>
        <w:t xml:space="preserve">Introduction </w:t>
      </w:r>
    </w:p>
    <w:p w14:paraId="15E31DBF" w14:textId="40E5FF2A" w:rsidR="00864B81" w:rsidRPr="00BF299E" w:rsidRDefault="00864B81" w:rsidP="00EE7050">
      <w:pPr>
        <w:pStyle w:val="NoSpacing"/>
        <w:spacing w:line="360" w:lineRule="auto"/>
        <w:jc w:val="both"/>
        <w:rPr>
          <w:rFonts w:ascii="Arial" w:hAnsi="Arial" w:cs="Arial"/>
          <w:sz w:val="22"/>
          <w:szCs w:val="22"/>
        </w:rPr>
      </w:pPr>
      <w:r w:rsidRPr="00BF299E">
        <w:rPr>
          <w:rFonts w:ascii="Arial" w:hAnsi="Arial" w:cs="Arial"/>
          <w:sz w:val="22"/>
          <w:szCs w:val="22"/>
        </w:rPr>
        <w:t>Promoting psychological wellbeing is a c</w:t>
      </w:r>
      <w:r w:rsidR="00071577" w:rsidRPr="00BF299E">
        <w:rPr>
          <w:rFonts w:ascii="Arial" w:hAnsi="Arial" w:cs="Arial"/>
          <w:sz w:val="22"/>
          <w:szCs w:val="22"/>
        </w:rPr>
        <w:t>entral</w:t>
      </w:r>
      <w:r w:rsidRPr="00BF299E">
        <w:rPr>
          <w:rFonts w:ascii="Arial" w:hAnsi="Arial" w:cs="Arial"/>
          <w:sz w:val="22"/>
          <w:szCs w:val="22"/>
        </w:rPr>
        <w:t xml:space="preserve"> responsibility for professionals in older adults’ residential care. Many residents face major life transitions</w:t>
      </w:r>
      <w:r w:rsidR="00071577" w:rsidRPr="00BF299E">
        <w:rPr>
          <w:rFonts w:ascii="Arial" w:hAnsi="Arial" w:cs="Arial"/>
          <w:sz w:val="22"/>
          <w:szCs w:val="22"/>
        </w:rPr>
        <w:t xml:space="preserve"> </w:t>
      </w:r>
      <w:r w:rsidRPr="00BF299E">
        <w:rPr>
          <w:rFonts w:ascii="Arial" w:hAnsi="Arial" w:cs="Arial"/>
          <w:sz w:val="22"/>
          <w:szCs w:val="22"/>
        </w:rPr>
        <w:t>such as bereavement, declining health, and loss of independence</w:t>
      </w:r>
      <w:r w:rsidR="00071577" w:rsidRPr="00BF299E">
        <w:rPr>
          <w:rFonts w:ascii="Arial" w:hAnsi="Arial" w:cs="Arial"/>
          <w:sz w:val="22"/>
          <w:szCs w:val="22"/>
        </w:rPr>
        <w:t xml:space="preserve"> </w:t>
      </w:r>
      <w:r w:rsidRPr="00BF299E">
        <w:rPr>
          <w:rFonts w:ascii="Arial" w:hAnsi="Arial" w:cs="Arial"/>
          <w:sz w:val="22"/>
          <w:szCs w:val="22"/>
        </w:rPr>
        <w:t>which can affect emotional adjustment and identity (Centre for Ageing Better, 2023). Psychological theory helps staff understand these experiences and provide more compassionate, person</w:t>
      </w:r>
      <w:r w:rsidRPr="00BF299E">
        <w:rPr>
          <w:rFonts w:ascii="Cambria Math" w:hAnsi="Cambria Math" w:cs="Cambria Math"/>
          <w:sz w:val="22"/>
          <w:szCs w:val="22"/>
        </w:rPr>
        <w:t>‑</w:t>
      </w:r>
      <w:r w:rsidRPr="00BF299E">
        <w:rPr>
          <w:rFonts w:ascii="Arial" w:hAnsi="Arial" w:cs="Arial"/>
          <w:sz w:val="22"/>
          <w:szCs w:val="22"/>
        </w:rPr>
        <w:t>centred support. Erikson’s psychosocial theory is especially relevant, as it highlights the developmental tasks of later life. This report explores how Erikson’s final stage, ego integrity versus despair, can be applied in residential care to enhance wellbeing (Erikson, 1997), using a case scenario and a discussion of key challenge.</w:t>
      </w:r>
    </w:p>
    <w:p w14:paraId="50C31B9D" w14:textId="77777777" w:rsidR="00195968" w:rsidRDefault="00195968" w:rsidP="00EE7050">
      <w:pPr>
        <w:pStyle w:val="NoSpacing"/>
        <w:spacing w:line="360" w:lineRule="auto"/>
        <w:jc w:val="both"/>
        <w:rPr>
          <w:rFonts w:ascii="Arial" w:hAnsi="Arial" w:cs="Arial"/>
          <w:sz w:val="22"/>
          <w:szCs w:val="22"/>
        </w:rPr>
      </w:pPr>
    </w:p>
    <w:p w14:paraId="6EFDE1C4" w14:textId="1EAF93BA" w:rsidR="008F63DA" w:rsidRPr="00EE7050" w:rsidRDefault="008F63DA" w:rsidP="00EE7050">
      <w:pPr>
        <w:pStyle w:val="NoSpacing"/>
        <w:spacing w:line="360" w:lineRule="auto"/>
        <w:jc w:val="both"/>
        <w:rPr>
          <w:rFonts w:ascii="Arial" w:hAnsi="Arial" w:cs="Arial"/>
          <w:color w:val="EE0000"/>
          <w:sz w:val="22"/>
          <w:szCs w:val="22"/>
        </w:rPr>
      </w:pPr>
      <w:r w:rsidRPr="00BF299E">
        <w:rPr>
          <w:rFonts w:ascii="Arial" w:hAnsi="Arial" w:cs="Arial"/>
          <w:sz w:val="22"/>
          <w:szCs w:val="22"/>
        </w:rPr>
        <w:t>Erikson suggests that older adults enter a stage where they reflect on their life, relationships, and achievements. This life</w:t>
      </w:r>
      <w:r w:rsidRPr="00BF299E">
        <w:rPr>
          <w:rFonts w:ascii="Cambria Math" w:hAnsi="Cambria Math" w:cs="Cambria Math"/>
          <w:sz w:val="22"/>
          <w:szCs w:val="22"/>
        </w:rPr>
        <w:t>‑</w:t>
      </w:r>
      <w:r w:rsidRPr="00BF299E">
        <w:rPr>
          <w:rFonts w:ascii="Arial" w:hAnsi="Arial" w:cs="Arial"/>
          <w:sz w:val="22"/>
          <w:szCs w:val="22"/>
        </w:rPr>
        <w:t>review process helps them reach ego integrity, a sense of acceptance and emotional peace (Erikson, 1997). When regrets or unresolved experiences dominate, individuals may experience despair, leading to sadness or withdrawal. Cognitive research supports the value of reflection in later life: Goswami (2019) notes that memory, identity, and emotional regulation remain active, meaning older adults can benefit from structured opportunities to revisit and integrate past experiences. This provides a strong basis for using reminiscence and life</w:t>
      </w:r>
      <w:r w:rsidRPr="00BF299E">
        <w:rPr>
          <w:rFonts w:ascii="Cambria Math" w:hAnsi="Cambria Math" w:cs="Cambria Math"/>
          <w:sz w:val="22"/>
          <w:szCs w:val="22"/>
        </w:rPr>
        <w:t>‑</w:t>
      </w:r>
      <w:r w:rsidRPr="00BF299E">
        <w:rPr>
          <w:rFonts w:ascii="Arial" w:hAnsi="Arial" w:cs="Arial"/>
          <w:sz w:val="22"/>
          <w:szCs w:val="22"/>
        </w:rPr>
        <w:t>story work in residential car</w:t>
      </w:r>
      <w:r w:rsidR="00BF299E">
        <w:rPr>
          <w:rFonts w:ascii="Arial" w:hAnsi="Arial" w:cs="Arial"/>
          <w:sz w:val="22"/>
          <w:szCs w:val="22"/>
        </w:rPr>
        <w:t>e.</w:t>
      </w:r>
    </w:p>
    <w:p w14:paraId="03162BCF" w14:textId="77777777" w:rsidR="00195968" w:rsidRDefault="00195968" w:rsidP="00EE7050">
      <w:pPr>
        <w:pStyle w:val="NoSpacing"/>
        <w:spacing w:line="360" w:lineRule="auto"/>
        <w:jc w:val="both"/>
        <w:rPr>
          <w:rFonts w:ascii="Arial" w:hAnsi="Arial" w:cs="Arial"/>
          <w:sz w:val="22"/>
          <w:szCs w:val="22"/>
        </w:rPr>
      </w:pPr>
    </w:p>
    <w:p w14:paraId="5006833F" w14:textId="2AC5D8AD" w:rsidR="00AF2F75" w:rsidRPr="00EE7050" w:rsidRDefault="00AF2F75" w:rsidP="00EE7050">
      <w:pPr>
        <w:pStyle w:val="NoSpacing"/>
        <w:spacing w:line="360" w:lineRule="auto"/>
        <w:jc w:val="both"/>
        <w:rPr>
          <w:rFonts w:ascii="Arial" w:hAnsi="Arial" w:cs="Arial"/>
          <w:sz w:val="22"/>
          <w:szCs w:val="22"/>
        </w:rPr>
      </w:pPr>
      <w:r w:rsidRPr="00EE7050">
        <w:rPr>
          <w:rFonts w:ascii="Arial" w:hAnsi="Arial" w:cs="Arial"/>
          <w:sz w:val="22"/>
          <w:szCs w:val="22"/>
        </w:rPr>
        <w:t xml:space="preserve">Erikson’s theory is applied effectively through reminiscence and life story work. Encouraging residents to talk about their childhood memories, work, family, </w:t>
      </w:r>
      <w:r w:rsidRPr="008F7E08">
        <w:rPr>
          <w:rFonts w:ascii="Arial" w:hAnsi="Arial" w:cs="Arial"/>
          <w:sz w:val="22"/>
          <w:szCs w:val="22"/>
        </w:rPr>
        <w:t xml:space="preserve">and achievements </w:t>
      </w:r>
      <w:r w:rsidRPr="00EE7050">
        <w:rPr>
          <w:rFonts w:ascii="Arial" w:hAnsi="Arial" w:cs="Arial"/>
          <w:sz w:val="22"/>
          <w:szCs w:val="22"/>
        </w:rPr>
        <w:t>helps them integrate their experiences and feel valued (Goswami, 2019). Life story books, memory boxes, and structured reminiscence sessions can strengthen identity and self</w:t>
      </w:r>
      <w:r w:rsidRPr="00EE7050">
        <w:rPr>
          <w:rFonts w:ascii="Cambria Math" w:hAnsi="Cambria Math" w:cs="Cambria Math"/>
          <w:sz w:val="22"/>
          <w:szCs w:val="22"/>
        </w:rPr>
        <w:t>‑</w:t>
      </w:r>
      <w:r w:rsidRPr="00EE7050">
        <w:rPr>
          <w:rFonts w:ascii="Arial" w:hAnsi="Arial" w:cs="Arial"/>
          <w:sz w:val="22"/>
          <w:szCs w:val="22"/>
        </w:rPr>
        <w:t>esteem. This aligns with cognitive neuroscience evidence showing that autobiographical memory supports emotional wellbeing (Goswami, 2019). Age UK provides practical guidance and resources to support reminiscence activities and reduce loneliness, making these approaches accessible for care staff (Age UK, n.d.).</w:t>
      </w:r>
    </w:p>
    <w:p w14:paraId="24E5DEF5" w14:textId="77777777" w:rsidR="00AF2F75" w:rsidRPr="00EE7050" w:rsidRDefault="00AF2F75" w:rsidP="00EE7050">
      <w:pPr>
        <w:pStyle w:val="NoSpacing"/>
        <w:spacing w:line="360" w:lineRule="auto"/>
        <w:jc w:val="both"/>
        <w:rPr>
          <w:rFonts w:ascii="Arial" w:hAnsi="Arial" w:cs="Arial"/>
          <w:sz w:val="22"/>
          <w:szCs w:val="22"/>
        </w:rPr>
      </w:pPr>
    </w:p>
    <w:p w14:paraId="21A71308" w14:textId="77777777" w:rsidR="00AF2F75" w:rsidRPr="00EE7050" w:rsidRDefault="00AF2F75" w:rsidP="00EE7050">
      <w:pPr>
        <w:pStyle w:val="NoSpacing"/>
        <w:spacing w:line="360" w:lineRule="auto"/>
        <w:jc w:val="both"/>
        <w:rPr>
          <w:rFonts w:ascii="Arial" w:hAnsi="Arial" w:cs="Arial"/>
          <w:sz w:val="22"/>
          <w:szCs w:val="22"/>
        </w:rPr>
      </w:pPr>
      <w:r w:rsidRPr="00EE7050">
        <w:rPr>
          <w:rFonts w:ascii="Arial" w:hAnsi="Arial" w:cs="Arial"/>
          <w:sz w:val="22"/>
          <w:szCs w:val="22"/>
        </w:rPr>
        <w:t>Meaning</w:t>
      </w:r>
      <w:r w:rsidRPr="00EE7050">
        <w:rPr>
          <w:rFonts w:ascii="Cambria Math" w:hAnsi="Cambria Math" w:cs="Cambria Math"/>
          <w:sz w:val="22"/>
          <w:szCs w:val="22"/>
        </w:rPr>
        <w:t>‑</w:t>
      </w:r>
      <w:r w:rsidRPr="00EE7050">
        <w:rPr>
          <w:rFonts w:ascii="Arial" w:hAnsi="Arial" w:cs="Arial"/>
          <w:sz w:val="22"/>
          <w:szCs w:val="22"/>
        </w:rPr>
        <w:t xml:space="preserve">centred activities also support Erikson’s theory by reinforcing purpose and identity. Activities that reflect a resident’s interests, values, or past roles help maintain a sense of continuity. For example, a former gardener may enjoy helping with plants, while someone who loved music may benefit from personalised playlists. The We Are Undefeatable campaign </w:t>
      </w:r>
      <w:r w:rsidRPr="00EE7050">
        <w:rPr>
          <w:rFonts w:ascii="Arial" w:hAnsi="Arial" w:cs="Arial"/>
          <w:sz w:val="22"/>
          <w:szCs w:val="22"/>
        </w:rPr>
        <w:lastRenderedPageBreak/>
        <w:t>offers activity ideas tailored for people living with long</w:t>
      </w:r>
      <w:r w:rsidRPr="00EE7050">
        <w:rPr>
          <w:rFonts w:ascii="Cambria Math" w:hAnsi="Cambria Math" w:cs="Cambria Math"/>
          <w:sz w:val="22"/>
          <w:szCs w:val="22"/>
        </w:rPr>
        <w:t>‑</w:t>
      </w:r>
      <w:r w:rsidRPr="00EE7050">
        <w:rPr>
          <w:rFonts w:ascii="Arial" w:hAnsi="Arial" w:cs="Arial"/>
          <w:sz w:val="22"/>
          <w:szCs w:val="22"/>
        </w:rPr>
        <w:t>term conditions, helping staff design meaningful, accessible activities that promote both physical and psychological wellbeing (We Are Undefeatable, n.d.).</w:t>
      </w:r>
    </w:p>
    <w:p w14:paraId="0FD9DEC5" w14:textId="77777777" w:rsidR="00C12344" w:rsidRDefault="00C12344" w:rsidP="00EE7050">
      <w:pPr>
        <w:pStyle w:val="NoSpacing"/>
        <w:spacing w:line="360" w:lineRule="auto"/>
        <w:jc w:val="both"/>
        <w:rPr>
          <w:rFonts w:ascii="Arial" w:hAnsi="Arial" w:cs="Arial"/>
          <w:sz w:val="22"/>
          <w:szCs w:val="22"/>
        </w:rPr>
      </w:pPr>
    </w:p>
    <w:p w14:paraId="714A5CBA" w14:textId="42353FB5" w:rsidR="00AF2F75" w:rsidRPr="00EE7050" w:rsidRDefault="00AF2F75" w:rsidP="00EE7050">
      <w:pPr>
        <w:pStyle w:val="NoSpacing"/>
        <w:spacing w:line="360" w:lineRule="auto"/>
        <w:jc w:val="both"/>
        <w:rPr>
          <w:rFonts w:ascii="Arial" w:hAnsi="Arial" w:cs="Arial"/>
          <w:sz w:val="22"/>
          <w:szCs w:val="22"/>
        </w:rPr>
      </w:pPr>
      <w:r w:rsidRPr="00EE7050">
        <w:rPr>
          <w:rFonts w:ascii="Arial" w:hAnsi="Arial" w:cs="Arial"/>
          <w:sz w:val="22"/>
          <w:szCs w:val="22"/>
        </w:rPr>
        <w:t>Strengthening relationships is another key aspect of supporting ego integrity. Erikson emphasises the importance of connection and generativity, and staff can support this by fostering warm, trusting relationships, encouraging family involvement, and facilitating peer friendships within the home (Erikson, 1997). The Centre for Ageing Better (2023) highlights the importance of social connection and age</w:t>
      </w:r>
      <w:r w:rsidRPr="00EE7050">
        <w:rPr>
          <w:rFonts w:ascii="Cambria Math" w:hAnsi="Cambria Math" w:cs="Cambria Math"/>
          <w:sz w:val="22"/>
          <w:szCs w:val="22"/>
        </w:rPr>
        <w:t>‑</w:t>
      </w:r>
      <w:r w:rsidRPr="00EE7050">
        <w:rPr>
          <w:rFonts w:ascii="Arial" w:hAnsi="Arial" w:cs="Arial"/>
          <w:sz w:val="22"/>
          <w:szCs w:val="22"/>
        </w:rPr>
        <w:t>inclusive environments in improving wellbeing, reinforcing the value of relational care.</w:t>
      </w:r>
    </w:p>
    <w:p w14:paraId="4CD44CE5" w14:textId="77777777" w:rsidR="00AF2F75" w:rsidRPr="00EE7050" w:rsidRDefault="00AF2F75" w:rsidP="00EE7050">
      <w:pPr>
        <w:pStyle w:val="NoSpacing"/>
        <w:spacing w:line="360" w:lineRule="auto"/>
        <w:jc w:val="both"/>
        <w:rPr>
          <w:rFonts w:ascii="Arial" w:hAnsi="Arial" w:cs="Arial"/>
          <w:sz w:val="22"/>
          <w:szCs w:val="22"/>
        </w:rPr>
      </w:pPr>
    </w:p>
    <w:p w14:paraId="0796DAD1" w14:textId="17C23751" w:rsidR="00AF2F75" w:rsidRPr="00EE7050" w:rsidRDefault="00AF2F75" w:rsidP="00EE7050">
      <w:pPr>
        <w:pStyle w:val="NoSpacing"/>
        <w:spacing w:line="360" w:lineRule="auto"/>
        <w:jc w:val="both"/>
        <w:rPr>
          <w:rFonts w:ascii="Arial" w:hAnsi="Arial" w:cs="Arial"/>
          <w:sz w:val="22"/>
          <w:szCs w:val="22"/>
        </w:rPr>
      </w:pPr>
      <w:r w:rsidRPr="00EE7050">
        <w:rPr>
          <w:rFonts w:ascii="Arial" w:hAnsi="Arial" w:cs="Arial"/>
          <w:sz w:val="22"/>
          <w:szCs w:val="22"/>
        </w:rPr>
        <w:t xml:space="preserve">Supporting autonomy and dignity is also essential. Helping residents make choices about clothing, meals, activities, or daily routines reinforces a sense of control and identity, which is vital for achieving integrity (Kitwood, 1997). Positive representations of ageing, such as those promoted through the </w:t>
      </w:r>
      <w:r w:rsidR="003913D3" w:rsidRPr="00EE7050">
        <w:rPr>
          <w:rFonts w:ascii="Arial" w:hAnsi="Arial" w:cs="Arial"/>
          <w:sz w:val="22"/>
          <w:szCs w:val="22"/>
        </w:rPr>
        <w:t>A</w:t>
      </w:r>
      <w:r w:rsidRPr="00EE7050">
        <w:rPr>
          <w:rFonts w:ascii="Arial" w:hAnsi="Arial" w:cs="Arial"/>
          <w:sz w:val="22"/>
          <w:szCs w:val="22"/>
        </w:rPr>
        <w:t>ge Without Limits image library, can help staff challenge stereotypes and promote dignity in everyday care (Centre for Ageing Better, 2023).</w:t>
      </w:r>
    </w:p>
    <w:p w14:paraId="2B20F70C" w14:textId="77777777" w:rsidR="00C12344" w:rsidRDefault="00C12344" w:rsidP="00EE7050">
      <w:pPr>
        <w:pStyle w:val="NoSpacing"/>
        <w:spacing w:line="360" w:lineRule="auto"/>
        <w:jc w:val="both"/>
        <w:rPr>
          <w:rFonts w:ascii="Arial" w:hAnsi="Arial" w:cs="Arial"/>
          <w:sz w:val="22"/>
          <w:szCs w:val="22"/>
        </w:rPr>
      </w:pPr>
    </w:p>
    <w:p w14:paraId="19E8144A" w14:textId="47D4EAB8" w:rsidR="00AF2F75" w:rsidRDefault="000D3531" w:rsidP="00EE7050">
      <w:pPr>
        <w:pStyle w:val="NoSpacing"/>
        <w:spacing w:line="360" w:lineRule="auto"/>
        <w:jc w:val="both"/>
        <w:rPr>
          <w:rFonts w:ascii="Arial" w:hAnsi="Arial" w:cs="Arial"/>
          <w:sz w:val="22"/>
          <w:szCs w:val="22"/>
        </w:rPr>
      </w:pPr>
      <w:r w:rsidRPr="00BF299E">
        <w:rPr>
          <w:rFonts w:ascii="Arial" w:hAnsi="Arial" w:cs="Arial"/>
          <w:sz w:val="22"/>
          <w:szCs w:val="22"/>
        </w:rPr>
        <w:t>A case scenario illustrates these principles. Mrs Patel, 84, moved into residential care after a fall and soon became withdrawn, expressing regret about “not doing enough” in life. She avoided activities and spent most of her time alone, showing signs of low mood. Using Erikson’s theory, staff recognised she may be experiencing despair as she struggled to adjust and make sense of her life experiences (Erikson, 1997). A senior carer began weekly life</w:t>
      </w:r>
      <w:r w:rsidRPr="00BF299E">
        <w:rPr>
          <w:rFonts w:ascii="Cambria Math" w:hAnsi="Cambria Math" w:cs="Cambria Math"/>
          <w:sz w:val="22"/>
          <w:szCs w:val="22"/>
        </w:rPr>
        <w:t>‑</w:t>
      </w:r>
      <w:r w:rsidRPr="00BF299E">
        <w:rPr>
          <w:rFonts w:ascii="Arial" w:hAnsi="Arial" w:cs="Arial"/>
          <w:sz w:val="22"/>
          <w:szCs w:val="22"/>
        </w:rPr>
        <w:t>story sessions, encouraging her to talk about her childhood, career, and family, and helped her create a life</w:t>
      </w:r>
      <w:r w:rsidRPr="00BF299E">
        <w:rPr>
          <w:rFonts w:ascii="Cambria Math" w:hAnsi="Cambria Math" w:cs="Cambria Math"/>
          <w:sz w:val="22"/>
          <w:szCs w:val="22"/>
        </w:rPr>
        <w:t>‑</w:t>
      </w:r>
      <w:r w:rsidRPr="00BF299E">
        <w:rPr>
          <w:rFonts w:ascii="Arial" w:hAnsi="Arial" w:cs="Arial"/>
          <w:sz w:val="22"/>
          <w:szCs w:val="22"/>
        </w:rPr>
        <w:t>story book with photos from relatives. Staff also introduced meaningful activities, such as a small sewing project, to reconnect her with a valued identity. Over time, Mrs Patel became more engaged, joined social activities, and shared her sewing skills, reflecting evidence that life</w:t>
      </w:r>
      <w:r w:rsidRPr="00BF299E">
        <w:rPr>
          <w:rFonts w:ascii="Cambria Math" w:hAnsi="Cambria Math" w:cs="Cambria Math"/>
          <w:sz w:val="22"/>
          <w:szCs w:val="22"/>
        </w:rPr>
        <w:t>‑</w:t>
      </w:r>
      <w:r w:rsidRPr="00BF299E">
        <w:rPr>
          <w:rFonts w:ascii="Arial" w:hAnsi="Arial" w:cs="Arial"/>
          <w:sz w:val="22"/>
          <w:szCs w:val="22"/>
        </w:rPr>
        <w:t xml:space="preserve">story work can improve wellbeing and social connection (McKeown </w:t>
      </w:r>
      <w:r w:rsidRPr="00562ACA">
        <w:rPr>
          <w:rFonts w:ascii="Arial" w:hAnsi="Arial" w:cs="Arial"/>
          <w:i/>
          <w:iCs/>
          <w:sz w:val="22"/>
          <w:szCs w:val="22"/>
        </w:rPr>
        <w:t>et al.</w:t>
      </w:r>
      <w:r w:rsidR="00562ACA">
        <w:rPr>
          <w:rFonts w:ascii="Arial" w:hAnsi="Arial" w:cs="Arial"/>
          <w:i/>
          <w:iCs/>
          <w:sz w:val="22"/>
          <w:szCs w:val="22"/>
        </w:rPr>
        <w:t>,</w:t>
      </w:r>
      <w:r w:rsidRPr="00BF299E">
        <w:rPr>
          <w:rFonts w:ascii="Arial" w:hAnsi="Arial" w:cs="Arial"/>
          <w:sz w:val="22"/>
          <w:szCs w:val="22"/>
        </w:rPr>
        <w:t xml:space="preserve"> 2010).</w:t>
      </w:r>
    </w:p>
    <w:p w14:paraId="4934784A" w14:textId="77777777" w:rsidR="008670D8" w:rsidRPr="00BF299E" w:rsidRDefault="008670D8" w:rsidP="00EE7050">
      <w:pPr>
        <w:pStyle w:val="NoSpacing"/>
        <w:spacing w:line="360" w:lineRule="auto"/>
        <w:jc w:val="both"/>
        <w:rPr>
          <w:rFonts w:ascii="Arial" w:hAnsi="Arial" w:cs="Arial"/>
          <w:sz w:val="22"/>
          <w:szCs w:val="22"/>
        </w:rPr>
      </w:pPr>
    </w:p>
    <w:p w14:paraId="7220C813" w14:textId="1F7BF3BA" w:rsidR="008847A0" w:rsidRDefault="00AF2F75" w:rsidP="00EE7050">
      <w:pPr>
        <w:pStyle w:val="NoSpacing"/>
        <w:spacing w:line="360" w:lineRule="auto"/>
        <w:jc w:val="both"/>
        <w:rPr>
          <w:rFonts w:ascii="Arial" w:hAnsi="Arial" w:cs="Arial"/>
          <w:sz w:val="22"/>
          <w:szCs w:val="22"/>
        </w:rPr>
      </w:pPr>
      <w:r w:rsidRPr="00EE7050">
        <w:rPr>
          <w:rFonts w:ascii="Arial" w:hAnsi="Arial" w:cs="Arial"/>
          <w:sz w:val="22"/>
          <w:szCs w:val="22"/>
        </w:rPr>
        <w:t xml:space="preserve">Applying Erikson’s theory can be challenging because it assumes all older adults want to reflect on their past, yet some may avoid life review due to trauma, cultural norms, or a preference for privacy (Knight </w:t>
      </w:r>
      <w:r w:rsidR="00562ACA">
        <w:rPr>
          <w:rFonts w:ascii="Arial" w:hAnsi="Arial" w:cs="Arial"/>
          <w:sz w:val="22"/>
          <w:szCs w:val="22"/>
        </w:rPr>
        <w:t>and</w:t>
      </w:r>
      <w:r w:rsidRPr="00EE7050">
        <w:rPr>
          <w:rFonts w:ascii="Arial" w:hAnsi="Arial" w:cs="Arial"/>
          <w:sz w:val="22"/>
          <w:szCs w:val="22"/>
        </w:rPr>
        <w:t xml:space="preserve"> McCallum, 1998). This highlights the need to adapt psychosocial approaches to each person’s background and comfort level. A person</w:t>
      </w:r>
      <w:r w:rsidRPr="00EE7050">
        <w:rPr>
          <w:rFonts w:ascii="Cambria Math" w:hAnsi="Cambria Math" w:cs="Cambria Math"/>
          <w:sz w:val="22"/>
          <w:szCs w:val="22"/>
        </w:rPr>
        <w:t>‑</w:t>
      </w:r>
      <w:r w:rsidRPr="00EE7050">
        <w:rPr>
          <w:rFonts w:ascii="Arial" w:hAnsi="Arial" w:cs="Arial"/>
          <w:sz w:val="22"/>
          <w:szCs w:val="22"/>
        </w:rPr>
        <w:t>centred, culturally sensitive approach is essential, involving assessment of individual preferences, flexible activity options, and trust</w:t>
      </w:r>
      <w:r w:rsidRPr="00EE7050">
        <w:rPr>
          <w:rFonts w:ascii="Cambria Math" w:hAnsi="Cambria Math" w:cs="Cambria Math"/>
          <w:sz w:val="22"/>
          <w:szCs w:val="22"/>
        </w:rPr>
        <w:t>‑</w:t>
      </w:r>
      <w:r w:rsidRPr="00EE7050">
        <w:rPr>
          <w:rFonts w:ascii="Arial" w:hAnsi="Arial" w:cs="Arial"/>
          <w:sz w:val="22"/>
          <w:szCs w:val="22"/>
        </w:rPr>
        <w:t xml:space="preserve">building before beginning reflective work (Centre for Ageing </w:t>
      </w:r>
      <w:r w:rsidRPr="00EE7050">
        <w:rPr>
          <w:rFonts w:ascii="Arial" w:hAnsi="Arial" w:cs="Arial"/>
          <w:sz w:val="22"/>
          <w:szCs w:val="22"/>
        </w:rPr>
        <w:lastRenderedPageBreak/>
        <w:t>Better, 2023). This ensures Erikson’s theory is used safely and respectfully in line with best</w:t>
      </w:r>
      <w:r w:rsidRPr="00EE7050">
        <w:rPr>
          <w:rFonts w:ascii="Cambria Math" w:hAnsi="Cambria Math" w:cs="Cambria Math"/>
          <w:sz w:val="22"/>
          <w:szCs w:val="22"/>
        </w:rPr>
        <w:t>‑</w:t>
      </w:r>
      <w:r w:rsidRPr="00EE7050">
        <w:rPr>
          <w:rFonts w:ascii="Arial" w:hAnsi="Arial" w:cs="Arial"/>
          <w:sz w:val="22"/>
          <w:szCs w:val="22"/>
        </w:rPr>
        <w:t>practice guidance (Kagawa</w:t>
      </w:r>
      <w:r w:rsidRPr="00EE7050">
        <w:rPr>
          <w:rFonts w:ascii="Cambria Math" w:hAnsi="Cambria Math" w:cs="Cambria Math"/>
          <w:sz w:val="22"/>
          <w:szCs w:val="22"/>
        </w:rPr>
        <w:t>‑</w:t>
      </w:r>
      <w:r w:rsidRPr="00EE7050">
        <w:rPr>
          <w:rFonts w:ascii="Arial" w:hAnsi="Arial" w:cs="Arial"/>
          <w:sz w:val="22"/>
          <w:szCs w:val="22"/>
        </w:rPr>
        <w:t xml:space="preserve">Singer </w:t>
      </w:r>
      <w:r w:rsidR="0017027A">
        <w:rPr>
          <w:rFonts w:ascii="Arial" w:hAnsi="Arial" w:cs="Arial"/>
          <w:sz w:val="22"/>
          <w:szCs w:val="22"/>
        </w:rPr>
        <w:t>and</w:t>
      </w:r>
      <w:r w:rsidRPr="00EE7050">
        <w:rPr>
          <w:rFonts w:ascii="Arial" w:hAnsi="Arial" w:cs="Arial"/>
          <w:sz w:val="22"/>
          <w:szCs w:val="22"/>
        </w:rPr>
        <w:t xml:space="preserve"> Blackhall, 2001).</w:t>
      </w:r>
    </w:p>
    <w:p w14:paraId="33D30CAC" w14:textId="77777777" w:rsidR="007314D8" w:rsidRPr="007314D8" w:rsidRDefault="007314D8" w:rsidP="00EE7050">
      <w:pPr>
        <w:pStyle w:val="NoSpacing"/>
        <w:spacing w:line="360" w:lineRule="auto"/>
        <w:jc w:val="both"/>
        <w:rPr>
          <w:rFonts w:ascii="Arial" w:hAnsi="Arial" w:cs="Arial"/>
          <w:sz w:val="22"/>
          <w:szCs w:val="22"/>
        </w:rPr>
      </w:pPr>
    </w:p>
    <w:p w14:paraId="21AB2F90" w14:textId="42F26203" w:rsidR="008847A0" w:rsidRPr="00C12344" w:rsidRDefault="0051769F" w:rsidP="00EE7050">
      <w:pPr>
        <w:pStyle w:val="NoSpacing"/>
        <w:spacing w:line="360" w:lineRule="auto"/>
        <w:jc w:val="both"/>
        <w:rPr>
          <w:rFonts w:ascii="Arial" w:hAnsi="Arial" w:cs="Arial"/>
          <w:b/>
          <w:bCs/>
          <w:sz w:val="22"/>
          <w:szCs w:val="22"/>
        </w:rPr>
      </w:pPr>
      <w:r w:rsidRPr="00EE7050">
        <w:rPr>
          <w:rFonts w:ascii="Arial" w:hAnsi="Arial" w:cs="Arial"/>
          <w:b/>
          <w:bCs/>
          <w:sz w:val="22"/>
          <w:szCs w:val="22"/>
        </w:rPr>
        <w:t xml:space="preserve">Conclusion </w:t>
      </w:r>
    </w:p>
    <w:p w14:paraId="21B59884" w14:textId="03E274E5" w:rsidR="00CF4117" w:rsidRPr="00EE7050" w:rsidRDefault="00CF4117" w:rsidP="00EE7050">
      <w:pPr>
        <w:pStyle w:val="NoSpacing"/>
        <w:spacing w:line="360" w:lineRule="auto"/>
        <w:jc w:val="both"/>
        <w:rPr>
          <w:rFonts w:ascii="Arial" w:hAnsi="Arial" w:cs="Arial"/>
          <w:sz w:val="22"/>
          <w:szCs w:val="22"/>
        </w:rPr>
      </w:pPr>
      <w:r w:rsidRPr="00EE7050">
        <w:rPr>
          <w:rFonts w:ascii="Arial" w:hAnsi="Arial" w:cs="Arial"/>
          <w:sz w:val="22"/>
          <w:szCs w:val="22"/>
        </w:rPr>
        <w:t>Overall, Erikson’s and Bowlby’s theories help explain the emotional, cognitive, and relational needs of older adults in residential care. Erikson highlights the importance of life review, identity, and meaning, while Bowlby emphasises the value of secure relationships during transitions and loss (Bowlby, 1988). Together, these perspectives support person</w:t>
      </w:r>
      <w:r w:rsidRPr="00EE7050">
        <w:rPr>
          <w:rFonts w:ascii="Cambria Math" w:hAnsi="Cambria Math" w:cs="Cambria Math"/>
          <w:sz w:val="22"/>
          <w:szCs w:val="22"/>
        </w:rPr>
        <w:t>‑</w:t>
      </w:r>
      <w:r w:rsidRPr="00EE7050">
        <w:rPr>
          <w:rFonts w:ascii="Arial" w:hAnsi="Arial" w:cs="Arial"/>
          <w:sz w:val="22"/>
          <w:szCs w:val="22"/>
        </w:rPr>
        <w:t>centred practices such as reminiscence work, consistent staffing, and meaningful activities. Although both theories have limitations, they offer useful guidance for promoting dignity, emotional security, and wellbeing in later life.</w:t>
      </w:r>
    </w:p>
    <w:p w14:paraId="34EA0C81" w14:textId="77777777" w:rsidR="00AF2F75" w:rsidRPr="00EE7050" w:rsidRDefault="00AF2F75" w:rsidP="00EE7050">
      <w:pPr>
        <w:pStyle w:val="NoSpacing"/>
        <w:spacing w:line="360" w:lineRule="auto"/>
        <w:jc w:val="both"/>
        <w:rPr>
          <w:rFonts w:ascii="Arial" w:hAnsi="Arial" w:cs="Arial"/>
          <w:sz w:val="22"/>
          <w:szCs w:val="22"/>
        </w:rPr>
      </w:pPr>
    </w:p>
    <w:p w14:paraId="11EE7EDE" w14:textId="58E10DCD" w:rsidR="00AF2F75" w:rsidRPr="00EE7050" w:rsidRDefault="00AF2F75" w:rsidP="00EE7050">
      <w:pPr>
        <w:pStyle w:val="NoSpacing"/>
        <w:spacing w:line="360" w:lineRule="auto"/>
        <w:jc w:val="both"/>
        <w:rPr>
          <w:rFonts w:ascii="Arial" w:hAnsi="Arial" w:cs="Arial"/>
          <w:sz w:val="22"/>
          <w:szCs w:val="22"/>
        </w:rPr>
      </w:pPr>
    </w:p>
    <w:p w14:paraId="0585C180" w14:textId="77777777" w:rsidR="00AF2F75" w:rsidRPr="00EE7050" w:rsidRDefault="00AF2F75" w:rsidP="00EE7050">
      <w:pPr>
        <w:pStyle w:val="NoSpacing"/>
        <w:spacing w:line="360" w:lineRule="auto"/>
        <w:jc w:val="both"/>
        <w:rPr>
          <w:rFonts w:ascii="Arial" w:hAnsi="Arial" w:cs="Arial"/>
          <w:sz w:val="22"/>
          <w:szCs w:val="22"/>
        </w:rPr>
      </w:pPr>
    </w:p>
    <w:p w14:paraId="68E986A9" w14:textId="77777777" w:rsidR="00FF5A65" w:rsidRPr="00EE7050" w:rsidRDefault="00FF5A65" w:rsidP="00EE7050">
      <w:pPr>
        <w:pStyle w:val="NoSpacing"/>
        <w:spacing w:line="360" w:lineRule="auto"/>
        <w:jc w:val="both"/>
        <w:rPr>
          <w:rFonts w:ascii="Arial" w:hAnsi="Arial" w:cs="Arial"/>
          <w:sz w:val="22"/>
          <w:szCs w:val="22"/>
        </w:rPr>
      </w:pPr>
    </w:p>
    <w:p w14:paraId="4ABC61C5" w14:textId="137AF29B" w:rsidR="00354208" w:rsidRPr="00354208" w:rsidRDefault="00354208" w:rsidP="00EE7050">
      <w:pPr>
        <w:spacing w:after="0" w:line="360" w:lineRule="auto"/>
        <w:jc w:val="both"/>
        <w:rPr>
          <w:rFonts w:ascii="Arial" w:eastAsia="Times New Roman" w:hAnsi="Arial" w:cs="Arial"/>
          <w:kern w:val="0"/>
          <w:sz w:val="22"/>
          <w:szCs w:val="22"/>
          <w:lang w:eastAsia="en-GB"/>
          <w14:ligatures w14:val="none"/>
        </w:rPr>
      </w:pPr>
    </w:p>
    <w:p w14:paraId="0C3C917F" w14:textId="77777777" w:rsidR="00970BA1" w:rsidRPr="00EE7050" w:rsidRDefault="00970BA1" w:rsidP="00EE7050">
      <w:pPr>
        <w:spacing w:line="360" w:lineRule="auto"/>
        <w:jc w:val="both"/>
        <w:rPr>
          <w:rFonts w:ascii="Arial" w:hAnsi="Arial" w:cs="Arial"/>
          <w:b/>
          <w:bCs/>
          <w:sz w:val="22"/>
          <w:szCs w:val="22"/>
          <w:lang w:eastAsia="en-GB"/>
        </w:rPr>
      </w:pPr>
    </w:p>
    <w:p w14:paraId="2D8C5AC2" w14:textId="77777777" w:rsidR="00970BA1" w:rsidRPr="00EE7050" w:rsidRDefault="00970BA1" w:rsidP="00EE7050">
      <w:pPr>
        <w:spacing w:line="360" w:lineRule="auto"/>
        <w:jc w:val="both"/>
        <w:rPr>
          <w:rFonts w:ascii="Arial" w:hAnsi="Arial" w:cs="Arial"/>
          <w:b/>
          <w:bCs/>
          <w:sz w:val="22"/>
          <w:szCs w:val="22"/>
          <w:lang w:eastAsia="en-GB"/>
        </w:rPr>
      </w:pPr>
    </w:p>
    <w:p w14:paraId="3A4557FF" w14:textId="77777777" w:rsidR="00970BA1" w:rsidRPr="00EE7050" w:rsidRDefault="00970BA1" w:rsidP="00EE7050">
      <w:pPr>
        <w:spacing w:line="360" w:lineRule="auto"/>
        <w:jc w:val="both"/>
        <w:rPr>
          <w:rFonts w:ascii="Arial" w:hAnsi="Arial" w:cs="Arial"/>
          <w:b/>
          <w:bCs/>
          <w:sz w:val="22"/>
          <w:szCs w:val="22"/>
          <w:lang w:eastAsia="en-GB"/>
        </w:rPr>
      </w:pPr>
    </w:p>
    <w:p w14:paraId="794D99F9" w14:textId="77777777" w:rsidR="00713218" w:rsidRPr="00EE7050" w:rsidRDefault="00713218" w:rsidP="00EE7050">
      <w:pPr>
        <w:spacing w:line="360" w:lineRule="auto"/>
        <w:jc w:val="both"/>
        <w:rPr>
          <w:rFonts w:ascii="Arial" w:hAnsi="Arial" w:cs="Arial"/>
          <w:b/>
          <w:bCs/>
          <w:sz w:val="22"/>
          <w:szCs w:val="22"/>
          <w:lang w:eastAsia="en-GB"/>
        </w:rPr>
      </w:pPr>
    </w:p>
    <w:p w14:paraId="244EC936" w14:textId="77777777" w:rsidR="00713218" w:rsidRPr="00EE7050" w:rsidRDefault="00713218" w:rsidP="00EE7050">
      <w:pPr>
        <w:spacing w:line="360" w:lineRule="auto"/>
        <w:jc w:val="both"/>
        <w:rPr>
          <w:rFonts w:ascii="Arial" w:hAnsi="Arial" w:cs="Arial"/>
          <w:b/>
          <w:bCs/>
          <w:sz w:val="22"/>
          <w:szCs w:val="22"/>
          <w:lang w:eastAsia="en-GB"/>
        </w:rPr>
      </w:pPr>
    </w:p>
    <w:p w14:paraId="2D767E12" w14:textId="77777777" w:rsidR="00713218" w:rsidRPr="00EE7050" w:rsidRDefault="00713218" w:rsidP="00EE7050">
      <w:pPr>
        <w:spacing w:line="360" w:lineRule="auto"/>
        <w:jc w:val="both"/>
        <w:rPr>
          <w:rFonts w:ascii="Arial" w:hAnsi="Arial" w:cs="Arial"/>
          <w:b/>
          <w:bCs/>
          <w:sz w:val="22"/>
          <w:szCs w:val="22"/>
          <w:lang w:eastAsia="en-GB"/>
        </w:rPr>
      </w:pPr>
    </w:p>
    <w:p w14:paraId="6A848858" w14:textId="77777777" w:rsidR="00713218" w:rsidRPr="00EE7050" w:rsidRDefault="00713218" w:rsidP="00EE7050">
      <w:pPr>
        <w:spacing w:line="360" w:lineRule="auto"/>
        <w:jc w:val="both"/>
        <w:rPr>
          <w:rFonts w:ascii="Arial" w:hAnsi="Arial" w:cs="Arial"/>
          <w:b/>
          <w:bCs/>
          <w:sz w:val="22"/>
          <w:szCs w:val="22"/>
          <w:lang w:eastAsia="en-GB"/>
        </w:rPr>
      </w:pPr>
    </w:p>
    <w:p w14:paraId="3AF8FB70" w14:textId="77777777" w:rsidR="00115F1A" w:rsidRPr="00EE7050" w:rsidRDefault="00115F1A" w:rsidP="00EE7050">
      <w:pPr>
        <w:spacing w:line="360" w:lineRule="auto"/>
        <w:jc w:val="both"/>
        <w:rPr>
          <w:rFonts w:ascii="Arial" w:hAnsi="Arial" w:cs="Arial"/>
          <w:b/>
          <w:bCs/>
          <w:sz w:val="22"/>
          <w:szCs w:val="22"/>
          <w:lang w:eastAsia="en-GB"/>
        </w:rPr>
      </w:pPr>
    </w:p>
    <w:p w14:paraId="2818B1D6" w14:textId="77777777" w:rsidR="007314D8" w:rsidRDefault="007314D8" w:rsidP="00EE7050">
      <w:pPr>
        <w:spacing w:line="360" w:lineRule="auto"/>
        <w:jc w:val="both"/>
        <w:rPr>
          <w:rFonts w:ascii="Arial" w:hAnsi="Arial" w:cs="Arial"/>
          <w:b/>
          <w:bCs/>
          <w:sz w:val="22"/>
          <w:szCs w:val="22"/>
          <w:lang w:eastAsia="en-GB"/>
        </w:rPr>
      </w:pPr>
    </w:p>
    <w:p w14:paraId="667B4AEF" w14:textId="77777777" w:rsidR="007314D8" w:rsidRDefault="007314D8" w:rsidP="00EE7050">
      <w:pPr>
        <w:spacing w:line="360" w:lineRule="auto"/>
        <w:jc w:val="both"/>
        <w:rPr>
          <w:rFonts w:ascii="Arial" w:hAnsi="Arial" w:cs="Arial"/>
          <w:b/>
          <w:bCs/>
          <w:sz w:val="22"/>
          <w:szCs w:val="22"/>
          <w:lang w:eastAsia="en-GB"/>
        </w:rPr>
      </w:pPr>
    </w:p>
    <w:p w14:paraId="6A3F67BE" w14:textId="77777777" w:rsidR="007314D8" w:rsidRDefault="007314D8" w:rsidP="00EE7050">
      <w:pPr>
        <w:spacing w:line="360" w:lineRule="auto"/>
        <w:jc w:val="both"/>
        <w:rPr>
          <w:rFonts w:ascii="Arial" w:hAnsi="Arial" w:cs="Arial"/>
          <w:b/>
          <w:bCs/>
          <w:sz w:val="22"/>
          <w:szCs w:val="22"/>
          <w:lang w:eastAsia="en-GB"/>
        </w:rPr>
      </w:pPr>
    </w:p>
    <w:p w14:paraId="33098C99" w14:textId="77777777" w:rsidR="007314D8" w:rsidRDefault="007314D8" w:rsidP="00EE7050">
      <w:pPr>
        <w:spacing w:line="360" w:lineRule="auto"/>
        <w:jc w:val="both"/>
        <w:rPr>
          <w:rFonts w:ascii="Arial" w:hAnsi="Arial" w:cs="Arial"/>
          <w:b/>
          <w:bCs/>
          <w:sz w:val="22"/>
          <w:szCs w:val="22"/>
          <w:lang w:eastAsia="en-GB"/>
        </w:rPr>
      </w:pPr>
    </w:p>
    <w:p w14:paraId="5A530E77" w14:textId="77777777" w:rsidR="007314D8" w:rsidRDefault="007314D8" w:rsidP="00EE7050">
      <w:pPr>
        <w:spacing w:line="360" w:lineRule="auto"/>
        <w:jc w:val="both"/>
        <w:rPr>
          <w:rFonts w:ascii="Arial" w:hAnsi="Arial" w:cs="Arial"/>
          <w:b/>
          <w:bCs/>
          <w:sz w:val="22"/>
          <w:szCs w:val="22"/>
          <w:lang w:eastAsia="en-GB"/>
        </w:rPr>
      </w:pPr>
    </w:p>
    <w:p w14:paraId="3292AB83" w14:textId="77777777" w:rsidR="007314D8" w:rsidRDefault="007314D8" w:rsidP="00EE7050">
      <w:pPr>
        <w:spacing w:line="360" w:lineRule="auto"/>
        <w:jc w:val="both"/>
        <w:rPr>
          <w:rFonts w:ascii="Arial" w:hAnsi="Arial" w:cs="Arial"/>
          <w:b/>
          <w:bCs/>
          <w:sz w:val="22"/>
          <w:szCs w:val="22"/>
          <w:lang w:eastAsia="en-GB"/>
        </w:rPr>
      </w:pPr>
    </w:p>
    <w:p w14:paraId="341E8F1E" w14:textId="77777777" w:rsidR="007314D8" w:rsidRDefault="007314D8" w:rsidP="00EE7050">
      <w:pPr>
        <w:spacing w:line="360" w:lineRule="auto"/>
        <w:jc w:val="both"/>
        <w:rPr>
          <w:rFonts w:ascii="Arial" w:hAnsi="Arial" w:cs="Arial"/>
          <w:b/>
          <w:bCs/>
          <w:sz w:val="22"/>
          <w:szCs w:val="22"/>
          <w:lang w:eastAsia="en-GB"/>
        </w:rPr>
      </w:pPr>
    </w:p>
    <w:p w14:paraId="37FF8D32" w14:textId="1C309A4E" w:rsidR="00354208" w:rsidRPr="00EE7050" w:rsidRDefault="00354208" w:rsidP="00EE7050">
      <w:pPr>
        <w:spacing w:line="360" w:lineRule="auto"/>
        <w:jc w:val="both"/>
        <w:rPr>
          <w:rFonts w:ascii="Arial" w:hAnsi="Arial" w:cs="Arial"/>
          <w:b/>
          <w:bCs/>
          <w:sz w:val="22"/>
          <w:szCs w:val="22"/>
          <w:lang w:eastAsia="en-GB"/>
        </w:rPr>
      </w:pPr>
      <w:r w:rsidRPr="00EE7050">
        <w:rPr>
          <w:rFonts w:ascii="Arial" w:hAnsi="Arial" w:cs="Arial"/>
          <w:b/>
          <w:bCs/>
          <w:sz w:val="22"/>
          <w:szCs w:val="22"/>
          <w:lang w:eastAsia="en-GB"/>
        </w:rPr>
        <w:lastRenderedPageBreak/>
        <w:t>Reference</w:t>
      </w:r>
      <w:r w:rsidR="00F128BB">
        <w:rPr>
          <w:rFonts w:ascii="Arial" w:hAnsi="Arial" w:cs="Arial"/>
          <w:b/>
          <w:bCs/>
          <w:sz w:val="22"/>
          <w:szCs w:val="22"/>
          <w:lang w:eastAsia="en-GB"/>
        </w:rPr>
        <w:t xml:space="preserve"> list</w:t>
      </w:r>
      <w:r w:rsidRPr="00EE7050">
        <w:rPr>
          <w:rFonts w:ascii="Arial" w:hAnsi="Arial" w:cs="Arial"/>
          <w:b/>
          <w:bCs/>
          <w:sz w:val="22"/>
          <w:szCs w:val="22"/>
          <w:lang w:eastAsia="en-GB"/>
        </w:rPr>
        <w:t xml:space="preserve"> </w:t>
      </w:r>
    </w:p>
    <w:p w14:paraId="575E1062" w14:textId="77777777" w:rsidR="00687F82" w:rsidRDefault="00687F82" w:rsidP="00F128BB">
      <w:pPr>
        <w:spacing w:after="0" w:line="360" w:lineRule="auto"/>
        <w:rPr>
          <w:rFonts w:ascii="Arial" w:eastAsia="Times New Roman" w:hAnsi="Arial" w:cs="Arial"/>
          <w:kern w:val="0"/>
          <w:sz w:val="22"/>
          <w:szCs w:val="22"/>
          <w:lang w:eastAsia="en-GB"/>
          <w14:ligatures w14:val="none"/>
        </w:rPr>
      </w:pPr>
    </w:p>
    <w:p w14:paraId="4EA75CA9" w14:textId="77777777" w:rsidR="00687F82" w:rsidRDefault="00687F82" w:rsidP="00F128BB">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Abbasi, M., Radfar, M., Jafarizadeh, H. and Khalkhali, H.</w:t>
      </w:r>
      <w:r>
        <w:rPr>
          <w:rFonts w:ascii="Arial" w:eastAsia="Times New Roman" w:hAnsi="Arial" w:cs="Arial"/>
          <w:kern w:val="0"/>
          <w:sz w:val="22"/>
          <w:szCs w:val="22"/>
          <w:lang w:eastAsia="en-GB"/>
          <w14:ligatures w14:val="none"/>
        </w:rPr>
        <w:t xml:space="preserve"> (</w:t>
      </w:r>
      <w:r w:rsidRPr="00BF299E">
        <w:rPr>
          <w:rFonts w:ascii="Arial" w:eastAsia="Times New Roman" w:hAnsi="Arial" w:cs="Arial"/>
          <w:kern w:val="0"/>
          <w:sz w:val="22"/>
          <w:szCs w:val="22"/>
          <w:lang w:eastAsia="en-GB"/>
          <w14:ligatures w14:val="none"/>
        </w:rPr>
        <w:t>2025</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Does life story work based on Erikson's theory enhance psychological well-being in elderly residents of nursing homes? A randomized controlled trial</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sidRPr="00927E85">
        <w:rPr>
          <w:rFonts w:ascii="Arial" w:eastAsia="Times New Roman" w:hAnsi="Arial" w:cs="Arial"/>
          <w:i/>
          <w:iCs/>
          <w:kern w:val="0"/>
          <w:sz w:val="22"/>
          <w:szCs w:val="22"/>
          <w:lang w:eastAsia="en-GB"/>
          <w14:ligatures w14:val="none"/>
        </w:rPr>
        <w:t>Geriatric Nursing</w:t>
      </w:r>
      <w:r w:rsidRPr="00BF299E">
        <w:rPr>
          <w:rFonts w:ascii="Arial" w:eastAsia="Times New Roman" w:hAnsi="Arial" w:cs="Arial"/>
          <w:kern w:val="0"/>
          <w:sz w:val="22"/>
          <w:szCs w:val="22"/>
          <w:lang w:eastAsia="en-GB"/>
          <w14:ligatures w14:val="none"/>
        </w:rPr>
        <w:t>, 61, pp.140-148.</w:t>
      </w:r>
    </w:p>
    <w:p w14:paraId="059AB02A" w14:textId="77777777" w:rsidR="00687F82" w:rsidRPr="00354208" w:rsidRDefault="00687F82" w:rsidP="00EE705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54208">
        <w:rPr>
          <w:rFonts w:ascii="Arial" w:eastAsia="Times New Roman" w:hAnsi="Arial" w:cs="Arial"/>
          <w:kern w:val="0"/>
          <w:sz w:val="22"/>
          <w:szCs w:val="22"/>
          <w:lang w:eastAsia="en-GB"/>
          <w14:ligatures w14:val="none"/>
        </w:rPr>
        <w:t xml:space="preserve">Age UK (n.d.) </w:t>
      </w:r>
      <w:r w:rsidRPr="00354208">
        <w:rPr>
          <w:rFonts w:ascii="Arial" w:eastAsia="Times New Roman" w:hAnsi="Arial" w:cs="Arial"/>
          <w:i/>
          <w:iCs/>
          <w:kern w:val="0"/>
          <w:sz w:val="22"/>
          <w:szCs w:val="22"/>
          <w:lang w:eastAsia="en-GB"/>
          <w14:ligatures w14:val="none"/>
        </w:rPr>
        <w:t>Reminiscence and life story work</w:t>
      </w:r>
      <w:r w:rsidRPr="00354208">
        <w:rPr>
          <w:rFonts w:ascii="Arial" w:eastAsia="Times New Roman" w:hAnsi="Arial" w:cs="Arial"/>
          <w:kern w:val="0"/>
          <w:sz w:val="22"/>
          <w:szCs w:val="22"/>
          <w:lang w:eastAsia="en-GB"/>
          <w14:ligatures w14:val="none"/>
        </w:rPr>
        <w:t xml:space="preserve">. Available at: </w:t>
      </w:r>
      <w:hyperlink r:id="rId11" w:history="1">
        <w:r w:rsidRPr="00354208">
          <w:rPr>
            <w:rFonts w:ascii="Arial" w:eastAsia="Times New Roman" w:hAnsi="Arial" w:cs="Arial"/>
            <w:color w:val="0000FF"/>
            <w:kern w:val="0"/>
            <w:sz w:val="22"/>
            <w:szCs w:val="22"/>
            <w:u w:val="single"/>
            <w:lang w:eastAsia="en-GB"/>
            <w14:ligatures w14:val="none"/>
          </w:rPr>
          <w:t>https://www.ageuk.org.uk</w:t>
        </w:r>
      </w:hyperlink>
      <w:r w:rsidRPr="00354208">
        <w:rPr>
          <w:rFonts w:ascii="Arial" w:eastAsia="Times New Roman" w:hAnsi="Arial" w:cs="Arial"/>
          <w:kern w:val="0"/>
          <w:sz w:val="22"/>
          <w:szCs w:val="22"/>
          <w:lang w:eastAsia="en-GB"/>
          <w14:ligatures w14:val="none"/>
        </w:rPr>
        <w:t xml:space="preserve"> (Accessed:</w:t>
      </w:r>
      <w:r>
        <w:rPr>
          <w:rFonts w:ascii="Arial" w:eastAsia="Times New Roman" w:hAnsi="Arial" w:cs="Arial"/>
          <w:kern w:val="0"/>
          <w:sz w:val="22"/>
          <w:szCs w:val="22"/>
          <w:lang w:eastAsia="en-GB"/>
          <w14:ligatures w14:val="none"/>
        </w:rPr>
        <w:t xml:space="preserve"> 05 March 2026</w:t>
      </w:r>
      <w:r w:rsidRPr="00354208">
        <w:rPr>
          <w:rFonts w:ascii="Arial" w:eastAsia="Times New Roman" w:hAnsi="Arial" w:cs="Arial"/>
          <w:kern w:val="0"/>
          <w:sz w:val="22"/>
          <w:szCs w:val="22"/>
          <w:lang w:eastAsia="en-GB"/>
          <w14:ligatures w14:val="none"/>
        </w:rPr>
        <w:t>).</w:t>
      </w:r>
    </w:p>
    <w:p w14:paraId="1A64FCE6" w14:textId="77777777" w:rsidR="00687F82" w:rsidRPr="00354208" w:rsidRDefault="00687F82" w:rsidP="00EE705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54208">
        <w:rPr>
          <w:rFonts w:ascii="Arial" w:eastAsia="Times New Roman" w:hAnsi="Arial" w:cs="Arial"/>
          <w:kern w:val="0"/>
          <w:sz w:val="22"/>
          <w:szCs w:val="22"/>
          <w:lang w:eastAsia="en-GB"/>
          <w14:ligatures w14:val="none"/>
        </w:rPr>
        <w:t xml:space="preserve">Centre for Ageing Better (2023) </w:t>
      </w:r>
      <w:r w:rsidRPr="00354208">
        <w:rPr>
          <w:rFonts w:ascii="Arial" w:eastAsia="Times New Roman" w:hAnsi="Arial" w:cs="Arial"/>
          <w:i/>
          <w:iCs/>
          <w:kern w:val="0"/>
          <w:sz w:val="22"/>
          <w:szCs w:val="22"/>
          <w:lang w:eastAsia="en-GB"/>
          <w14:ligatures w14:val="none"/>
        </w:rPr>
        <w:t>Age Without Limits: Challenging ageism</w:t>
      </w:r>
      <w:r w:rsidRPr="00354208">
        <w:rPr>
          <w:rFonts w:ascii="Arial" w:eastAsia="Times New Roman" w:hAnsi="Arial" w:cs="Arial"/>
          <w:kern w:val="0"/>
          <w:sz w:val="22"/>
          <w:szCs w:val="22"/>
          <w:lang w:eastAsia="en-GB"/>
          <w14:ligatures w14:val="none"/>
        </w:rPr>
        <w:t xml:space="preserve">. Available at: https://ageing-better.org.uk </w:t>
      </w:r>
      <w:hyperlink r:id="rId12" w:history="1">
        <w:r w:rsidRPr="00354208">
          <w:rPr>
            <w:rFonts w:ascii="Arial" w:eastAsia="Times New Roman" w:hAnsi="Arial" w:cs="Arial"/>
            <w:color w:val="0000FF"/>
            <w:kern w:val="0"/>
            <w:sz w:val="22"/>
            <w:szCs w:val="22"/>
            <w:u w:val="single"/>
            <w:lang w:eastAsia="en-GB"/>
            <w14:ligatures w14:val="none"/>
          </w:rPr>
          <w:t>(ageing-better.org.uk in Bing)</w:t>
        </w:r>
      </w:hyperlink>
      <w:r w:rsidRPr="00354208">
        <w:rPr>
          <w:rFonts w:ascii="Arial" w:eastAsia="Times New Roman" w:hAnsi="Arial" w:cs="Arial"/>
          <w:kern w:val="0"/>
          <w:sz w:val="22"/>
          <w:szCs w:val="22"/>
          <w:lang w:eastAsia="en-GB"/>
          <w14:ligatures w14:val="none"/>
        </w:rPr>
        <w:t xml:space="preserve"> (Accessed:</w:t>
      </w:r>
      <w:r>
        <w:rPr>
          <w:rFonts w:ascii="Arial" w:eastAsia="Times New Roman" w:hAnsi="Arial" w:cs="Arial"/>
          <w:kern w:val="0"/>
          <w:sz w:val="22"/>
          <w:szCs w:val="22"/>
          <w:lang w:eastAsia="en-GB"/>
          <w14:ligatures w14:val="none"/>
        </w:rPr>
        <w:t xml:space="preserve"> 05 March 2026</w:t>
      </w:r>
      <w:r w:rsidRPr="00354208">
        <w:rPr>
          <w:rFonts w:ascii="Arial" w:eastAsia="Times New Roman" w:hAnsi="Arial" w:cs="Arial"/>
          <w:kern w:val="0"/>
          <w:sz w:val="22"/>
          <w:szCs w:val="22"/>
          <w:lang w:eastAsia="en-GB"/>
          <w14:ligatures w14:val="none"/>
        </w:rPr>
        <w:t>).</w:t>
      </w:r>
    </w:p>
    <w:p w14:paraId="2F46BB87" w14:textId="77777777" w:rsidR="00687F82" w:rsidRPr="00354208" w:rsidRDefault="00687F82" w:rsidP="00EE705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54208">
        <w:rPr>
          <w:rFonts w:ascii="Arial" w:eastAsia="Times New Roman" w:hAnsi="Arial" w:cs="Arial"/>
          <w:kern w:val="0"/>
          <w:sz w:val="22"/>
          <w:szCs w:val="22"/>
          <w:lang w:eastAsia="en-GB"/>
          <w14:ligatures w14:val="none"/>
        </w:rPr>
        <w:t xml:space="preserve">Erikson, E.H. (1997) </w:t>
      </w:r>
      <w:r w:rsidRPr="00354208">
        <w:rPr>
          <w:rFonts w:ascii="Arial" w:eastAsia="Times New Roman" w:hAnsi="Arial" w:cs="Arial"/>
          <w:i/>
          <w:iCs/>
          <w:kern w:val="0"/>
          <w:sz w:val="22"/>
          <w:szCs w:val="22"/>
          <w:lang w:eastAsia="en-GB"/>
          <w14:ligatures w14:val="none"/>
        </w:rPr>
        <w:t>The Life Cycle Completed</w:t>
      </w:r>
      <w:r w:rsidRPr="00354208">
        <w:rPr>
          <w:rFonts w:ascii="Arial" w:eastAsia="Times New Roman" w:hAnsi="Arial" w:cs="Arial"/>
          <w:kern w:val="0"/>
          <w:sz w:val="22"/>
          <w:szCs w:val="22"/>
          <w:lang w:eastAsia="en-GB"/>
          <w14:ligatures w14:val="none"/>
        </w:rPr>
        <w:t>. New York: W.W. Norton.</w:t>
      </w:r>
    </w:p>
    <w:p w14:paraId="4794F7D2" w14:textId="77777777" w:rsidR="00687F82" w:rsidRPr="00354208" w:rsidRDefault="00687F82" w:rsidP="00EE705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54208">
        <w:rPr>
          <w:rFonts w:ascii="Arial" w:eastAsia="Times New Roman" w:hAnsi="Arial" w:cs="Arial"/>
          <w:kern w:val="0"/>
          <w:sz w:val="22"/>
          <w:szCs w:val="22"/>
          <w:lang w:eastAsia="en-GB"/>
          <w14:ligatures w14:val="none"/>
        </w:rPr>
        <w:t xml:space="preserve">Goswami, U. (2019) </w:t>
      </w:r>
      <w:r w:rsidRPr="00354208">
        <w:rPr>
          <w:rFonts w:ascii="Arial" w:eastAsia="Times New Roman" w:hAnsi="Arial" w:cs="Arial"/>
          <w:i/>
          <w:iCs/>
          <w:kern w:val="0"/>
          <w:sz w:val="22"/>
          <w:szCs w:val="22"/>
          <w:lang w:eastAsia="en-GB"/>
          <w14:ligatures w14:val="none"/>
        </w:rPr>
        <w:t>Cognitive Development and Learning: A Practical Guide</w:t>
      </w:r>
      <w:r w:rsidRPr="00354208">
        <w:rPr>
          <w:rFonts w:ascii="Arial" w:eastAsia="Times New Roman" w:hAnsi="Arial" w:cs="Arial"/>
          <w:kern w:val="0"/>
          <w:sz w:val="22"/>
          <w:szCs w:val="22"/>
          <w:lang w:eastAsia="en-GB"/>
          <w14:ligatures w14:val="none"/>
        </w:rPr>
        <w:t>. London: Routledge.</w:t>
      </w:r>
    </w:p>
    <w:p w14:paraId="38F3FB98" w14:textId="77777777" w:rsidR="00687F82" w:rsidRPr="00354208" w:rsidRDefault="00687F82" w:rsidP="00EE705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54208">
        <w:rPr>
          <w:rFonts w:ascii="Arial" w:eastAsia="Times New Roman" w:hAnsi="Arial" w:cs="Arial"/>
          <w:kern w:val="0"/>
          <w:sz w:val="22"/>
          <w:szCs w:val="22"/>
          <w:lang w:eastAsia="en-GB"/>
          <w14:ligatures w14:val="none"/>
        </w:rPr>
        <w:t>Kagawa</w:t>
      </w:r>
      <w:r w:rsidRPr="00EE7050">
        <w:rPr>
          <w:rFonts w:ascii="Arial" w:eastAsia="Times New Roman" w:hAnsi="Arial" w:cs="Arial"/>
          <w:kern w:val="0"/>
          <w:sz w:val="22"/>
          <w:szCs w:val="22"/>
          <w:lang w:eastAsia="en-GB"/>
          <w14:ligatures w14:val="none"/>
        </w:rPr>
        <w:t xml:space="preserve"> </w:t>
      </w:r>
      <w:r w:rsidRPr="00354208">
        <w:rPr>
          <w:rFonts w:ascii="Arial" w:eastAsia="Times New Roman" w:hAnsi="Arial" w:cs="Arial"/>
          <w:kern w:val="0"/>
          <w:sz w:val="22"/>
          <w:szCs w:val="22"/>
          <w:lang w:eastAsia="en-GB"/>
          <w14:ligatures w14:val="none"/>
        </w:rPr>
        <w:t>Singer, M. and Blackhall, L.J. (2001) ‘Negotiating cross</w:t>
      </w:r>
      <w:r w:rsidRPr="00354208">
        <w:rPr>
          <w:rFonts w:ascii="Arial" w:eastAsia="Times New Roman" w:hAnsi="Arial" w:cs="Arial"/>
          <w:kern w:val="0"/>
          <w:sz w:val="22"/>
          <w:szCs w:val="22"/>
          <w:lang w:eastAsia="en-GB"/>
          <w14:ligatures w14:val="none"/>
        </w:rPr>
        <w:noBreakHyphen/>
        <w:t xml:space="preserve">cultural issues at the end of life: “You got to go where he lives”’, </w:t>
      </w:r>
      <w:r w:rsidRPr="00354208">
        <w:rPr>
          <w:rFonts w:ascii="Arial" w:eastAsia="Times New Roman" w:hAnsi="Arial" w:cs="Arial"/>
          <w:i/>
          <w:iCs/>
          <w:kern w:val="0"/>
          <w:sz w:val="22"/>
          <w:szCs w:val="22"/>
          <w:lang w:eastAsia="en-GB"/>
          <w14:ligatures w14:val="none"/>
        </w:rPr>
        <w:t>JAMA</w:t>
      </w:r>
      <w:r w:rsidRPr="00354208">
        <w:rPr>
          <w:rFonts w:ascii="Arial" w:eastAsia="Times New Roman" w:hAnsi="Arial" w:cs="Arial"/>
          <w:kern w:val="0"/>
          <w:sz w:val="22"/>
          <w:szCs w:val="22"/>
          <w:lang w:eastAsia="en-GB"/>
          <w14:ligatures w14:val="none"/>
        </w:rPr>
        <w:t>, 286(23), pp. 2993–3001.</w:t>
      </w:r>
    </w:p>
    <w:p w14:paraId="0307DAED" w14:textId="77777777" w:rsidR="00687F82" w:rsidRPr="00354208" w:rsidRDefault="00687F82" w:rsidP="00EE705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54208">
        <w:rPr>
          <w:rFonts w:ascii="Arial" w:eastAsia="Times New Roman" w:hAnsi="Arial" w:cs="Arial"/>
          <w:kern w:val="0"/>
          <w:sz w:val="22"/>
          <w:szCs w:val="22"/>
          <w:lang w:eastAsia="en-GB"/>
          <w14:ligatures w14:val="none"/>
        </w:rPr>
        <w:t xml:space="preserve">Kitwood, T. (1997) </w:t>
      </w:r>
      <w:r w:rsidRPr="00354208">
        <w:rPr>
          <w:rFonts w:ascii="Arial" w:eastAsia="Times New Roman" w:hAnsi="Arial" w:cs="Arial"/>
          <w:i/>
          <w:iCs/>
          <w:kern w:val="0"/>
          <w:sz w:val="22"/>
          <w:szCs w:val="22"/>
          <w:lang w:eastAsia="en-GB"/>
          <w14:ligatures w14:val="none"/>
        </w:rPr>
        <w:t>Dementia Reconsidered: The Person Comes First</w:t>
      </w:r>
      <w:r w:rsidRPr="00354208">
        <w:rPr>
          <w:rFonts w:ascii="Arial" w:eastAsia="Times New Roman" w:hAnsi="Arial" w:cs="Arial"/>
          <w:kern w:val="0"/>
          <w:sz w:val="22"/>
          <w:szCs w:val="22"/>
          <w:lang w:eastAsia="en-GB"/>
          <w14:ligatures w14:val="none"/>
        </w:rPr>
        <w:t>. Buckingham: Open University Press.</w:t>
      </w:r>
    </w:p>
    <w:p w14:paraId="5F666E5E" w14:textId="77777777" w:rsidR="00687F82" w:rsidRPr="00354208" w:rsidRDefault="00687F82" w:rsidP="00EE705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54208">
        <w:rPr>
          <w:rFonts w:ascii="Arial" w:eastAsia="Times New Roman" w:hAnsi="Arial" w:cs="Arial"/>
          <w:kern w:val="0"/>
          <w:sz w:val="22"/>
          <w:szCs w:val="22"/>
          <w:lang w:eastAsia="en-GB"/>
          <w14:ligatures w14:val="none"/>
        </w:rPr>
        <w:t xml:space="preserve">Knight, B.G. and McCallum, J. (1998) ‘Psychotherapy with older adults from diverse cultures’, </w:t>
      </w:r>
      <w:r w:rsidRPr="00354208">
        <w:rPr>
          <w:rFonts w:ascii="Arial" w:eastAsia="Times New Roman" w:hAnsi="Arial" w:cs="Arial"/>
          <w:i/>
          <w:iCs/>
          <w:kern w:val="0"/>
          <w:sz w:val="22"/>
          <w:szCs w:val="22"/>
          <w:lang w:eastAsia="en-GB"/>
          <w14:ligatures w14:val="none"/>
        </w:rPr>
        <w:t>Journal of Clinical Geropsychology</w:t>
      </w:r>
      <w:r w:rsidRPr="00EE7050">
        <w:rPr>
          <w:rFonts w:ascii="Arial" w:eastAsia="Times New Roman" w:hAnsi="Arial" w:cs="Arial"/>
          <w:kern w:val="0"/>
          <w:sz w:val="22"/>
          <w:szCs w:val="22"/>
          <w:lang w:eastAsia="en-GB"/>
          <w14:ligatures w14:val="none"/>
        </w:rPr>
        <w:t>,</w:t>
      </w:r>
      <w:r w:rsidRPr="00354208">
        <w:rPr>
          <w:rFonts w:ascii="Arial" w:eastAsia="Times New Roman" w:hAnsi="Arial" w:cs="Arial"/>
          <w:kern w:val="0"/>
          <w:sz w:val="22"/>
          <w:szCs w:val="22"/>
          <w:lang w:eastAsia="en-GB"/>
          <w14:ligatures w14:val="none"/>
        </w:rPr>
        <w:t xml:space="preserve"> 4(2), pp. 91–116.</w:t>
      </w:r>
    </w:p>
    <w:p w14:paraId="77A4F5CC" w14:textId="77777777" w:rsidR="00687F82" w:rsidRPr="00354208" w:rsidRDefault="00687F82" w:rsidP="00EE705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54208">
        <w:rPr>
          <w:rFonts w:ascii="Arial" w:eastAsia="Times New Roman" w:hAnsi="Arial" w:cs="Arial"/>
          <w:kern w:val="0"/>
          <w:sz w:val="22"/>
          <w:szCs w:val="22"/>
          <w:lang w:eastAsia="en-GB"/>
          <w14:ligatures w14:val="none"/>
        </w:rPr>
        <w:t>McKeown, J., Clarke, A., Ingleton, C., Ryan, T. and Repper, J. (2010) ‘The use of life story work with people with dementia to enhance person</w:t>
      </w:r>
      <w:r w:rsidRPr="00354208">
        <w:rPr>
          <w:rFonts w:ascii="Arial" w:eastAsia="Times New Roman" w:hAnsi="Arial" w:cs="Arial"/>
          <w:kern w:val="0"/>
          <w:sz w:val="22"/>
          <w:szCs w:val="22"/>
          <w:lang w:eastAsia="en-GB"/>
          <w14:ligatures w14:val="none"/>
        </w:rPr>
        <w:noBreakHyphen/>
        <w:t xml:space="preserve">centred care’, </w:t>
      </w:r>
      <w:r w:rsidRPr="00354208">
        <w:rPr>
          <w:rFonts w:ascii="Arial" w:eastAsia="Times New Roman" w:hAnsi="Arial" w:cs="Arial"/>
          <w:i/>
          <w:iCs/>
          <w:kern w:val="0"/>
          <w:sz w:val="22"/>
          <w:szCs w:val="22"/>
          <w:lang w:eastAsia="en-GB"/>
          <w14:ligatures w14:val="none"/>
        </w:rPr>
        <w:t>International Journal of Older People Nursing</w:t>
      </w:r>
      <w:r w:rsidRPr="00354208">
        <w:rPr>
          <w:rFonts w:ascii="Arial" w:eastAsia="Times New Roman" w:hAnsi="Arial" w:cs="Arial"/>
          <w:kern w:val="0"/>
          <w:sz w:val="22"/>
          <w:szCs w:val="22"/>
          <w:lang w:eastAsia="en-GB"/>
          <w14:ligatures w14:val="none"/>
        </w:rPr>
        <w:t>, 5(2), pp. 148–158.</w:t>
      </w:r>
    </w:p>
    <w:p w14:paraId="0E76884D" w14:textId="77777777" w:rsidR="00687F82" w:rsidRPr="00BF299E" w:rsidRDefault="00687F82" w:rsidP="00F128BB">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Ozsungur, F.</w:t>
      </w:r>
      <w:r>
        <w:rPr>
          <w:rFonts w:ascii="Arial" w:eastAsia="Times New Roman" w:hAnsi="Arial" w:cs="Arial"/>
          <w:kern w:val="0"/>
          <w:sz w:val="22"/>
          <w:szCs w:val="22"/>
          <w:lang w:eastAsia="en-GB"/>
          <w14:ligatures w14:val="none"/>
        </w:rPr>
        <w:t xml:space="preserve"> (</w:t>
      </w:r>
      <w:r w:rsidRPr="00BF299E">
        <w:rPr>
          <w:rFonts w:ascii="Arial" w:eastAsia="Times New Roman" w:hAnsi="Arial" w:cs="Arial"/>
          <w:kern w:val="0"/>
          <w:sz w:val="22"/>
          <w:szCs w:val="22"/>
          <w:lang w:eastAsia="en-GB"/>
          <w14:ligatures w14:val="none"/>
        </w:rPr>
        <w:t>2020</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Successful aging management in social work. OPUS International</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sidRPr="000E4868">
        <w:rPr>
          <w:rFonts w:ascii="Arial" w:eastAsia="Times New Roman" w:hAnsi="Arial" w:cs="Arial"/>
          <w:i/>
          <w:iCs/>
          <w:kern w:val="0"/>
          <w:sz w:val="22"/>
          <w:szCs w:val="22"/>
          <w:lang w:eastAsia="en-GB"/>
          <w14:ligatures w14:val="none"/>
        </w:rPr>
        <w:t>Journal of Society Researches</w:t>
      </w:r>
      <w:r w:rsidRPr="00BF299E">
        <w:rPr>
          <w:rFonts w:ascii="Arial" w:eastAsia="Times New Roman" w:hAnsi="Arial" w:cs="Arial"/>
          <w:kern w:val="0"/>
          <w:sz w:val="22"/>
          <w:szCs w:val="22"/>
          <w:lang w:eastAsia="en-GB"/>
          <w14:ligatures w14:val="none"/>
        </w:rPr>
        <w:t>, 15(1), pp.5277-5307.</w:t>
      </w:r>
    </w:p>
    <w:p w14:paraId="7457A8BE" w14:textId="77777777" w:rsidR="00687F82" w:rsidRPr="00354208" w:rsidRDefault="00687F82" w:rsidP="00EE705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54208">
        <w:rPr>
          <w:rFonts w:ascii="Arial" w:eastAsia="Times New Roman" w:hAnsi="Arial" w:cs="Arial"/>
          <w:kern w:val="0"/>
          <w:sz w:val="22"/>
          <w:szCs w:val="22"/>
          <w:lang w:eastAsia="en-GB"/>
          <w14:ligatures w14:val="none"/>
        </w:rPr>
        <w:t xml:space="preserve">We Are Undefeatable (n.d.) </w:t>
      </w:r>
      <w:r w:rsidRPr="00354208">
        <w:rPr>
          <w:rFonts w:ascii="Arial" w:eastAsia="Times New Roman" w:hAnsi="Arial" w:cs="Arial"/>
          <w:i/>
          <w:iCs/>
          <w:kern w:val="0"/>
          <w:sz w:val="22"/>
          <w:szCs w:val="22"/>
          <w:lang w:eastAsia="en-GB"/>
          <w14:ligatures w14:val="none"/>
        </w:rPr>
        <w:t>Activity inspiration for people with long</w:t>
      </w:r>
      <w:r w:rsidRPr="00354208">
        <w:rPr>
          <w:rFonts w:ascii="Arial" w:eastAsia="Times New Roman" w:hAnsi="Arial" w:cs="Arial"/>
          <w:i/>
          <w:iCs/>
          <w:kern w:val="0"/>
          <w:sz w:val="22"/>
          <w:szCs w:val="22"/>
          <w:lang w:eastAsia="en-GB"/>
          <w14:ligatures w14:val="none"/>
        </w:rPr>
        <w:noBreakHyphen/>
        <w:t>term conditions</w:t>
      </w:r>
      <w:r w:rsidRPr="00354208">
        <w:rPr>
          <w:rFonts w:ascii="Arial" w:eastAsia="Times New Roman" w:hAnsi="Arial" w:cs="Arial"/>
          <w:kern w:val="0"/>
          <w:sz w:val="22"/>
          <w:szCs w:val="22"/>
          <w:lang w:eastAsia="en-GB"/>
          <w14:ligatures w14:val="none"/>
        </w:rPr>
        <w:t xml:space="preserve">. Available at: https://weareundefeatable.co.uk </w:t>
      </w:r>
      <w:hyperlink r:id="rId13" w:history="1">
        <w:r w:rsidRPr="00354208">
          <w:rPr>
            <w:rFonts w:ascii="Arial" w:eastAsia="Times New Roman" w:hAnsi="Arial" w:cs="Arial"/>
            <w:color w:val="0000FF"/>
            <w:kern w:val="0"/>
            <w:sz w:val="22"/>
            <w:szCs w:val="22"/>
            <w:u w:val="single"/>
            <w:lang w:eastAsia="en-GB"/>
            <w14:ligatures w14:val="none"/>
          </w:rPr>
          <w:t>(weareundefeatable.co.uk in Bing)</w:t>
        </w:r>
      </w:hyperlink>
      <w:r w:rsidRPr="00354208">
        <w:rPr>
          <w:rFonts w:ascii="Arial" w:eastAsia="Times New Roman" w:hAnsi="Arial" w:cs="Arial"/>
          <w:kern w:val="0"/>
          <w:sz w:val="22"/>
          <w:szCs w:val="22"/>
          <w:lang w:eastAsia="en-GB"/>
          <w14:ligatures w14:val="none"/>
        </w:rPr>
        <w:t xml:space="preserve"> (Accessed:</w:t>
      </w:r>
      <w:r>
        <w:rPr>
          <w:rFonts w:ascii="Arial" w:eastAsia="Times New Roman" w:hAnsi="Arial" w:cs="Arial"/>
          <w:kern w:val="0"/>
          <w:sz w:val="22"/>
          <w:szCs w:val="22"/>
          <w:lang w:eastAsia="en-GB"/>
          <w14:ligatures w14:val="none"/>
        </w:rPr>
        <w:t xml:space="preserve"> 05 March 2026</w:t>
      </w:r>
      <w:r w:rsidRPr="00354208">
        <w:rPr>
          <w:rFonts w:ascii="Arial" w:eastAsia="Times New Roman" w:hAnsi="Arial" w:cs="Arial"/>
          <w:kern w:val="0"/>
          <w:sz w:val="22"/>
          <w:szCs w:val="22"/>
          <w:lang w:eastAsia="en-GB"/>
          <w14:ligatures w14:val="none"/>
        </w:rPr>
        <w:t>).</w:t>
      </w:r>
    </w:p>
    <w:p w14:paraId="61F178C2" w14:textId="77777777" w:rsidR="00687F82" w:rsidRPr="00BF299E" w:rsidRDefault="00687F82" w:rsidP="00F128BB">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t>Woodward, J.</w:t>
      </w:r>
      <w:r>
        <w:rPr>
          <w:rFonts w:ascii="Arial" w:eastAsia="Times New Roman" w:hAnsi="Arial" w:cs="Arial"/>
          <w:kern w:val="0"/>
          <w:sz w:val="22"/>
          <w:szCs w:val="22"/>
          <w:lang w:eastAsia="en-GB"/>
          <w14:ligatures w14:val="none"/>
        </w:rPr>
        <w:t xml:space="preserve"> (</w:t>
      </w:r>
      <w:r w:rsidRPr="00BF299E">
        <w:rPr>
          <w:rFonts w:ascii="Arial" w:eastAsia="Times New Roman" w:hAnsi="Arial" w:cs="Arial"/>
          <w:kern w:val="0"/>
          <w:sz w:val="22"/>
          <w:szCs w:val="22"/>
          <w:lang w:eastAsia="en-GB"/>
          <w14:ligatures w14:val="none"/>
        </w:rPr>
        <w:t>2018</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Attachment theory and ageing</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i</w:t>
      </w:r>
      <w:r w:rsidRPr="00BF299E">
        <w:rPr>
          <w:rFonts w:ascii="Arial" w:eastAsia="Times New Roman" w:hAnsi="Arial" w:cs="Arial"/>
          <w:kern w:val="0"/>
          <w:sz w:val="22"/>
          <w:szCs w:val="22"/>
          <w:lang w:eastAsia="en-GB"/>
          <w14:ligatures w14:val="none"/>
        </w:rPr>
        <w:t xml:space="preserve">n </w:t>
      </w:r>
      <w:r w:rsidRPr="00CB1BB1">
        <w:rPr>
          <w:rFonts w:ascii="Arial" w:eastAsia="Times New Roman" w:hAnsi="Arial" w:cs="Arial"/>
          <w:i/>
          <w:iCs/>
          <w:kern w:val="0"/>
          <w:sz w:val="22"/>
          <w:szCs w:val="22"/>
          <w:lang w:eastAsia="en-GB"/>
          <w14:ligatures w14:val="none"/>
        </w:rPr>
        <w:t>Attachment and Human Survival</w:t>
      </w:r>
      <w:r w:rsidRPr="00BF299E">
        <w:rPr>
          <w:rFonts w:ascii="Arial" w:eastAsia="Times New Roman" w:hAnsi="Arial" w:cs="Arial"/>
          <w:kern w:val="0"/>
          <w:sz w:val="22"/>
          <w:szCs w:val="22"/>
          <w:lang w:eastAsia="en-GB"/>
          <w14:ligatures w14:val="none"/>
        </w:rPr>
        <w:t xml:space="preserve"> (pp. 53-70). Routledge.</w:t>
      </w:r>
    </w:p>
    <w:p w14:paraId="07B28E82" w14:textId="77777777" w:rsidR="00687F82" w:rsidRPr="00BF299E" w:rsidRDefault="00687F82" w:rsidP="00F128BB">
      <w:pPr>
        <w:spacing w:after="0" w:line="360" w:lineRule="auto"/>
        <w:rPr>
          <w:rFonts w:ascii="Arial" w:eastAsia="Times New Roman" w:hAnsi="Arial" w:cs="Arial"/>
          <w:kern w:val="0"/>
          <w:sz w:val="22"/>
          <w:szCs w:val="22"/>
          <w:lang w:eastAsia="en-GB"/>
          <w14:ligatures w14:val="none"/>
        </w:rPr>
      </w:pPr>
      <w:r w:rsidRPr="00BF299E">
        <w:rPr>
          <w:rFonts w:ascii="Arial" w:eastAsia="Times New Roman" w:hAnsi="Arial" w:cs="Arial"/>
          <w:kern w:val="0"/>
          <w:sz w:val="22"/>
          <w:szCs w:val="22"/>
          <w:lang w:eastAsia="en-GB"/>
          <w14:ligatures w14:val="none"/>
        </w:rPr>
        <w:lastRenderedPageBreak/>
        <w:t xml:space="preserve">Yuan, R., Luo, C., Liu, Q., Li, X. and He, Y. </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2025</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Exploring the needs of older adults for social assistive robots: A qualitative analysis based on Maslow's hierarchy of needs</w:t>
      </w:r>
      <w:r>
        <w:rPr>
          <w:rFonts w:ascii="Arial" w:eastAsia="Times New Roman" w:hAnsi="Arial" w:cs="Arial"/>
          <w:kern w:val="0"/>
          <w:sz w:val="22"/>
          <w:szCs w:val="22"/>
          <w:lang w:eastAsia="en-GB"/>
          <w14:ligatures w14:val="none"/>
        </w:rPr>
        <w:t>’,</w:t>
      </w:r>
      <w:r w:rsidRPr="00BF299E">
        <w:rPr>
          <w:rFonts w:ascii="Arial" w:eastAsia="Times New Roman" w:hAnsi="Arial" w:cs="Arial"/>
          <w:kern w:val="0"/>
          <w:sz w:val="22"/>
          <w:szCs w:val="22"/>
          <w:lang w:eastAsia="en-GB"/>
          <w14:ligatures w14:val="none"/>
        </w:rPr>
        <w:t> </w:t>
      </w:r>
      <w:r w:rsidRPr="00BF299E">
        <w:rPr>
          <w:rFonts w:ascii="Arial" w:eastAsia="Times New Roman" w:hAnsi="Arial" w:cs="Arial"/>
          <w:i/>
          <w:iCs/>
          <w:kern w:val="0"/>
          <w:sz w:val="22"/>
          <w:szCs w:val="22"/>
          <w:lang w:eastAsia="en-GB"/>
          <w14:ligatures w14:val="none"/>
        </w:rPr>
        <w:t>Geriatric Nursing</w:t>
      </w:r>
      <w:r w:rsidRPr="00BF299E">
        <w:rPr>
          <w:rFonts w:ascii="Arial" w:eastAsia="Times New Roman" w:hAnsi="Arial" w:cs="Arial"/>
          <w:kern w:val="0"/>
          <w:sz w:val="22"/>
          <w:szCs w:val="22"/>
          <w:lang w:eastAsia="en-GB"/>
          <w14:ligatures w14:val="none"/>
        </w:rPr>
        <w:t>, </w:t>
      </w:r>
      <w:r w:rsidRPr="00BF299E">
        <w:rPr>
          <w:rFonts w:ascii="Arial" w:eastAsia="Times New Roman" w:hAnsi="Arial" w:cs="Arial"/>
          <w:i/>
          <w:iCs/>
          <w:kern w:val="0"/>
          <w:sz w:val="22"/>
          <w:szCs w:val="22"/>
          <w:lang w:eastAsia="en-GB"/>
          <w14:ligatures w14:val="none"/>
        </w:rPr>
        <w:t>66</w:t>
      </w:r>
      <w:r w:rsidRPr="00BF299E">
        <w:rPr>
          <w:rFonts w:ascii="Arial" w:eastAsia="Times New Roman" w:hAnsi="Arial" w:cs="Arial"/>
          <w:kern w:val="0"/>
          <w:sz w:val="22"/>
          <w:szCs w:val="22"/>
          <w:lang w:eastAsia="en-GB"/>
          <w14:ligatures w14:val="none"/>
        </w:rPr>
        <w:t>, p.103616.</w:t>
      </w:r>
    </w:p>
    <w:p w14:paraId="64A25631" w14:textId="77777777" w:rsidR="00FF5A65" w:rsidRPr="00EE7050" w:rsidRDefault="00FF5A65" w:rsidP="00EE7050">
      <w:pPr>
        <w:pStyle w:val="NoSpacing"/>
        <w:spacing w:line="360" w:lineRule="auto"/>
        <w:jc w:val="both"/>
        <w:rPr>
          <w:rFonts w:ascii="Arial" w:hAnsi="Arial" w:cs="Arial"/>
          <w:sz w:val="22"/>
          <w:szCs w:val="22"/>
        </w:rPr>
      </w:pPr>
    </w:p>
    <w:sectPr w:rsidR="00FF5A65" w:rsidRPr="00EE7050" w:rsidSect="00686159">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990957" w14:textId="77777777" w:rsidR="00C37F78" w:rsidRDefault="00C37F78" w:rsidP="0096676C">
      <w:pPr>
        <w:spacing w:after="0" w:line="240" w:lineRule="auto"/>
      </w:pPr>
      <w:r>
        <w:separator/>
      </w:r>
    </w:p>
  </w:endnote>
  <w:endnote w:type="continuationSeparator" w:id="0">
    <w:p w14:paraId="592512B9" w14:textId="77777777" w:rsidR="00C37F78" w:rsidRDefault="00C37F78" w:rsidP="00966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C7BDB" w14:textId="77777777" w:rsidR="00C37F78" w:rsidRDefault="00C37F78" w:rsidP="0096676C">
      <w:pPr>
        <w:spacing w:after="0" w:line="240" w:lineRule="auto"/>
      </w:pPr>
      <w:r>
        <w:separator/>
      </w:r>
    </w:p>
  </w:footnote>
  <w:footnote w:type="continuationSeparator" w:id="0">
    <w:p w14:paraId="08972E49" w14:textId="77777777" w:rsidR="00C37F78" w:rsidRDefault="00C37F78" w:rsidP="009667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8809115"/>
      <w:docPartObj>
        <w:docPartGallery w:val="Page Numbers (Top of Page)"/>
        <w:docPartUnique/>
      </w:docPartObj>
    </w:sdtPr>
    <w:sdtEndPr>
      <w:rPr>
        <w:noProof/>
      </w:rPr>
    </w:sdtEndPr>
    <w:sdtContent>
      <w:p w14:paraId="78A660E5" w14:textId="0C14BBB3" w:rsidR="00C74795" w:rsidRDefault="00C7479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69E2EAD" w14:textId="77777777" w:rsidR="0096676C" w:rsidRDefault="009667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F7353"/>
    <w:multiLevelType w:val="multilevel"/>
    <w:tmpl w:val="35D80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F1C5A"/>
    <w:multiLevelType w:val="multilevel"/>
    <w:tmpl w:val="A0B6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A55A4B"/>
    <w:multiLevelType w:val="multilevel"/>
    <w:tmpl w:val="73B8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C32618"/>
    <w:multiLevelType w:val="multilevel"/>
    <w:tmpl w:val="21D66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B709D7"/>
    <w:multiLevelType w:val="multilevel"/>
    <w:tmpl w:val="3C248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C2495B"/>
    <w:multiLevelType w:val="multilevel"/>
    <w:tmpl w:val="C568C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916890">
    <w:abstractNumId w:val="2"/>
  </w:num>
  <w:num w:numId="2" w16cid:durableId="344015259">
    <w:abstractNumId w:val="1"/>
  </w:num>
  <w:num w:numId="3" w16cid:durableId="284697568">
    <w:abstractNumId w:val="5"/>
  </w:num>
  <w:num w:numId="4" w16cid:durableId="570847822">
    <w:abstractNumId w:val="3"/>
  </w:num>
  <w:num w:numId="5" w16cid:durableId="1035807986">
    <w:abstractNumId w:val="4"/>
  </w:num>
  <w:num w:numId="6" w16cid:durableId="288971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643"/>
    <w:rsid w:val="00001045"/>
    <w:rsid w:val="00007D4E"/>
    <w:rsid w:val="00032C0E"/>
    <w:rsid w:val="00035CB3"/>
    <w:rsid w:val="00043621"/>
    <w:rsid w:val="000442F6"/>
    <w:rsid w:val="00046E58"/>
    <w:rsid w:val="00053E0F"/>
    <w:rsid w:val="00064B6A"/>
    <w:rsid w:val="00067E51"/>
    <w:rsid w:val="00071577"/>
    <w:rsid w:val="00075E31"/>
    <w:rsid w:val="00081195"/>
    <w:rsid w:val="000830CA"/>
    <w:rsid w:val="00084A81"/>
    <w:rsid w:val="0009168A"/>
    <w:rsid w:val="000A0CD2"/>
    <w:rsid w:val="000B40AB"/>
    <w:rsid w:val="000C0C82"/>
    <w:rsid w:val="000D3531"/>
    <w:rsid w:val="000D4179"/>
    <w:rsid w:val="000E2AB9"/>
    <w:rsid w:val="000E34AE"/>
    <w:rsid w:val="000E4868"/>
    <w:rsid w:val="000E7413"/>
    <w:rsid w:val="000F3FBE"/>
    <w:rsid w:val="00103360"/>
    <w:rsid w:val="00115F1A"/>
    <w:rsid w:val="001202E7"/>
    <w:rsid w:val="001235F9"/>
    <w:rsid w:val="00123A02"/>
    <w:rsid w:val="001371BA"/>
    <w:rsid w:val="0014286B"/>
    <w:rsid w:val="0014318D"/>
    <w:rsid w:val="00151BFA"/>
    <w:rsid w:val="00154EAA"/>
    <w:rsid w:val="001602E2"/>
    <w:rsid w:val="0017027A"/>
    <w:rsid w:val="00176FAA"/>
    <w:rsid w:val="00177CCB"/>
    <w:rsid w:val="001809FD"/>
    <w:rsid w:val="00190596"/>
    <w:rsid w:val="001920C6"/>
    <w:rsid w:val="00195968"/>
    <w:rsid w:val="001A2DA4"/>
    <w:rsid w:val="001A4810"/>
    <w:rsid w:val="001B0009"/>
    <w:rsid w:val="001B1EAD"/>
    <w:rsid w:val="001B7ED5"/>
    <w:rsid w:val="001C1193"/>
    <w:rsid w:val="001C7B13"/>
    <w:rsid w:val="001D6043"/>
    <w:rsid w:val="001D7D12"/>
    <w:rsid w:val="001E524A"/>
    <w:rsid w:val="001F3FB6"/>
    <w:rsid w:val="002312F9"/>
    <w:rsid w:val="00232B5B"/>
    <w:rsid w:val="002443A9"/>
    <w:rsid w:val="0024469A"/>
    <w:rsid w:val="002565B2"/>
    <w:rsid w:val="00257BBF"/>
    <w:rsid w:val="0026091D"/>
    <w:rsid w:val="002748CF"/>
    <w:rsid w:val="00284992"/>
    <w:rsid w:val="00294EAA"/>
    <w:rsid w:val="0029679A"/>
    <w:rsid w:val="002A30DE"/>
    <w:rsid w:val="002A53B9"/>
    <w:rsid w:val="002C1141"/>
    <w:rsid w:val="002C4762"/>
    <w:rsid w:val="002C4F85"/>
    <w:rsid w:val="002C570F"/>
    <w:rsid w:val="002D3349"/>
    <w:rsid w:val="002D3AE5"/>
    <w:rsid w:val="002D3B1E"/>
    <w:rsid w:val="002F3469"/>
    <w:rsid w:val="002F49BB"/>
    <w:rsid w:val="00307022"/>
    <w:rsid w:val="003141D3"/>
    <w:rsid w:val="00323B0C"/>
    <w:rsid w:val="00326019"/>
    <w:rsid w:val="00332CB4"/>
    <w:rsid w:val="00336CC2"/>
    <w:rsid w:val="00342A23"/>
    <w:rsid w:val="00345884"/>
    <w:rsid w:val="00350B77"/>
    <w:rsid w:val="00354208"/>
    <w:rsid w:val="00356102"/>
    <w:rsid w:val="00357544"/>
    <w:rsid w:val="00376397"/>
    <w:rsid w:val="00380A67"/>
    <w:rsid w:val="00383A8F"/>
    <w:rsid w:val="003861D6"/>
    <w:rsid w:val="003913D3"/>
    <w:rsid w:val="0039386A"/>
    <w:rsid w:val="003944BB"/>
    <w:rsid w:val="003A53B4"/>
    <w:rsid w:val="003A66C3"/>
    <w:rsid w:val="003C08C7"/>
    <w:rsid w:val="003C20F6"/>
    <w:rsid w:val="003C6AD2"/>
    <w:rsid w:val="003D3B0B"/>
    <w:rsid w:val="003E6334"/>
    <w:rsid w:val="003F5A5B"/>
    <w:rsid w:val="0040272B"/>
    <w:rsid w:val="0040598B"/>
    <w:rsid w:val="00410F32"/>
    <w:rsid w:val="00422E40"/>
    <w:rsid w:val="00431197"/>
    <w:rsid w:val="00433892"/>
    <w:rsid w:val="00433C1E"/>
    <w:rsid w:val="0043447B"/>
    <w:rsid w:val="004400F0"/>
    <w:rsid w:val="00444806"/>
    <w:rsid w:val="00447DB4"/>
    <w:rsid w:val="00452522"/>
    <w:rsid w:val="004577F8"/>
    <w:rsid w:val="00460CF6"/>
    <w:rsid w:val="00462330"/>
    <w:rsid w:val="004625E0"/>
    <w:rsid w:val="004659AB"/>
    <w:rsid w:val="00467470"/>
    <w:rsid w:val="00470CEE"/>
    <w:rsid w:val="004752C9"/>
    <w:rsid w:val="00492D74"/>
    <w:rsid w:val="004A000B"/>
    <w:rsid w:val="004C2CC1"/>
    <w:rsid w:val="004C2DFB"/>
    <w:rsid w:val="004D1AAA"/>
    <w:rsid w:val="004E1255"/>
    <w:rsid w:val="004F1F0B"/>
    <w:rsid w:val="004F37C8"/>
    <w:rsid w:val="004F7E5B"/>
    <w:rsid w:val="005032B5"/>
    <w:rsid w:val="00504455"/>
    <w:rsid w:val="00506C64"/>
    <w:rsid w:val="005122E7"/>
    <w:rsid w:val="00512B02"/>
    <w:rsid w:val="0051769F"/>
    <w:rsid w:val="005204E0"/>
    <w:rsid w:val="00520860"/>
    <w:rsid w:val="00522A9E"/>
    <w:rsid w:val="00523090"/>
    <w:rsid w:val="00523594"/>
    <w:rsid w:val="00523693"/>
    <w:rsid w:val="00544ADB"/>
    <w:rsid w:val="00545F99"/>
    <w:rsid w:val="005500CA"/>
    <w:rsid w:val="00555739"/>
    <w:rsid w:val="00562ACA"/>
    <w:rsid w:val="00562F8D"/>
    <w:rsid w:val="00563B21"/>
    <w:rsid w:val="0056486F"/>
    <w:rsid w:val="0057056D"/>
    <w:rsid w:val="00572189"/>
    <w:rsid w:val="00591DA2"/>
    <w:rsid w:val="00595014"/>
    <w:rsid w:val="0059524F"/>
    <w:rsid w:val="005956BB"/>
    <w:rsid w:val="005C0986"/>
    <w:rsid w:val="005C20BD"/>
    <w:rsid w:val="005C435C"/>
    <w:rsid w:val="005C47ED"/>
    <w:rsid w:val="005D13D3"/>
    <w:rsid w:val="005D566C"/>
    <w:rsid w:val="005E47C4"/>
    <w:rsid w:val="005F09C7"/>
    <w:rsid w:val="005F14E1"/>
    <w:rsid w:val="005F32BB"/>
    <w:rsid w:val="005F411C"/>
    <w:rsid w:val="00600475"/>
    <w:rsid w:val="00602637"/>
    <w:rsid w:val="006029ED"/>
    <w:rsid w:val="00602C53"/>
    <w:rsid w:val="0061274F"/>
    <w:rsid w:val="00614DE7"/>
    <w:rsid w:val="00614E4C"/>
    <w:rsid w:val="006249D7"/>
    <w:rsid w:val="00637FE7"/>
    <w:rsid w:val="00643186"/>
    <w:rsid w:val="00646F1F"/>
    <w:rsid w:val="0066072D"/>
    <w:rsid w:val="006632D5"/>
    <w:rsid w:val="0068063D"/>
    <w:rsid w:val="00686159"/>
    <w:rsid w:val="00687F82"/>
    <w:rsid w:val="00690D4A"/>
    <w:rsid w:val="006B0D6D"/>
    <w:rsid w:val="006B2633"/>
    <w:rsid w:val="006C127A"/>
    <w:rsid w:val="006C6CEB"/>
    <w:rsid w:val="006D3CC4"/>
    <w:rsid w:val="006D47B8"/>
    <w:rsid w:val="006D4871"/>
    <w:rsid w:val="006E7178"/>
    <w:rsid w:val="006E7DD5"/>
    <w:rsid w:val="0070037F"/>
    <w:rsid w:val="00713218"/>
    <w:rsid w:val="0071697F"/>
    <w:rsid w:val="00717E41"/>
    <w:rsid w:val="00722125"/>
    <w:rsid w:val="007252D8"/>
    <w:rsid w:val="007314D8"/>
    <w:rsid w:val="00737D9D"/>
    <w:rsid w:val="007544E6"/>
    <w:rsid w:val="007546EF"/>
    <w:rsid w:val="00772EE0"/>
    <w:rsid w:val="00777C5E"/>
    <w:rsid w:val="0079631C"/>
    <w:rsid w:val="007A1B36"/>
    <w:rsid w:val="007A5A3F"/>
    <w:rsid w:val="007C31FD"/>
    <w:rsid w:val="007C77B9"/>
    <w:rsid w:val="007C7B52"/>
    <w:rsid w:val="007D1AD0"/>
    <w:rsid w:val="007D39FC"/>
    <w:rsid w:val="007E1F59"/>
    <w:rsid w:val="007E6E0F"/>
    <w:rsid w:val="007F1039"/>
    <w:rsid w:val="007F3897"/>
    <w:rsid w:val="00816F4B"/>
    <w:rsid w:val="00822206"/>
    <w:rsid w:val="00825861"/>
    <w:rsid w:val="00846854"/>
    <w:rsid w:val="0086343C"/>
    <w:rsid w:val="00864B81"/>
    <w:rsid w:val="008670D8"/>
    <w:rsid w:val="008847A0"/>
    <w:rsid w:val="00892F70"/>
    <w:rsid w:val="008B06E3"/>
    <w:rsid w:val="008B176F"/>
    <w:rsid w:val="008C21B7"/>
    <w:rsid w:val="008C2EF4"/>
    <w:rsid w:val="008C7E77"/>
    <w:rsid w:val="008D0A7E"/>
    <w:rsid w:val="008F411D"/>
    <w:rsid w:val="008F63DA"/>
    <w:rsid w:val="008F7E08"/>
    <w:rsid w:val="00901B40"/>
    <w:rsid w:val="0090405E"/>
    <w:rsid w:val="00906C63"/>
    <w:rsid w:val="00912953"/>
    <w:rsid w:val="009153D6"/>
    <w:rsid w:val="009167FF"/>
    <w:rsid w:val="00921D60"/>
    <w:rsid w:val="00927E85"/>
    <w:rsid w:val="00940DD4"/>
    <w:rsid w:val="00942156"/>
    <w:rsid w:val="00950F3C"/>
    <w:rsid w:val="00960733"/>
    <w:rsid w:val="00962CB9"/>
    <w:rsid w:val="00963AE2"/>
    <w:rsid w:val="0096676C"/>
    <w:rsid w:val="00970BA1"/>
    <w:rsid w:val="00971F73"/>
    <w:rsid w:val="00982342"/>
    <w:rsid w:val="00985E1E"/>
    <w:rsid w:val="00992D62"/>
    <w:rsid w:val="00993977"/>
    <w:rsid w:val="009A214F"/>
    <w:rsid w:val="009E05A0"/>
    <w:rsid w:val="009F2961"/>
    <w:rsid w:val="009F3DEB"/>
    <w:rsid w:val="009F55E3"/>
    <w:rsid w:val="009F7B41"/>
    <w:rsid w:val="00A00BA3"/>
    <w:rsid w:val="00A11840"/>
    <w:rsid w:val="00A1317E"/>
    <w:rsid w:val="00A14AA6"/>
    <w:rsid w:val="00A172AD"/>
    <w:rsid w:val="00A323D1"/>
    <w:rsid w:val="00A36AD6"/>
    <w:rsid w:val="00A40070"/>
    <w:rsid w:val="00A62B2E"/>
    <w:rsid w:val="00A64AC3"/>
    <w:rsid w:val="00A7586C"/>
    <w:rsid w:val="00A866A2"/>
    <w:rsid w:val="00AA24F8"/>
    <w:rsid w:val="00AA379A"/>
    <w:rsid w:val="00AB68D9"/>
    <w:rsid w:val="00AC0750"/>
    <w:rsid w:val="00AC44ED"/>
    <w:rsid w:val="00AD683F"/>
    <w:rsid w:val="00AF06B8"/>
    <w:rsid w:val="00AF2F75"/>
    <w:rsid w:val="00B05088"/>
    <w:rsid w:val="00B272D7"/>
    <w:rsid w:val="00B27A18"/>
    <w:rsid w:val="00B414E0"/>
    <w:rsid w:val="00B44C83"/>
    <w:rsid w:val="00B61ABF"/>
    <w:rsid w:val="00B6345D"/>
    <w:rsid w:val="00B7452B"/>
    <w:rsid w:val="00BA1CF3"/>
    <w:rsid w:val="00BA26D4"/>
    <w:rsid w:val="00BB20F7"/>
    <w:rsid w:val="00BC7306"/>
    <w:rsid w:val="00BD0883"/>
    <w:rsid w:val="00BD1805"/>
    <w:rsid w:val="00BD63B9"/>
    <w:rsid w:val="00BF299E"/>
    <w:rsid w:val="00BF5021"/>
    <w:rsid w:val="00BF72A4"/>
    <w:rsid w:val="00C00B1D"/>
    <w:rsid w:val="00C12344"/>
    <w:rsid w:val="00C16351"/>
    <w:rsid w:val="00C2533B"/>
    <w:rsid w:val="00C308AE"/>
    <w:rsid w:val="00C36643"/>
    <w:rsid w:val="00C37F78"/>
    <w:rsid w:val="00C43493"/>
    <w:rsid w:val="00C457B6"/>
    <w:rsid w:val="00C46573"/>
    <w:rsid w:val="00C46A8F"/>
    <w:rsid w:val="00C50346"/>
    <w:rsid w:val="00C52E45"/>
    <w:rsid w:val="00C549C0"/>
    <w:rsid w:val="00C7320F"/>
    <w:rsid w:val="00C74795"/>
    <w:rsid w:val="00C96EAB"/>
    <w:rsid w:val="00CA1AA4"/>
    <w:rsid w:val="00CA5733"/>
    <w:rsid w:val="00CB1BB1"/>
    <w:rsid w:val="00CC07F9"/>
    <w:rsid w:val="00CC081A"/>
    <w:rsid w:val="00CC1761"/>
    <w:rsid w:val="00CF0BA1"/>
    <w:rsid w:val="00CF4103"/>
    <w:rsid w:val="00CF4117"/>
    <w:rsid w:val="00CF620F"/>
    <w:rsid w:val="00D07CCD"/>
    <w:rsid w:val="00D121A9"/>
    <w:rsid w:val="00D33C02"/>
    <w:rsid w:val="00D42E60"/>
    <w:rsid w:val="00D729E9"/>
    <w:rsid w:val="00D77597"/>
    <w:rsid w:val="00D80D00"/>
    <w:rsid w:val="00D85044"/>
    <w:rsid w:val="00D8785D"/>
    <w:rsid w:val="00DA031E"/>
    <w:rsid w:val="00DA3B90"/>
    <w:rsid w:val="00DA7FFB"/>
    <w:rsid w:val="00DF2553"/>
    <w:rsid w:val="00DF71A5"/>
    <w:rsid w:val="00DF7CA2"/>
    <w:rsid w:val="00DF7E85"/>
    <w:rsid w:val="00E01A5A"/>
    <w:rsid w:val="00E03A1D"/>
    <w:rsid w:val="00E0673D"/>
    <w:rsid w:val="00E111EE"/>
    <w:rsid w:val="00E11E80"/>
    <w:rsid w:val="00E32199"/>
    <w:rsid w:val="00E336C8"/>
    <w:rsid w:val="00E3787E"/>
    <w:rsid w:val="00E4125F"/>
    <w:rsid w:val="00E41513"/>
    <w:rsid w:val="00E56CEF"/>
    <w:rsid w:val="00E629AD"/>
    <w:rsid w:val="00E70F89"/>
    <w:rsid w:val="00E71CCD"/>
    <w:rsid w:val="00E74F7F"/>
    <w:rsid w:val="00E82052"/>
    <w:rsid w:val="00E83B51"/>
    <w:rsid w:val="00E924FF"/>
    <w:rsid w:val="00E92D96"/>
    <w:rsid w:val="00E93B66"/>
    <w:rsid w:val="00E97D2A"/>
    <w:rsid w:val="00EA0287"/>
    <w:rsid w:val="00EC0391"/>
    <w:rsid w:val="00EE2151"/>
    <w:rsid w:val="00EE352A"/>
    <w:rsid w:val="00EE7050"/>
    <w:rsid w:val="00F128BB"/>
    <w:rsid w:val="00F12AE6"/>
    <w:rsid w:val="00F16337"/>
    <w:rsid w:val="00F165BA"/>
    <w:rsid w:val="00F45C96"/>
    <w:rsid w:val="00F4697E"/>
    <w:rsid w:val="00F64C7C"/>
    <w:rsid w:val="00F736CF"/>
    <w:rsid w:val="00F76364"/>
    <w:rsid w:val="00F90E03"/>
    <w:rsid w:val="00FA1CCD"/>
    <w:rsid w:val="00FB50D9"/>
    <w:rsid w:val="00FD0139"/>
    <w:rsid w:val="00FD17D0"/>
    <w:rsid w:val="00FE19DC"/>
    <w:rsid w:val="00FF5A65"/>
    <w:rsid w:val="11D499F5"/>
    <w:rsid w:val="19EA37DE"/>
    <w:rsid w:val="1DD27FC2"/>
    <w:rsid w:val="1F0C3E0B"/>
    <w:rsid w:val="24658427"/>
    <w:rsid w:val="26E59B1C"/>
    <w:rsid w:val="35C07712"/>
    <w:rsid w:val="3B72DA94"/>
    <w:rsid w:val="41CE543F"/>
    <w:rsid w:val="4E2A29C1"/>
    <w:rsid w:val="5BF277A3"/>
    <w:rsid w:val="620D51DB"/>
    <w:rsid w:val="66A31AEE"/>
    <w:rsid w:val="6796F084"/>
    <w:rsid w:val="6DC0F2D0"/>
    <w:rsid w:val="7A1B9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2AB34"/>
  <w15:chartTrackingRefBased/>
  <w15:docId w15:val="{AE43B9E9-32A3-4303-9ABC-865C4062F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6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66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66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6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6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6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6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6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6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6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66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66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6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6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6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6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6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643"/>
    <w:rPr>
      <w:rFonts w:eastAsiaTheme="majorEastAsia" w:cstheme="majorBidi"/>
      <w:color w:val="272727" w:themeColor="text1" w:themeTint="D8"/>
    </w:rPr>
  </w:style>
  <w:style w:type="paragraph" w:styleId="Title">
    <w:name w:val="Title"/>
    <w:basedOn w:val="Normal"/>
    <w:next w:val="Normal"/>
    <w:link w:val="TitleChar"/>
    <w:uiPriority w:val="10"/>
    <w:qFormat/>
    <w:rsid w:val="00C366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6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6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6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643"/>
    <w:pPr>
      <w:spacing w:before="160"/>
      <w:jc w:val="center"/>
    </w:pPr>
    <w:rPr>
      <w:i/>
      <w:iCs/>
      <w:color w:val="404040" w:themeColor="text1" w:themeTint="BF"/>
    </w:rPr>
  </w:style>
  <w:style w:type="character" w:customStyle="1" w:styleId="QuoteChar">
    <w:name w:val="Quote Char"/>
    <w:basedOn w:val="DefaultParagraphFont"/>
    <w:link w:val="Quote"/>
    <w:uiPriority w:val="29"/>
    <w:rsid w:val="00C36643"/>
    <w:rPr>
      <w:i/>
      <w:iCs/>
      <w:color w:val="404040" w:themeColor="text1" w:themeTint="BF"/>
    </w:rPr>
  </w:style>
  <w:style w:type="paragraph" w:styleId="ListParagraph">
    <w:name w:val="List Paragraph"/>
    <w:basedOn w:val="Normal"/>
    <w:uiPriority w:val="34"/>
    <w:qFormat/>
    <w:rsid w:val="00C36643"/>
    <w:pPr>
      <w:ind w:left="720"/>
      <w:contextualSpacing/>
    </w:pPr>
  </w:style>
  <w:style w:type="character" w:styleId="IntenseEmphasis">
    <w:name w:val="Intense Emphasis"/>
    <w:basedOn w:val="DefaultParagraphFont"/>
    <w:uiPriority w:val="21"/>
    <w:qFormat/>
    <w:rsid w:val="00C36643"/>
    <w:rPr>
      <w:i/>
      <w:iCs/>
      <w:color w:val="0F4761" w:themeColor="accent1" w:themeShade="BF"/>
    </w:rPr>
  </w:style>
  <w:style w:type="paragraph" w:styleId="IntenseQuote">
    <w:name w:val="Intense Quote"/>
    <w:basedOn w:val="Normal"/>
    <w:next w:val="Normal"/>
    <w:link w:val="IntenseQuoteChar"/>
    <w:uiPriority w:val="30"/>
    <w:qFormat/>
    <w:rsid w:val="00C366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643"/>
    <w:rPr>
      <w:i/>
      <w:iCs/>
      <w:color w:val="0F4761" w:themeColor="accent1" w:themeShade="BF"/>
    </w:rPr>
  </w:style>
  <w:style w:type="character" w:styleId="IntenseReference">
    <w:name w:val="Intense Reference"/>
    <w:basedOn w:val="DefaultParagraphFont"/>
    <w:uiPriority w:val="32"/>
    <w:qFormat/>
    <w:rsid w:val="00C36643"/>
    <w:rPr>
      <w:b/>
      <w:bCs/>
      <w:smallCaps/>
      <w:color w:val="0F4761" w:themeColor="accent1" w:themeShade="BF"/>
      <w:spacing w:val="5"/>
    </w:rPr>
  </w:style>
  <w:style w:type="paragraph" w:styleId="NoSpacing">
    <w:name w:val="No Spacing"/>
    <w:link w:val="NoSpacingChar"/>
    <w:uiPriority w:val="1"/>
    <w:qFormat/>
    <w:rsid w:val="002D3349"/>
    <w:pPr>
      <w:spacing w:after="0" w:line="240" w:lineRule="auto"/>
    </w:pPr>
  </w:style>
  <w:style w:type="character" w:customStyle="1" w:styleId="NoSpacingChar">
    <w:name w:val="No Spacing Char"/>
    <w:basedOn w:val="DefaultParagraphFont"/>
    <w:link w:val="NoSpacing"/>
    <w:uiPriority w:val="1"/>
    <w:rsid w:val="00686159"/>
  </w:style>
  <w:style w:type="paragraph" w:styleId="NormalWeb">
    <w:name w:val="Normal (Web)"/>
    <w:basedOn w:val="Normal"/>
    <w:uiPriority w:val="99"/>
    <w:unhideWhenUsed/>
    <w:rsid w:val="00E71CC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semiHidden/>
    <w:unhideWhenUsed/>
    <w:rsid w:val="00D33C02"/>
    <w:pPr>
      <w:spacing w:after="100"/>
    </w:pPr>
  </w:style>
  <w:style w:type="paragraph" w:styleId="Header">
    <w:name w:val="header"/>
    <w:basedOn w:val="Normal"/>
    <w:link w:val="HeaderChar"/>
    <w:uiPriority w:val="99"/>
    <w:unhideWhenUsed/>
    <w:rsid w:val="009667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76C"/>
  </w:style>
  <w:style w:type="paragraph" w:styleId="Footer">
    <w:name w:val="footer"/>
    <w:basedOn w:val="Normal"/>
    <w:link w:val="FooterChar"/>
    <w:uiPriority w:val="99"/>
    <w:unhideWhenUsed/>
    <w:rsid w:val="009667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7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ing.com/search?q=%22https%3A%2F%2Fweareundefeatable.co.uk%2F%22"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ing.com/search?q=%22https%3A%2F%2Fageing-better.org.uk%2F%22"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geuk.org.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7ab8edc5bcea3ea3c5de82e6642fb629">
  <xsd:schema xmlns:xsd="http://www.w3.org/2001/XMLSchema" xmlns:xs="http://www.w3.org/2001/XMLSchema" xmlns:p="http://schemas.microsoft.com/office/2006/metadata/properties" xmlns:ns3="f799553d-1ac0-48da-9ae3-fe400ced9c3b" targetNamespace="http://schemas.microsoft.com/office/2006/metadata/properties" ma:root="true" ma:fieldsID="a279bfbf3d13b67be22b20bb08f08a77"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FB08F9-5743-4CA4-9B1A-5E3201E86370}">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73059972-1188-430E-B707-4F179E37E5E8}">
  <ds:schemaRefs>
    <ds:schemaRef ds:uri="http://schemas.microsoft.com/sharepoint/v3/contenttype/forms"/>
  </ds:schemaRefs>
</ds:datastoreItem>
</file>

<file path=customXml/itemProps3.xml><?xml version="1.0" encoding="utf-8"?>
<ds:datastoreItem xmlns:ds="http://schemas.openxmlformats.org/officeDocument/2006/customXml" ds:itemID="{04AA58FF-2490-493A-96E2-067ED1B896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2269</Words>
  <Characters>12935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Daljeet Matharu (2433456)</dc:creator>
  <cp:keywords/>
  <dc:description/>
  <cp:lastModifiedBy>Daljeet Matharu (2433456)</cp:lastModifiedBy>
  <cp:revision>379</cp:revision>
  <dcterms:created xsi:type="dcterms:W3CDTF">2026-02-19T10:59:00Z</dcterms:created>
  <dcterms:modified xsi:type="dcterms:W3CDTF">2026-03-05T11:14:00Z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