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819CEFE" w:rsidP="4819CEFE" w:rsidRDefault="4819CEFE" w14:paraId="6CA0CD47" w14:textId="578DE7B4">
      <w:pPr>
        <w:pStyle w:val="Heading1"/>
        <w:spacing w:after="0" w:line="240" w:lineRule="auto"/>
        <w:ind w:right="720"/>
        <w:jc w:val="center"/>
        <w:rPr>
          <w:rFonts w:ascii="Arial" w:hAnsi="Arial" w:eastAsia="Arial" w:cs="Arial"/>
          <w:b w:val="1"/>
          <w:bCs w:val="1"/>
          <w:noProof w:val="0"/>
          <w:color w:val="auto"/>
          <w:sz w:val="36"/>
          <w:szCs w:val="36"/>
          <w:u w:val="single"/>
          <w:lang w:val="en-GB"/>
        </w:rPr>
      </w:pPr>
      <w:r w:rsidRPr="4819CEFE" w:rsidR="4819CEFE">
        <w:rPr>
          <w:rFonts w:ascii="Arial" w:hAnsi="Arial" w:eastAsia="Arial" w:cs="Arial"/>
          <w:b w:val="1"/>
          <w:bCs w:val="1"/>
          <w:i w:val="1"/>
          <w:iCs w:val="1"/>
          <w:noProof w:val="0"/>
          <w:color w:val="auto"/>
          <w:sz w:val="36"/>
          <w:szCs w:val="36"/>
          <w:u w:val="single"/>
          <w:lang w:val="en-GB"/>
        </w:rPr>
        <w:t>Can Pupil Understanding be Improved by Implementing Success Criteria within Child-led Plenaries?</w:t>
      </w:r>
    </w:p>
    <w:p w:rsidR="4819CEFE" w:rsidP="4819CEFE" w:rsidRDefault="4819CEFE" w14:paraId="1AC8525D" w14:textId="55D20CFD">
      <w:pPr>
        <w:pStyle w:val="Normal"/>
        <w:spacing w:line="240" w:lineRule="auto"/>
        <w:jc w:val="center"/>
        <w:rPr>
          <w:rFonts w:ascii="Arial" w:hAnsi="Arial" w:eastAsia="Arial" w:cs="Arial"/>
          <w:b w:val="1"/>
          <w:bCs w:val="1"/>
          <w:noProof w:val="0"/>
          <w:sz w:val="36"/>
          <w:szCs w:val="36"/>
          <w:u w:val="single"/>
          <w:lang w:val="en-GB"/>
        </w:rPr>
      </w:pPr>
    </w:p>
    <w:p w:rsidR="30BDC31C" w:rsidP="30BDC31C" w:rsidRDefault="30BDC31C" w14:paraId="5E1A438C" w14:textId="6A116D32">
      <w:pPr>
        <w:pStyle w:val="Normal"/>
        <w:jc w:val="center"/>
        <w:rPr>
          <w:rFonts w:ascii="Arial" w:hAnsi="Arial" w:eastAsia="Arial" w:cs="Arial"/>
          <w:b w:val="0"/>
          <w:bCs w:val="0"/>
          <w:noProof w:val="0"/>
          <w:sz w:val="22"/>
          <w:szCs w:val="22"/>
          <w:u w:val="none"/>
          <w:lang w:val="en-GB"/>
        </w:rPr>
      </w:pPr>
      <w:r w:rsidRPr="30BDC31C" w:rsidR="30BDC31C">
        <w:rPr>
          <w:rFonts w:ascii="Arial" w:hAnsi="Arial" w:eastAsia="Arial" w:cs="Arial"/>
          <w:b w:val="0"/>
          <w:bCs w:val="0"/>
          <w:noProof w:val="0"/>
          <w:sz w:val="22"/>
          <w:szCs w:val="22"/>
          <w:u w:val="none"/>
          <w:lang w:val="en-GB"/>
        </w:rPr>
        <w:t>By Stephanie Woodward</w:t>
      </w:r>
    </w:p>
    <w:p w:rsidR="30BDC31C" w:rsidP="30BDC31C" w:rsidRDefault="30BDC31C" w14:paraId="05E7AF67" w14:textId="1A580EC0">
      <w:pPr>
        <w:pStyle w:val="Normal"/>
        <w:jc w:val="center"/>
        <w:rPr>
          <w:rFonts w:ascii="Arial" w:hAnsi="Arial" w:eastAsia="Arial" w:cs="Arial"/>
          <w:b w:val="0"/>
          <w:bCs w:val="0"/>
          <w:noProof w:val="0"/>
          <w:sz w:val="22"/>
          <w:szCs w:val="22"/>
          <w:u w:val="none"/>
          <w:lang w:val="en-GB"/>
        </w:rPr>
      </w:pPr>
      <w:r w:rsidRPr="26298FCD" w:rsidR="26298FCD">
        <w:rPr>
          <w:rFonts w:ascii="Arial" w:hAnsi="Arial" w:eastAsia="Arial" w:cs="Arial"/>
          <w:b w:val="0"/>
          <w:bCs w:val="0"/>
          <w:noProof w:val="0"/>
          <w:sz w:val="22"/>
          <w:szCs w:val="22"/>
          <w:u w:val="none"/>
          <w:lang w:val="en-GB"/>
        </w:rPr>
        <w:t>Student Number: 1906290</w:t>
      </w:r>
    </w:p>
    <w:p w:rsidR="26298FCD" w:rsidP="26298FCD" w:rsidRDefault="26298FCD" w14:paraId="793C134F" w14:textId="3B2951F0">
      <w:pPr>
        <w:pStyle w:val="Normal"/>
        <w:jc w:val="center"/>
        <w:rPr>
          <w:rFonts w:ascii="Arial" w:hAnsi="Arial" w:eastAsia="Arial" w:cs="Arial"/>
          <w:b w:val="0"/>
          <w:bCs w:val="0"/>
          <w:noProof w:val="0"/>
          <w:sz w:val="22"/>
          <w:szCs w:val="22"/>
          <w:u w:val="none"/>
          <w:lang w:val="en-GB"/>
        </w:rPr>
      </w:pPr>
    </w:p>
    <w:tbl>
      <w:tblPr>
        <w:tblStyle w:val="TableGrid"/>
        <w:tblW w:w="0" w:type="auto"/>
        <w:jc w:val="left"/>
        <w:tblLayout w:type="fixed"/>
        <w:tblLook w:val="06A0" w:firstRow="1" w:lastRow="0" w:firstColumn="1" w:lastColumn="0" w:noHBand="1" w:noVBand="1"/>
      </w:tblPr>
      <w:tblGrid>
        <w:gridCol w:w="3120"/>
        <w:gridCol w:w="3120"/>
        <w:gridCol w:w="3120"/>
      </w:tblGrid>
      <w:tr w:rsidR="26298FCD" w:rsidTr="24740B6D" w14:paraId="2699724A">
        <w:tc>
          <w:tcPr>
            <w:tcW w:w="3120" w:type="dxa"/>
            <w:tcMar/>
          </w:tcPr>
          <w:p w:rsidR="26298FCD" w:rsidP="26298FCD" w:rsidRDefault="26298FCD" w14:paraId="401067B7" w14:textId="12E0E0F3">
            <w:pPr>
              <w:pStyle w:val="Normal"/>
              <w:rPr>
                <w:rFonts w:ascii="Arial" w:hAnsi="Arial" w:eastAsia="Arial" w:cs="Arial"/>
                <w:b w:val="0"/>
                <w:bCs w:val="0"/>
                <w:noProof w:val="0"/>
                <w:sz w:val="22"/>
                <w:szCs w:val="22"/>
                <w:u w:val="none"/>
                <w:lang w:val="en-GB"/>
              </w:rPr>
            </w:pPr>
          </w:p>
        </w:tc>
        <w:tc>
          <w:tcPr>
            <w:tcW w:w="3120" w:type="dxa"/>
            <w:tcMar/>
          </w:tcPr>
          <w:p w:rsidR="26298FCD" w:rsidP="26298FCD" w:rsidRDefault="26298FCD" w14:paraId="27411321" w14:textId="25FC0D50">
            <w:pPr>
              <w:pStyle w:val="Normal"/>
              <w:rPr>
                <w:rFonts w:ascii="Arial" w:hAnsi="Arial" w:eastAsia="Arial" w:cs="Arial"/>
                <w:b w:val="0"/>
                <w:bCs w:val="0"/>
                <w:noProof w:val="0"/>
                <w:sz w:val="22"/>
                <w:szCs w:val="22"/>
                <w:u w:val="none"/>
                <w:lang w:val="en-GB"/>
              </w:rPr>
            </w:pPr>
            <w:r w:rsidRPr="26298FCD" w:rsidR="26298FCD">
              <w:rPr>
                <w:rFonts w:ascii="Arial" w:hAnsi="Arial" w:eastAsia="Arial" w:cs="Arial"/>
                <w:b w:val="0"/>
                <w:bCs w:val="0"/>
                <w:noProof w:val="0"/>
                <w:sz w:val="22"/>
                <w:szCs w:val="22"/>
                <w:u w:val="none"/>
                <w:lang w:val="en-GB"/>
              </w:rPr>
              <w:t>Targed/Target</w:t>
            </w:r>
          </w:p>
        </w:tc>
        <w:tc>
          <w:tcPr>
            <w:tcW w:w="3120" w:type="dxa"/>
            <w:tcMar/>
          </w:tcPr>
          <w:p w:rsidR="26298FCD" w:rsidP="26298FCD" w:rsidRDefault="26298FCD" w14:paraId="7BCF0A1C" w14:textId="2BAC5DE2">
            <w:pPr>
              <w:pStyle w:val="Normal"/>
              <w:rPr>
                <w:rFonts w:ascii="Arial" w:hAnsi="Arial" w:eastAsia="Arial" w:cs="Arial"/>
                <w:b w:val="0"/>
                <w:bCs w:val="0"/>
                <w:noProof w:val="0"/>
                <w:sz w:val="22"/>
                <w:szCs w:val="22"/>
                <w:u w:val="none"/>
                <w:lang w:val="en-GB"/>
              </w:rPr>
            </w:pPr>
            <w:proofErr w:type="spellStart"/>
            <w:r w:rsidRPr="26298FCD" w:rsidR="26298FCD">
              <w:rPr>
                <w:rFonts w:ascii="Arial" w:hAnsi="Arial" w:eastAsia="Arial" w:cs="Arial"/>
                <w:b w:val="0"/>
                <w:bCs w:val="0"/>
                <w:noProof w:val="0"/>
                <w:sz w:val="22"/>
                <w:szCs w:val="22"/>
                <w:u w:val="none"/>
                <w:lang w:val="en-GB"/>
              </w:rPr>
              <w:t>Yr</w:t>
            </w:r>
            <w:proofErr w:type="spellEnd"/>
            <w:r w:rsidRPr="26298FCD" w:rsidR="26298FCD">
              <w:rPr>
                <w:rFonts w:ascii="Arial" w:hAnsi="Arial" w:eastAsia="Arial" w:cs="Arial"/>
                <w:b w:val="0"/>
                <w:bCs w:val="0"/>
                <w:noProof w:val="0"/>
                <w:sz w:val="22"/>
                <w:szCs w:val="22"/>
                <w:u w:val="none"/>
                <w:lang w:val="en-GB"/>
              </w:rPr>
              <w:t xml:space="preserve"> </w:t>
            </w:r>
            <w:proofErr w:type="spellStart"/>
            <w:r w:rsidRPr="26298FCD" w:rsidR="26298FCD">
              <w:rPr>
                <w:rFonts w:ascii="Arial" w:hAnsi="Arial" w:eastAsia="Arial" w:cs="Arial"/>
                <w:b w:val="0"/>
                <w:bCs w:val="0"/>
                <w:noProof w:val="0"/>
                <w:sz w:val="22"/>
                <w:szCs w:val="22"/>
                <w:u w:val="none"/>
                <w:lang w:val="en-GB"/>
              </w:rPr>
              <w:t>hyn</w:t>
            </w:r>
            <w:proofErr w:type="spellEnd"/>
            <w:r w:rsidRPr="26298FCD" w:rsidR="26298FCD">
              <w:rPr>
                <w:rFonts w:ascii="Arial" w:hAnsi="Arial" w:eastAsia="Arial" w:cs="Arial"/>
                <w:b w:val="0"/>
                <w:bCs w:val="0"/>
                <w:noProof w:val="0"/>
                <w:sz w:val="22"/>
                <w:szCs w:val="22"/>
                <w:u w:val="none"/>
                <w:lang w:val="en-GB"/>
              </w:rPr>
              <w:t xml:space="preserve"> </w:t>
            </w:r>
            <w:proofErr w:type="spellStart"/>
            <w:r w:rsidRPr="26298FCD" w:rsidR="26298FCD">
              <w:rPr>
                <w:rFonts w:ascii="Arial" w:hAnsi="Arial" w:eastAsia="Arial" w:cs="Arial"/>
                <w:b w:val="0"/>
                <w:bCs w:val="0"/>
                <w:noProof w:val="0"/>
                <w:sz w:val="22"/>
                <w:szCs w:val="22"/>
                <w:u w:val="none"/>
                <w:lang w:val="en-GB"/>
              </w:rPr>
              <w:t>yr</w:t>
            </w:r>
            <w:proofErr w:type="spellEnd"/>
            <w:r w:rsidRPr="26298FCD" w:rsidR="26298FCD">
              <w:rPr>
                <w:rFonts w:ascii="Arial" w:hAnsi="Arial" w:eastAsia="Arial" w:cs="Arial"/>
                <w:b w:val="0"/>
                <w:bCs w:val="0"/>
                <w:noProof w:val="0"/>
                <w:sz w:val="22"/>
                <w:szCs w:val="22"/>
                <w:u w:val="none"/>
                <w:lang w:val="en-GB"/>
              </w:rPr>
              <w:t xml:space="preserve"> </w:t>
            </w:r>
            <w:proofErr w:type="spellStart"/>
            <w:r w:rsidRPr="26298FCD" w:rsidR="26298FCD">
              <w:rPr>
                <w:rFonts w:ascii="Arial" w:hAnsi="Arial" w:eastAsia="Arial" w:cs="Arial"/>
                <w:b w:val="0"/>
                <w:bCs w:val="0"/>
                <w:noProof w:val="0"/>
                <w:sz w:val="22"/>
                <w:szCs w:val="22"/>
                <w:u w:val="none"/>
                <w:lang w:val="en-GB"/>
              </w:rPr>
              <w:t>wyf</w:t>
            </w:r>
            <w:proofErr w:type="spellEnd"/>
            <w:r w:rsidRPr="26298FCD" w:rsidR="26298FCD">
              <w:rPr>
                <w:rFonts w:ascii="Arial" w:hAnsi="Arial" w:eastAsia="Arial" w:cs="Arial"/>
                <w:b w:val="0"/>
                <w:bCs w:val="0"/>
                <w:noProof w:val="0"/>
                <w:sz w:val="22"/>
                <w:szCs w:val="22"/>
                <w:u w:val="none"/>
                <w:lang w:val="en-GB"/>
              </w:rPr>
              <w:t xml:space="preserve"> </w:t>
            </w:r>
            <w:proofErr w:type="spellStart"/>
            <w:r w:rsidRPr="26298FCD" w:rsidR="26298FCD">
              <w:rPr>
                <w:rFonts w:ascii="Arial" w:hAnsi="Arial" w:eastAsia="Arial" w:cs="Arial"/>
                <w:b w:val="0"/>
                <w:bCs w:val="0"/>
                <w:noProof w:val="0"/>
                <w:sz w:val="22"/>
                <w:szCs w:val="22"/>
                <w:u w:val="none"/>
                <w:lang w:val="en-GB"/>
              </w:rPr>
              <w:t>wedi’i</w:t>
            </w:r>
            <w:proofErr w:type="spellEnd"/>
            <w:r w:rsidRPr="26298FCD" w:rsidR="26298FCD">
              <w:rPr>
                <w:rFonts w:ascii="Arial" w:hAnsi="Arial" w:eastAsia="Arial" w:cs="Arial"/>
                <w:b w:val="0"/>
                <w:bCs w:val="0"/>
                <w:noProof w:val="0"/>
                <w:sz w:val="22"/>
                <w:szCs w:val="22"/>
                <w:u w:val="none"/>
                <w:lang w:val="en-GB"/>
              </w:rPr>
              <w:t xml:space="preserve"> </w:t>
            </w:r>
            <w:proofErr w:type="spellStart"/>
            <w:r w:rsidRPr="26298FCD" w:rsidR="26298FCD">
              <w:rPr>
                <w:rFonts w:ascii="Arial" w:hAnsi="Arial" w:eastAsia="Arial" w:cs="Arial"/>
                <w:b w:val="0"/>
                <w:bCs w:val="0"/>
                <w:noProof w:val="0"/>
                <w:sz w:val="22"/>
                <w:szCs w:val="22"/>
                <w:u w:val="none"/>
                <w:lang w:val="en-GB"/>
              </w:rPr>
              <w:t>wneud</w:t>
            </w:r>
            <w:proofErr w:type="spellEnd"/>
            <w:r w:rsidRPr="26298FCD" w:rsidR="26298FCD">
              <w:rPr>
                <w:rFonts w:ascii="Arial" w:hAnsi="Arial" w:eastAsia="Arial" w:cs="Arial"/>
                <w:b w:val="0"/>
                <w:bCs w:val="0"/>
                <w:noProof w:val="0"/>
                <w:sz w:val="22"/>
                <w:szCs w:val="22"/>
                <w:u w:val="none"/>
                <w:lang w:val="en-GB"/>
              </w:rPr>
              <w:t xml:space="preserve"> </w:t>
            </w:r>
            <w:proofErr w:type="spellStart"/>
            <w:r w:rsidRPr="26298FCD" w:rsidR="26298FCD">
              <w:rPr>
                <w:rFonts w:ascii="Arial" w:hAnsi="Arial" w:eastAsia="Arial" w:cs="Arial"/>
                <w:b w:val="0"/>
                <w:bCs w:val="0"/>
                <w:noProof w:val="0"/>
                <w:sz w:val="22"/>
                <w:szCs w:val="22"/>
                <w:u w:val="none"/>
                <w:lang w:val="en-GB"/>
              </w:rPr>
              <w:t>yn</w:t>
            </w:r>
            <w:proofErr w:type="spellEnd"/>
            <w:r w:rsidRPr="26298FCD" w:rsidR="26298FCD">
              <w:rPr>
                <w:rFonts w:ascii="Arial" w:hAnsi="Arial" w:eastAsia="Arial" w:cs="Arial"/>
                <w:b w:val="0"/>
                <w:bCs w:val="0"/>
                <w:noProof w:val="0"/>
                <w:sz w:val="22"/>
                <w:szCs w:val="22"/>
                <w:u w:val="none"/>
                <w:lang w:val="en-GB"/>
              </w:rPr>
              <w:t xml:space="preserve"> </w:t>
            </w:r>
            <w:proofErr w:type="spellStart"/>
            <w:r w:rsidRPr="26298FCD" w:rsidR="26298FCD">
              <w:rPr>
                <w:rFonts w:ascii="Arial" w:hAnsi="Arial" w:eastAsia="Arial" w:cs="Arial"/>
                <w:b w:val="0"/>
                <w:bCs w:val="0"/>
                <w:noProof w:val="0"/>
                <w:sz w:val="22"/>
                <w:szCs w:val="22"/>
                <w:u w:val="none"/>
                <w:lang w:val="en-GB"/>
              </w:rPr>
              <w:t>yr</w:t>
            </w:r>
            <w:proofErr w:type="spellEnd"/>
            <w:r w:rsidRPr="26298FCD" w:rsidR="26298FCD">
              <w:rPr>
                <w:rFonts w:ascii="Arial" w:hAnsi="Arial" w:eastAsia="Arial" w:cs="Arial"/>
                <w:b w:val="0"/>
                <w:bCs w:val="0"/>
                <w:noProof w:val="0"/>
                <w:sz w:val="22"/>
                <w:szCs w:val="22"/>
                <w:u w:val="none"/>
                <w:lang w:val="en-GB"/>
              </w:rPr>
              <w:t xml:space="preserve"> </w:t>
            </w:r>
            <w:proofErr w:type="spellStart"/>
            <w:r w:rsidRPr="26298FCD" w:rsidR="26298FCD">
              <w:rPr>
                <w:rFonts w:ascii="Arial" w:hAnsi="Arial" w:eastAsia="Arial" w:cs="Arial"/>
                <w:b w:val="0"/>
                <w:bCs w:val="0"/>
                <w:noProof w:val="0"/>
                <w:sz w:val="22"/>
                <w:szCs w:val="22"/>
                <w:u w:val="none"/>
                <w:lang w:val="en-GB"/>
              </w:rPr>
              <w:t>aseiniad</w:t>
            </w:r>
            <w:proofErr w:type="spellEnd"/>
            <w:r w:rsidRPr="26298FCD" w:rsidR="26298FCD">
              <w:rPr>
                <w:rFonts w:ascii="Arial" w:hAnsi="Arial" w:eastAsia="Arial" w:cs="Arial"/>
                <w:b w:val="0"/>
                <w:bCs w:val="0"/>
                <w:noProof w:val="0"/>
                <w:sz w:val="22"/>
                <w:szCs w:val="22"/>
                <w:u w:val="none"/>
                <w:lang w:val="en-GB"/>
              </w:rPr>
              <w:t xml:space="preserve"> hwn?</w:t>
            </w:r>
          </w:p>
          <w:p w:rsidR="26298FCD" w:rsidP="26298FCD" w:rsidRDefault="26298FCD" w14:paraId="3F3CF8F1" w14:textId="42A1C26E">
            <w:pPr>
              <w:pStyle w:val="Normal"/>
              <w:rPr>
                <w:rFonts w:ascii="Arial" w:hAnsi="Arial" w:eastAsia="Arial" w:cs="Arial"/>
                <w:b w:val="0"/>
                <w:bCs w:val="0"/>
                <w:noProof w:val="0"/>
                <w:sz w:val="22"/>
                <w:szCs w:val="22"/>
                <w:u w:val="none"/>
                <w:lang w:val="en-GB"/>
              </w:rPr>
            </w:pPr>
            <w:r w:rsidRPr="26298FCD" w:rsidR="26298FCD">
              <w:rPr>
                <w:rFonts w:ascii="Arial" w:hAnsi="Arial" w:eastAsia="Arial" w:cs="Arial"/>
                <w:b w:val="0"/>
                <w:bCs w:val="0"/>
                <w:noProof w:val="0"/>
                <w:sz w:val="22"/>
                <w:szCs w:val="22"/>
                <w:u w:val="none"/>
                <w:lang w:val="en-GB"/>
              </w:rPr>
              <w:t xml:space="preserve">What have I done in this </w:t>
            </w:r>
            <w:r w:rsidRPr="26298FCD" w:rsidR="26298FCD">
              <w:rPr>
                <w:rFonts w:ascii="Arial" w:hAnsi="Arial" w:eastAsia="Arial" w:cs="Arial"/>
                <w:b w:val="0"/>
                <w:bCs w:val="0"/>
                <w:noProof w:val="0"/>
                <w:sz w:val="22"/>
                <w:szCs w:val="22"/>
                <w:u w:val="none"/>
                <w:lang w:val="en-GB"/>
              </w:rPr>
              <w:t>assignment?</w:t>
            </w:r>
          </w:p>
          <w:p w:rsidR="26298FCD" w:rsidP="26298FCD" w:rsidRDefault="26298FCD" w14:paraId="013866F8" w14:textId="4B4A5334">
            <w:pPr>
              <w:pStyle w:val="Normal"/>
              <w:rPr>
                <w:rFonts w:ascii="Arial" w:hAnsi="Arial" w:eastAsia="Arial" w:cs="Arial"/>
                <w:b w:val="0"/>
                <w:bCs w:val="0"/>
                <w:noProof w:val="0"/>
                <w:sz w:val="22"/>
                <w:szCs w:val="22"/>
                <w:u w:val="none"/>
                <w:lang w:val="en-GB"/>
              </w:rPr>
            </w:pPr>
          </w:p>
        </w:tc>
      </w:tr>
      <w:tr w:rsidR="26298FCD" w:rsidTr="24740B6D" w14:paraId="2727B6FE">
        <w:tc>
          <w:tcPr>
            <w:tcW w:w="3120" w:type="dxa"/>
            <w:tcMar/>
          </w:tcPr>
          <w:p w:rsidR="26298FCD" w:rsidP="26298FCD" w:rsidRDefault="26298FCD" w14:paraId="2531BB51" w14:textId="26798EBA">
            <w:pPr>
              <w:pStyle w:val="Normal"/>
              <w:rPr>
                <w:rFonts w:ascii="Arial" w:hAnsi="Arial" w:eastAsia="Arial" w:cs="Arial"/>
                <w:b w:val="0"/>
                <w:bCs w:val="0"/>
                <w:noProof w:val="0"/>
                <w:sz w:val="22"/>
                <w:szCs w:val="22"/>
                <w:u w:val="none"/>
                <w:lang w:val="en-GB"/>
              </w:rPr>
            </w:pPr>
            <w:r w:rsidRPr="26298FCD" w:rsidR="26298FCD">
              <w:rPr>
                <w:rFonts w:ascii="Arial" w:hAnsi="Arial" w:eastAsia="Arial" w:cs="Arial"/>
                <w:b w:val="0"/>
                <w:bCs w:val="0"/>
                <w:noProof w:val="0"/>
                <w:sz w:val="22"/>
                <w:szCs w:val="22"/>
                <w:u w:val="none"/>
                <w:lang w:val="en-GB"/>
              </w:rPr>
              <w:t>Targed/Target 1</w:t>
            </w:r>
          </w:p>
        </w:tc>
        <w:tc>
          <w:tcPr>
            <w:tcW w:w="3120" w:type="dxa"/>
            <w:tcMar/>
          </w:tcPr>
          <w:p w:rsidR="26298FCD" w:rsidP="26298FCD" w:rsidRDefault="26298FCD" w14:paraId="428539DD" w14:textId="322CE7DC">
            <w:pPr>
              <w:pStyle w:val="Normal"/>
            </w:pPr>
            <w:r w:rsidRPr="26298FCD" w:rsidR="26298FCD">
              <w:rPr>
                <w:rFonts w:ascii="Arial" w:hAnsi="Arial" w:eastAsia="Arial" w:cs="Arial"/>
                <w:noProof w:val="0"/>
                <w:sz w:val="22"/>
                <w:szCs w:val="22"/>
                <w:lang w:val="en-GB"/>
              </w:rPr>
              <w:t>Follow all appropriate conventions exactly. E.g. a quote requires a page number in the reference.</w:t>
            </w:r>
          </w:p>
          <w:p w:rsidR="26298FCD" w:rsidP="26298FCD" w:rsidRDefault="26298FCD" w14:paraId="27B47EEB" w14:textId="1E8B6A27">
            <w:pPr>
              <w:pStyle w:val="Normal"/>
              <w:rPr>
                <w:rFonts w:ascii="Arial" w:hAnsi="Arial" w:eastAsia="Arial" w:cs="Arial"/>
                <w:noProof w:val="0"/>
                <w:sz w:val="22"/>
                <w:szCs w:val="22"/>
                <w:lang w:val="en-GB"/>
              </w:rPr>
            </w:pPr>
          </w:p>
        </w:tc>
        <w:tc>
          <w:tcPr>
            <w:tcW w:w="3120" w:type="dxa"/>
            <w:tcMar/>
          </w:tcPr>
          <w:p w:rsidR="26298FCD" w:rsidP="26298FCD" w:rsidRDefault="26298FCD" w14:paraId="73B0C4D5" w14:textId="7B3DA012">
            <w:pPr>
              <w:pStyle w:val="Normal"/>
              <w:rPr>
                <w:rFonts w:ascii="Arial" w:hAnsi="Arial" w:eastAsia="Arial" w:cs="Arial"/>
                <w:b w:val="0"/>
                <w:bCs w:val="0"/>
                <w:noProof w:val="0"/>
                <w:sz w:val="22"/>
                <w:szCs w:val="22"/>
                <w:u w:val="none"/>
                <w:lang w:val="en-GB"/>
              </w:rPr>
            </w:pPr>
            <w:r w:rsidRPr="26298FCD" w:rsidR="26298FCD">
              <w:rPr>
                <w:rFonts w:ascii="Arial" w:hAnsi="Arial" w:eastAsia="Arial" w:cs="Arial"/>
                <w:b w:val="0"/>
                <w:bCs w:val="0"/>
                <w:noProof w:val="0"/>
                <w:sz w:val="22"/>
                <w:szCs w:val="22"/>
                <w:u w:val="none"/>
                <w:lang w:val="en-GB"/>
              </w:rPr>
              <w:t xml:space="preserve">I have revised the Harvard Referencing handbook and made sure to include page </w:t>
            </w:r>
            <w:r w:rsidRPr="26298FCD" w:rsidR="26298FCD">
              <w:rPr>
                <w:rFonts w:ascii="Arial" w:hAnsi="Arial" w:eastAsia="Arial" w:cs="Arial"/>
                <w:b w:val="0"/>
                <w:bCs w:val="0"/>
                <w:noProof w:val="0"/>
                <w:sz w:val="22"/>
                <w:szCs w:val="22"/>
                <w:u w:val="none"/>
                <w:lang w:val="en-GB"/>
              </w:rPr>
              <w:t>numbers</w:t>
            </w:r>
            <w:r w:rsidRPr="26298FCD" w:rsidR="26298FCD">
              <w:rPr>
                <w:rFonts w:ascii="Arial" w:hAnsi="Arial" w:eastAsia="Arial" w:cs="Arial"/>
                <w:b w:val="0"/>
                <w:bCs w:val="0"/>
                <w:noProof w:val="0"/>
                <w:sz w:val="22"/>
                <w:szCs w:val="22"/>
                <w:u w:val="none"/>
                <w:lang w:val="en-GB"/>
              </w:rPr>
              <w:t xml:space="preserve"> for direct quotes. </w:t>
            </w:r>
          </w:p>
        </w:tc>
      </w:tr>
      <w:tr w:rsidR="26298FCD" w:rsidTr="24740B6D" w14:paraId="3032DF63">
        <w:tc>
          <w:tcPr>
            <w:tcW w:w="3120" w:type="dxa"/>
            <w:tcMar/>
          </w:tcPr>
          <w:p w:rsidR="26298FCD" w:rsidP="26298FCD" w:rsidRDefault="26298FCD" w14:paraId="468D1F25" w14:textId="40F31FC3">
            <w:pPr>
              <w:pStyle w:val="Normal"/>
              <w:rPr>
                <w:rFonts w:ascii="Arial" w:hAnsi="Arial" w:eastAsia="Arial" w:cs="Arial"/>
                <w:noProof w:val="0"/>
                <w:sz w:val="22"/>
                <w:szCs w:val="22"/>
                <w:lang w:val="en-GB"/>
              </w:rPr>
            </w:pPr>
            <w:r w:rsidRPr="26298FCD" w:rsidR="26298FCD">
              <w:rPr>
                <w:rFonts w:ascii="Arial" w:hAnsi="Arial" w:eastAsia="Arial" w:cs="Arial"/>
                <w:noProof w:val="0"/>
                <w:sz w:val="22"/>
                <w:szCs w:val="22"/>
                <w:lang w:val="en-GB"/>
              </w:rPr>
              <w:t>Targed/Target 2</w:t>
            </w:r>
          </w:p>
        </w:tc>
        <w:tc>
          <w:tcPr>
            <w:tcW w:w="3120" w:type="dxa"/>
            <w:tcMar/>
          </w:tcPr>
          <w:p w:rsidR="26298FCD" w:rsidP="26298FCD" w:rsidRDefault="26298FCD" w14:paraId="0FE08395" w14:textId="42762AD4">
            <w:pPr>
              <w:pStyle w:val="Normal"/>
            </w:pPr>
            <w:r w:rsidRPr="26298FCD" w:rsidR="26298FCD">
              <w:rPr>
                <w:rFonts w:ascii="Arial" w:hAnsi="Arial" w:eastAsia="Arial" w:cs="Arial"/>
                <w:noProof w:val="0"/>
                <w:sz w:val="22"/>
                <w:szCs w:val="22"/>
                <w:lang w:val="en-GB"/>
              </w:rPr>
              <w:t>Aim for clarity in your written expression. Overly long, complex sentences are not necessarily the best idea if punctuation skills are not secure.</w:t>
            </w:r>
          </w:p>
          <w:p w:rsidR="26298FCD" w:rsidP="26298FCD" w:rsidRDefault="26298FCD" w14:paraId="5480B8C3" w14:textId="2DE703BB">
            <w:pPr>
              <w:pStyle w:val="Normal"/>
              <w:rPr>
                <w:rFonts w:ascii="Arial" w:hAnsi="Arial" w:eastAsia="Arial" w:cs="Arial"/>
                <w:noProof w:val="0"/>
                <w:sz w:val="22"/>
                <w:szCs w:val="22"/>
                <w:lang w:val="en-GB"/>
              </w:rPr>
            </w:pPr>
          </w:p>
        </w:tc>
        <w:tc>
          <w:tcPr>
            <w:tcW w:w="3120" w:type="dxa"/>
            <w:tcMar/>
          </w:tcPr>
          <w:p w:rsidR="26298FCD" w:rsidP="26298FCD" w:rsidRDefault="26298FCD" w14:paraId="2D0675A2" w14:textId="7DBF01E9">
            <w:pPr>
              <w:pStyle w:val="Normal"/>
              <w:rPr>
                <w:rFonts w:ascii="Arial" w:hAnsi="Arial" w:eastAsia="Arial" w:cs="Arial"/>
                <w:b w:val="0"/>
                <w:bCs w:val="0"/>
                <w:noProof w:val="0"/>
                <w:sz w:val="22"/>
                <w:szCs w:val="22"/>
                <w:u w:val="none"/>
                <w:lang w:val="en-GB"/>
              </w:rPr>
            </w:pPr>
            <w:r w:rsidRPr="26298FCD" w:rsidR="26298FCD">
              <w:rPr>
                <w:rFonts w:ascii="Arial" w:hAnsi="Arial" w:eastAsia="Arial" w:cs="Arial"/>
                <w:b w:val="0"/>
                <w:bCs w:val="0"/>
                <w:noProof w:val="0"/>
                <w:sz w:val="22"/>
                <w:szCs w:val="22"/>
                <w:u w:val="none"/>
                <w:lang w:val="en-GB"/>
              </w:rPr>
              <w:t xml:space="preserve">I have practised using shorter and punchier sentences within this assignment. I acknowledge that complex wording is not always necessary and try to avoid it when it’s not needed. </w:t>
            </w:r>
          </w:p>
          <w:p w:rsidR="26298FCD" w:rsidP="26298FCD" w:rsidRDefault="26298FCD" w14:paraId="0B1A1233" w14:textId="24098EC8">
            <w:pPr>
              <w:pStyle w:val="Normal"/>
              <w:rPr>
                <w:rFonts w:ascii="Arial" w:hAnsi="Arial" w:eastAsia="Arial" w:cs="Arial"/>
                <w:b w:val="0"/>
                <w:bCs w:val="0"/>
                <w:noProof w:val="0"/>
                <w:sz w:val="22"/>
                <w:szCs w:val="22"/>
                <w:u w:val="none"/>
                <w:lang w:val="en-GB"/>
              </w:rPr>
            </w:pPr>
          </w:p>
        </w:tc>
      </w:tr>
      <w:tr w:rsidR="26298FCD" w:rsidTr="24740B6D" w14:paraId="2B9CEF79">
        <w:tc>
          <w:tcPr>
            <w:tcW w:w="3120" w:type="dxa"/>
            <w:tcMar/>
          </w:tcPr>
          <w:p w:rsidR="26298FCD" w:rsidP="26298FCD" w:rsidRDefault="26298FCD" w14:paraId="04274DB8" w14:textId="04A76C50">
            <w:pPr>
              <w:pStyle w:val="Normal"/>
              <w:rPr>
                <w:rFonts w:ascii="Arial" w:hAnsi="Arial" w:eastAsia="Arial" w:cs="Arial"/>
                <w:noProof w:val="0"/>
                <w:sz w:val="22"/>
                <w:szCs w:val="22"/>
                <w:lang w:val="en-GB"/>
              </w:rPr>
            </w:pPr>
            <w:r w:rsidRPr="26298FCD" w:rsidR="26298FCD">
              <w:rPr>
                <w:rFonts w:ascii="Arial" w:hAnsi="Arial" w:eastAsia="Arial" w:cs="Arial"/>
                <w:noProof w:val="0"/>
                <w:sz w:val="22"/>
                <w:szCs w:val="22"/>
                <w:lang w:val="en-GB"/>
              </w:rPr>
              <w:t>Targed/Target 3</w:t>
            </w:r>
          </w:p>
        </w:tc>
        <w:tc>
          <w:tcPr>
            <w:tcW w:w="3120" w:type="dxa"/>
            <w:tcMar/>
          </w:tcPr>
          <w:p w:rsidR="26298FCD" w:rsidP="26298FCD" w:rsidRDefault="26298FCD" w14:paraId="6744E35B" w14:textId="7D63F1C3">
            <w:pPr>
              <w:pStyle w:val="Normal"/>
            </w:pPr>
            <w:r w:rsidRPr="26298FCD" w:rsidR="26298FCD">
              <w:rPr>
                <w:rFonts w:ascii="Arial" w:hAnsi="Arial" w:eastAsia="Arial" w:cs="Arial"/>
                <w:noProof w:val="0"/>
                <w:sz w:val="22"/>
                <w:szCs w:val="22"/>
                <w:lang w:val="en-GB"/>
              </w:rPr>
              <w:t>Revise and address your use of colons and semi-colons.</w:t>
            </w:r>
          </w:p>
          <w:p w:rsidR="26298FCD" w:rsidP="26298FCD" w:rsidRDefault="26298FCD" w14:paraId="2019435F" w14:textId="7B8091D3">
            <w:pPr>
              <w:pStyle w:val="Normal"/>
              <w:rPr>
                <w:rFonts w:ascii="Arial" w:hAnsi="Arial" w:eastAsia="Arial" w:cs="Arial"/>
                <w:noProof w:val="0"/>
                <w:sz w:val="22"/>
                <w:szCs w:val="22"/>
                <w:lang w:val="en-GB"/>
              </w:rPr>
            </w:pPr>
          </w:p>
        </w:tc>
        <w:tc>
          <w:tcPr>
            <w:tcW w:w="3120" w:type="dxa"/>
            <w:tcMar/>
          </w:tcPr>
          <w:p w:rsidR="26298FCD" w:rsidP="26298FCD" w:rsidRDefault="26298FCD" w14:paraId="02B808BE" w14:textId="31EF49FE">
            <w:pPr>
              <w:pStyle w:val="Normal"/>
              <w:rPr>
                <w:rFonts w:ascii="Arial" w:hAnsi="Arial" w:eastAsia="Arial" w:cs="Arial"/>
                <w:b w:val="0"/>
                <w:bCs w:val="0"/>
                <w:noProof w:val="0"/>
                <w:sz w:val="22"/>
                <w:szCs w:val="22"/>
                <w:u w:val="none"/>
                <w:lang w:val="en-GB"/>
              </w:rPr>
            </w:pPr>
            <w:r w:rsidRPr="26298FCD" w:rsidR="26298FCD">
              <w:rPr>
                <w:rFonts w:ascii="Arial" w:hAnsi="Arial" w:eastAsia="Arial" w:cs="Arial"/>
                <w:b w:val="0"/>
                <w:bCs w:val="0"/>
                <w:noProof w:val="0"/>
                <w:sz w:val="22"/>
                <w:szCs w:val="22"/>
                <w:u w:val="none"/>
                <w:lang w:val="en-GB"/>
              </w:rPr>
              <w:t xml:space="preserve">I have revised using colons and semi-colons to help break up lengthier chunks of text. </w:t>
            </w:r>
          </w:p>
          <w:p w:rsidR="26298FCD" w:rsidP="26298FCD" w:rsidRDefault="26298FCD" w14:paraId="4F3FD8D6" w14:textId="4DB714C4">
            <w:pPr>
              <w:pStyle w:val="Normal"/>
              <w:rPr>
                <w:rFonts w:ascii="Arial" w:hAnsi="Arial" w:eastAsia="Arial" w:cs="Arial"/>
                <w:b w:val="0"/>
                <w:bCs w:val="0"/>
                <w:noProof w:val="0"/>
                <w:sz w:val="22"/>
                <w:szCs w:val="22"/>
                <w:u w:val="none"/>
                <w:lang w:val="en-GB"/>
              </w:rPr>
            </w:pPr>
          </w:p>
        </w:tc>
      </w:tr>
    </w:tbl>
    <w:p w:rsidR="26298FCD" w:rsidP="4819CEFE" w:rsidRDefault="26298FCD" w14:paraId="5DCAF282" w14:textId="09E44AD0">
      <w:pPr>
        <w:pStyle w:val="Normal"/>
        <w:bidi w:val="0"/>
        <w:spacing w:before="0" w:beforeAutospacing="off" w:after="160" w:afterAutospacing="off" w:line="360" w:lineRule="auto"/>
        <w:ind w:left="0" w:right="0"/>
        <w:jc w:val="center"/>
        <w:rPr>
          <w:rFonts w:ascii="Arial" w:hAnsi="Arial" w:eastAsia="Arial" w:cs="Arial"/>
          <w:b w:val="1"/>
          <w:bCs w:val="1"/>
          <w:i w:val="1"/>
          <w:iCs w:val="1"/>
          <w:noProof w:val="0"/>
          <w:sz w:val="28"/>
          <w:szCs w:val="28"/>
          <w:lang w:val="en-GB"/>
        </w:rPr>
      </w:pPr>
    </w:p>
    <w:p w:rsidR="30BDC31C" w:rsidP="4819CEFE" w:rsidRDefault="30BDC31C" w14:paraId="7FB09DEC" w14:textId="2320C603">
      <w:pPr>
        <w:pStyle w:val="Normal"/>
        <w:bidi w:val="0"/>
        <w:spacing w:before="0" w:beforeAutospacing="off" w:after="160" w:afterAutospacing="off" w:line="360" w:lineRule="auto"/>
        <w:ind w:left="0" w:right="0"/>
        <w:jc w:val="left"/>
      </w:pPr>
      <w:r w:rsidRPr="4819CEFE" w:rsidR="4819CEFE">
        <w:rPr>
          <w:rFonts w:ascii="Arial" w:hAnsi="Arial" w:eastAsia="Arial" w:cs="Arial"/>
          <w:b w:val="1"/>
          <w:bCs w:val="1"/>
          <w:i w:val="1"/>
          <w:iCs w:val="1"/>
          <w:noProof w:val="0"/>
          <w:sz w:val="28"/>
          <w:szCs w:val="28"/>
          <w:lang w:val="en-GB"/>
        </w:rPr>
        <w:t>Introduction</w:t>
      </w:r>
    </w:p>
    <w:p w:rsidR="118B0B9E" w:rsidP="4819CEFE" w:rsidRDefault="118B0B9E" w14:paraId="60614339" w14:textId="351646FD">
      <w:pPr>
        <w:spacing w:line="360" w:lineRule="auto"/>
        <w:jc w:val="left"/>
      </w:pPr>
      <w:r w:rsidRPr="4819CEFE" w:rsidR="4819CEFE">
        <w:rPr>
          <w:rFonts w:ascii="Arial" w:hAnsi="Arial" w:eastAsia="Arial" w:cs="Arial"/>
          <w:noProof w:val="0"/>
          <w:sz w:val="22"/>
          <w:szCs w:val="22"/>
          <w:lang w:val="en-GB"/>
        </w:rPr>
        <w:t xml:space="preserve">This contribution aims to accumulate evidence that either argues for or against, the positive impact child-led plenaries surrounding success criteria have on learners and teachers. The issues that interested me were regarding differentiation of effective assessment and how teachers can learn to approach the different needs of learners. Specifically, self-assessment is argued to be a crucial factor in the manifestation of self-regulation amongst students; it encourages the individual to monitor their progress and directs their attention to the established success criteria (Zamora, Suarez, and Ardura 2018). This concept is further supported by a model of learning proposed by Zimmerman (2000, quoted in Zamora, Suarez and Ardura, 2018). This model suggests that secure learning occurs successfully in a cycle of three phases: precedent cognition; independent performance; and then reflect on the performance with a critical eye. Conducting a lesson with self-assessment requires the classroom teacher to solidify what is expected from the pupils to succeed. To do this, a success criterion must be addressed (Sebba, 2008). </w:t>
      </w:r>
    </w:p>
    <w:p w:rsidR="118B0B9E" w:rsidP="4819CEFE" w:rsidRDefault="118B0B9E" w14:paraId="3465A0B8" w14:textId="1143A89A">
      <w:pPr>
        <w:pStyle w:val="Normal"/>
        <w:spacing w:line="360" w:lineRule="auto"/>
        <w:jc w:val="left"/>
      </w:pPr>
      <w:r w:rsidRPr="4819CEFE" w:rsidR="4819CEFE">
        <w:rPr>
          <w:rFonts w:ascii="Arial" w:hAnsi="Arial" w:eastAsia="Arial" w:cs="Arial"/>
          <w:noProof w:val="0"/>
          <w:sz w:val="22"/>
          <w:szCs w:val="22"/>
          <w:lang w:val="en-GB"/>
        </w:rPr>
        <w:t>I and my research partner have designed and conducted one lesson study each within our subject professions; Art &amp; Mathematics; to investigate this issue. The study was conducted within a local, urban secondary school that accepts pupils from a large catchment. Many of whom are considered coming from low-income families. Our selected classes consisted of mixed ability pupils in Year 8, all of which demonstrate a wide range of skills in both subject areas. We implemented a success criterion; inspired by research; to ensure that pupils could understand how to formally self-assess their work. This criterion was discussed as a class and was readily available for pupils to refer to throughout both lessons. It is worth to note that the success criterion for Art was different from that of my partners, in Mathematics. But both served as a guide or checklist to inform our pupils what they should concentrate most on (see Appendix 5). By encouraging the pupils to step into the teacher's shoes, figuratively speaking, we aimed to help develop their perception of self-efficacy. Doing so has been linked to helping pupils' approach more difficult tasks with less anxiety and stress (Coronado-</w:t>
      </w:r>
      <w:proofErr w:type="spellStart"/>
      <w:r w:rsidRPr="4819CEFE" w:rsidR="4819CEFE">
        <w:rPr>
          <w:rFonts w:ascii="Arial" w:hAnsi="Arial" w:eastAsia="Arial" w:cs="Arial"/>
          <w:noProof w:val="0"/>
          <w:sz w:val="22"/>
          <w:szCs w:val="22"/>
          <w:lang w:val="en-GB"/>
        </w:rPr>
        <w:t>Aliegro</w:t>
      </w:r>
      <w:proofErr w:type="spellEnd"/>
      <w:r w:rsidRPr="4819CEFE" w:rsidR="4819CEFE">
        <w:rPr>
          <w:rFonts w:ascii="Arial" w:hAnsi="Arial" w:eastAsia="Arial" w:cs="Arial"/>
          <w:noProof w:val="0"/>
          <w:sz w:val="22"/>
          <w:szCs w:val="22"/>
          <w:lang w:val="en-GB"/>
        </w:rPr>
        <w:t>, 2006).</w:t>
      </w:r>
    </w:p>
    <w:p w:rsidR="793A8BCE" w:rsidP="24740B6D" w:rsidRDefault="793A8BCE" w14:paraId="72FD1955" w14:textId="073E3EEA">
      <w:pPr>
        <w:spacing w:line="360" w:lineRule="auto"/>
        <w:jc w:val="left"/>
        <w:rPr>
          <w:rFonts w:ascii="Arial" w:hAnsi="Arial" w:eastAsia="Arial" w:cs="Arial"/>
          <w:b w:val="1"/>
          <w:bCs w:val="1"/>
          <w:i w:val="1"/>
          <w:iCs w:val="1"/>
          <w:noProof w:val="0"/>
          <w:sz w:val="28"/>
          <w:szCs w:val="28"/>
          <w:lang w:val="en-GB"/>
        </w:rPr>
      </w:pPr>
      <w:r w:rsidRPr="24740B6D" w:rsidR="24740B6D">
        <w:rPr>
          <w:rFonts w:ascii="Arial" w:hAnsi="Arial" w:eastAsia="Arial" w:cs="Arial"/>
          <w:b w:val="1"/>
          <w:bCs w:val="1"/>
          <w:i w:val="1"/>
          <w:iCs w:val="1"/>
          <w:noProof w:val="0"/>
          <w:sz w:val="28"/>
          <w:szCs w:val="28"/>
          <w:lang w:val="en-GB"/>
        </w:rPr>
        <w:t>Literature Overview</w:t>
      </w:r>
    </w:p>
    <w:p w:rsidR="6A47AF9C" w:rsidP="4819CEFE" w:rsidRDefault="6A47AF9C" w14:paraId="586FCF7E" w14:textId="7A37857A">
      <w:pPr>
        <w:pStyle w:val="Normal"/>
        <w:spacing w:line="360" w:lineRule="auto"/>
        <w:jc w:val="left"/>
        <w:rPr>
          <w:rFonts w:ascii="Arial" w:hAnsi="Arial" w:eastAsia="Arial" w:cs="Arial"/>
          <w:noProof w:val="0"/>
          <w:sz w:val="22"/>
          <w:szCs w:val="22"/>
          <w:lang w:val="en-GB"/>
        </w:rPr>
      </w:pPr>
      <w:r w:rsidRPr="4819CEFE" w:rsidR="4819CEFE">
        <w:rPr>
          <w:rFonts w:ascii="Arial" w:hAnsi="Arial" w:eastAsia="Arial" w:cs="Arial"/>
          <w:noProof w:val="0"/>
          <w:sz w:val="22"/>
          <w:szCs w:val="22"/>
          <w:lang w:val="en-GB"/>
        </w:rPr>
        <w:t>I investigated child-led learning before this study to inform our design of the lesson itself. It is claimed that creative thinking amongst students has fallen to neglect in modern education (Lear, 2015). Modes of learning tend to conform to the monotonous approach of direct teaching, therefore, subduing potential for innovation in pedagogy. This does not consider what kind of learning best suits the individual needs of the student (Lash, 2003). It is further supported by a theory by Dr Edward de Bono (1970) that illuminates the importance of encouraging more lateral ways of thinking to combat problem-solving in education. It argues to also enable independence in students and their learning. Whilst discovering this information, it became apparent to me that students may benefit from more opportunities to lead their learning. Though this recommendation is not recent, it is further recently explored by Beadle (2012, quoted by Pittam, 2015) who argues that tasks or plenaries that encourage students to broaden their perception of the lesson objective increase their motivation to actively engage within the subject and make new connections. However, this statement is debatable due to the numerous varieties of individual learner attitudes and abilities. Independent tasks may only benefit pupils who have the confidence in self-management, and the intrinsic motivation; perhaps peer collaboration would be a good way to start.</w:t>
      </w:r>
    </w:p>
    <w:p w:rsidR="3DF9E827" w:rsidP="4819CEFE" w:rsidRDefault="3DF9E827" w14:paraId="0CDFC86B" w14:textId="69745D1C">
      <w:pPr>
        <w:pStyle w:val="Normal"/>
        <w:spacing w:line="360" w:lineRule="auto"/>
        <w:jc w:val="left"/>
        <w:rPr>
          <w:rFonts w:ascii="Arial" w:hAnsi="Arial" w:eastAsia="Arial" w:cs="Arial"/>
          <w:noProof w:val="0"/>
          <w:sz w:val="22"/>
          <w:szCs w:val="22"/>
          <w:lang w:val="en-GB"/>
        </w:rPr>
      </w:pPr>
      <w:r w:rsidRPr="4819CEFE" w:rsidR="4819CEFE">
        <w:rPr>
          <w:rFonts w:ascii="Arial" w:hAnsi="Arial" w:eastAsia="Arial" w:cs="Arial"/>
          <w:noProof w:val="0"/>
          <w:sz w:val="22"/>
          <w:szCs w:val="22"/>
          <w:lang w:val="en-GB"/>
        </w:rPr>
        <w:t>Furthermore, before the Teacher can develop such creative and independent problem-solving abilities within the students, they must make sure that their abilities are not suppressed (Department for Education &amp; Employment, 1999). Consequently, a successful teacher, in any subject, will be able to instil courage in the youth to believe in their potential and unique abilities. These attributes can be imbued through independent learning, therefore, developing the youth into autonomous, aspirational and admirable citizens; which marry well with the Six Areas of the PLTS Framework explored further by Gilbert (2010). These six areas include supporting students into self-managing, creative and reflective learners. It is argued that to do this, the learner requires opportunities to take on new responsibilities and communicate in a variety of scenarios. “When learners take true responsibility for their learning, they will seek out educational experiences that will keep them motivated to continue learning” (Lash, 2003, p. 10). Using a task that places the student in the Teacher’s shoes would be a creative way to encourage this development of desirable attributes. It takes inspiration from the Mantle of the Expert approach whereby the pupil is placed in the centre of the learning and takes on a fictional identity to learn from (Heathcote,1995).</w:t>
      </w:r>
    </w:p>
    <w:p w:rsidR="3DF9E827" w:rsidP="4819CEFE" w:rsidRDefault="3DF9E827" w14:paraId="552E654C" w14:textId="29AB8CCC">
      <w:pPr>
        <w:pStyle w:val="Normal"/>
        <w:spacing w:line="360" w:lineRule="auto"/>
        <w:jc w:val="left"/>
        <w:rPr>
          <w:rFonts w:ascii="Arial" w:hAnsi="Arial" w:eastAsia="Arial" w:cs="Arial"/>
          <w:noProof w:val="0"/>
          <w:sz w:val="22"/>
          <w:szCs w:val="22"/>
          <w:lang w:val="en-GB"/>
        </w:rPr>
      </w:pPr>
      <w:r w:rsidRPr="4819CEFE" w:rsidR="4819CEFE">
        <w:rPr>
          <w:rFonts w:ascii="Arial" w:hAnsi="Arial" w:eastAsia="Arial" w:cs="Arial"/>
          <w:noProof w:val="0"/>
          <w:sz w:val="22"/>
          <w:szCs w:val="22"/>
          <w:lang w:val="en-GB"/>
        </w:rPr>
        <w:t>Despite the argued benefits of student-led learning, there are limitations to the extent to which this can be generalised to every pupil and every teacher. Student-centred learning lacks the legitimacy that direct teaching has. Therefore, the morale amongst some students may not be adequate as they may perceive their self-directed learning as insufficient (Bernot &amp; Metzler, 2014), this can be problematic for both the student and teacher. For this reason, it is still mandatory to incorporate support from the Teacher to help reinforce security in decision making and self-management. Executing a child-led activity can be a precarious endeavour for the Teacher, as studies have revealed that it can mitigate learning difficulties (Liberto, 2016). Students all have their unique learning approaches, or modus operandi and child-led learning cannot be expected to reap the same benefits across the board. Therefore, we must make sure that the Teacher remains available and supportive throughout child-led activities.</w:t>
      </w:r>
    </w:p>
    <w:p w:rsidR="2ADA70B7" w:rsidP="4819CEFE" w:rsidRDefault="2ADA70B7" w14:paraId="262B64BA" w14:textId="2462EF18">
      <w:pPr>
        <w:pStyle w:val="Normal"/>
        <w:spacing w:line="360" w:lineRule="auto"/>
        <w:jc w:val="left"/>
      </w:pPr>
      <w:r w:rsidRPr="4819CEFE" w:rsidR="4819CEFE">
        <w:rPr>
          <w:rFonts w:ascii="Arial" w:hAnsi="Arial" w:eastAsia="Arial" w:cs="Arial"/>
          <w:noProof w:val="0"/>
          <w:sz w:val="22"/>
          <w:szCs w:val="22"/>
          <w:lang w:val="en-GB"/>
        </w:rPr>
        <w:t xml:space="preserve">Additionally, there is a belief that secondary knowledge; academic competencies; are much more challenging for youth to acquire on their own (Geary, quoted by Severs, 2019). The teacher must be the one to initiate these cognitive structures, before they can continue to build. Even so, it is fundamental for the learners to be securely engaged and have the motivation to approach new and complex challenges. Studies suggest that there is a key difference in performance-orientated learning because pupils may not regard their learning as a continuous process. Instead, they perceive it as a competition between peers (Bonnett, Yuill &amp; </w:t>
      </w:r>
      <w:proofErr w:type="spellStart"/>
      <w:r w:rsidRPr="4819CEFE" w:rsidR="4819CEFE">
        <w:rPr>
          <w:rFonts w:ascii="Arial" w:hAnsi="Arial" w:eastAsia="Arial" w:cs="Arial"/>
          <w:noProof w:val="0"/>
          <w:sz w:val="22"/>
          <w:szCs w:val="22"/>
          <w:lang w:val="en-GB"/>
        </w:rPr>
        <w:t>Carr</w:t>
      </w:r>
      <w:proofErr w:type="spellEnd"/>
      <w:r w:rsidRPr="4819CEFE" w:rsidR="4819CEFE">
        <w:rPr>
          <w:rFonts w:ascii="Arial" w:hAnsi="Arial" w:eastAsia="Arial" w:cs="Arial"/>
          <w:noProof w:val="0"/>
          <w:sz w:val="22"/>
          <w:szCs w:val="22"/>
          <w:lang w:val="en-GB"/>
        </w:rPr>
        <w:t xml:space="preserve">, 2017) and a battle against failures to the difficulty of the work. Those pupils who succumb to performance-orientated learning may dedicate more time comparing their work with their peers; this makes them susceptible to missing cues concerning their learning and support. Therefore, it is important to encourage a mastery-orientation attitude within the class so that pupils believe that success can be achieved with persistence and effort (Grant &amp; Dweck, 2003). This directs the pupil to prioritise their self-set standards, and securely acquiring new knowledge. </w:t>
      </w:r>
    </w:p>
    <w:p w:rsidR="4FCAF1C9" w:rsidP="4819CEFE" w:rsidRDefault="4FCAF1C9" w14:paraId="4CBA3EBF" w14:textId="2C8EA9BF">
      <w:pPr>
        <w:pStyle w:val="Normal"/>
        <w:spacing w:line="360" w:lineRule="auto"/>
        <w:jc w:val="left"/>
        <w:rPr>
          <w:rFonts w:ascii="Arial" w:hAnsi="Arial" w:eastAsia="Arial" w:cs="Arial"/>
          <w:i w:val="0"/>
          <w:iCs w:val="0"/>
          <w:noProof w:val="0"/>
          <w:sz w:val="22"/>
          <w:szCs w:val="22"/>
          <w:lang w:val="en-GB"/>
        </w:rPr>
      </w:pPr>
      <w:r w:rsidRPr="4819CEFE" w:rsidR="4819CEFE">
        <w:rPr>
          <w:rFonts w:ascii="Arial" w:hAnsi="Arial" w:eastAsia="Arial" w:cs="Arial"/>
          <w:noProof w:val="0"/>
          <w:sz w:val="22"/>
          <w:szCs w:val="22"/>
          <w:lang w:val="en-GB"/>
        </w:rPr>
        <w:t xml:space="preserve">Furthermore, a child’s level of development can be viewed in two different ways; the </w:t>
      </w:r>
      <w:r w:rsidRPr="4819CEFE" w:rsidR="4819CEFE">
        <w:rPr>
          <w:rFonts w:ascii="Arial" w:hAnsi="Arial" w:eastAsia="Arial" w:cs="Arial"/>
          <w:i w:val="1"/>
          <w:iCs w:val="1"/>
          <w:noProof w:val="0"/>
          <w:sz w:val="22"/>
          <w:szCs w:val="22"/>
          <w:lang w:val="en-GB"/>
        </w:rPr>
        <w:t>actual level</w:t>
      </w:r>
      <w:r w:rsidRPr="4819CEFE" w:rsidR="4819CEFE">
        <w:rPr>
          <w:rFonts w:ascii="Arial" w:hAnsi="Arial" w:eastAsia="Arial" w:cs="Arial"/>
          <w:noProof w:val="0"/>
          <w:sz w:val="22"/>
          <w:szCs w:val="22"/>
          <w:lang w:val="en-GB"/>
        </w:rPr>
        <w:t xml:space="preserve"> and the </w:t>
      </w:r>
      <w:r w:rsidRPr="4819CEFE" w:rsidR="4819CEFE">
        <w:rPr>
          <w:rFonts w:ascii="Arial" w:hAnsi="Arial" w:eastAsia="Arial" w:cs="Arial"/>
          <w:i w:val="1"/>
          <w:iCs w:val="1"/>
          <w:noProof w:val="0"/>
          <w:sz w:val="22"/>
          <w:szCs w:val="22"/>
          <w:lang w:val="en-GB"/>
        </w:rPr>
        <w:t xml:space="preserve">potential level </w:t>
      </w:r>
      <w:r w:rsidRPr="4819CEFE" w:rsidR="4819CEFE">
        <w:rPr>
          <w:rFonts w:ascii="Arial" w:hAnsi="Arial" w:eastAsia="Arial" w:cs="Arial"/>
          <w:i w:val="0"/>
          <w:iCs w:val="0"/>
          <w:noProof w:val="0"/>
          <w:sz w:val="22"/>
          <w:szCs w:val="22"/>
          <w:lang w:val="en-GB"/>
        </w:rPr>
        <w:t xml:space="preserve">(Rogoff &amp; Wertsch, 1984, quoted by Jadallah et al, 2011). The actual level is calculated on the child’s ability to complete a task independently, on the other hand, the potential level is the child’s ability to work and achieve alongside the guidance of an adult or in collaboration. With a combination of peer collaboration, group discussions and instructional scaffolding, the potential level of achievement for each student can be increased; as investigated by </w:t>
      </w:r>
      <w:proofErr w:type="spellStart"/>
      <w:r w:rsidRPr="4819CEFE" w:rsidR="4819CEFE">
        <w:rPr>
          <w:rFonts w:ascii="Arial" w:hAnsi="Arial" w:eastAsia="Arial" w:cs="Arial"/>
          <w:i w:val="0"/>
          <w:iCs w:val="0"/>
          <w:noProof w:val="0"/>
          <w:sz w:val="22"/>
          <w:szCs w:val="22"/>
          <w:lang w:val="en-GB"/>
        </w:rPr>
        <w:t>Sarikas</w:t>
      </w:r>
      <w:proofErr w:type="spellEnd"/>
      <w:r w:rsidRPr="4819CEFE" w:rsidR="4819CEFE">
        <w:rPr>
          <w:rFonts w:ascii="Arial" w:hAnsi="Arial" w:eastAsia="Arial" w:cs="Arial"/>
          <w:i w:val="0"/>
          <w:iCs w:val="0"/>
          <w:noProof w:val="0"/>
          <w:sz w:val="22"/>
          <w:szCs w:val="22"/>
          <w:lang w:val="en-GB"/>
        </w:rPr>
        <w:t xml:space="preserve"> (2020) and her observations in the Zones of Proximal Development (ZPD). Therefore, within our investigation in the effects of child-led plenaries on student progress, the teacher must maintain an awareness of the ZPD for every student so that their teaching methods may adapt along the way.</w:t>
      </w:r>
    </w:p>
    <w:p w:rsidR="3DF9E827" w:rsidP="4819CEFE" w:rsidRDefault="3DF9E827" w14:paraId="76E2D782" w14:textId="072E1E12">
      <w:pPr>
        <w:spacing w:line="360" w:lineRule="auto"/>
        <w:jc w:val="left"/>
        <w:rPr>
          <w:rFonts w:ascii="Arial" w:hAnsi="Arial" w:eastAsia="Arial" w:cs="Arial"/>
          <w:b w:val="1"/>
          <w:bCs w:val="1"/>
          <w:i w:val="1"/>
          <w:iCs w:val="1"/>
          <w:noProof w:val="0"/>
          <w:sz w:val="28"/>
          <w:szCs w:val="28"/>
          <w:lang w:val="en-GB"/>
        </w:rPr>
      </w:pPr>
      <w:r w:rsidRPr="4819CEFE" w:rsidR="4819CEFE">
        <w:rPr>
          <w:rFonts w:ascii="Arial" w:hAnsi="Arial" w:eastAsia="Arial" w:cs="Arial"/>
          <w:b w:val="1"/>
          <w:bCs w:val="1"/>
          <w:i w:val="1"/>
          <w:iCs w:val="1"/>
          <w:noProof w:val="0"/>
          <w:sz w:val="28"/>
          <w:szCs w:val="28"/>
          <w:lang w:val="en-GB"/>
        </w:rPr>
        <w:t>Method</w:t>
      </w:r>
    </w:p>
    <w:p w:rsidR="4FCAF1C9" w:rsidP="4819CEFE" w:rsidRDefault="4FCAF1C9" w14:paraId="12E68717" w14:textId="6E4C54AC">
      <w:pPr>
        <w:spacing w:line="360" w:lineRule="auto"/>
        <w:jc w:val="left"/>
      </w:pPr>
      <w:r w:rsidRPr="4819CEFE" w:rsidR="4819CEFE">
        <w:rPr>
          <w:rFonts w:ascii="Arial" w:hAnsi="Arial" w:eastAsia="Arial" w:cs="Arial"/>
          <w:noProof w:val="0"/>
          <w:sz w:val="22"/>
          <w:szCs w:val="22"/>
          <w:lang w:val="en-GB"/>
        </w:rPr>
        <w:t>Within the field of education, there is a constant effort to improve and innovate the curriculum and accelerate academic attainment in the learners. One way to investigate achieving this is by utilising a research lesson. A research lesson enables Teachers to collaborate with observing peer/s and directly focus on pupil responses within their natural classroom experiences. They will plan, teach, observe and analyse lessons throughout this process to deepen understanding of how pupils learn (Dudley, 2014). This bottom-up procedure is relatively linear as the lesson remains uninterrupted and the observer/s follow a predetermined schedule that divides attention to various aspects of the naturalistic classroom scenario. This is an opportunity for Teachers to collaboratively solve a problem and actively improve their pedagogical practises (Özdemir, 2019).</w:t>
      </w:r>
    </w:p>
    <w:p w:rsidR="3DF9E827" w:rsidP="4819CEFE" w:rsidRDefault="3DF9E827" w14:paraId="7F04C557" w14:textId="6CCBE310">
      <w:pPr>
        <w:pStyle w:val="Normal"/>
        <w:spacing w:after="160" w:line="360" w:lineRule="auto"/>
        <w:jc w:val="left"/>
      </w:pPr>
      <w:r w:rsidRPr="4819CEFE" w:rsidR="4819CEFE">
        <w:rPr>
          <w:rFonts w:ascii="Arial" w:hAnsi="Arial" w:eastAsia="Arial" w:cs="Arial"/>
          <w:noProof w:val="0"/>
          <w:sz w:val="22"/>
          <w:szCs w:val="22"/>
          <w:lang w:val="en-GB"/>
        </w:rPr>
        <w:t xml:space="preserve">Our research activity aimed to investigate how student performance and confidence is affected by using Success Criteria within lesson plans. Once the Success Criteria was introduced, the Teacher clarified each criterion to ensure a secure understanding. Afterwards, the teacher shared two examples of work from another class and challenges all students to grade both based on the Success Criteria. They discussed as a class, and this encouraged them to think in the Teachers shoes and practise constructive critique. As argued by </w:t>
      </w:r>
      <w:proofErr w:type="spellStart"/>
      <w:r w:rsidRPr="4819CEFE" w:rsidR="4819CEFE">
        <w:rPr>
          <w:rFonts w:ascii="Arial" w:hAnsi="Arial" w:eastAsia="Arial" w:cs="Arial"/>
          <w:noProof w:val="0"/>
          <w:sz w:val="22"/>
          <w:szCs w:val="22"/>
          <w:lang w:val="en-GB"/>
        </w:rPr>
        <w:t>Japa</w:t>
      </w:r>
      <w:proofErr w:type="spellEnd"/>
      <w:r w:rsidRPr="4819CEFE" w:rsidR="4819CEFE">
        <w:rPr>
          <w:rFonts w:ascii="Arial" w:hAnsi="Arial" w:eastAsia="Arial" w:cs="Arial"/>
          <w:noProof w:val="0"/>
          <w:sz w:val="22"/>
          <w:szCs w:val="22"/>
          <w:lang w:val="en-GB"/>
        </w:rPr>
        <w:t xml:space="preserve"> &amp; Diputa (2014, quoted by Diputa et al, 2019); the competence of teachers has a direct impact on the competence of students. The Teacher then continues to inform how the examples were assessed and confirm what criterion was achieved or missed.</w:t>
      </w:r>
    </w:p>
    <w:p w:rsidR="3DF9E827" w:rsidP="4819CEFE" w:rsidRDefault="3DF9E827" w14:paraId="0E62983E" w14:textId="755C26BA">
      <w:pPr>
        <w:pStyle w:val="Normal"/>
        <w:spacing w:after="160" w:line="360" w:lineRule="auto"/>
        <w:jc w:val="left"/>
      </w:pPr>
      <w:r w:rsidRPr="4819CEFE" w:rsidR="4819CEFE">
        <w:rPr>
          <w:rFonts w:ascii="Arial" w:hAnsi="Arial" w:eastAsia="Arial" w:cs="Arial"/>
          <w:noProof w:val="0"/>
          <w:sz w:val="22"/>
          <w:szCs w:val="22"/>
          <w:lang w:val="en-GB"/>
        </w:rPr>
        <w:t>During the lesson study, the observing researcher observed three students within their natural classroom environment. These three pupils were identified according to their subject ability; the first was considered high ability (target A*/B), the second was middle ability (target C/D), and the third was lower ability (target E/F). The observer wrote notes on how the focus group (3 pupils) operated and collaborated with the Success Criteria throughout the lesson. The observer maintained a covert guise to avoid influencing student behaviour as much as possible. Both lesson studies concluded with focus group interviews which remained informal in style and lasted no longer than 15 minutes. Both researchers obtained a qualitative collection of data which was immediately revised and analysed in a discussion.</w:t>
      </w:r>
    </w:p>
    <w:p w:rsidR="6A47AF9C" w:rsidP="4819CEFE" w:rsidRDefault="6A47AF9C" w14:paraId="5DE58450" w14:textId="50A23111">
      <w:pPr>
        <w:pStyle w:val="Normal"/>
        <w:spacing w:line="360" w:lineRule="auto"/>
        <w:jc w:val="left"/>
        <w:rPr>
          <w:rFonts w:ascii="Arial" w:hAnsi="Arial" w:eastAsia="Arial" w:cs="Arial"/>
          <w:noProof w:val="0"/>
          <w:sz w:val="22"/>
          <w:szCs w:val="22"/>
          <w:lang w:val="en-GB"/>
        </w:rPr>
      </w:pPr>
      <w:r w:rsidRPr="4819CEFE" w:rsidR="4819CEFE">
        <w:rPr>
          <w:rFonts w:ascii="Arial" w:hAnsi="Arial" w:eastAsia="Arial" w:cs="Arial"/>
          <w:noProof w:val="0"/>
          <w:sz w:val="22"/>
          <w:szCs w:val="22"/>
          <w:lang w:val="en-GB"/>
        </w:rPr>
        <w:t>Moreover, it is argued that Lesson Studies are advantageous for the Teacher as they attain a “forensic visibility” of case pupil attitudes and behaviours (Dudley,2014). This is, figuratively, an x-ray scan of learners' true individual capabilities, which may contradict previous judgements or expectations. Previous experiences have enlightened on the phenomenon that pupils can be underestimated on their subject abilities due to continued low expectations and the subsequent low self-esteem (Dudley, 2013). This is detrimental to the progression of pupils and can be resolved and prevented through consistent and illuminating lesson studies. However, it is up to the Teacher to apprehend this issue once it has been recorded in the Lesson Study. The rectification of student progress afterwards relies on the enhancement of the Teacher’s professional development during the investigation (Cheung &amp; Wong, 2014).</w:t>
      </w:r>
    </w:p>
    <w:p w:rsidR="7F5FA3B3" w:rsidP="4819CEFE" w:rsidRDefault="7F5FA3B3" w14:paraId="4F4CCAD5" w14:textId="58DA05EE">
      <w:pPr>
        <w:pStyle w:val="Normal"/>
        <w:spacing w:line="360" w:lineRule="auto"/>
        <w:jc w:val="left"/>
        <w:rPr>
          <w:rFonts w:ascii="Arial" w:hAnsi="Arial" w:eastAsia="Arial" w:cs="Arial"/>
          <w:noProof w:val="0"/>
          <w:sz w:val="22"/>
          <w:szCs w:val="22"/>
          <w:lang w:val="en-GB"/>
        </w:rPr>
      </w:pPr>
      <w:r w:rsidRPr="4819CEFE" w:rsidR="4819CEFE">
        <w:rPr>
          <w:rFonts w:ascii="Arial" w:hAnsi="Arial" w:eastAsia="Arial" w:cs="Arial"/>
          <w:noProof w:val="0"/>
          <w:sz w:val="22"/>
          <w:szCs w:val="22"/>
          <w:lang w:val="en-GB"/>
        </w:rPr>
        <w:t xml:space="preserve">On the other hand, during this research, we were aware of the potential limitations caused by using observation as a research method. One of which is that there is a susceptibility to bias observations (Simpson &amp; </w:t>
      </w:r>
      <w:proofErr w:type="spellStart"/>
      <w:r w:rsidRPr="4819CEFE" w:rsidR="4819CEFE">
        <w:rPr>
          <w:rFonts w:ascii="Arial" w:hAnsi="Arial" w:eastAsia="Arial" w:cs="Arial"/>
          <w:noProof w:val="0"/>
          <w:sz w:val="22"/>
          <w:szCs w:val="22"/>
          <w:lang w:val="en-GB"/>
        </w:rPr>
        <w:t>Tuson</w:t>
      </w:r>
      <w:proofErr w:type="spellEnd"/>
      <w:r w:rsidRPr="4819CEFE" w:rsidR="4819CEFE">
        <w:rPr>
          <w:rFonts w:ascii="Arial" w:hAnsi="Arial" w:eastAsia="Arial" w:cs="Arial"/>
          <w:noProof w:val="0"/>
          <w:sz w:val="22"/>
          <w:szCs w:val="22"/>
          <w:lang w:val="en-GB"/>
        </w:rPr>
        <w:t>, 2003). This is when the observing researcher records their perception or assumption of an event as opposed to recording an event with impartial judgment. To counteract this issue, I and my research partner discussed the importance of dissociating any expectations of the pupils. Our observation schedule (seen in appendices 1 &amp; 3) consists of instructions to investigate areas throughout the lesson study, using this template, our notes are guided into a more neutral acquisition of data. However, despite this effort, there may still be room for unintentional bias data during the observation. This is known as “confirmation bias” and happens when the researcher interprets data that favours the hypothesis (Shah, 2019). We took measures to reduce this issue and were careful to consider every aspect of the data obtained. Unfortunately, it is argued to be impossible to eliminate bias judgements, but actions can be taken to mitigate it (Jones, 2019). Due to this concern, we maintained a criticality of all data we recorded and questioned the reliability consistently.</w:t>
      </w:r>
    </w:p>
    <w:p w:rsidR="26298FCD" w:rsidP="4819CEFE" w:rsidRDefault="26298FCD" w14:paraId="713E216A" w14:textId="04AF4BF2">
      <w:pPr>
        <w:pStyle w:val="Normal"/>
        <w:spacing w:before="0" w:beforeAutospacing="off" w:after="160" w:afterAutospacing="off" w:line="360" w:lineRule="auto"/>
        <w:ind w:left="0" w:right="0"/>
        <w:jc w:val="left"/>
        <w:rPr>
          <w:rFonts w:ascii="Arial" w:hAnsi="Arial" w:eastAsia="Arial" w:cs="Arial"/>
          <w:noProof w:val="0"/>
          <w:sz w:val="22"/>
          <w:szCs w:val="22"/>
          <w:lang w:val="en-GB"/>
        </w:rPr>
      </w:pPr>
      <w:r w:rsidRPr="4819CEFE" w:rsidR="4819CEFE">
        <w:rPr>
          <w:rFonts w:ascii="Arial" w:hAnsi="Arial" w:eastAsia="Arial" w:cs="Arial"/>
          <w:noProof w:val="0"/>
          <w:sz w:val="22"/>
          <w:szCs w:val="22"/>
          <w:lang w:val="en-GB"/>
        </w:rPr>
        <w:t xml:space="preserve">Finally, the Lesson Study’s both conclude with focus group interviews. These consist of semi-structured questions which allow more open-ended responses from the selected participants. It was important to myself and my research partner that our participants felt comfortable to hold a qualitative two-way conversation and not believe that they had to cater their response to certain expectations. As argued by Lucas (2005, pg.42), “taking notes sends a message to the people being interviewed that what they say is important enough to write down”. Therefore, the participants would be likely to feel more obligated to provide valuable information. </w:t>
      </w:r>
    </w:p>
    <w:p w:rsidR="1D3E97EC" w:rsidP="4819CEFE" w:rsidRDefault="1D3E97EC" w14:paraId="48DE0A5A" w14:textId="3C4225A5">
      <w:pPr>
        <w:spacing w:line="360" w:lineRule="auto"/>
        <w:ind/>
        <w:jc w:val="left"/>
        <w:rPr>
          <w:rFonts w:ascii="Arial" w:hAnsi="Arial" w:eastAsia="Arial" w:cs="Arial"/>
          <w:b w:val="1"/>
          <w:bCs w:val="1"/>
          <w:i w:val="1"/>
          <w:iCs w:val="1"/>
          <w:noProof w:val="0"/>
          <w:sz w:val="28"/>
          <w:szCs w:val="28"/>
          <w:lang w:val="en-GB"/>
        </w:rPr>
      </w:pPr>
      <w:r w:rsidRPr="4819CEFE" w:rsidR="4819CEFE">
        <w:rPr>
          <w:rFonts w:ascii="Arial" w:hAnsi="Arial" w:eastAsia="Arial" w:cs="Arial"/>
          <w:b w:val="1"/>
          <w:bCs w:val="1"/>
          <w:i w:val="1"/>
          <w:iCs w:val="1"/>
          <w:noProof w:val="0"/>
          <w:sz w:val="28"/>
          <w:szCs w:val="28"/>
          <w:lang w:val="en-GB"/>
        </w:rPr>
        <w:t>Ethical Considerations</w:t>
      </w:r>
    </w:p>
    <w:p w:rsidR="30BDC31C" w:rsidP="4819CEFE" w:rsidRDefault="30BDC31C" w14:paraId="5C6D4606" w14:textId="23D11E7C">
      <w:pPr>
        <w:pStyle w:val="Normal"/>
        <w:spacing w:line="360" w:lineRule="auto"/>
        <w:ind w:firstLine="0"/>
        <w:jc w:val="left"/>
        <w:rPr>
          <w:rFonts w:ascii="Arial" w:hAnsi="Arial" w:eastAsia="Arial" w:cs="Arial"/>
          <w:noProof w:val="0"/>
          <w:sz w:val="22"/>
          <w:szCs w:val="22"/>
          <w:lang w:val="en-GB"/>
        </w:rPr>
      </w:pPr>
      <w:r w:rsidRPr="4819CEFE" w:rsidR="4819CEFE">
        <w:rPr>
          <w:rFonts w:ascii="Arial" w:hAnsi="Arial" w:eastAsia="Arial" w:cs="Arial"/>
          <w:noProof w:val="0"/>
          <w:sz w:val="22"/>
          <w:szCs w:val="22"/>
          <w:lang w:val="en-GB"/>
        </w:rPr>
        <w:t xml:space="preserve">Before conducting this investigation, there were several ethical considerations related to classroom research that we had to be aware of. As a principal researcher, ethical approval is mandatory and to obtain it we became acutely aware of the UWTSD Research Ethics &amp; Integrity Code of Practise (2017-20), UWTSD Research Data Management Policy and the BERA (2018) guidance materials. Moreover, risks to participants, investigators, and the University were addressed in advance so that appropriate actions can be taken to mitigate them.  </w:t>
      </w:r>
    </w:p>
    <w:p w:rsidR="30BDC31C" w:rsidP="4819CEFE" w:rsidRDefault="30BDC31C" w14:paraId="3068DCA5" w14:textId="66C0A336">
      <w:pPr>
        <w:pStyle w:val="Normal"/>
        <w:spacing w:line="360" w:lineRule="auto"/>
        <w:ind w:firstLine="0"/>
        <w:jc w:val="left"/>
        <w:rPr>
          <w:rFonts w:ascii="Arial" w:hAnsi="Arial" w:eastAsia="Arial" w:cs="Arial"/>
          <w:noProof w:val="0"/>
          <w:sz w:val="22"/>
          <w:szCs w:val="22"/>
          <w:lang w:val="en-GB"/>
        </w:rPr>
      </w:pPr>
      <w:r w:rsidRPr="4819CEFE" w:rsidR="4819CEFE">
        <w:rPr>
          <w:rFonts w:ascii="Arial" w:hAnsi="Arial" w:eastAsia="Arial" w:cs="Arial"/>
          <w:noProof w:val="0"/>
          <w:sz w:val="22"/>
          <w:szCs w:val="22"/>
          <w:lang w:val="en-GB"/>
        </w:rPr>
        <w:t>For the confidentiality of our participants, we took the required precautions to ensure the safety of the pupils and their confidential information. To do this, names were not recorded upon data acquisition. We referred to the participants as “Pupil A, B &amp; C”. The raw data that was obtained remained only in the possession of myself and my research partner and securely kept on an encrypted USB drive.</w:t>
      </w:r>
    </w:p>
    <w:p w:rsidR="26298FCD" w:rsidP="4819CEFE" w:rsidRDefault="26298FCD" w14:paraId="6A098125" w14:textId="08EEF42A">
      <w:pPr>
        <w:pStyle w:val="Normal"/>
        <w:bidi w:val="0"/>
        <w:spacing w:before="0" w:beforeAutospacing="off" w:after="160" w:afterAutospacing="off" w:line="360" w:lineRule="auto"/>
        <w:ind w:left="0" w:right="0"/>
        <w:jc w:val="left"/>
      </w:pPr>
      <w:r w:rsidRPr="4819CEFE" w:rsidR="4819CEFE">
        <w:rPr>
          <w:rFonts w:ascii="Arial" w:hAnsi="Arial" w:eastAsia="Arial" w:cs="Arial"/>
          <w:b w:val="1"/>
          <w:bCs w:val="1"/>
          <w:i w:val="1"/>
          <w:iCs w:val="1"/>
          <w:noProof w:val="0"/>
          <w:sz w:val="28"/>
          <w:szCs w:val="28"/>
          <w:lang w:val="en-GB"/>
        </w:rPr>
        <w:t>Lesson Study Findings and Analysis: Art</w:t>
      </w:r>
    </w:p>
    <w:p w:rsidR="7F98A8D3" w:rsidP="4819CEFE" w:rsidRDefault="7F98A8D3" w14:paraId="089EEE10" w14:textId="025AA6ED">
      <w:pPr>
        <w:spacing w:line="360" w:lineRule="auto"/>
        <w:jc w:val="left"/>
      </w:pPr>
      <w:r w:rsidRPr="4819CEFE" w:rsidR="4819CEFE">
        <w:rPr>
          <w:rFonts w:ascii="Arial" w:hAnsi="Arial" w:eastAsia="Arial" w:cs="Arial"/>
          <w:noProof w:val="0"/>
          <w:sz w:val="22"/>
          <w:szCs w:val="22"/>
          <w:lang w:val="en-GB"/>
        </w:rPr>
        <w:t xml:space="preserve">In the Art lesson, the learning objectives were to begin painting the clay sculptures that the pupils had created weeks before and then bring to life with colours, textures and detail. Aspects of this lesson objective were considered simple and were easily demonstrated by the students, however, adding texture and detail was arguably a task outside of the zone of proximal development (Matuga, n.d.). Therefore, as the teacher, I implemented a success criterion (see Appendix 5) that addressed this to further explain how the pupils could accomplish this task. I explained the Success Criteria to the class to further clarify each criterion and to ensure a secure understanding as recommended by Sebba (2008). Afterwards, I shared two examples of paintwork from another class and challenged all students to grade both based on the Success Criteria. They discussed as a class, this encouraged them to think in the Teachers shoes and practise constructive critique. The Teacher continued to inform how the examples were assessed and confirm what criterion was achieved or missed. Introducing work from parallel classes inspired and sparked the motivation for the pupils to create something “better” (Clarke, 2009). The pupils who contributed to the discussion were openly critical and did not refrain from generating comments that suggested the work was low (or high) level according to the success criteria. </w:t>
      </w:r>
    </w:p>
    <w:p w:rsidR="7F98A8D3" w:rsidP="4819CEFE" w:rsidRDefault="7F98A8D3" w14:paraId="54FCB1B1" w14:textId="16E0DFE5">
      <w:pPr>
        <w:spacing w:line="360" w:lineRule="auto"/>
        <w:jc w:val="left"/>
      </w:pPr>
      <w:r w:rsidRPr="4819CEFE" w:rsidR="4819CEFE">
        <w:rPr>
          <w:rFonts w:ascii="Arial" w:hAnsi="Arial" w:eastAsia="Arial" w:cs="Arial"/>
          <w:noProof w:val="0"/>
          <w:sz w:val="22"/>
          <w:szCs w:val="22"/>
          <w:lang w:val="en-GB"/>
        </w:rPr>
        <w:t xml:space="preserve">The class did not hesitate to begin painting their clay work after the discussion. Most students performed independently or continued to collaboratively work as they progressed through the task. There was an atmosphere of collective engagement as pupils proceeded to take responsibility for their painting and approach the lesson objective with initiative. This was noticeable because I was not being sought for assistance very frequently. The few occasions where I was sought for assistance would usually be to demonstrate painting techniques which were arguably outside of the ZPD (Matuga, n.d.). With time to witness all the pupil's performance in this lesson, I realised how efficient student workflow can become if plenaries are designed to combat the potential misunderstandings or confusions for the forthcoming tasks.    </w:t>
      </w:r>
    </w:p>
    <w:p w:rsidR="7F98A8D3" w:rsidP="4819CEFE" w:rsidRDefault="7F98A8D3" w14:paraId="59F3B928" w14:textId="694E623D">
      <w:pPr>
        <w:spacing w:line="360" w:lineRule="auto"/>
        <w:jc w:val="left"/>
      </w:pPr>
      <w:r w:rsidRPr="4819CEFE" w:rsidR="4819CEFE">
        <w:rPr>
          <w:rFonts w:ascii="Arial" w:hAnsi="Arial" w:eastAsia="Arial" w:cs="Arial"/>
          <w:noProof w:val="0"/>
          <w:sz w:val="22"/>
          <w:szCs w:val="22"/>
          <w:lang w:val="en-GB"/>
        </w:rPr>
        <w:t xml:space="preserve">During the focus group interview (see appendix 2), the three pupils expressed their opinions towards the lesson and the use of the Success Criterion, which were largely positive. Most pupils were observed to have shared their constructive ideas freely and appeared to relish in taking on the position of a teacher during the class discussion. Despite Pupil A having a somewhat reticent nature; often remaining to himself; he became more communicative during the interview. Pupil A informed us how he found the Success Criteria helpful and provided him with a checklist to work from. He mentioned that beginning such a creative task is the hardest part compared to everything else. All three pupils agreed that the class discussion about the success criteria was the best aspect of the lesson, they collectively confirmed that it helped them understand how to fulfil the lesson objective to the best of their ability. </w:t>
      </w:r>
    </w:p>
    <w:p w:rsidR="7F98A8D3" w:rsidP="4819CEFE" w:rsidRDefault="7F98A8D3" w14:paraId="3601B76E" w14:textId="5ADE59B8">
      <w:pPr>
        <w:pStyle w:val="Normal"/>
        <w:spacing w:after="160" w:line="360" w:lineRule="auto"/>
        <w:jc w:val="left"/>
      </w:pPr>
      <w:r w:rsidRPr="4819CEFE" w:rsidR="4819CEFE">
        <w:rPr>
          <w:rFonts w:ascii="Arial" w:hAnsi="Arial" w:eastAsia="Arial" w:cs="Arial"/>
          <w:noProof w:val="0"/>
          <w:sz w:val="22"/>
          <w:szCs w:val="22"/>
          <w:lang w:val="en-GB"/>
        </w:rPr>
        <w:t xml:space="preserve">Interestingly, in contrast to pupil A and B, pupil C was quite explanatory in his answers during the interview. He recounted that having an opportunity to discuss and collaborate with peers allowed him to understand the creative process and the logic behind it. Despite already having the initiative to follow his routine, he still benefited from the success criterion to improve his methods. He continued to suggest that some students in the class could benefit from more independence and less guidance so that they could be more freely creative. I found this experience intriguing as I had never heard a student express their views so sincerely about the structure of a lesson, and then suggest ways of improving. I could see that allowing pupil C to take on the role of a teacher permitted him to speak to myself and my research partner on a more levelled ground. He was no longer limited to conform to a “passive learner” role and obey every instruction the teacher set. Instead, the class discussion empowered him to act more active and critical, which is highlighted by research as a highly regarded disposition (Walker, 2003). </w:t>
      </w:r>
    </w:p>
    <w:p w:rsidR="7F98A8D3" w:rsidP="4819CEFE" w:rsidRDefault="7F98A8D3" w14:paraId="6E1ECB78" w14:textId="5E0421BF">
      <w:pPr>
        <w:pStyle w:val="Normal"/>
        <w:spacing w:after="160" w:line="360" w:lineRule="auto"/>
        <w:jc w:val="left"/>
      </w:pPr>
      <w:r w:rsidRPr="4819CEFE" w:rsidR="4819CEFE">
        <w:rPr>
          <w:rFonts w:ascii="Arial" w:hAnsi="Arial" w:eastAsia="Arial" w:cs="Arial"/>
          <w:noProof w:val="0"/>
          <w:sz w:val="22"/>
          <w:szCs w:val="22"/>
          <w:lang w:val="en-GB"/>
        </w:rPr>
        <w:t xml:space="preserve">Initially, I was concerned about the potential repercussions of applying a self-directed plenary within this lesson after reading into the claims omitted by Bernot &amp; Metzler, (2014) and I didn’t want any of my pupils to become disengaged due to any lack of confidence within themselves. However, applying a collaborative approach has proven to maintain engagement amongst the Art classroom. It opened doors to active learning by allowing learners to believe that there was more than one right answer </w:t>
      </w:r>
      <w:proofErr w:type="gramStart"/>
      <w:r w:rsidRPr="4819CEFE" w:rsidR="4819CEFE">
        <w:rPr>
          <w:rFonts w:ascii="Arial" w:hAnsi="Arial" w:eastAsia="Arial" w:cs="Arial"/>
          <w:noProof w:val="0"/>
          <w:sz w:val="22"/>
          <w:szCs w:val="22"/>
          <w:lang w:val="en-GB"/>
        </w:rPr>
        <w:t>and also</w:t>
      </w:r>
      <w:proofErr w:type="gramEnd"/>
      <w:r w:rsidRPr="4819CEFE" w:rsidR="4819CEFE">
        <w:rPr>
          <w:rFonts w:ascii="Arial" w:hAnsi="Arial" w:eastAsia="Arial" w:cs="Arial"/>
          <w:noProof w:val="0"/>
          <w:sz w:val="22"/>
          <w:szCs w:val="22"/>
          <w:lang w:val="en-GB"/>
        </w:rPr>
        <w:t xml:space="preserve"> accepting a culture whereby numerous solutions can be valued (Salsich, 2018). In retrospect, I believe that this study would have benefited more with a video recording as opposed to the presence of an observer, as this may have led to observer effects which inhibit the reliability of the observed behaviour.</w:t>
      </w:r>
    </w:p>
    <w:p w:rsidR="7F98A8D3" w:rsidP="4819CEFE" w:rsidRDefault="7F98A8D3" w14:paraId="06DE5F35" w14:textId="7C2C534C">
      <w:pPr>
        <w:pStyle w:val="Normal"/>
        <w:bidi w:val="0"/>
        <w:spacing w:before="0" w:beforeAutospacing="off" w:after="160" w:afterAutospacing="off" w:line="360" w:lineRule="auto"/>
        <w:ind w:left="0" w:right="0"/>
        <w:jc w:val="left"/>
      </w:pPr>
      <w:r w:rsidRPr="4819CEFE" w:rsidR="4819CEFE">
        <w:rPr>
          <w:rFonts w:ascii="Arial" w:hAnsi="Arial" w:eastAsia="Arial" w:cs="Arial"/>
          <w:b w:val="1"/>
          <w:bCs w:val="1"/>
          <w:i w:val="1"/>
          <w:iCs w:val="1"/>
          <w:noProof w:val="0"/>
          <w:sz w:val="28"/>
          <w:szCs w:val="28"/>
          <w:lang w:val="en-GB"/>
        </w:rPr>
        <w:t>Lesson Study Findings and Analysis: Mathematics</w:t>
      </w:r>
    </w:p>
    <w:p w:rsidR="7F98A8D3" w:rsidP="4819CEFE" w:rsidRDefault="7F98A8D3" w14:paraId="398FCE03" w14:textId="3A759687">
      <w:pPr>
        <w:bidi w:val="0"/>
        <w:spacing w:before="0" w:beforeAutospacing="off" w:after="160" w:afterAutospacing="off" w:line="360" w:lineRule="auto"/>
        <w:ind/>
        <w:jc w:val="left"/>
      </w:pPr>
      <w:r w:rsidRPr="4819CEFE" w:rsidR="4819CEFE">
        <w:rPr>
          <w:rFonts w:ascii="Arial" w:hAnsi="Arial" w:eastAsia="Arial" w:cs="Arial"/>
          <w:noProof w:val="0"/>
          <w:sz w:val="22"/>
          <w:szCs w:val="22"/>
          <w:lang w:val="en-GB"/>
        </w:rPr>
        <w:t xml:space="preserve">My partners Mathematics lesson’s objectives were as follows: to identify different types of quadrilateral and to solve problems involving angles in quadrilaterals. We acknowledged that there would likely be a difference in the outcome of implementing child-led learning within a mathematics lesson. As argued by Geary (2019, quoted by Severs, 2019), arithmetic is evolutionary knowledge and is not easily acquired independently. For these structures to be built, they must be taught. On the other hand, incorporating a child-led plenary in this subject was informative as it allowed us to observe how different the zones of proximal development were for each student, which further supports the importance of differentiation amongst teaching strategies to inform our practice. Inclusive pedagogy is one in which the teacher learns to avoid unintentional isolation amongst pupils. This can occur when pupils are given such varied tasks that exclude them from the rest of the class; this hinders their collaborative opportunities and their ability to receive peer support (Florian &amp; Beaton, 2018).  </w:t>
      </w:r>
    </w:p>
    <w:p w:rsidR="7F98A8D3" w:rsidP="4819CEFE" w:rsidRDefault="7F98A8D3" w14:paraId="5E77F971" w14:textId="2152E98F">
      <w:pPr>
        <w:bidi w:val="0"/>
        <w:spacing w:before="0" w:beforeAutospacing="off" w:after="160" w:afterAutospacing="off" w:line="360" w:lineRule="auto"/>
        <w:ind/>
        <w:jc w:val="left"/>
      </w:pPr>
      <w:r w:rsidRPr="4819CEFE" w:rsidR="4819CEFE">
        <w:rPr>
          <w:rFonts w:ascii="Arial" w:hAnsi="Arial" w:eastAsia="Arial" w:cs="Arial"/>
          <w:noProof w:val="0"/>
          <w:sz w:val="22"/>
          <w:szCs w:val="22"/>
          <w:lang w:val="en-GB"/>
        </w:rPr>
        <w:t xml:space="preserve">For our participating pupils, it was evident that they all had individual struggles or strengths in this lesson. These differences were much more contrasted to those observed in the Art lesson. Pupil’s A, B and C all approached the task and success criteria with different capabilities and attitudes. Pupil A was not as enthusiastic as she struggled to understand the methods of arithmetic introduced. Despite having the success criteria, Pupil A required consistent guidance throughout. Arguably, the success criteria introduced could have been more explanatory and specific so that the pupils could utilise it as a guide or a list of methods to practise. As Maths requires structure and explanation about complex concepts, clarity in the Success Criterion is an absolute necessity (Hart, 2017). Moreover, an effective success criterion is defined by achieving six things: ensuring appropriate focus, providing an opportunity to clarify understanding, identify success for themselves, identifying difficulties, ways to improve and monitoring of progress (Dyer, 2018). The success criteria for Maths may have achieved appropriate focus, but the rate of success for pupils was varied more than the rate of success amongst pupils in the Art lesson.  </w:t>
      </w:r>
    </w:p>
    <w:p w:rsidR="7F98A8D3" w:rsidP="4819CEFE" w:rsidRDefault="7F98A8D3" w14:paraId="3FB1E56E" w14:textId="748CC24E">
      <w:pPr>
        <w:bidi w:val="0"/>
        <w:spacing w:before="0" w:beforeAutospacing="off" w:after="160" w:afterAutospacing="off" w:line="360" w:lineRule="auto"/>
        <w:ind/>
        <w:jc w:val="left"/>
      </w:pPr>
      <w:r w:rsidRPr="4819CEFE" w:rsidR="4819CEFE">
        <w:rPr>
          <w:rFonts w:ascii="Arial" w:hAnsi="Arial" w:eastAsia="Arial" w:cs="Arial"/>
          <w:noProof w:val="0"/>
          <w:sz w:val="22"/>
          <w:szCs w:val="22"/>
          <w:lang w:val="en-GB"/>
        </w:rPr>
        <w:t xml:space="preserve">On the other hand, upon interviewing the focus group, Pupil B described how he could recall everything that the Teacher had explained and benefited from having the success criteria as a prompt to consistently to refer to (see appendix 4). Pupil B continued to explain how important a quiet environment is to himself so that he can concentrate more and avoid distractions. This was supported by the other two participants who argues how Mathematics is best taught and learnt when disruptions are kept to a minimum and focus remains unbroken. They valued the introductory discussion with the Teacher as well as the time that the Teacher took to assist them individually throughout the lesson. This helps to combat unintended isolation and ensured that all pupils were included, supporting Florian &amp; Beaton's’ argument (2018). It is important for Teachers to maintain careful attention towards the pupil's separate progress, difficulties and re-occurring struggles within a lesson so that their practice is better informed and adapted to the needs of the learners.  </w:t>
      </w:r>
    </w:p>
    <w:p w:rsidR="7F98A8D3" w:rsidP="4819CEFE" w:rsidRDefault="7F98A8D3" w14:paraId="0BC983CA" w14:textId="242EF0D2">
      <w:pPr>
        <w:pStyle w:val="Normal"/>
        <w:bidi w:val="0"/>
        <w:spacing w:before="0" w:beforeAutospacing="off" w:after="160" w:afterAutospacing="off" w:line="360" w:lineRule="auto"/>
        <w:ind w:left="0" w:right="0"/>
        <w:jc w:val="left"/>
      </w:pPr>
      <w:r w:rsidRPr="4819CEFE" w:rsidR="4819CEFE">
        <w:rPr>
          <w:rFonts w:ascii="Arial" w:hAnsi="Arial" w:eastAsia="Arial" w:cs="Arial"/>
          <w:noProof w:val="0"/>
          <w:sz w:val="22"/>
          <w:szCs w:val="22"/>
          <w:lang w:val="en-GB"/>
        </w:rPr>
        <w:t>Furthermore, Pupil C suggested that they would have preferred the teacher to demonstrate more visual examples on the board so that they could better comprehend the calculations involved throughout the lesson. Again, this statement questions the impact that including a success criterion has on an Arithmetic class because the pupils had to direct their focus on the strategies that were being taught rather than the answers. On the other hand, perhaps this lesson would have benefited more with a success criterion that outlined these strategies in order to achieve the lesson objectives. This would help students identify their difficulties and allow the teacher to monitor and support their individualistic progress as outlined by Dyer (2018) and Hart (2017).</w:t>
      </w:r>
    </w:p>
    <w:p w:rsidR="7F98A8D3" w:rsidP="4819CEFE" w:rsidRDefault="7F98A8D3" w14:paraId="60E4D533" w14:textId="1320C439">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lang w:val="en-GB"/>
        </w:rPr>
      </w:pPr>
      <w:r w:rsidRPr="4819CEFE" w:rsidR="4819CEFE">
        <w:rPr>
          <w:rFonts w:ascii="Arial" w:hAnsi="Arial" w:eastAsia="Arial" w:cs="Arial"/>
          <w:b w:val="1"/>
          <w:bCs w:val="1"/>
          <w:i w:val="1"/>
          <w:iCs w:val="1"/>
          <w:noProof w:val="0"/>
          <w:sz w:val="28"/>
          <w:szCs w:val="28"/>
          <w:lang w:val="en-GB"/>
        </w:rPr>
        <w:t>Discussion</w:t>
      </w:r>
    </w:p>
    <w:p w:rsidR="7F98A8D3" w:rsidP="4819CEFE" w:rsidRDefault="7F98A8D3" w14:paraId="281E944F" w14:textId="3FE6B05B">
      <w:pPr>
        <w:bidi w:val="0"/>
        <w:spacing w:before="0" w:beforeAutospacing="off" w:after="160" w:afterAutospacing="off" w:line="360" w:lineRule="auto"/>
        <w:ind/>
        <w:jc w:val="left"/>
      </w:pPr>
      <w:r w:rsidRPr="4819CEFE" w:rsidR="4819CEFE">
        <w:rPr>
          <w:rFonts w:ascii="Arial" w:hAnsi="Arial" w:eastAsia="Arial" w:cs="Arial"/>
          <w:noProof w:val="0"/>
          <w:sz w:val="22"/>
          <w:szCs w:val="22"/>
          <w:lang w:val="en-GB"/>
        </w:rPr>
        <w:t xml:space="preserve">In the culmination of all data, I have learnt that implementing a success criterion as well as implementing child-led plenaries does not always obtain the same benefits across the curriculum. It heavily relies on careful execution and direct expansion of the lesson objectives. Pupils must be able to utilise the criterion as a guide towards attaining the lesson objective; therefore, it must be informative and explanatory, as supported by Hart (2017) and Dyer (2018). The claims that support child-led plenaries assume that it is generalisable across the curriculum as well as individual students. This assumption is not supported by our findings. Some pupils in the Math lesson seemed to desire a silent environment to improve their understanding and focus. That was their priority as opposed to the use of the success criteria. On the other hand, utilising a success criterion as well as a discussion within the Art lesson was observed to be more beneficial. Art is arguably not as explicit as Maths, the practices are very different (Hickman &amp; Huckstep, 2003) therefore, require very contrasted teaching. Creativity itself is an ability learnt that permits the student to be explorative in their environment, and a good Art teacher is one that passes appreciation on to their students and acts as the agent of freedom to express (Williams, 1968). The class discussion was an opportunity for the Teacher to reinforce the learners with the confidence to approach the task and self-manage, as we acknowledged from Lash (2003) in our prior research. Despite the Success criteria not playing a huge role in the Maths lesson, the teacher still managed to instil some confidence through class discussion alone. </w:t>
      </w:r>
    </w:p>
    <w:p w:rsidR="7F98A8D3" w:rsidP="4819CEFE" w:rsidRDefault="7F98A8D3" w14:paraId="226AF431" w14:textId="3E371C99">
      <w:pPr>
        <w:pStyle w:val="Normal"/>
        <w:bidi w:val="0"/>
        <w:spacing w:before="0" w:beforeAutospacing="off" w:after="160" w:afterAutospacing="off" w:line="360" w:lineRule="auto"/>
        <w:ind w:left="0" w:right="0"/>
        <w:jc w:val="left"/>
      </w:pPr>
      <w:r w:rsidRPr="4819CEFE" w:rsidR="4819CEFE">
        <w:rPr>
          <w:rFonts w:ascii="Arial" w:hAnsi="Arial" w:eastAsia="Arial" w:cs="Arial"/>
          <w:noProof w:val="0"/>
          <w:sz w:val="22"/>
          <w:szCs w:val="22"/>
          <w:lang w:val="en-GB"/>
        </w:rPr>
        <w:t xml:space="preserve">Moreover, the class discussion succeeded to break the monotonous method of traditional teaching and students were actively engaged with the activities in both Maths and Art. By giving them the role of a teacher, it levelled the field between teacher &amp; student and encouraged them to have an improved sense of self-efficacy. This supported our theory that introducing new responsibilities to the learners would act as a catalyst for the development of more desirable attributes. We observed attitudes of independence, teamwork, self-management, and a heightened sense of creativity within both classroom scenarios, which correlate well with the Six Areas of the PLTS Framework (Gilbert, 2010). Both scenarios were effective opportunities for the Teacher to observe the pupil's potential levels of performance (Rogoff &amp; Wertsch, 1984, quoted by Jadallah et al, 2011). This was further informed when both focus groups were interviewed. Despite the predicted target grades for all six participants, their ability to comprehend and engage themselves within the activities were very similar. It can be argued that incorporating these child-led activities alone can positively alter the performance and motivation within pupils, regardless of their actual level. The ‘Pygmalion’ phenomenon (Rosenthal &amp; Jacobson, 2003) is a controversial topic within grading systems in education but can suggest that a pupil’s actual level or target grade embed limits into their perceived capabilities and prohibits independent aspiration. Therefore, as a Teacher, a pupil's target grade can’t always be a reliable factor that influences our expectations of the learner's abilities. </w:t>
      </w:r>
    </w:p>
    <w:p w:rsidR="7F98A8D3" w:rsidP="4819CEFE" w:rsidRDefault="7F98A8D3" w14:paraId="1D12C09F" w14:textId="6E5E8F4A">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4819CEFE" w:rsidR="4819CEFE">
        <w:rPr>
          <w:rFonts w:ascii="Arial" w:hAnsi="Arial" w:eastAsia="Arial" w:cs="Arial"/>
          <w:b w:val="1"/>
          <w:bCs w:val="1"/>
          <w:i w:val="1"/>
          <w:iCs w:val="1"/>
          <w:noProof w:val="0"/>
          <w:sz w:val="28"/>
          <w:szCs w:val="28"/>
          <w:lang w:val="en-GB"/>
        </w:rPr>
        <w:t>Conclusion</w:t>
      </w:r>
    </w:p>
    <w:p w:rsidR="56F21E92" w:rsidP="4819CEFE" w:rsidRDefault="56F21E92" w14:paraId="4189EA5A" w14:textId="4A11FAD3">
      <w:pPr>
        <w:bidi w:val="0"/>
        <w:spacing w:line="360" w:lineRule="auto"/>
        <w:jc w:val="left"/>
      </w:pPr>
      <w:r w:rsidRPr="4819CEFE" w:rsidR="4819CEFE">
        <w:rPr>
          <w:rFonts w:ascii="Arial" w:hAnsi="Arial" w:eastAsia="Arial" w:cs="Arial"/>
          <w:noProof w:val="0"/>
          <w:sz w:val="22"/>
          <w:szCs w:val="22"/>
          <w:lang w:val="en-GB"/>
        </w:rPr>
        <w:t xml:space="preserve">Overall, the lesson and the interview has led us to believe that allowing pupils to enact the role of a Teacher with access to Success Criteria encourages them to develop independence, as well as improve their understanding of assessment procedures. Allowing them to truly comprehend this criterion to then interpret it into their work has achieved a positive result and maybe a potential catalyst to accelerate student attainment. As it follows the model of learning (Zimmerman, 2000, quoted by Zamora, Suarez and </w:t>
      </w:r>
      <w:proofErr w:type="spellStart"/>
      <w:r w:rsidRPr="4819CEFE" w:rsidR="4819CEFE">
        <w:rPr>
          <w:rFonts w:ascii="Arial" w:hAnsi="Arial" w:eastAsia="Arial" w:cs="Arial"/>
          <w:noProof w:val="0"/>
          <w:sz w:val="22"/>
          <w:szCs w:val="22"/>
          <w:lang w:val="en-GB"/>
        </w:rPr>
        <w:t>Ardura</w:t>
      </w:r>
      <w:proofErr w:type="spellEnd"/>
      <w:r w:rsidRPr="4819CEFE" w:rsidR="4819CEFE">
        <w:rPr>
          <w:rFonts w:ascii="Arial" w:hAnsi="Arial" w:eastAsia="Arial" w:cs="Arial"/>
          <w:noProof w:val="0"/>
          <w:sz w:val="22"/>
          <w:szCs w:val="22"/>
          <w:lang w:val="en-GB"/>
        </w:rPr>
        <w:t xml:space="preserve">, 2018), it supports the concept that the most secure form of acknowledgement occurs in a three-phase cycle: initial understanding, independent performance, and critical reflection. Placing the pupil in the centre of the learning allows the teacher to address the diversities that exist amongst the youth and to validate every learner’s experiences and knowledge. Not only is it beneficial for the learners but also the pedagogies implemented by the teacher. Learner involvement is also argued to enrich the educational experience in several ways: enrichment of knowledge, increased quality, active involvement, better relationships, more opportunities, and increased motivation (Welsh Assembly Government, 2010). </w:t>
      </w:r>
    </w:p>
    <w:p w:rsidR="56F21E92" w:rsidP="4819CEFE" w:rsidRDefault="56F21E92" w14:paraId="76DCF8D7" w14:textId="56F94E18">
      <w:pPr>
        <w:pStyle w:val="Normal"/>
        <w:bidi w:val="0"/>
        <w:spacing w:after="160" w:line="360" w:lineRule="auto"/>
        <w:jc w:val="left"/>
      </w:pPr>
      <w:r w:rsidRPr="4819CEFE" w:rsidR="4819CEFE">
        <w:rPr>
          <w:rFonts w:ascii="Arial" w:hAnsi="Arial" w:eastAsia="Arial" w:cs="Arial"/>
          <w:noProof w:val="0"/>
          <w:sz w:val="22"/>
          <w:szCs w:val="22"/>
          <w:lang w:val="en-GB"/>
        </w:rPr>
        <w:t xml:space="preserve">Moreover, I believe that incorporating child-led plenaries, specifically, class discussion, was an enlightening experience as it allowed me to observe how students perform in a task with more independence and initiative. This affected their on-going attitude towards the task objective by providing them with total freedom and the chance to practise self-management. These benefits were more prominent within the Art lesson, on the other hand, the Mathematics students benefitted more from the direct explanation from the Teacher and a relatively short discussion. These differences made it hard to generalise the effectiveness of implementing child-led plenaries with success criteria, and there would likely be differences amongst other subjects in the curriculum too. Therefore, I would recommend that this method be trialled first and carefully thought through with the intention to provide an opportunity for the students to express their potential level. As an Art teacher, I aim to continue implementing child-led plenaries that explore the success criteria, as it has proven to act as a guideline to help navigate students around the whimsical and ambiguous world of creativity. </w:t>
      </w:r>
    </w:p>
    <w:p w:rsidR="30BDC31C" w:rsidP="56F21E92" w:rsidRDefault="30BDC31C" w14:paraId="44A38F84" w14:textId="46C1AE7B">
      <w:pPr>
        <w:pStyle w:val="Normal"/>
        <w:spacing w:after="160" w:line="259" w:lineRule="auto"/>
        <w:ind/>
        <w:jc w:val="left"/>
        <w:rPr>
          <w:rFonts w:ascii="Arial" w:hAnsi="Arial" w:eastAsia="Arial" w:cs="Arial"/>
          <w:noProof w:val="0"/>
          <w:sz w:val="22"/>
          <w:szCs w:val="22"/>
          <w:lang w:val="en-GB"/>
        </w:rPr>
      </w:pPr>
    </w:p>
    <w:p w:rsidR="30BDC31C" w:rsidP="30BDC31C" w:rsidRDefault="30BDC31C" w14:paraId="5FFB9B7F" w14:textId="16330BEE">
      <w:pPr>
        <w:pStyle w:val="Normal"/>
        <w:ind w:firstLine="0"/>
        <w:rPr>
          <w:rFonts w:ascii="Arial" w:hAnsi="Arial" w:eastAsia="Arial" w:cs="Arial"/>
          <w:noProof w:val="0"/>
          <w:sz w:val="22"/>
          <w:szCs w:val="22"/>
          <w:lang w:val="en-GB"/>
        </w:rPr>
      </w:pPr>
    </w:p>
    <w:p w:rsidR="118B0B9E" w:rsidP="4819CEFE" w:rsidRDefault="118B0B9E" w14:paraId="60A31C0A" w14:textId="652F3B23">
      <w:pPr>
        <w:pStyle w:val="Normal"/>
        <w:spacing w:line="360" w:lineRule="auto"/>
        <w:ind w:firstLine="0"/>
        <w:rPr>
          <w:rFonts w:ascii="Arial" w:hAnsi="Arial" w:eastAsia="Arial" w:cs="Arial"/>
          <w:b w:val="1"/>
          <w:bCs w:val="1"/>
          <w:noProof w:val="0"/>
          <w:sz w:val="28"/>
          <w:szCs w:val="28"/>
          <w:u w:val="none"/>
          <w:lang w:val="en-GB"/>
        </w:rPr>
      </w:pPr>
      <w:r w:rsidRPr="4819CEFE" w:rsidR="4819CEFE">
        <w:rPr>
          <w:rFonts w:ascii="Arial" w:hAnsi="Arial" w:eastAsia="Arial" w:cs="Arial"/>
          <w:b w:val="1"/>
          <w:bCs w:val="1"/>
          <w:noProof w:val="0"/>
          <w:sz w:val="28"/>
          <w:szCs w:val="28"/>
          <w:u w:val="none"/>
          <w:lang w:val="en-GB"/>
        </w:rPr>
        <w:t>References:</w:t>
      </w:r>
    </w:p>
    <w:p w:rsidR="118B0B9E" w:rsidP="4819CEFE" w:rsidRDefault="118B0B9E" w14:paraId="596ED620" w14:textId="2E554285">
      <w:pPr>
        <w:pStyle w:val="Normal"/>
        <w:spacing w:line="360" w:lineRule="auto"/>
        <w:ind w:firstLine="0"/>
        <w:rPr>
          <w:rFonts w:ascii="Arial" w:hAnsi="Arial" w:eastAsia="Arial" w:cs="Arial"/>
          <w:b w:val="1"/>
          <w:bCs w:val="1"/>
          <w:noProof w:val="0"/>
          <w:sz w:val="28"/>
          <w:szCs w:val="28"/>
          <w:u w:val="none"/>
          <w:lang w:val="en-GB"/>
        </w:rPr>
      </w:pPr>
    </w:p>
    <w:p w:rsidR="24740B6D" w:rsidP="4819CEFE" w:rsidRDefault="24740B6D" w14:paraId="64C45808" w14:textId="6F4287A3">
      <w:pPr>
        <w:pStyle w:val="ListParagraph"/>
        <w:numPr>
          <w:ilvl w:val="1"/>
          <w:numId w:val="5"/>
        </w:numPr>
        <w:spacing w:line="360" w:lineRule="auto"/>
        <w:ind/>
        <w:rPr>
          <w:b w:val="1"/>
          <w:bCs w:val="1"/>
          <w:noProof w:val="0"/>
          <w:sz w:val="22"/>
          <w:szCs w:val="22"/>
          <w:lang w:val="en-GB"/>
        </w:rPr>
      </w:pPr>
      <w:r w:rsidRPr="4819CEFE" w:rsidR="4819CEFE">
        <w:rPr>
          <w:rFonts w:ascii="Calibri" w:hAnsi="Calibri" w:eastAsia="Calibri" w:cs="Calibri"/>
          <w:b w:val="1"/>
          <w:bCs w:val="1"/>
          <w:noProof w:val="0"/>
          <w:sz w:val="22"/>
          <w:szCs w:val="22"/>
          <w:lang w:val="en-GB"/>
        </w:rPr>
        <w:t xml:space="preserve">BERA (2018) </w:t>
      </w:r>
      <w:r w:rsidRPr="4819CEFE" w:rsidR="4819CEFE">
        <w:rPr>
          <w:rFonts w:ascii="Calibri" w:hAnsi="Calibri" w:eastAsia="Calibri" w:cs="Calibri"/>
          <w:b w:val="0"/>
          <w:bCs w:val="0"/>
          <w:i w:val="1"/>
          <w:iCs w:val="1"/>
          <w:noProof w:val="0"/>
          <w:sz w:val="22"/>
          <w:szCs w:val="22"/>
          <w:lang w:val="en-GB"/>
        </w:rPr>
        <w:t>Ethical Guidelines for Educational Research.</w:t>
      </w:r>
      <w:r w:rsidRPr="4819CEFE" w:rsidR="4819CEFE">
        <w:rPr>
          <w:rFonts w:ascii="Calibri" w:hAnsi="Calibri" w:eastAsia="Calibri" w:cs="Calibri"/>
          <w:b w:val="0"/>
          <w:bCs w:val="0"/>
          <w:noProof w:val="0"/>
          <w:sz w:val="22"/>
          <w:szCs w:val="22"/>
          <w:lang w:val="en-GB"/>
        </w:rPr>
        <w:t xml:space="preserve"> Fourth edition. 20 June. Available at:</w:t>
      </w:r>
      <w:r w:rsidRPr="4819CEFE" w:rsidR="4819CEFE">
        <w:rPr>
          <w:rFonts w:ascii="Calibri" w:hAnsi="Calibri" w:eastAsia="Calibri" w:cs="Calibri"/>
          <w:b w:val="1"/>
          <w:bCs w:val="1"/>
          <w:noProof w:val="0"/>
          <w:sz w:val="22"/>
          <w:szCs w:val="22"/>
          <w:lang w:val="en-GB"/>
        </w:rPr>
        <w:t xml:space="preserve"> </w:t>
      </w:r>
      <w:hyperlink r:id="R9ab0953b4e164cbb">
        <w:r w:rsidRPr="4819CEFE" w:rsidR="4819CEFE">
          <w:rPr>
            <w:rStyle w:val="Hyperlink"/>
            <w:rFonts w:ascii="Calibri" w:hAnsi="Calibri" w:eastAsia="Calibri" w:cs="Calibri"/>
            <w:noProof w:val="0"/>
            <w:sz w:val="22"/>
            <w:szCs w:val="22"/>
            <w:lang w:val="en-GB"/>
          </w:rPr>
          <w:t>https://www.bera.ac.uk/publication/ethical-guidelines-for-educational-research-2018</w:t>
        </w:r>
      </w:hyperlink>
      <w:r w:rsidRPr="4819CEFE" w:rsidR="4819CEFE">
        <w:rPr>
          <w:rFonts w:ascii="Calibri" w:hAnsi="Calibri" w:eastAsia="Calibri" w:cs="Calibri"/>
          <w:noProof w:val="0"/>
          <w:sz w:val="22"/>
          <w:szCs w:val="22"/>
          <w:lang w:val="en-GB"/>
        </w:rPr>
        <w:t xml:space="preserve"> (Accessed on 19</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3DF9E827" w:rsidP="4819CEFE" w:rsidRDefault="3DF9E827" w14:paraId="019FA804" w14:textId="4C78CE89">
      <w:pPr>
        <w:numPr>
          <w:ilvl w:val="1"/>
          <w:numId w:val="5"/>
        </w:numPr>
        <w:spacing w:line="360" w:lineRule="auto"/>
        <w:rPr>
          <w:b w:val="1"/>
          <w:bCs w:val="1"/>
          <w:i w:val="0"/>
          <w:iCs w:val="0"/>
          <w:noProof w:val="0"/>
          <w:sz w:val="22"/>
          <w:szCs w:val="22"/>
          <w:lang w:val="en-GB"/>
        </w:rPr>
      </w:pPr>
      <w:r w:rsidRPr="4819CEFE" w:rsidR="4819CEFE">
        <w:rPr>
          <w:rFonts w:ascii="Calibri" w:hAnsi="Calibri" w:eastAsia="Calibri" w:cs="Calibri"/>
          <w:b w:val="1"/>
          <w:bCs w:val="1"/>
          <w:noProof w:val="0"/>
          <w:sz w:val="22"/>
          <w:szCs w:val="22"/>
          <w:lang w:val="en-GB"/>
        </w:rPr>
        <w:t xml:space="preserve">Bernot, M.J. &amp; Metzler, J. (2014) </w:t>
      </w:r>
      <w:r w:rsidRPr="4819CEFE" w:rsidR="4819CEFE">
        <w:rPr>
          <w:rFonts w:ascii="Calibri" w:hAnsi="Calibri" w:eastAsia="Calibri" w:cs="Calibri"/>
          <w:b w:val="0"/>
          <w:bCs w:val="0"/>
          <w:i w:val="1"/>
          <w:iCs w:val="1"/>
          <w:noProof w:val="0"/>
          <w:sz w:val="22"/>
          <w:szCs w:val="22"/>
          <w:lang w:val="en-GB"/>
        </w:rPr>
        <w:t>A Comparative Study of Instructor and Student-Led Learning in a Large Nonmajors Biology Course: Student Performance and Perceptions.</w:t>
      </w:r>
      <w:r w:rsidRPr="4819CEFE" w:rsidR="4819CEFE">
        <w:rPr>
          <w:rFonts w:ascii="Calibri" w:hAnsi="Calibri" w:eastAsia="Calibri" w:cs="Calibri"/>
          <w:b w:val="1"/>
          <w:bCs w:val="1"/>
          <w:noProof w:val="0"/>
          <w:sz w:val="22"/>
          <w:szCs w:val="22"/>
          <w:lang w:val="en-GB"/>
        </w:rPr>
        <w:t xml:space="preserve"> </w:t>
      </w:r>
      <w:r w:rsidRPr="4819CEFE" w:rsidR="4819CEFE">
        <w:rPr>
          <w:rFonts w:ascii="Calibri" w:hAnsi="Calibri" w:eastAsia="Calibri" w:cs="Calibri"/>
          <w:b w:val="0"/>
          <w:bCs w:val="0"/>
          <w:noProof w:val="0"/>
          <w:sz w:val="22"/>
          <w:szCs w:val="22"/>
          <w:lang w:val="en-GB"/>
        </w:rPr>
        <w:t xml:space="preserve">Journal of College Science Teaching, Vol. 44, No. 1. Pg. 48-55. </w:t>
      </w:r>
    </w:p>
    <w:p w:rsidR="2ADA70B7" w:rsidP="4819CEFE" w:rsidRDefault="2ADA70B7" w14:paraId="354CCB75" w14:textId="5CCA0F0A">
      <w:pPr>
        <w:pStyle w:val="ListParagraph"/>
        <w:numPr>
          <w:ilvl w:val="1"/>
          <w:numId w:val="5"/>
        </w:numPr>
        <w:spacing w:line="360" w:lineRule="auto"/>
        <w:ind/>
        <w:rPr>
          <w:b w:val="1"/>
          <w:bCs w:val="1"/>
          <w:noProof w:val="0"/>
          <w:sz w:val="22"/>
          <w:szCs w:val="22"/>
          <w:lang w:val="en-GB"/>
        </w:rPr>
      </w:pPr>
      <w:r w:rsidRPr="4819CEFE" w:rsidR="4819CEFE">
        <w:rPr>
          <w:rFonts w:ascii="Calibri" w:hAnsi="Calibri" w:eastAsia="Calibri" w:cs="Calibri"/>
          <w:b w:val="1"/>
          <w:bCs w:val="1"/>
          <w:noProof w:val="0"/>
          <w:sz w:val="22"/>
          <w:szCs w:val="22"/>
          <w:lang w:val="en-GB"/>
        </w:rPr>
        <w:t xml:space="preserve">Bonnett, V., Yuill, N. &amp; </w:t>
      </w:r>
      <w:proofErr w:type="spellStart"/>
      <w:r w:rsidRPr="4819CEFE" w:rsidR="4819CEFE">
        <w:rPr>
          <w:rFonts w:ascii="Calibri" w:hAnsi="Calibri" w:eastAsia="Calibri" w:cs="Calibri"/>
          <w:b w:val="1"/>
          <w:bCs w:val="1"/>
          <w:noProof w:val="0"/>
          <w:sz w:val="22"/>
          <w:szCs w:val="22"/>
          <w:lang w:val="en-GB"/>
        </w:rPr>
        <w:t>Carr</w:t>
      </w:r>
      <w:proofErr w:type="spellEnd"/>
      <w:r w:rsidRPr="4819CEFE" w:rsidR="4819CEFE">
        <w:rPr>
          <w:rFonts w:ascii="Calibri" w:hAnsi="Calibri" w:eastAsia="Calibri" w:cs="Calibri"/>
          <w:b w:val="1"/>
          <w:bCs w:val="1"/>
          <w:noProof w:val="0"/>
          <w:sz w:val="22"/>
          <w:szCs w:val="22"/>
          <w:lang w:val="en-GB"/>
        </w:rPr>
        <w:t>, A. (2017)</w:t>
      </w:r>
      <w:r w:rsidRPr="4819CEFE" w:rsidR="4819CEFE">
        <w:rPr>
          <w:rFonts w:ascii="Calibri" w:hAnsi="Calibri" w:eastAsia="Calibri" w:cs="Calibri"/>
          <w:b w:val="0"/>
          <w:bCs w:val="0"/>
          <w:noProof w:val="0"/>
          <w:sz w:val="22"/>
          <w:szCs w:val="22"/>
          <w:lang w:val="en-GB"/>
        </w:rPr>
        <w:t xml:space="preserve"> </w:t>
      </w:r>
      <w:r w:rsidRPr="4819CEFE" w:rsidR="4819CEFE">
        <w:rPr>
          <w:rFonts w:ascii="Calibri" w:hAnsi="Calibri" w:eastAsia="Calibri" w:cs="Calibri"/>
          <w:b w:val="0"/>
          <w:bCs w:val="0"/>
          <w:i w:val="1"/>
          <w:iCs w:val="1"/>
          <w:noProof w:val="0"/>
          <w:sz w:val="22"/>
          <w:szCs w:val="22"/>
          <w:lang w:val="en-GB"/>
        </w:rPr>
        <w:t>Mathematics, Mastery and Metacognition: How Adding a Creative Approach can Support Children in Maths.</w:t>
      </w:r>
      <w:r w:rsidRPr="4819CEFE" w:rsidR="4819CEFE">
        <w:rPr>
          <w:rFonts w:ascii="Calibri" w:hAnsi="Calibri" w:eastAsia="Calibri" w:cs="Calibri"/>
          <w:b w:val="0"/>
          <w:bCs w:val="0"/>
          <w:noProof w:val="0"/>
          <w:sz w:val="22"/>
          <w:szCs w:val="22"/>
          <w:lang w:val="en-GB"/>
        </w:rPr>
        <w:t xml:space="preserve"> Educational &amp; Child Psychology; March, Vol. 34, Issue 1. Pg. 83-93. Available at: </w:t>
      </w:r>
      <w:hyperlink w:anchor="AN=121490513&amp;db=eue" r:id="Re79e2edacf3d4dcc">
        <w:r w:rsidRPr="4819CEFE" w:rsidR="4819CEFE">
          <w:rPr>
            <w:rStyle w:val="Hyperlink"/>
            <w:rFonts w:ascii="Calibri" w:hAnsi="Calibri" w:eastAsia="Calibri" w:cs="Calibri"/>
            <w:noProof w:val="0"/>
            <w:sz w:val="22"/>
            <w:szCs w:val="22"/>
            <w:lang w:val="en-GB"/>
          </w:rPr>
          <w:t>https://web-a-ebscohost-com.ezproxy.uwtsd.ac.uk/ehost/detail/detail?vid=0&amp;sid=da2ca50d-8fda-4d92-9c56-d25e982e6e60%40sessionmgr4008&amp;bdata=JnNpdGU9ZWhvc3QtbGl2ZQ%3d%3d#AN=121490513&amp;db=eue</w:t>
        </w:r>
      </w:hyperlink>
      <w:r w:rsidRPr="4819CEFE" w:rsidR="4819CEFE">
        <w:rPr>
          <w:rFonts w:ascii="Calibri" w:hAnsi="Calibri" w:eastAsia="Calibri" w:cs="Calibri"/>
          <w:noProof w:val="0"/>
          <w:sz w:val="22"/>
          <w:szCs w:val="22"/>
          <w:lang w:val="en-GB"/>
        </w:rPr>
        <w:t xml:space="preserve"> (Accessed on 18</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24740B6D" w:rsidP="4819CEFE" w:rsidRDefault="24740B6D" w14:paraId="21CC599A" w14:textId="42A46D1F">
      <w:pPr>
        <w:numPr>
          <w:ilvl w:val="1"/>
          <w:numId w:val="5"/>
        </w:numPr>
        <w:spacing w:line="360" w:lineRule="auto"/>
        <w:ind/>
        <w:rPr>
          <w:b w:val="1"/>
          <w:bCs w:val="1"/>
          <w:i w:val="0"/>
          <w:iCs w:val="0"/>
          <w:noProof w:val="0"/>
          <w:sz w:val="22"/>
          <w:szCs w:val="22"/>
          <w:lang w:val="en-GB"/>
        </w:rPr>
      </w:pPr>
      <w:r w:rsidRPr="4819CEFE" w:rsidR="4819CEFE">
        <w:rPr>
          <w:rFonts w:ascii="Calibri" w:hAnsi="Calibri" w:eastAsia="Calibri" w:cs="Calibri"/>
          <w:b w:val="1"/>
          <w:bCs w:val="1"/>
          <w:noProof w:val="0"/>
          <w:sz w:val="22"/>
          <w:szCs w:val="22"/>
          <w:lang w:val="en-GB"/>
        </w:rPr>
        <w:t>Cheung, W.M. &amp; Wong, W.Y. (2014)</w:t>
      </w:r>
      <w:r w:rsidRPr="4819CEFE" w:rsidR="4819CEFE">
        <w:rPr>
          <w:rFonts w:ascii="Calibri" w:hAnsi="Calibri" w:eastAsia="Calibri" w:cs="Calibri"/>
          <w:noProof w:val="0"/>
          <w:sz w:val="22"/>
          <w:szCs w:val="22"/>
          <w:lang w:val="en-GB"/>
        </w:rPr>
        <w:t xml:space="preserve"> </w:t>
      </w:r>
      <w:r w:rsidRPr="4819CEFE" w:rsidR="4819CEFE">
        <w:rPr>
          <w:rFonts w:ascii="Calibri" w:hAnsi="Calibri" w:eastAsia="Calibri" w:cs="Calibri"/>
          <w:i w:val="1"/>
          <w:iCs w:val="1"/>
          <w:noProof w:val="0"/>
          <w:sz w:val="22"/>
          <w:szCs w:val="22"/>
          <w:lang w:val="en-GB"/>
        </w:rPr>
        <w:t>Does Lesson Study Work? A Systematic Review on the Effects of Lesson Study and Learning Study on Teachers and Students.</w:t>
      </w:r>
      <w:r w:rsidRPr="4819CEFE" w:rsidR="4819CEFE">
        <w:rPr>
          <w:rFonts w:ascii="Calibri" w:hAnsi="Calibri" w:eastAsia="Calibri" w:cs="Calibri"/>
          <w:noProof w:val="0"/>
          <w:sz w:val="22"/>
          <w:szCs w:val="22"/>
          <w:lang w:val="en-GB"/>
        </w:rPr>
        <w:t xml:space="preserve"> Vol. 3 No 2. Pg. 145-147. Hong Kong: Emerald Group Publishing Limited. </w:t>
      </w:r>
    </w:p>
    <w:p w:rsidR="118B0B9E" w:rsidP="4819CEFE" w:rsidRDefault="118B0B9E" w14:paraId="66DC196C" w14:textId="24E5A172">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Clarke, S. (2009)</w:t>
      </w:r>
      <w:r w:rsidRPr="4819CEFE" w:rsidR="4819CEFE">
        <w:rPr>
          <w:rFonts w:ascii="Calibri" w:hAnsi="Calibri" w:eastAsia="Calibri" w:cs="Calibri"/>
          <w:noProof w:val="0"/>
          <w:sz w:val="22"/>
          <w:szCs w:val="22"/>
          <w:lang w:val="en-GB"/>
        </w:rPr>
        <w:t xml:space="preserve"> </w:t>
      </w:r>
      <w:r w:rsidRPr="4819CEFE" w:rsidR="4819CEFE">
        <w:rPr>
          <w:rFonts w:ascii="Calibri" w:hAnsi="Calibri" w:eastAsia="Calibri" w:cs="Calibri"/>
          <w:i w:val="1"/>
          <w:iCs w:val="1"/>
          <w:noProof w:val="0"/>
          <w:sz w:val="22"/>
          <w:szCs w:val="22"/>
          <w:lang w:val="en-GB"/>
        </w:rPr>
        <w:t>Learning Objectives and Success Criteria</w:t>
      </w:r>
      <w:r w:rsidRPr="4819CEFE" w:rsidR="4819CEFE">
        <w:rPr>
          <w:rFonts w:ascii="Calibri" w:hAnsi="Calibri" w:eastAsia="Calibri" w:cs="Calibri"/>
          <w:noProof w:val="0"/>
          <w:sz w:val="22"/>
          <w:szCs w:val="22"/>
          <w:lang w:val="en-GB"/>
        </w:rPr>
        <w:t xml:space="preserve">. Shirley Clarke Education. Available at: </w:t>
      </w:r>
      <w:hyperlink r:id="Rf17d882c21dd454a">
        <w:r w:rsidRPr="4819CEFE" w:rsidR="4819CEFE">
          <w:rPr>
            <w:rStyle w:val="Hyperlink"/>
            <w:rFonts w:ascii="Calibri" w:hAnsi="Calibri" w:eastAsia="Calibri" w:cs="Calibri"/>
            <w:noProof w:val="0"/>
            <w:sz w:val="22"/>
            <w:szCs w:val="22"/>
            <w:lang w:val="en-GB"/>
          </w:rPr>
          <w:t>https://www.shirleyclarke-education.org/research/learning-objectives-and-success-criteria-2009/</w:t>
        </w:r>
      </w:hyperlink>
      <w:r w:rsidRPr="4819CEFE" w:rsidR="4819CEFE">
        <w:rPr>
          <w:rFonts w:ascii="Calibri" w:hAnsi="Calibri" w:eastAsia="Calibri" w:cs="Calibri"/>
          <w:noProof w:val="0"/>
          <w:sz w:val="22"/>
          <w:szCs w:val="22"/>
          <w:lang w:val="en-GB"/>
        </w:rPr>
        <w:t xml:space="preserve"> (Accessed on 20</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1FC4BD6A" w:rsidP="4819CEFE" w:rsidRDefault="1FC4BD6A" w14:paraId="02741DFE" w14:textId="021E74F6">
      <w:pPr>
        <w:numPr>
          <w:ilvl w:val="1"/>
          <w:numId w:val="5"/>
        </w:numPr>
        <w:spacing w:line="360" w:lineRule="auto"/>
        <w:ind/>
        <w:rPr>
          <w:b w:val="1"/>
          <w:bCs w:val="1"/>
          <w:i w:val="0"/>
          <w:iCs w:val="0"/>
          <w:noProof w:val="0"/>
          <w:sz w:val="22"/>
          <w:szCs w:val="22"/>
          <w:lang w:val="en-US"/>
        </w:rPr>
      </w:pPr>
      <w:r w:rsidRPr="4819CEFE" w:rsidR="4819CEFE">
        <w:rPr>
          <w:rFonts w:ascii="Calibri" w:hAnsi="Calibri" w:eastAsia="Calibri" w:cs="Calibri"/>
          <w:b w:val="1"/>
          <w:bCs w:val="1"/>
          <w:noProof w:val="0"/>
          <w:sz w:val="22"/>
          <w:szCs w:val="22"/>
          <w:lang w:val="en-GB"/>
        </w:rPr>
        <w:t>Coronado-Aliegro, J. (2006)</w:t>
      </w:r>
      <w:r w:rsidRPr="4819CEFE" w:rsidR="4819CEFE">
        <w:rPr>
          <w:rFonts w:ascii="Calibri" w:hAnsi="Calibri" w:eastAsia="Calibri" w:cs="Calibri"/>
          <w:noProof w:val="0"/>
          <w:sz w:val="22"/>
          <w:szCs w:val="22"/>
          <w:lang w:val="en-GB"/>
        </w:rPr>
        <w:t xml:space="preserve"> </w:t>
      </w:r>
      <w:r w:rsidRPr="4819CEFE" w:rsidR="4819CEFE">
        <w:rPr>
          <w:rFonts w:ascii="Calibri" w:hAnsi="Calibri" w:eastAsia="Calibri" w:cs="Calibri"/>
          <w:i w:val="1"/>
          <w:iCs w:val="1"/>
          <w:noProof w:val="0"/>
          <w:sz w:val="22"/>
          <w:szCs w:val="22"/>
          <w:lang w:val="en-GB"/>
        </w:rPr>
        <w:t xml:space="preserve">The Effect of Self-Assessment on the Self-Efficacy of Students Studying Spanish as a Foreign Language. </w:t>
      </w:r>
      <w:r w:rsidRPr="4819CEFE" w:rsidR="4819CEFE">
        <w:rPr>
          <w:rFonts w:ascii="Calibri" w:hAnsi="Calibri" w:eastAsia="Calibri" w:cs="Calibri"/>
          <w:noProof w:val="0"/>
          <w:sz w:val="22"/>
          <w:szCs w:val="22"/>
          <w:lang w:val="en-GB"/>
        </w:rPr>
        <w:t xml:space="preserve">Unpublished thesis. University of Pittsburgh. Available at: </w:t>
      </w:r>
      <w:hyperlink r:id="R780a0a06c74a4d9f">
        <w:r w:rsidRPr="4819CEFE" w:rsidR="4819CEFE">
          <w:rPr>
            <w:rStyle w:val="Hyperlink"/>
            <w:rFonts w:ascii="Calibri" w:hAnsi="Calibri" w:eastAsia="Calibri" w:cs="Calibri"/>
            <w:noProof w:val="0"/>
            <w:color w:val="0563C1"/>
            <w:sz w:val="22"/>
            <w:szCs w:val="22"/>
            <w:u w:val="single"/>
            <w:lang w:val="en-GB"/>
          </w:rPr>
          <w:t>http://d-scholarship.pitt.edu/9914/1/Coronado-AliegroJ2_etd2006.pdf</w:t>
        </w:r>
      </w:hyperlink>
      <w:r w:rsidRPr="4819CEFE" w:rsidR="4819CEFE">
        <w:rPr>
          <w:rFonts w:ascii="Calibri" w:hAnsi="Calibri" w:eastAsia="Calibri" w:cs="Calibri"/>
          <w:noProof w:val="0"/>
          <w:color w:val="auto"/>
          <w:sz w:val="22"/>
          <w:szCs w:val="22"/>
          <w:u w:val="single"/>
          <w:lang w:val="en-GB"/>
        </w:rPr>
        <w:t xml:space="preserve"> </w:t>
      </w:r>
      <w:r w:rsidRPr="4819CEFE" w:rsidR="4819CEFE">
        <w:rPr>
          <w:rFonts w:ascii="Calibri" w:hAnsi="Calibri" w:eastAsia="Calibri" w:cs="Calibri"/>
          <w:noProof w:val="0"/>
          <w:color w:val="auto"/>
          <w:sz w:val="22"/>
          <w:szCs w:val="22"/>
          <w:u w:val="none"/>
          <w:lang w:val="en-GB"/>
        </w:rPr>
        <w:t>(Accessed on the 7</w:t>
      </w:r>
      <w:r w:rsidRPr="4819CEFE" w:rsidR="4819CEFE">
        <w:rPr>
          <w:rFonts w:ascii="Calibri" w:hAnsi="Calibri" w:eastAsia="Calibri" w:cs="Calibri"/>
          <w:noProof w:val="0"/>
          <w:color w:val="auto"/>
          <w:sz w:val="22"/>
          <w:szCs w:val="22"/>
          <w:u w:val="none"/>
          <w:vertAlign w:val="superscript"/>
          <w:lang w:val="en-GB"/>
        </w:rPr>
        <w:t>th</w:t>
      </w:r>
      <w:r w:rsidRPr="4819CEFE" w:rsidR="4819CEFE">
        <w:rPr>
          <w:rFonts w:ascii="Calibri" w:hAnsi="Calibri" w:eastAsia="Calibri" w:cs="Calibri"/>
          <w:noProof w:val="0"/>
          <w:color w:val="auto"/>
          <w:sz w:val="22"/>
          <w:szCs w:val="22"/>
          <w:u w:val="none"/>
          <w:lang w:val="en-GB"/>
        </w:rPr>
        <w:t xml:space="preserve"> February 2020)</w:t>
      </w:r>
      <w:r w:rsidRPr="4819CEFE" w:rsidR="4819CEFE">
        <w:rPr>
          <w:rFonts w:ascii="Calibri" w:hAnsi="Calibri" w:eastAsia="Calibri" w:cs="Calibri"/>
          <w:noProof w:val="0"/>
          <w:sz w:val="22"/>
          <w:szCs w:val="22"/>
          <w:lang w:val="en-US"/>
        </w:rPr>
        <w:t xml:space="preserve"> </w:t>
      </w:r>
    </w:p>
    <w:p w:rsidR="3DF9E827" w:rsidP="4819CEFE" w:rsidRDefault="3DF9E827" w14:paraId="673F6B05" w14:textId="2B03EE7B">
      <w:pPr>
        <w:pStyle w:val="Normal"/>
        <w:numPr>
          <w:ilvl w:val="1"/>
          <w:numId w:val="5"/>
        </w:numPr>
        <w:spacing w:line="360" w:lineRule="auto"/>
        <w:ind/>
        <w:rPr>
          <w:b w:val="1"/>
          <w:bCs w:val="1"/>
          <w:i w:val="0"/>
          <w:iCs w:val="0"/>
          <w:noProof w:val="0"/>
          <w:sz w:val="22"/>
          <w:szCs w:val="22"/>
          <w:lang w:val="en-US"/>
        </w:rPr>
      </w:pPr>
      <w:r w:rsidRPr="4819CEFE" w:rsidR="4819CEFE">
        <w:rPr>
          <w:rFonts w:ascii="Calibri" w:hAnsi="Calibri" w:eastAsia="Calibri" w:cs="Calibri"/>
          <w:b w:val="1"/>
          <w:bCs w:val="1"/>
          <w:noProof w:val="0"/>
          <w:sz w:val="22"/>
          <w:szCs w:val="22"/>
          <w:lang w:val="en-US"/>
        </w:rPr>
        <w:t>De Bono, E. (1970)</w:t>
      </w:r>
      <w:r w:rsidRPr="4819CEFE" w:rsidR="4819CEFE">
        <w:rPr>
          <w:rFonts w:ascii="Calibri" w:hAnsi="Calibri" w:eastAsia="Calibri" w:cs="Calibri"/>
          <w:noProof w:val="0"/>
          <w:sz w:val="22"/>
          <w:szCs w:val="22"/>
          <w:lang w:val="en-US"/>
        </w:rPr>
        <w:t xml:space="preserve"> </w:t>
      </w:r>
      <w:r w:rsidRPr="4819CEFE" w:rsidR="4819CEFE">
        <w:rPr>
          <w:rFonts w:ascii="Calibri" w:hAnsi="Calibri" w:eastAsia="Calibri" w:cs="Calibri"/>
          <w:i w:val="1"/>
          <w:iCs w:val="1"/>
          <w:noProof w:val="0"/>
          <w:sz w:val="22"/>
          <w:szCs w:val="22"/>
          <w:lang w:val="en-US"/>
        </w:rPr>
        <w:t>Lateral Thinking: A Textbook of Creativity.</w:t>
      </w:r>
      <w:r w:rsidRPr="4819CEFE" w:rsidR="4819CEFE">
        <w:rPr>
          <w:rFonts w:ascii="Calibri" w:hAnsi="Calibri" w:eastAsia="Calibri" w:cs="Calibri"/>
          <w:noProof w:val="0"/>
          <w:sz w:val="22"/>
          <w:szCs w:val="22"/>
          <w:lang w:val="en-US"/>
        </w:rPr>
        <w:t xml:space="preserve"> UK: Penguin Books Ltd, England.</w:t>
      </w:r>
    </w:p>
    <w:p w:rsidR="118B0B9E" w:rsidP="4819CEFE" w:rsidRDefault="118B0B9E" w14:paraId="7F769D6D" w14:textId="01CFB667">
      <w:pPr>
        <w:pStyle w:val="ListParagraph"/>
        <w:numPr>
          <w:ilvl w:val="1"/>
          <w:numId w:val="5"/>
        </w:numPr>
        <w:spacing w:line="360" w:lineRule="auto"/>
        <w:ind/>
        <w:rPr>
          <w:b w:val="1"/>
          <w:bCs w:val="1"/>
          <w:noProof w:val="0"/>
          <w:sz w:val="22"/>
          <w:szCs w:val="22"/>
          <w:lang w:val="en-US"/>
        </w:rPr>
      </w:pPr>
      <w:r w:rsidRPr="4819CEFE" w:rsidR="4819CEFE">
        <w:rPr>
          <w:rFonts w:ascii="Calibri" w:hAnsi="Calibri" w:eastAsia="Calibri" w:cs="Calibri"/>
          <w:b w:val="1"/>
          <w:bCs w:val="1"/>
          <w:noProof w:val="0"/>
          <w:sz w:val="22"/>
          <w:szCs w:val="22"/>
          <w:lang w:val="en-US"/>
        </w:rPr>
        <w:t>Department for Education &amp; Employment (1999)</w:t>
      </w:r>
      <w:r w:rsidRPr="4819CEFE" w:rsidR="4819CEFE">
        <w:rPr>
          <w:rFonts w:ascii="Calibri" w:hAnsi="Calibri" w:eastAsia="Calibri" w:cs="Calibri"/>
          <w:i w:val="1"/>
          <w:iCs w:val="1"/>
          <w:noProof w:val="0"/>
          <w:sz w:val="22"/>
          <w:szCs w:val="22"/>
          <w:lang w:val="en-US"/>
        </w:rPr>
        <w:t xml:space="preserve"> National Advisory Committee, All Our Futures: Creativity, Culture &amp; Education</w:t>
      </w:r>
      <w:r w:rsidRPr="4819CEFE" w:rsidR="4819CEFE">
        <w:rPr>
          <w:rFonts w:ascii="Calibri" w:hAnsi="Calibri" w:eastAsia="Calibri" w:cs="Calibri"/>
          <w:noProof w:val="0"/>
          <w:sz w:val="22"/>
          <w:szCs w:val="22"/>
          <w:lang w:val="en-US"/>
        </w:rPr>
        <w:t xml:space="preserve">. UK Available at: </w:t>
      </w:r>
      <w:hyperlink r:id="Rf5a18f6bacac4344">
        <w:r w:rsidRPr="4819CEFE" w:rsidR="4819CEFE">
          <w:rPr>
            <w:rStyle w:val="Hyperlink"/>
            <w:rFonts w:ascii="Calibri" w:hAnsi="Calibri" w:eastAsia="Calibri" w:cs="Calibri"/>
            <w:noProof w:val="0"/>
            <w:sz w:val="22"/>
            <w:szCs w:val="22"/>
            <w:lang w:val="en-US"/>
          </w:rPr>
          <w:t>http://sirkenrobinson.com/pdf/allourfutures.pdf</w:t>
        </w:r>
      </w:hyperlink>
      <w:r w:rsidRPr="4819CEFE" w:rsidR="4819CEFE">
        <w:rPr>
          <w:rFonts w:ascii="Calibri" w:hAnsi="Calibri" w:eastAsia="Calibri" w:cs="Calibri"/>
          <w:noProof w:val="0"/>
          <w:sz w:val="22"/>
          <w:szCs w:val="22"/>
          <w:lang w:val="en-US"/>
        </w:rPr>
        <w:t xml:space="preserve"> (Accessed on 16</w:t>
      </w:r>
      <w:r w:rsidRPr="4819CEFE" w:rsidR="4819CEFE">
        <w:rPr>
          <w:rFonts w:ascii="Calibri" w:hAnsi="Calibri" w:eastAsia="Calibri" w:cs="Calibri"/>
          <w:noProof w:val="0"/>
          <w:sz w:val="22"/>
          <w:szCs w:val="22"/>
          <w:vertAlign w:val="superscript"/>
          <w:lang w:val="en-US"/>
        </w:rPr>
        <w:t>th</w:t>
      </w:r>
      <w:r w:rsidRPr="4819CEFE" w:rsidR="4819CEFE">
        <w:rPr>
          <w:rFonts w:ascii="Calibri" w:hAnsi="Calibri" w:eastAsia="Calibri" w:cs="Calibri"/>
          <w:noProof w:val="0"/>
          <w:sz w:val="22"/>
          <w:szCs w:val="22"/>
          <w:lang w:val="en-US"/>
        </w:rPr>
        <w:t xml:space="preserve"> February 2020)</w:t>
      </w:r>
    </w:p>
    <w:p w:rsidR="118B0B9E" w:rsidP="4819CEFE" w:rsidRDefault="118B0B9E" w14:paraId="29BCF92B" w14:textId="5B386003">
      <w:pPr>
        <w:numPr>
          <w:ilvl w:val="1"/>
          <w:numId w:val="5"/>
        </w:numPr>
        <w:spacing w:line="360" w:lineRule="auto"/>
        <w:ind/>
        <w:rPr>
          <w:b w:val="1"/>
          <w:bCs w:val="1"/>
          <w:i w:val="0"/>
          <w:iCs w:val="0"/>
          <w:noProof w:val="0"/>
          <w:sz w:val="22"/>
          <w:szCs w:val="22"/>
          <w:lang w:val="en-GB"/>
        </w:rPr>
      </w:pPr>
      <w:r w:rsidRPr="4819CEFE" w:rsidR="4819CEFE">
        <w:rPr>
          <w:rFonts w:ascii="Calibri" w:hAnsi="Calibri" w:eastAsia="Calibri" w:cs="Calibri"/>
          <w:b w:val="1"/>
          <w:bCs w:val="1"/>
          <w:noProof w:val="0"/>
          <w:sz w:val="22"/>
          <w:szCs w:val="22"/>
          <w:lang w:val="en-GB"/>
        </w:rPr>
        <w:t>Diputra et al (2019)</w:t>
      </w:r>
      <w:r w:rsidRPr="4819CEFE" w:rsidR="4819CEFE">
        <w:rPr>
          <w:rFonts w:ascii="Calibri" w:hAnsi="Calibri" w:eastAsia="Calibri" w:cs="Calibri"/>
          <w:i w:val="1"/>
          <w:iCs w:val="1"/>
          <w:noProof w:val="0"/>
          <w:sz w:val="22"/>
          <w:szCs w:val="22"/>
          <w:lang w:val="en-GB"/>
        </w:rPr>
        <w:t xml:space="preserve"> Lesson Study for Developing the Pedagogical Competence of Pre-Service Teachers by Integrating Character Values in Thematic Teaching at Elementary Schools.</w:t>
      </w:r>
      <w:r w:rsidRPr="4819CEFE" w:rsidR="4819CEFE">
        <w:rPr>
          <w:rFonts w:ascii="Calibri" w:hAnsi="Calibri" w:eastAsia="Calibri" w:cs="Calibri"/>
          <w:noProof w:val="0"/>
          <w:sz w:val="22"/>
          <w:szCs w:val="22"/>
          <w:lang w:val="en-GB"/>
        </w:rPr>
        <w:t xml:space="preserve"> Indonesia: </w:t>
      </w:r>
      <w:proofErr w:type="spellStart"/>
      <w:r w:rsidRPr="4819CEFE" w:rsidR="4819CEFE">
        <w:rPr>
          <w:rFonts w:ascii="Calibri" w:hAnsi="Calibri" w:eastAsia="Calibri" w:cs="Calibri"/>
          <w:noProof w:val="0"/>
          <w:sz w:val="22"/>
          <w:szCs w:val="22"/>
          <w:lang w:val="en-GB"/>
        </w:rPr>
        <w:t>Ganesha</w:t>
      </w:r>
      <w:proofErr w:type="spellEnd"/>
      <w:r w:rsidRPr="4819CEFE" w:rsidR="4819CEFE">
        <w:rPr>
          <w:rFonts w:ascii="Calibri" w:hAnsi="Calibri" w:eastAsia="Calibri" w:cs="Calibri"/>
          <w:noProof w:val="0"/>
          <w:sz w:val="22"/>
          <w:szCs w:val="22"/>
          <w:lang w:val="en-GB"/>
        </w:rPr>
        <w:t xml:space="preserve"> University of Education. Available at: </w:t>
      </w:r>
      <w:hyperlink r:id="Rc1152fb679304b77">
        <w:r w:rsidRPr="4819CEFE" w:rsidR="4819CEFE">
          <w:rPr>
            <w:rStyle w:val="Hyperlink"/>
            <w:rFonts w:ascii="Calibri" w:hAnsi="Calibri" w:eastAsia="Calibri" w:cs="Calibri"/>
            <w:noProof w:val="0"/>
            <w:color w:val="0563C1"/>
            <w:sz w:val="22"/>
            <w:szCs w:val="22"/>
            <w:u w:val="single"/>
            <w:lang w:val="en-GB"/>
          </w:rPr>
          <w:t>https://www.semanticscholar.org/paper/Lesson-Study-for-Developing-the-Pedagogical-of-by-Diputra-Japa/eeea2824a797c4c330270739b3b73d50ac492b5f</w:t>
        </w:r>
      </w:hyperlink>
      <w:r w:rsidRPr="4819CEFE" w:rsidR="4819CEFE">
        <w:rPr>
          <w:rFonts w:ascii="Calibri" w:hAnsi="Calibri" w:eastAsia="Calibri" w:cs="Calibri"/>
          <w:noProof w:val="0"/>
          <w:color w:val="auto"/>
          <w:sz w:val="22"/>
          <w:szCs w:val="22"/>
          <w:u w:val="single"/>
          <w:lang w:val="en-GB"/>
        </w:rPr>
        <w:t xml:space="preserve"> </w:t>
      </w:r>
      <w:r w:rsidRPr="4819CEFE" w:rsidR="4819CEFE">
        <w:rPr>
          <w:rFonts w:ascii="Calibri" w:hAnsi="Calibri" w:eastAsia="Calibri" w:cs="Calibri"/>
          <w:noProof w:val="0"/>
          <w:color w:val="auto"/>
          <w:sz w:val="22"/>
          <w:szCs w:val="22"/>
          <w:u w:val="none"/>
          <w:lang w:val="en-GB"/>
        </w:rPr>
        <w:t>(Accessed on 4</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 </w:t>
      </w:r>
    </w:p>
    <w:p w:rsidR="3D5B7A4C" w:rsidP="4819CEFE" w:rsidRDefault="3D5B7A4C" w14:paraId="4F1B4AA9" w14:textId="4D963288">
      <w:pPr>
        <w:numPr>
          <w:ilvl w:val="1"/>
          <w:numId w:val="5"/>
        </w:numPr>
        <w:spacing w:line="360" w:lineRule="auto"/>
        <w:ind/>
        <w:rPr>
          <w:b w:val="1"/>
          <w:bCs w:val="1"/>
          <w:i w:val="0"/>
          <w:iCs w:val="0"/>
          <w:noProof w:val="0"/>
          <w:sz w:val="22"/>
          <w:szCs w:val="22"/>
          <w:lang w:val="en-GB"/>
        </w:rPr>
      </w:pPr>
      <w:r w:rsidRPr="4819CEFE" w:rsidR="4819CEFE">
        <w:rPr>
          <w:rFonts w:ascii="Calibri" w:hAnsi="Calibri" w:eastAsia="Calibri" w:cs="Calibri"/>
          <w:b w:val="1"/>
          <w:bCs w:val="1"/>
          <w:noProof w:val="0"/>
          <w:sz w:val="22"/>
          <w:szCs w:val="22"/>
          <w:lang w:val="en-GB"/>
        </w:rPr>
        <w:t>Dudley, P. (2014)</w:t>
      </w:r>
      <w:r w:rsidRPr="4819CEFE" w:rsidR="4819CEFE">
        <w:rPr>
          <w:rFonts w:ascii="Calibri" w:hAnsi="Calibri" w:eastAsia="Calibri" w:cs="Calibri"/>
          <w:b w:val="1"/>
          <w:bCs w:val="1"/>
          <w:i w:val="1"/>
          <w:iCs w:val="1"/>
          <w:noProof w:val="0"/>
          <w:sz w:val="22"/>
          <w:szCs w:val="22"/>
          <w:lang w:val="en-GB"/>
        </w:rPr>
        <w:t xml:space="preserve"> </w:t>
      </w:r>
      <w:r w:rsidRPr="4819CEFE" w:rsidR="4819CEFE">
        <w:rPr>
          <w:rFonts w:ascii="Calibri" w:hAnsi="Calibri" w:eastAsia="Calibri" w:cs="Calibri"/>
          <w:i w:val="1"/>
          <w:iCs w:val="1"/>
          <w:noProof w:val="0"/>
          <w:sz w:val="22"/>
          <w:szCs w:val="22"/>
          <w:lang w:val="en-GB"/>
        </w:rPr>
        <w:t>Lesson Study: A Handbook.</w:t>
      </w:r>
      <w:r w:rsidRPr="4819CEFE" w:rsidR="4819CEFE">
        <w:rPr>
          <w:rFonts w:ascii="Calibri" w:hAnsi="Calibri" w:eastAsia="Calibri" w:cs="Calibri"/>
          <w:noProof w:val="0"/>
          <w:sz w:val="22"/>
          <w:szCs w:val="22"/>
          <w:lang w:val="en-GB"/>
        </w:rPr>
        <w:t xml:space="preserve"> LSUK. Pg. 3-6, 10-15. Available at: </w:t>
      </w:r>
      <w:hyperlink r:id="Ra7a41dc3cafc4f78">
        <w:r w:rsidRPr="4819CEFE" w:rsidR="4819CEFE">
          <w:rPr>
            <w:rStyle w:val="Hyperlink"/>
            <w:rFonts w:ascii="Calibri" w:hAnsi="Calibri" w:eastAsia="Calibri" w:cs="Calibri"/>
            <w:noProof w:val="0"/>
            <w:color w:val="0563C1"/>
            <w:sz w:val="22"/>
            <w:szCs w:val="22"/>
            <w:u w:val="single"/>
            <w:lang w:val="en-GB"/>
          </w:rPr>
          <w:t>http://lessonstudy.co.uk/wp-content/uploads/2012/03/new-handbook-revisedMay14.pdf</w:t>
        </w:r>
      </w:hyperlink>
      <w:r w:rsidRPr="4819CEFE" w:rsidR="4819CEFE">
        <w:rPr>
          <w:rFonts w:ascii="Calibri" w:hAnsi="Calibri" w:eastAsia="Calibri" w:cs="Calibri"/>
          <w:noProof w:val="0"/>
          <w:color w:val="0563C1"/>
          <w:sz w:val="22"/>
          <w:szCs w:val="22"/>
          <w:u w:val="single"/>
          <w:lang w:val="en-GB"/>
        </w:rPr>
        <w:t xml:space="preserve"> </w:t>
      </w:r>
      <w:r w:rsidRPr="4819CEFE" w:rsidR="4819CEFE">
        <w:rPr>
          <w:rFonts w:ascii="Calibri" w:hAnsi="Calibri" w:eastAsia="Calibri" w:cs="Calibri"/>
          <w:noProof w:val="0"/>
          <w:color w:val="auto"/>
          <w:sz w:val="22"/>
          <w:szCs w:val="22"/>
          <w:u w:val="none"/>
          <w:lang w:val="en-GB"/>
        </w:rPr>
        <w:t>(Accessed on 31</w:t>
      </w:r>
      <w:r w:rsidRPr="4819CEFE" w:rsidR="4819CEFE">
        <w:rPr>
          <w:rFonts w:ascii="Calibri" w:hAnsi="Calibri" w:eastAsia="Calibri" w:cs="Calibri"/>
          <w:noProof w:val="0"/>
          <w:color w:val="auto"/>
          <w:sz w:val="22"/>
          <w:szCs w:val="22"/>
          <w:u w:val="none"/>
          <w:vertAlign w:val="superscript"/>
          <w:lang w:val="en-GB"/>
        </w:rPr>
        <w:t>st</w:t>
      </w:r>
      <w:r w:rsidRPr="4819CEFE" w:rsidR="4819CEFE">
        <w:rPr>
          <w:rFonts w:ascii="Calibri" w:hAnsi="Calibri" w:eastAsia="Calibri" w:cs="Calibri"/>
          <w:noProof w:val="0"/>
          <w:sz w:val="22"/>
          <w:szCs w:val="22"/>
          <w:lang w:val="en-GB"/>
        </w:rPr>
        <w:t xml:space="preserve"> January 2020) </w:t>
      </w:r>
    </w:p>
    <w:p w:rsidR="3D5B7A4C" w:rsidP="4819CEFE" w:rsidRDefault="3D5B7A4C" w14:paraId="391CA473" w14:textId="2B0533CF">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Dyer, K. (2018)</w:t>
      </w:r>
      <w:r w:rsidRPr="4819CEFE" w:rsidR="4819CEFE">
        <w:rPr>
          <w:rFonts w:ascii="Calibri" w:hAnsi="Calibri" w:eastAsia="Calibri" w:cs="Calibri"/>
          <w:i w:val="1"/>
          <w:iCs w:val="1"/>
          <w:noProof w:val="0"/>
          <w:sz w:val="22"/>
          <w:szCs w:val="22"/>
          <w:lang w:val="en-GB"/>
        </w:rPr>
        <w:t xml:space="preserve"> What You Need to Know When Establishing Success Criteria in the Classroom.</w:t>
      </w:r>
      <w:r w:rsidRPr="4819CEFE" w:rsidR="4819CEFE">
        <w:rPr>
          <w:rFonts w:ascii="Calibri" w:hAnsi="Calibri" w:eastAsia="Calibri" w:cs="Calibri"/>
          <w:noProof w:val="0"/>
          <w:sz w:val="22"/>
          <w:szCs w:val="22"/>
          <w:lang w:val="en-GB"/>
        </w:rPr>
        <w:t xml:space="preserve"> Teach. Learn. Grow. The Education Blog. 29 March. Available at: </w:t>
      </w:r>
      <w:hyperlink r:id="Rbf57ecb711ca4316">
        <w:r w:rsidRPr="4819CEFE" w:rsidR="4819CEFE">
          <w:rPr>
            <w:rStyle w:val="Hyperlink"/>
            <w:rFonts w:ascii="Calibri" w:hAnsi="Calibri" w:eastAsia="Calibri" w:cs="Calibri"/>
            <w:noProof w:val="0"/>
            <w:sz w:val="22"/>
            <w:szCs w:val="22"/>
            <w:lang w:val="en-GB"/>
          </w:rPr>
          <w:t>https://www.nwea.org/blog/2018/what-you-need-to-know-when-establishing-success-criteria-in-the-classroom/</w:t>
        </w:r>
      </w:hyperlink>
      <w:r w:rsidRPr="4819CEFE" w:rsidR="4819CEFE">
        <w:rPr>
          <w:rFonts w:ascii="Calibri" w:hAnsi="Calibri" w:eastAsia="Calibri" w:cs="Calibri"/>
          <w:noProof w:val="0"/>
          <w:sz w:val="22"/>
          <w:szCs w:val="22"/>
          <w:lang w:val="en-GB"/>
        </w:rPr>
        <w:t xml:space="preserve"> (Accessed on 21</w:t>
      </w:r>
      <w:r w:rsidRPr="4819CEFE" w:rsidR="4819CEFE">
        <w:rPr>
          <w:rFonts w:ascii="Calibri" w:hAnsi="Calibri" w:eastAsia="Calibri" w:cs="Calibri"/>
          <w:noProof w:val="0"/>
          <w:sz w:val="22"/>
          <w:szCs w:val="22"/>
          <w:vertAlign w:val="superscript"/>
          <w:lang w:val="en-GB"/>
        </w:rPr>
        <w:t>st</w:t>
      </w:r>
      <w:r w:rsidRPr="4819CEFE" w:rsidR="4819CEFE">
        <w:rPr>
          <w:rFonts w:ascii="Calibri" w:hAnsi="Calibri" w:eastAsia="Calibri" w:cs="Calibri"/>
          <w:noProof w:val="0"/>
          <w:sz w:val="22"/>
          <w:szCs w:val="22"/>
          <w:lang w:val="en-GB"/>
        </w:rPr>
        <w:t xml:space="preserve"> February 2020)</w:t>
      </w:r>
    </w:p>
    <w:p w:rsidR="2ADA70B7" w:rsidP="4819CEFE" w:rsidRDefault="2ADA70B7" w14:paraId="79F5F020" w14:textId="5064EA5C">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Florian, L. &amp; Beaton, M. (2018)</w:t>
      </w:r>
      <w:r w:rsidRPr="4819CEFE" w:rsidR="4819CEFE">
        <w:rPr>
          <w:rFonts w:ascii="Calibri" w:hAnsi="Calibri" w:eastAsia="Calibri" w:cs="Calibri"/>
          <w:i w:val="1"/>
          <w:iCs w:val="1"/>
          <w:noProof w:val="0"/>
          <w:sz w:val="22"/>
          <w:szCs w:val="22"/>
          <w:lang w:val="en-GB"/>
        </w:rPr>
        <w:t xml:space="preserve"> Inclusive Pedagogy in Action: Getting it right for every child.</w:t>
      </w:r>
      <w:r w:rsidRPr="4819CEFE" w:rsidR="4819CEFE">
        <w:rPr>
          <w:rFonts w:ascii="Calibri" w:hAnsi="Calibri" w:eastAsia="Calibri" w:cs="Calibri"/>
          <w:noProof w:val="0"/>
          <w:sz w:val="22"/>
          <w:szCs w:val="22"/>
          <w:lang w:val="en-GB"/>
        </w:rPr>
        <w:t xml:space="preserve"> International Journal of Inclusive Education. Vol. 22, No. 8. Available at: </w:t>
      </w:r>
      <w:hyperlink r:id="Rd008f4ba16de4105">
        <w:r w:rsidRPr="4819CEFE" w:rsidR="4819CEFE">
          <w:rPr>
            <w:rStyle w:val="Hyperlink"/>
            <w:rFonts w:ascii="Calibri" w:hAnsi="Calibri" w:eastAsia="Calibri" w:cs="Calibri"/>
            <w:noProof w:val="0"/>
            <w:sz w:val="22"/>
            <w:szCs w:val="22"/>
            <w:lang w:val="en-GB"/>
          </w:rPr>
          <w:t>https://www.research.ed.ac.uk/portal/files/50115780/Florian_Beaton_IJIE.pdf</w:t>
        </w:r>
      </w:hyperlink>
      <w:r w:rsidRPr="4819CEFE" w:rsidR="4819CEFE">
        <w:rPr>
          <w:rFonts w:ascii="Calibri" w:hAnsi="Calibri" w:eastAsia="Calibri" w:cs="Calibri"/>
          <w:noProof w:val="0"/>
          <w:sz w:val="22"/>
          <w:szCs w:val="22"/>
          <w:lang w:val="en-GB"/>
        </w:rPr>
        <w:t xml:space="preserve"> (Accessed on 21</w:t>
      </w:r>
      <w:r w:rsidRPr="4819CEFE" w:rsidR="4819CEFE">
        <w:rPr>
          <w:rFonts w:ascii="Calibri" w:hAnsi="Calibri" w:eastAsia="Calibri" w:cs="Calibri"/>
          <w:noProof w:val="0"/>
          <w:sz w:val="22"/>
          <w:szCs w:val="22"/>
          <w:vertAlign w:val="superscript"/>
          <w:lang w:val="en-GB"/>
        </w:rPr>
        <w:t>st</w:t>
      </w:r>
      <w:r w:rsidRPr="4819CEFE" w:rsidR="4819CEFE">
        <w:rPr>
          <w:rFonts w:ascii="Calibri" w:hAnsi="Calibri" w:eastAsia="Calibri" w:cs="Calibri"/>
          <w:noProof w:val="0"/>
          <w:sz w:val="22"/>
          <w:szCs w:val="22"/>
          <w:lang w:val="en-GB"/>
        </w:rPr>
        <w:t xml:space="preserve"> February 2020)</w:t>
      </w:r>
    </w:p>
    <w:p w:rsidR="3DF9E827" w:rsidP="4819CEFE" w:rsidRDefault="3DF9E827" w14:paraId="116BC1EC" w14:textId="1C473517">
      <w:pPr>
        <w:pStyle w:val="ListParagraph"/>
        <w:numPr>
          <w:ilvl w:val="1"/>
          <w:numId w:val="5"/>
        </w:numPr>
        <w:spacing w:line="360" w:lineRule="auto"/>
        <w:ind/>
        <w:rPr>
          <w:b w:val="1"/>
          <w:bCs w:val="1"/>
          <w:noProof w:val="0"/>
          <w:sz w:val="22"/>
          <w:szCs w:val="22"/>
          <w:lang w:val="en-GB"/>
        </w:rPr>
      </w:pPr>
      <w:r w:rsidRPr="4819CEFE" w:rsidR="4819CEFE">
        <w:rPr>
          <w:rFonts w:ascii="Calibri" w:hAnsi="Calibri" w:eastAsia="Calibri" w:cs="Calibri"/>
          <w:b w:val="1"/>
          <w:bCs w:val="1"/>
          <w:noProof w:val="0"/>
          <w:sz w:val="22"/>
          <w:szCs w:val="22"/>
          <w:lang w:val="en-GB"/>
        </w:rPr>
        <w:t>Grant, H. &amp; Dweck, C.S. (2003)</w:t>
      </w:r>
      <w:r w:rsidRPr="4819CEFE" w:rsidR="4819CEFE">
        <w:rPr>
          <w:rFonts w:ascii="Calibri" w:hAnsi="Calibri" w:eastAsia="Calibri" w:cs="Calibri"/>
          <w:noProof w:val="0"/>
          <w:sz w:val="22"/>
          <w:szCs w:val="22"/>
          <w:lang w:val="en-GB"/>
        </w:rPr>
        <w:t xml:space="preserve"> </w:t>
      </w:r>
      <w:r w:rsidRPr="4819CEFE" w:rsidR="4819CEFE">
        <w:rPr>
          <w:rFonts w:ascii="Calibri" w:hAnsi="Calibri" w:eastAsia="Calibri" w:cs="Calibri"/>
          <w:i w:val="1"/>
          <w:iCs w:val="1"/>
          <w:noProof w:val="0"/>
          <w:sz w:val="22"/>
          <w:szCs w:val="22"/>
          <w:lang w:val="en-GB"/>
        </w:rPr>
        <w:t>Clarifying Achievement Goals and Their Impact.</w:t>
      </w:r>
      <w:r w:rsidRPr="4819CEFE" w:rsidR="4819CEFE">
        <w:rPr>
          <w:rFonts w:ascii="Calibri" w:hAnsi="Calibri" w:eastAsia="Calibri" w:cs="Calibri"/>
          <w:noProof w:val="0"/>
          <w:sz w:val="22"/>
          <w:szCs w:val="22"/>
          <w:lang w:val="en-GB"/>
        </w:rPr>
        <w:t xml:space="preserve"> Journal of Personality and Social Psychology, Vol. 85. No. 3, Pg. 541-553. Available at: </w:t>
      </w:r>
      <w:hyperlink r:id="R2dd6152c449c4ac1">
        <w:r w:rsidRPr="4819CEFE" w:rsidR="4819CEFE">
          <w:rPr>
            <w:rStyle w:val="Hyperlink"/>
            <w:rFonts w:ascii="Calibri" w:hAnsi="Calibri" w:eastAsia="Calibri" w:cs="Calibri"/>
            <w:noProof w:val="0"/>
            <w:sz w:val="22"/>
            <w:szCs w:val="22"/>
            <w:lang w:val="en-GB"/>
          </w:rPr>
          <w:t>https://whel-primo.hosted.exlibrisgroup.com/primo-explore/fulldisplay?docid=TN_proquest209811759&amp;context=PC&amp;vid=44WHELF_UWTSD_VU1&amp;lang=en_US&amp;search_scope=CSCOP_EVERYTHING&amp;adaptor=primo_central_multiple_fe&amp;tab=tab1&amp;query=any,contains,grant%20&amp;%20dweck%202003&amp;offset=0</w:t>
        </w:r>
      </w:hyperlink>
      <w:r w:rsidRPr="4819CEFE" w:rsidR="4819CEFE">
        <w:rPr>
          <w:rFonts w:ascii="Calibri" w:hAnsi="Calibri" w:eastAsia="Calibri" w:cs="Calibri"/>
          <w:noProof w:val="0"/>
          <w:sz w:val="22"/>
          <w:szCs w:val="22"/>
          <w:lang w:val="en-GB"/>
        </w:rPr>
        <w:t xml:space="preserve"> (Accessed on 18</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3D5B7A4C" w:rsidP="4819CEFE" w:rsidRDefault="3D5B7A4C" w14:paraId="5B85BE16" w14:textId="45C20ACA">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Gilbert, I. (2010)</w:t>
      </w:r>
      <w:r w:rsidRPr="4819CEFE" w:rsidR="4819CEFE">
        <w:rPr>
          <w:rFonts w:ascii="Calibri" w:hAnsi="Calibri" w:eastAsia="Calibri" w:cs="Calibri"/>
          <w:i w:val="1"/>
          <w:iCs w:val="1"/>
          <w:noProof w:val="0"/>
          <w:sz w:val="22"/>
          <w:szCs w:val="22"/>
          <w:lang w:val="en-GB"/>
        </w:rPr>
        <w:t xml:space="preserve"> Embedding PLTs in Whole School Practise.</w:t>
      </w:r>
      <w:r w:rsidRPr="4819CEFE" w:rsidR="4819CEFE">
        <w:rPr>
          <w:rFonts w:ascii="Calibri" w:hAnsi="Calibri" w:eastAsia="Calibri" w:cs="Calibri"/>
          <w:noProof w:val="0"/>
          <w:sz w:val="22"/>
          <w:szCs w:val="22"/>
          <w:lang w:val="en-GB"/>
        </w:rPr>
        <w:t xml:space="preserve"> United Arab Emirates, 21</w:t>
      </w:r>
      <w:r w:rsidRPr="4819CEFE" w:rsidR="4819CEFE">
        <w:rPr>
          <w:rFonts w:ascii="Calibri" w:hAnsi="Calibri" w:eastAsia="Calibri" w:cs="Calibri"/>
          <w:noProof w:val="0"/>
          <w:sz w:val="22"/>
          <w:szCs w:val="22"/>
          <w:vertAlign w:val="superscript"/>
          <w:lang w:val="en-GB"/>
        </w:rPr>
        <w:t>st</w:t>
      </w:r>
      <w:r w:rsidRPr="4819CEFE" w:rsidR="4819CEFE">
        <w:rPr>
          <w:rFonts w:ascii="Calibri" w:hAnsi="Calibri" w:eastAsia="Calibri" w:cs="Calibri"/>
          <w:noProof w:val="0"/>
          <w:sz w:val="22"/>
          <w:szCs w:val="22"/>
          <w:lang w:val="en-GB"/>
        </w:rPr>
        <w:t xml:space="preserve"> April. Available at: </w:t>
      </w:r>
      <w:hyperlink r:id="Rc1a126fcd9ea4536">
        <w:r w:rsidRPr="4819CEFE" w:rsidR="4819CEFE">
          <w:rPr>
            <w:rStyle w:val="Hyperlink"/>
            <w:rFonts w:ascii="Calibri" w:hAnsi="Calibri" w:eastAsia="Calibri" w:cs="Calibri"/>
            <w:noProof w:val="0"/>
            <w:sz w:val="22"/>
            <w:szCs w:val="22"/>
            <w:lang w:val="en-GB"/>
          </w:rPr>
          <w:t>https://issuu.com/itlworldwide/docs/embedding_plts_in_whole_school_practice_v2</w:t>
        </w:r>
      </w:hyperlink>
      <w:r w:rsidRPr="4819CEFE" w:rsidR="4819CEFE">
        <w:rPr>
          <w:rFonts w:ascii="Calibri" w:hAnsi="Calibri" w:eastAsia="Calibri" w:cs="Calibri"/>
          <w:noProof w:val="0"/>
          <w:sz w:val="22"/>
          <w:szCs w:val="22"/>
          <w:lang w:val="en-GB"/>
        </w:rPr>
        <w:t xml:space="preserve"> (Accessed on 16</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2ADA70B7" w:rsidP="4819CEFE" w:rsidRDefault="2ADA70B7" w14:paraId="084A4551" w14:textId="40CBD357">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Hart, N. (2017)</w:t>
      </w:r>
      <w:r w:rsidRPr="4819CEFE" w:rsidR="4819CEFE">
        <w:rPr>
          <w:rFonts w:ascii="Calibri" w:hAnsi="Calibri" w:eastAsia="Calibri" w:cs="Calibri"/>
          <w:b w:val="1"/>
          <w:bCs w:val="1"/>
          <w:i w:val="1"/>
          <w:iCs w:val="1"/>
          <w:noProof w:val="0"/>
          <w:sz w:val="22"/>
          <w:szCs w:val="22"/>
          <w:lang w:val="en-GB"/>
        </w:rPr>
        <w:t xml:space="preserve"> </w:t>
      </w:r>
      <w:r w:rsidRPr="4819CEFE" w:rsidR="4819CEFE">
        <w:rPr>
          <w:rFonts w:ascii="Calibri" w:hAnsi="Calibri" w:eastAsia="Calibri" w:cs="Calibri"/>
          <w:i w:val="1"/>
          <w:iCs w:val="1"/>
          <w:noProof w:val="0"/>
          <w:sz w:val="22"/>
          <w:szCs w:val="22"/>
          <w:lang w:val="en-GB"/>
        </w:rPr>
        <w:t>Success Criteria in Mathematics.</w:t>
      </w:r>
      <w:r w:rsidRPr="4819CEFE" w:rsidR="4819CEFE">
        <w:rPr>
          <w:rFonts w:ascii="Calibri" w:hAnsi="Calibri" w:eastAsia="Calibri" w:cs="Calibri"/>
          <w:noProof w:val="0"/>
          <w:sz w:val="22"/>
          <w:szCs w:val="22"/>
          <w:lang w:val="en-GB"/>
        </w:rPr>
        <w:t xml:space="preserve"> Rising Stars. [blog] Available at: </w:t>
      </w:r>
      <w:hyperlink r:id="R327f355a2cfb40b6">
        <w:r w:rsidRPr="4819CEFE" w:rsidR="4819CEFE">
          <w:rPr>
            <w:rStyle w:val="Hyperlink"/>
            <w:noProof w:val="0"/>
            <w:lang w:val="en-GB"/>
          </w:rPr>
          <w:t>https://www.risingstars-uk.com/blog/september-2017/success-criteria</w:t>
        </w:r>
      </w:hyperlink>
      <w:r w:rsidRPr="4819CEFE" w:rsidR="4819CEFE">
        <w:rPr>
          <w:noProof w:val="0"/>
          <w:lang w:val="en-GB"/>
        </w:rPr>
        <w:t xml:space="preserve"> (Accessed on 21</w:t>
      </w:r>
      <w:r w:rsidRPr="4819CEFE" w:rsidR="4819CEFE">
        <w:rPr>
          <w:noProof w:val="0"/>
          <w:vertAlign w:val="superscript"/>
          <w:lang w:val="en-GB"/>
        </w:rPr>
        <w:t>st</w:t>
      </w:r>
      <w:r w:rsidRPr="4819CEFE" w:rsidR="4819CEFE">
        <w:rPr>
          <w:noProof w:val="0"/>
          <w:lang w:val="en-GB"/>
        </w:rPr>
        <w:t xml:space="preserve"> February 2020)</w:t>
      </w:r>
    </w:p>
    <w:p w:rsidR="5FB9E170" w:rsidP="4819CEFE" w:rsidRDefault="5FB9E170" w14:paraId="5E123EFF" w14:textId="5A7A6741">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Heathcote, D. &amp; Bolton, G.M., (1995)</w:t>
      </w:r>
      <w:r w:rsidRPr="4819CEFE" w:rsidR="4819CEFE">
        <w:rPr>
          <w:rFonts w:ascii="Calibri" w:hAnsi="Calibri" w:eastAsia="Calibri" w:cs="Calibri"/>
          <w:b w:val="1"/>
          <w:bCs w:val="1"/>
          <w:i w:val="1"/>
          <w:iCs w:val="1"/>
          <w:noProof w:val="0"/>
          <w:sz w:val="22"/>
          <w:szCs w:val="22"/>
          <w:lang w:val="en-GB"/>
        </w:rPr>
        <w:t xml:space="preserve"> </w:t>
      </w:r>
      <w:r w:rsidRPr="4819CEFE" w:rsidR="4819CEFE">
        <w:rPr>
          <w:rFonts w:ascii="Calibri" w:hAnsi="Calibri" w:eastAsia="Calibri" w:cs="Calibri"/>
          <w:i w:val="1"/>
          <w:iCs w:val="1"/>
          <w:noProof w:val="0"/>
          <w:sz w:val="22"/>
          <w:szCs w:val="22"/>
          <w:lang w:val="en-GB"/>
        </w:rPr>
        <w:t>Drama for Learning: Dorothy Heathcote’s Mantle of the Expert Approach to Education.</w:t>
      </w:r>
      <w:r w:rsidRPr="4819CEFE" w:rsidR="4819CEFE">
        <w:rPr>
          <w:rFonts w:ascii="Calibri" w:hAnsi="Calibri" w:eastAsia="Calibri" w:cs="Calibri"/>
          <w:noProof w:val="0"/>
          <w:sz w:val="22"/>
          <w:szCs w:val="22"/>
          <w:lang w:val="en-GB"/>
        </w:rPr>
        <w:t xml:space="preserve"> USA: University of Michigan. Pearson Education.</w:t>
      </w:r>
    </w:p>
    <w:p w:rsidR="1D3E97EC" w:rsidP="4819CEFE" w:rsidRDefault="1D3E97EC" w14:paraId="2E010519" w14:textId="74E42A2D">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 xml:space="preserve">Hickman, R. &amp; Huckstep, P. (2003) </w:t>
      </w:r>
      <w:r w:rsidRPr="4819CEFE" w:rsidR="4819CEFE">
        <w:rPr>
          <w:rFonts w:ascii="Calibri" w:hAnsi="Calibri" w:eastAsia="Calibri" w:cs="Calibri"/>
          <w:i w:val="1"/>
          <w:iCs w:val="1"/>
          <w:noProof w:val="0"/>
          <w:sz w:val="22"/>
          <w:szCs w:val="22"/>
          <w:lang w:val="en-GB"/>
        </w:rPr>
        <w:t>Art &amp; Mathematics in Education.</w:t>
      </w:r>
      <w:r w:rsidRPr="4819CEFE" w:rsidR="4819CEFE">
        <w:rPr>
          <w:rFonts w:ascii="Calibri" w:hAnsi="Calibri" w:eastAsia="Calibri" w:cs="Calibri"/>
          <w:noProof w:val="0"/>
          <w:sz w:val="22"/>
          <w:szCs w:val="22"/>
          <w:lang w:val="en-GB"/>
        </w:rPr>
        <w:t xml:space="preserve"> The Journal of Aesthetic Education. Vol. 37, No. 1. Pg. 1-12. USA: University of Illinois Press.</w:t>
      </w:r>
    </w:p>
    <w:p w:rsidR="200A08A0" w:rsidP="4819CEFE" w:rsidRDefault="200A08A0" w14:paraId="22134065" w14:textId="4BB1869A">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Jadallah et al (2011)</w:t>
      </w:r>
      <w:r w:rsidRPr="4819CEFE" w:rsidR="4819CEFE">
        <w:rPr>
          <w:rFonts w:ascii="Calibri" w:hAnsi="Calibri" w:eastAsia="Calibri" w:cs="Calibri"/>
          <w:i w:val="1"/>
          <w:iCs w:val="1"/>
          <w:noProof w:val="0"/>
          <w:sz w:val="22"/>
          <w:szCs w:val="22"/>
          <w:lang w:val="en-GB"/>
        </w:rPr>
        <w:t xml:space="preserve"> Influence of a Teacher’s Scaffolding Moves During Child-Led Small-Group Discussions.</w:t>
      </w:r>
      <w:r w:rsidRPr="4819CEFE" w:rsidR="4819CEFE">
        <w:rPr>
          <w:rFonts w:ascii="Calibri" w:hAnsi="Calibri" w:eastAsia="Calibri" w:cs="Calibri"/>
          <w:noProof w:val="0"/>
          <w:sz w:val="22"/>
          <w:szCs w:val="22"/>
          <w:lang w:val="en-GB"/>
        </w:rPr>
        <w:t xml:space="preserve"> American Educational Research Journal. Vol. 48, No. 1. Pg. 194-230. Available at: </w:t>
      </w:r>
      <w:hyperlink w:anchor="metadata_info_tab_contents" r:id="Reb58cd86af46459c">
        <w:r w:rsidRPr="4819CEFE" w:rsidR="4819CEFE">
          <w:rPr>
            <w:rStyle w:val="Hyperlink"/>
            <w:noProof w:val="0"/>
            <w:lang w:val="en-GB"/>
          </w:rPr>
          <w:t>https://www-jstor-org.ezproxy.uwtsd.ac.uk/stable/27975285?seq=34#metadata_info_tab_contents</w:t>
        </w:r>
      </w:hyperlink>
      <w:r w:rsidRPr="4819CEFE" w:rsidR="4819CEFE">
        <w:rPr>
          <w:noProof w:val="0"/>
          <w:lang w:val="en-GB"/>
        </w:rPr>
        <w:t xml:space="preserve"> (Accessed on 18</w:t>
      </w:r>
      <w:r w:rsidRPr="4819CEFE" w:rsidR="4819CEFE">
        <w:rPr>
          <w:noProof w:val="0"/>
          <w:vertAlign w:val="superscript"/>
          <w:lang w:val="en-GB"/>
        </w:rPr>
        <w:t>th</w:t>
      </w:r>
      <w:r w:rsidRPr="4819CEFE" w:rsidR="4819CEFE">
        <w:rPr>
          <w:noProof w:val="0"/>
          <w:lang w:val="en-GB"/>
        </w:rPr>
        <w:t xml:space="preserve"> February 2020)</w:t>
      </w:r>
    </w:p>
    <w:p w:rsidR="4FCAF1C9" w:rsidP="4819CEFE" w:rsidRDefault="4FCAF1C9" w14:paraId="08D8C62F" w14:textId="43A0705A">
      <w:pPr>
        <w:pStyle w:val="ListParagraph"/>
        <w:numPr>
          <w:ilvl w:val="1"/>
          <w:numId w:val="5"/>
        </w:numPr>
        <w:spacing w:line="360" w:lineRule="auto"/>
        <w:ind/>
        <w:rPr>
          <w:b w:val="1"/>
          <w:bCs w:val="1"/>
          <w:i w:val="0"/>
          <w:iCs w:val="0"/>
          <w:noProof w:val="0"/>
          <w:sz w:val="22"/>
          <w:szCs w:val="22"/>
          <w:lang w:val="en-GB"/>
        </w:rPr>
      </w:pPr>
      <w:r w:rsidRPr="4819CEFE" w:rsidR="4819CEFE">
        <w:rPr>
          <w:b w:val="1"/>
          <w:bCs w:val="1"/>
          <w:i w:val="0"/>
          <w:iCs w:val="0"/>
          <w:noProof w:val="0"/>
          <w:sz w:val="22"/>
          <w:szCs w:val="22"/>
          <w:lang w:val="en-GB"/>
        </w:rPr>
        <w:t xml:space="preserve">Jones, P. (2019) </w:t>
      </w:r>
      <w:r w:rsidRPr="4819CEFE" w:rsidR="4819CEFE">
        <w:rPr>
          <w:b w:val="0"/>
          <w:bCs w:val="0"/>
          <w:i w:val="1"/>
          <w:iCs w:val="1"/>
          <w:noProof w:val="0"/>
          <w:sz w:val="22"/>
          <w:szCs w:val="22"/>
          <w:lang w:val="en-GB"/>
        </w:rPr>
        <w:t xml:space="preserve">Unconscious Bias – Avoidable or Inevitable? </w:t>
      </w:r>
      <w:r w:rsidRPr="4819CEFE" w:rsidR="4819CEFE">
        <w:rPr>
          <w:b w:val="0"/>
          <w:bCs w:val="0"/>
          <w:i w:val="0"/>
          <w:iCs w:val="0"/>
          <w:noProof w:val="0"/>
          <w:sz w:val="22"/>
          <w:szCs w:val="22"/>
          <w:lang w:val="en-GB"/>
        </w:rPr>
        <w:t>The European Research Council Magazine, January 25</w:t>
      </w:r>
      <w:r w:rsidRPr="4819CEFE" w:rsidR="4819CEFE">
        <w:rPr>
          <w:b w:val="0"/>
          <w:bCs w:val="0"/>
          <w:i w:val="0"/>
          <w:iCs w:val="0"/>
          <w:noProof w:val="0"/>
          <w:sz w:val="22"/>
          <w:szCs w:val="22"/>
          <w:vertAlign w:val="superscript"/>
          <w:lang w:val="en-GB"/>
        </w:rPr>
        <w:t>th</w:t>
      </w:r>
      <w:r w:rsidRPr="4819CEFE" w:rsidR="4819CEFE">
        <w:rPr>
          <w:b w:val="0"/>
          <w:bCs w:val="0"/>
          <w:i w:val="0"/>
          <w:iCs w:val="0"/>
          <w:noProof w:val="0"/>
          <w:sz w:val="22"/>
          <w:szCs w:val="22"/>
          <w:lang w:val="en-GB"/>
        </w:rPr>
        <w:t xml:space="preserve">. Available at: </w:t>
      </w:r>
      <w:hyperlink r:id="Rd388b6ab8f2b4503">
        <w:r w:rsidRPr="4819CEFE" w:rsidR="4819CEFE">
          <w:rPr>
            <w:rStyle w:val="Hyperlink"/>
            <w:noProof w:val="0"/>
            <w:lang w:val="en-GB"/>
          </w:rPr>
          <w:t>https://erc.europa.eu/news-events/magazine/unconscious-bias-%E2%80%93-avoidable-or-inevitable</w:t>
        </w:r>
      </w:hyperlink>
      <w:r w:rsidRPr="4819CEFE" w:rsidR="4819CEFE">
        <w:rPr>
          <w:noProof w:val="0"/>
          <w:lang w:val="en-GB"/>
        </w:rPr>
        <w:t xml:space="preserve"> (Accessed on 9</w:t>
      </w:r>
      <w:r w:rsidRPr="4819CEFE" w:rsidR="4819CEFE">
        <w:rPr>
          <w:noProof w:val="0"/>
          <w:vertAlign w:val="superscript"/>
          <w:lang w:val="en-GB"/>
        </w:rPr>
        <w:t>th</w:t>
      </w:r>
      <w:r w:rsidRPr="4819CEFE" w:rsidR="4819CEFE">
        <w:rPr>
          <w:noProof w:val="0"/>
          <w:lang w:val="en-GB"/>
        </w:rPr>
        <w:t xml:space="preserve"> February 2020)</w:t>
      </w:r>
    </w:p>
    <w:p w:rsidR="1FC4BD6A" w:rsidP="4819CEFE" w:rsidRDefault="1FC4BD6A" w14:paraId="0E1192C9" w14:textId="2A5EFA52">
      <w:pPr>
        <w:pStyle w:val="ListParagraph"/>
        <w:numPr>
          <w:ilvl w:val="1"/>
          <w:numId w:val="5"/>
        </w:numPr>
        <w:spacing w:line="360" w:lineRule="auto"/>
        <w:ind/>
        <w:rPr>
          <w:noProof w:val="0"/>
          <w:sz w:val="22"/>
          <w:szCs w:val="22"/>
          <w:lang w:val="en-GB"/>
        </w:rPr>
      </w:pPr>
      <w:r w:rsidRPr="4819CEFE" w:rsidR="4819CEFE">
        <w:rPr>
          <w:b w:val="1"/>
          <w:bCs w:val="1"/>
          <w:noProof w:val="0"/>
          <w:lang w:val="en-GB"/>
        </w:rPr>
        <w:t>Lash, M.D. (2003)</w:t>
      </w:r>
      <w:r w:rsidRPr="4819CEFE" w:rsidR="4819CEFE">
        <w:rPr>
          <w:b w:val="1"/>
          <w:bCs w:val="1"/>
          <w:i w:val="1"/>
          <w:iCs w:val="1"/>
          <w:noProof w:val="0"/>
          <w:lang w:val="en-GB"/>
        </w:rPr>
        <w:t xml:space="preserve"> </w:t>
      </w:r>
      <w:r w:rsidRPr="4819CEFE" w:rsidR="4819CEFE">
        <w:rPr>
          <w:i w:val="1"/>
          <w:iCs w:val="1"/>
          <w:noProof w:val="0"/>
          <w:lang w:val="en-GB"/>
        </w:rPr>
        <w:t>Child-Led Learning: Why Does it Work?</w:t>
      </w:r>
      <w:r w:rsidRPr="4819CEFE" w:rsidR="4819CEFE">
        <w:rPr>
          <w:noProof w:val="0"/>
          <w:lang w:val="en-GB"/>
        </w:rPr>
        <w:t xml:space="preserve"> Paths of Learning Issue 18. Pg. 7-11. Available at:</w:t>
      </w:r>
      <w:hyperlink w:anchor="db=eue&amp;AN=11641387" r:id="Re957f0724b9b47af">
        <w:r w:rsidRPr="4819CEFE" w:rsidR="4819CEFE">
          <w:rPr>
            <w:rStyle w:val="Hyperlink"/>
            <w:noProof w:val="0"/>
            <w:lang w:val="en-GB"/>
          </w:rPr>
          <w:t>https://web-b-ebscohost-com.ezproxy.uwtsd.ac.uk/ehost/detail/detail?vid=0&amp;sid=5d9628fa-2219-44db-9bbd-6ba45ddcb305%40pdc-v-sessmgr04&amp;bdata=JnNpdGU9ZWhvc3QtbGl2ZQ%3d%3d#db=eue&amp;AN=11641387</w:t>
        </w:r>
      </w:hyperlink>
      <w:r w:rsidRPr="4819CEFE" w:rsidR="4819CEFE">
        <w:rPr>
          <w:noProof w:val="0"/>
          <w:lang w:val="en-GB"/>
        </w:rPr>
        <w:t xml:space="preserve"> (Accessed on 17</w:t>
      </w:r>
      <w:r w:rsidRPr="4819CEFE" w:rsidR="4819CEFE">
        <w:rPr>
          <w:noProof w:val="0"/>
          <w:vertAlign w:val="superscript"/>
          <w:lang w:val="en-GB"/>
        </w:rPr>
        <w:t>th</w:t>
      </w:r>
      <w:r w:rsidRPr="4819CEFE" w:rsidR="4819CEFE">
        <w:rPr>
          <w:noProof w:val="0"/>
          <w:lang w:val="en-GB"/>
        </w:rPr>
        <w:t xml:space="preserve"> February)</w:t>
      </w:r>
    </w:p>
    <w:p w:rsidR="2ADA70B7" w:rsidP="4819CEFE" w:rsidRDefault="2ADA70B7" w14:paraId="0F3602A4" w14:textId="0B36289C">
      <w:pPr>
        <w:pStyle w:val="ListParagraph"/>
        <w:numPr>
          <w:ilvl w:val="1"/>
          <w:numId w:val="5"/>
        </w:numPr>
        <w:spacing w:line="360" w:lineRule="auto"/>
        <w:ind/>
        <w:rPr>
          <w:b w:val="1"/>
          <w:bCs w:val="1"/>
          <w:i w:val="0"/>
          <w:iCs w:val="0"/>
          <w:noProof w:val="0"/>
          <w:sz w:val="22"/>
          <w:szCs w:val="22"/>
          <w:lang w:val="en-GB"/>
        </w:rPr>
      </w:pPr>
      <w:r w:rsidRPr="4819CEFE" w:rsidR="4819CEFE">
        <w:rPr>
          <w:b w:val="1"/>
          <w:bCs w:val="1"/>
          <w:noProof w:val="0"/>
          <w:lang w:val="en-GB"/>
        </w:rPr>
        <w:t xml:space="preserve">Lear, J. (2015) </w:t>
      </w:r>
      <w:r w:rsidRPr="4819CEFE" w:rsidR="4819CEFE">
        <w:rPr>
          <w:i w:val="1"/>
          <w:iCs w:val="1"/>
          <w:noProof w:val="0"/>
          <w:lang w:val="en-GB"/>
        </w:rPr>
        <w:t>Guerrilla Teaching: Revolutionary Tactics for Teachers on The Ground, In Real Classrooms, Working with Real Children, Trying to Make A Real Difference.</w:t>
      </w:r>
      <w:r w:rsidRPr="4819CEFE" w:rsidR="4819CEFE">
        <w:rPr>
          <w:noProof w:val="0"/>
          <w:lang w:val="en-GB"/>
        </w:rPr>
        <w:t xml:space="preserve"> UK: Independent Thinking Press, Carmarthen, Wales. Crown House Publishing Ltd.</w:t>
      </w:r>
    </w:p>
    <w:p w:rsidR="200A08A0" w:rsidP="4819CEFE" w:rsidRDefault="200A08A0" w14:paraId="788448B3" w14:textId="6C10CA53">
      <w:pPr>
        <w:pStyle w:val="ListParagraph"/>
        <w:numPr>
          <w:ilvl w:val="1"/>
          <w:numId w:val="5"/>
        </w:numPr>
        <w:spacing w:line="360" w:lineRule="auto"/>
        <w:ind/>
        <w:rPr>
          <w:noProof w:val="0"/>
          <w:sz w:val="22"/>
          <w:szCs w:val="22"/>
          <w:lang w:val="en-GB"/>
        </w:rPr>
      </w:pPr>
      <w:r w:rsidRPr="4819CEFE" w:rsidR="4819CEFE">
        <w:rPr>
          <w:b w:val="1"/>
          <w:bCs w:val="1"/>
          <w:noProof w:val="0"/>
          <w:lang w:val="en-GB"/>
        </w:rPr>
        <w:t>Liberto, G. (2016)</w:t>
      </w:r>
      <w:r w:rsidRPr="4819CEFE" w:rsidR="4819CEFE">
        <w:rPr>
          <w:b w:val="1"/>
          <w:bCs w:val="1"/>
          <w:i w:val="1"/>
          <w:iCs w:val="1"/>
          <w:noProof w:val="0"/>
          <w:lang w:val="en-GB"/>
        </w:rPr>
        <w:t xml:space="preserve"> </w:t>
      </w:r>
      <w:r w:rsidRPr="4819CEFE" w:rsidR="4819CEFE">
        <w:rPr>
          <w:i w:val="1"/>
          <w:iCs w:val="1"/>
          <w:noProof w:val="0"/>
          <w:lang w:val="en-GB"/>
        </w:rPr>
        <w:t>Child-Led and Interest-Inspired Learning, Homes Education, Learning Differences and the Impact of Regulation.</w:t>
      </w:r>
      <w:r w:rsidRPr="4819CEFE" w:rsidR="4819CEFE">
        <w:rPr>
          <w:noProof w:val="0"/>
          <w:lang w:val="en-GB"/>
        </w:rPr>
        <w:t xml:space="preserve"> Student Learning, Childhood &amp; Voices: Research Article. Cogent Education. Available at: </w:t>
      </w:r>
      <w:hyperlink r:id="R7f376a0a9ed749a9">
        <w:r w:rsidRPr="4819CEFE" w:rsidR="4819CEFE">
          <w:rPr>
            <w:rStyle w:val="Hyperlink"/>
            <w:noProof w:val="0"/>
            <w:lang w:val="en-GB"/>
          </w:rPr>
          <w:t>https://search-proquest-com.ezproxy.uwtsd.ac.uk/docview/2127123951?accountid=130472&amp;rfr_id=info%3Axri%2Fsid%3Aprimo</w:t>
        </w:r>
      </w:hyperlink>
      <w:r w:rsidRPr="4819CEFE" w:rsidR="4819CEFE">
        <w:rPr>
          <w:noProof w:val="0"/>
          <w:lang w:val="en-GB"/>
        </w:rPr>
        <w:t xml:space="preserve"> (Accessed on 18</w:t>
      </w:r>
      <w:r w:rsidRPr="4819CEFE" w:rsidR="4819CEFE">
        <w:rPr>
          <w:noProof w:val="0"/>
          <w:vertAlign w:val="superscript"/>
          <w:lang w:val="en-GB"/>
        </w:rPr>
        <w:t>th</w:t>
      </w:r>
      <w:r w:rsidRPr="4819CEFE" w:rsidR="4819CEFE">
        <w:rPr>
          <w:noProof w:val="0"/>
          <w:lang w:val="en-GB"/>
        </w:rPr>
        <w:t xml:space="preserve"> February 2020)</w:t>
      </w:r>
    </w:p>
    <w:p w:rsidR="24740B6D" w:rsidP="4819CEFE" w:rsidRDefault="24740B6D" w14:paraId="7BFCED26" w14:textId="4A4B3F4F">
      <w:pPr>
        <w:pStyle w:val="ListParagraph"/>
        <w:numPr>
          <w:ilvl w:val="1"/>
          <w:numId w:val="5"/>
        </w:numPr>
        <w:spacing w:line="360" w:lineRule="auto"/>
        <w:ind/>
        <w:rPr>
          <w:b w:val="1"/>
          <w:bCs w:val="1"/>
          <w:noProof w:val="0"/>
          <w:sz w:val="22"/>
          <w:szCs w:val="22"/>
          <w:lang w:val="en-GB"/>
        </w:rPr>
      </w:pPr>
      <w:r w:rsidRPr="4819CEFE" w:rsidR="4819CEFE">
        <w:rPr>
          <w:b w:val="1"/>
          <w:bCs w:val="1"/>
          <w:noProof w:val="0"/>
          <w:lang w:val="en-GB"/>
        </w:rPr>
        <w:t xml:space="preserve">Lucas, B. (2005) </w:t>
      </w:r>
      <w:r w:rsidRPr="4819CEFE" w:rsidR="4819CEFE">
        <w:rPr>
          <w:i w:val="1"/>
          <w:iCs w:val="1"/>
          <w:noProof w:val="0"/>
          <w:lang w:val="en-GB"/>
        </w:rPr>
        <w:t>Structured Interviews.</w:t>
      </w:r>
      <w:r w:rsidRPr="4819CEFE" w:rsidR="4819CEFE">
        <w:rPr>
          <w:noProof w:val="0"/>
          <w:lang w:val="en-GB"/>
        </w:rPr>
        <w:t xml:space="preserve"> Performance Improvement. Vol.44, Issue 8. Pg.39. Available at: </w:t>
      </w:r>
      <w:hyperlink r:id="R4b3eaacfeb3646ff">
        <w:r w:rsidRPr="4819CEFE" w:rsidR="4819CEFE">
          <w:rPr>
            <w:rStyle w:val="Hyperlink"/>
            <w:noProof w:val="0"/>
            <w:lang w:val="en-GB"/>
          </w:rPr>
          <w:t>https://search-proquest-com.ezproxy.uwtsd.ac.uk/docview/237237541?accountid=130472&amp;rfr_id=info%3Axri%2Fsid%3Aprimo</w:t>
        </w:r>
      </w:hyperlink>
      <w:r w:rsidRPr="4819CEFE" w:rsidR="4819CEFE">
        <w:rPr>
          <w:noProof w:val="0"/>
          <w:lang w:val="en-GB"/>
        </w:rPr>
        <w:t xml:space="preserve"> (Accessed on 9</w:t>
      </w:r>
      <w:r w:rsidRPr="4819CEFE" w:rsidR="4819CEFE">
        <w:rPr>
          <w:noProof w:val="0"/>
          <w:vertAlign w:val="superscript"/>
          <w:lang w:val="en-GB"/>
        </w:rPr>
        <w:t>th</w:t>
      </w:r>
      <w:r w:rsidRPr="4819CEFE" w:rsidR="4819CEFE">
        <w:rPr>
          <w:noProof w:val="0"/>
          <w:lang w:val="en-GB"/>
        </w:rPr>
        <w:t xml:space="preserve"> February 2020)</w:t>
      </w:r>
    </w:p>
    <w:p w:rsidR="118B0B9E" w:rsidP="4819CEFE" w:rsidRDefault="118B0B9E" w14:paraId="1D07CDC1" w14:textId="2E1A6FA7">
      <w:pPr>
        <w:pStyle w:val="ListParagraph"/>
        <w:numPr>
          <w:ilvl w:val="1"/>
          <w:numId w:val="5"/>
        </w:numPr>
        <w:spacing w:line="360" w:lineRule="auto"/>
        <w:ind/>
        <w:rPr>
          <w:noProof w:val="0"/>
          <w:sz w:val="22"/>
          <w:szCs w:val="22"/>
          <w:lang w:val="en-GB"/>
        </w:rPr>
      </w:pPr>
      <w:r w:rsidRPr="4819CEFE" w:rsidR="4819CEFE">
        <w:rPr>
          <w:b w:val="1"/>
          <w:bCs w:val="1"/>
          <w:noProof w:val="0"/>
          <w:lang w:val="en-GB"/>
        </w:rPr>
        <w:t>Matuga, J. (n.d.)</w:t>
      </w:r>
      <w:r w:rsidRPr="4819CEFE" w:rsidR="4819CEFE">
        <w:rPr>
          <w:noProof w:val="0"/>
          <w:lang w:val="en-GB"/>
        </w:rPr>
        <w:t xml:space="preserve"> </w:t>
      </w:r>
      <w:r w:rsidRPr="4819CEFE" w:rsidR="4819CEFE">
        <w:rPr>
          <w:i w:val="1"/>
          <w:iCs w:val="1"/>
          <w:noProof w:val="0"/>
          <w:lang w:val="en-GB"/>
        </w:rPr>
        <w:t>New Pictures of the Art Room: Peer Interactions and Artistic Development</w:t>
      </w:r>
      <w:r w:rsidRPr="4819CEFE" w:rsidR="4819CEFE">
        <w:rPr>
          <w:noProof w:val="0"/>
          <w:lang w:val="en-GB"/>
        </w:rPr>
        <w:t xml:space="preserve">. USA: Indiana University School of Education, Department of Art Education. Available at: </w:t>
      </w:r>
      <w:hyperlink r:id="Rdc60abb87106493c">
        <w:r w:rsidRPr="4819CEFE" w:rsidR="4819CEFE">
          <w:rPr>
            <w:rStyle w:val="Hyperlink"/>
            <w:noProof w:val="0"/>
            <w:lang w:val="en-GB"/>
          </w:rPr>
          <w:t>https://psych.hanover.edu/vygotsky/matuga.html</w:t>
        </w:r>
      </w:hyperlink>
      <w:r w:rsidRPr="4819CEFE" w:rsidR="4819CEFE">
        <w:rPr>
          <w:noProof w:val="0"/>
          <w:lang w:val="en-GB"/>
        </w:rPr>
        <w:t xml:space="preserve"> (Accessed on 20</w:t>
      </w:r>
      <w:r w:rsidRPr="4819CEFE" w:rsidR="4819CEFE">
        <w:rPr>
          <w:noProof w:val="0"/>
          <w:vertAlign w:val="superscript"/>
          <w:lang w:val="en-GB"/>
        </w:rPr>
        <w:t>th</w:t>
      </w:r>
      <w:r w:rsidRPr="4819CEFE" w:rsidR="4819CEFE">
        <w:rPr>
          <w:noProof w:val="0"/>
          <w:lang w:val="en-GB"/>
        </w:rPr>
        <w:t xml:space="preserve"> February 2020)</w:t>
      </w:r>
    </w:p>
    <w:p w:rsidR="118B0B9E" w:rsidP="4819CEFE" w:rsidRDefault="118B0B9E" w14:paraId="3B732E2C" w14:textId="4AC7ED77">
      <w:pPr>
        <w:numPr>
          <w:ilvl w:val="1"/>
          <w:numId w:val="5"/>
        </w:numPr>
        <w:spacing w:line="360" w:lineRule="auto"/>
        <w:rPr>
          <w:b w:val="1"/>
          <w:bCs w:val="1"/>
          <w:i w:val="0"/>
          <w:iCs w:val="0"/>
          <w:sz w:val="22"/>
          <w:szCs w:val="22"/>
        </w:rPr>
      </w:pPr>
      <w:r w:rsidRPr="4819CEFE" w:rsidR="4819CEFE">
        <w:rPr>
          <w:rFonts w:ascii="Calibri" w:hAnsi="Calibri" w:eastAsia="Calibri" w:cs="Calibri"/>
          <w:b w:val="1"/>
          <w:bCs w:val="1"/>
          <w:noProof w:val="0"/>
          <w:sz w:val="22"/>
          <w:szCs w:val="22"/>
          <w:lang w:val="en-GB"/>
        </w:rPr>
        <w:t>Özdemir, S.M. (2019)</w:t>
      </w:r>
      <w:r w:rsidRPr="4819CEFE" w:rsidR="4819CEFE">
        <w:rPr>
          <w:rFonts w:ascii="Calibri" w:hAnsi="Calibri" w:eastAsia="Calibri" w:cs="Calibri"/>
          <w:noProof w:val="0"/>
          <w:sz w:val="22"/>
          <w:szCs w:val="22"/>
          <w:lang w:val="en-GB"/>
        </w:rPr>
        <w:t xml:space="preserve"> </w:t>
      </w:r>
      <w:r w:rsidRPr="4819CEFE" w:rsidR="4819CEFE">
        <w:rPr>
          <w:rFonts w:ascii="Calibri" w:hAnsi="Calibri" w:eastAsia="Calibri" w:cs="Calibri"/>
          <w:i w:val="1"/>
          <w:iCs w:val="1"/>
          <w:noProof w:val="0"/>
          <w:sz w:val="22"/>
          <w:szCs w:val="22"/>
          <w:lang w:val="en-GB"/>
        </w:rPr>
        <w:t>Implementation of the Lesson Study as a Tool to Improve Students’ Learning and Professional Development of Teachers.</w:t>
      </w:r>
      <w:r w:rsidRPr="4819CEFE" w:rsidR="4819CEFE">
        <w:rPr>
          <w:rFonts w:ascii="Calibri" w:hAnsi="Calibri" w:eastAsia="Calibri" w:cs="Calibri"/>
          <w:noProof w:val="0"/>
          <w:sz w:val="22"/>
          <w:szCs w:val="22"/>
          <w:lang w:val="en-GB"/>
        </w:rPr>
        <w:t xml:space="preserve"> Vol.6, June, Pg. 36-53. Available at: </w:t>
      </w:r>
      <w:hyperlink r:id="Raf51642bb465434e">
        <w:r w:rsidRPr="4819CEFE" w:rsidR="4819CEFE">
          <w:rPr>
            <w:rStyle w:val="Hyperlink"/>
            <w:rFonts w:ascii="Calibri" w:hAnsi="Calibri" w:eastAsia="Calibri" w:cs="Calibri"/>
            <w:noProof w:val="0"/>
            <w:color w:val="0563C1"/>
            <w:sz w:val="22"/>
            <w:szCs w:val="22"/>
            <w:u w:val="single"/>
            <w:lang w:val="en-GB"/>
          </w:rPr>
          <w:t>https://www.semanticscholar.org/paper/Implementation-of-the-Lesson-Study-as-a-Tool-to-and-%C3%96zdemir/52e94b12b292b123d82e0db10e4977db7de1f8f6</w:t>
        </w:r>
      </w:hyperlink>
      <w:r w:rsidRPr="4819CEFE" w:rsidR="4819CEFE">
        <w:rPr>
          <w:rFonts w:ascii="Calibri" w:hAnsi="Calibri" w:eastAsia="Calibri" w:cs="Calibri"/>
          <w:noProof w:val="0"/>
          <w:color w:val="auto"/>
          <w:sz w:val="22"/>
          <w:szCs w:val="22"/>
          <w:u w:val="single"/>
          <w:lang w:val="en-GB"/>
        </w:rPr>
        <w:t xml:space="preserve"> </w:t>
      </w:r>
      <w:r w:rsidRPr="4819CEFE" w:rsidR="4819CEFE">
        <w:rPr>
          <w:rFonts w:ascii="Calibri" w:hAnsi="Calibri" w:eastAsia="Calibri" w:cs="Calibri"/>
          <w:noProof w:val="0"/>
          <w:color w:val="auto"/>
          <w:sz w:val="22"/>
          <w:szCs w:val="22"/>
          <w:u w:val="none"/>
          <w:lang w:val="en-GB"/>
        </w:rPr>
        <w:t>(Accessed on the 4</w:t>
      </w:r>
      <w:r w:rsidRPr="4819CEFE" w:rsidR="4819CEFE">
        <w:rPr>
          <w:rFonts w:ascii="Calibri" w:hAnsi="Calibri" w:eastAsia="Calibri" w:cs="Calibri"/>
          <w:noProof w:val="0"/>
          <w:color w:val="auto"/>
          <w:sz w:val="22"/>
          <w:szCs w:val="22"/>
          <w:u w:val="none"/>
          <w:vertAlign w:val="superscript"/>
          <w:lang w:val="en-GB"/>
        </w:rPr>
        <w:t>t</w:t>
      </w:r>
      <w:r w:rsidRPr="4819CEFE" w:rsidR="4819CEFE">
        <w:rPr>
          <w:rFonts w:ascii="Calibri" w:hAnsi="Calibri" w:eastAsia="Calibri" w:cs="Calibri"/>
          <w:noProof w:val="0"/>
          <w:sz w:val="22"/>
          <w:szCs w:val="22"/>
          <w:u w:val="none"/>
          <w:vertAlign w:val="superscript"/>
          <w:lang w:val="en-GB"/>
        </w:rPr>
        <w:t>h</w:t>
      </w:r>
      <w:r w:rsidRPr="4819CEFE" w:rsidR="4819CEFE">
        <w:rPr>
          <w:rFonts w:ascii="Calibri" w:hAnsi="Calibri" w:eastAsia="Calibri" w:cs="Calibri"/>
          <w:noProof w:val="0"/>
          <w:sz w:val="22"/>
          <w:szCs w:val="22"/>
          <w:u w:val="none"/>
          <w:lang w:val="en-GB"/>
        </w:rPr>
        <w:t xml:space="preserve"> February 2020)</w:t>
      </w:r>
      <w:r w:rsidRPr="4819CEFE" w:rsidR="4819CEFE">
        <w:rPr>
          <w:rFonts w:ascii="Calibri" w:hAnsi="Calibri" w:eastAsia="Calibri" w:cs="Calibri"/>
          <w:noProof w:val="0"/>
          <w:sz w:val="22"/>
          <w:szCs w:val="22"/>
          <w:lang w:val="en-GB"/>
        </w:rPr>
        <w:t xml:space="preserve"> </w:t>
      </w:r>
    </w:p>
    <w:p w:rsidR="118B0B9E" w:rsidP="4819CEFE" w:rsidRDefault="118B0B9E" w14:paraId="7C394C03" w14:textId="2745859F">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Pittam, N. (2015)</w:t>
      </w:r>
      <w:r w:rsidRPr="4819CEFE" w:rsidR="4819CEFE">
        <w:rPr>
          <w:rFonts w:ascii="Calibri" w:hAnsi="Calibri" w:eastAsia="Calibri" w:cs="Calibri"/>
          <w:b w:val="1"/>
          <w:bCs w:val="1"/>
          <w:i w:val="1"/>
          <w:iCs w:val="1"/>
          <w:noProof w:val="0"/>
          <w:sz w:val="22"/>
          <w:szCs w:val="22"/>
          <w:lang w:val="en-GB"/>
        </w:rPr>
        <w:t xml:space="preserve"> </w:t>
      </w:r>
      <w:r w:rsidRPr="4819CEFE" w:rsidR="4819CEFE">
        <w:rPr>
          <w:rFonts w:ascii="Calibri" w:hAnsi="Calibri" w:eastAsia="Calibri" w:cs="Calibri"/>
          <w:i w:val="1"/>
          <w:iCs w:val="1"/>
          <w:noProof w:val="0"/>
          <w:sz w:val="22"/>
          <w:szCs w:val="22"/>
          <w:lang w:val="en-GB"/>
        </w:rPr>
        <w:t>Taking A Risk With... Plenaries.</w:t>
      </w:r>
      <w:r w:rsidRPr="4819CEFE" w:rsidR="4819CEFE">
        <w:rPr>
          <w:rFonts w:ascii="Calibri" w:hAnsi="Calibri" w:eastAsia="Calibri" w:cs="Calibri"/>
          <w:noProof w:val="0"/>
          <w:sz w:val="22"/>
          <w:szCs w:val="22"/>
          <w:lang w:val="en-GB"/>
        </w:rPr>
        <w:t xml:space="preserve"> </w:t>
      </w:r>
      <w:proofErr w:type="spellStart"/>
      <w:r w:rsidRPr="4819CEFE" w:rsidR="4819CEFE">
        <w:rPr>
          <w:rFonts w:ascii="Calibri" w:hAnsi="Calibri" w:eastAsia="Calibri" w:cs="Calibri"/>
          <w:noProof w:val="0"/>
          <w:sz w:val="22"/>
          <w:szCs w:val="22"/>
          <w:lang w:val="en-GB"/>
        </w:rPr>
        <w:t>SecED</w:t>
      </w:r>
      <w:proofErr w:type="spellEnd"/>
      <w:r w:rsidRPr="4819CEFE" w:rsidR="4819CEFE">
        <w:rPr>
          <w:rFonts w:ascii="Calibri" w:hAnsi="Calibri" w:eastAsia="Calibri" w:cs="Calibri"/>
          <w:noProof w:val="0"/>
          <w:sz w:val="22"/>
          <w:szCs w:val="22"/>
          <w:lang w:val="en-GB"/>
        </w:rPr>
        <w:t>, The Voice for Secondary Education. July 4</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Available at: </w:t>
      </w:r>
      <w:hyperlink r:id="R844ea395e3a249d6">
        <w:r w:rsidRPr="4819CEFE" w:rsidR="4819CEFE">
          <w:rPr>
            <w:rStyle w:val="Hyperlink"/>
            <w:rFonts w:ascii="Calibri" w:hAnsi="Calibri" w:eastAsia="Calibri" w:cs="Calibri"/>
            <w:noProof w:val="0"/>
            <w:sz w:val="22"/>
            <w:szCs w:val="22"/>
            <w:lang w:val="en-GB"/>
          </w:rPr>
          <w:t>http://www.sec-ed.co.uk/best-practice/taking-a-risk-with-plenaries/</w:t>
        </w:r>
      </w:hyperlink>
      <w:r w:rsidRPr="4819CEFE" w:rsidR="4819CEFE">
        <w:rPr>
          <w:rFonts w:ascii="Calibri" w:hAnsi="Calibri" w:eastAsia="Calibri" w:cs="Calibri"/>
          <w:noProof w:val="0"/>
          <w:sz w:val="22"/>
          <w:szCs w:val="22"/>
          <w:lang w:val="en-GB"/>
        </w:rPr>
        <w:t xml:space="preserve"> (Accessed on 16</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5FB9E170" w:rsidP="4819CEFE" w:rsidRDefault="5FB9E170" w14:paraId="50761A5B" w14:textId="1387CBB6">
      <w:pPr>
        <w:numPr>
          <w:ilvl w:val="1"/>
          <w:numId w:val="5"/>
        </w:numPr>
        <w:spacing w:line="360" w:lineRule="auto"/>
        <w:ind/>
        <w:rPr>
          <w:b w:val="1"/>
          <w:bCs w:val="1"/>
          <w:i w:val="0"/>
          <w:iCs w:val="0"/>
          <w:noProof w:val="0"/>
          <w:sz w:val="22"/>
          <w:szCs w:val="22"/>
          <w:lang w:val="en-GB"/>
        </w:rPr>
      </w:pPr>
      <w:r w:rsidRPr="4819CEFE" w:rsidR="4819CEFE">
        <w:rPr>
          <w:rFonts w:ascii="Calibri" w:hAnsi="Calibri" w:eastAsia="Calibri" w:cs="Calibri"/>
          <w:b w:val="1"/>
          <w:bCs w:val="1"/>
          <w:noProof w:val="0"/>
          <w:sz w:val="22"/>
          <w:szCs w:val="22"/>
          <w:lang w:val="en-GB"/>
        </w:rPr>
        <w:t xml:space="preserve">Robinson, V. et al (2009) </w:t>
      </w:r>
      <w:r w:rsidRPr="4819CEFE" w:rsidR="4819CEFE">
        <w:rPr>
          <w:rFonts w:ascii="Calibri" w:hAnsi="Calibri" w:eastAsia="Calibri" w:cs="Calibri"/>
          <w:i w:val="1"/>
          <w:iCs w:val="1"/>
          <w:noProof w:val="0"/>
          <w:sz w:val="22"/>
          <w:szCs w:val="22"/>
          <w:lang w:val="en-GB"/>
        </w:rPr>
        <w:t xml:space="preserve">School Leadership and Student Outcomes: Identifying What Works and Why Best Evidence Synthesis. </w:t>
      </w:r>
      <w:r w:rsidRPr="4819CEFE" w:rsidR="4819CEFE">
        <w:rPr>
          <w:rFonts w:ascii="Calibri" w:hAnsi="Calibri" w:eastAsia="Calibri" w:cs="Calibri"/>
          <w:noProof w:val="0"/>
          <w:sz w:val="22"/>
          <w:szCs w:val="22"/>
          <w:lang w:val="en-GB"/>
        </w:rPr>
        <w:t>Auckland: New Zealand Ministry of Education.</w:t>
      </w:r>
    </w:p>
    <w:p w:rsidR="7F98A8D3" w:rsidP="4819CEFE" w:rsidRDefault="7F98A8D3" w14:paraId="6A8763D5" w14:textId="67709F02">
      <w:pPr>
        <w:pStyle w:val="Normal"/>
        <w:numPr>
          <w:ilvl w:val="1"/>
          <w:numId w:val="5"/>
        </w:numPr>
        <w:spacing w:line="360" w:lineRule="auto"/>
        <w:ind/>
        <w:rPr>
          <w:b w:val="1"/>
          <w:bCs w:val="1"/>
          <w:i w:val="0"/>
          <w:iCs w:val="0"/>
          <w:noProof w:val="0"/>
          <w:sz w:val="22"/>
          <w:szCs w:val="22"/>
          <w:lang w:val="en-GB"/>
        </w:rPr>
      </w:pPr>
      <w:r w:rsidRPr="4819CEFE" w:rsidR="4819CEFE">
        <w:rPr>
          <w:rFonts w:ascii="Calibri" w:hAnsi="Calibri" w:eastAsia="Calibri" w:cs="Calibri"/>
          <w:b w:val="1"/>
          <w:bCs w:val="1"/>
          <w:noProof w:val="0"/>
          <w:sz w:val="22"/>
          <w:szCs w:val="22"/>
          <w:lang w:val="en-GB"/>
        </w:rPr>
        <w:t>Rosenthal, R. &amp; Jacobson, L. (2003)</w:t>
      </w:r>
      <w:r w:rsidRPr="4819CEFE" w:rsidR="4819CEFE">
        <w:rPr>
          <w:rFonts w:ascii="Calibri" w:hAnsi="Calibri" w:eastAsia="Calibri" w:cs="Calibri"/>
          <w:b w:val="1"/>
          <w:bCs w:val="1"/>
          <w:i w:val="1"/>
          <w:iCs w:val="1"/>
          <w:noProof w:val="0"/>
          <w:sz w:val="22"/>
          <w:szCs w:val="22"/>
          <w:lang w:val="en-GB"/>
        </w:rPr>
        <w:t xml:space="preserve"> </w:t>
      </w:r>
      <w:r w:rsidRPr="4819CEFE" w:rsidR="4819CEFE">
        <w:rPr>
          <w:rFonts w:ascii="Calibri" w:hAnsi="Calibri" w:eastAsia="Calibri" w:cs="Calibri"/>
          <w:i w:val="1"/>
          <w:iCs w:val="1"/>
          <w:noProof w:val="0"/>
          <w:sz w:val="22"/>
          <w:szCs w:val="22"/>
          <w:lang w:val="en-GB"/>
        </w:rPr>
        <w:t>Pygmalion in the Classroom: Teacher Expectation and Pupil’s Intellectual Development.</w:t>
      </w:r>
      <w:r w:rsidRPr="4819CEFE" w:rsidR="4819CEFE">
        <w:rPr>
          <w:rFonts w:ascii="Calibri" w:hAnsi="Calibri" w:eastAsia="Calibri" w:cs="Calibri"/>
          <w:noProof w:val="0"/>
          <w:sz w:val="22"/>
          <w:szCs w:val="22"/>
          <w:lang w:val="en-GB"/>
        </w:rPr>
        <w:t xml:space="preserve"> UK: Crown House Publishing Limited, Carmarthen, Wales.</w:t>
      </w:r>
    </w:p>
    <w:p w:rsidR="1D3E97EC" w:rsidP="4819CEFE" w:rsidRDefault="1D3E97EC" w14:paraId="658B5A5E" w14:textId="74DCBF1F">
      <w:pPr>
        <w:pStyle w:val="ListParagraph"/>
        <w:numPr>
          <w:ilvl w:val="1"/>
          <w:numId w:val="5"/>
        </w:numPr>
        <w:spacing w:line="360" w:lineRule="auto"/>
        <w:ind/>
        <w:rPr>
          <w:noProof w:val="0"/>
          <w:sz w:val="22"/>
          <w:szCs w:val="22"/>
          <w:lang w:val="en-GB"/>
        </w:rPr>
      </w:pPr>
      <w:r w:rsidRPr="4819CEFE" w:rsidR="4819CEFE">
        <w:rPr>
          <w:rFonts w:ascii="Calibri" w:hAnsi="Calibri" w:eastAsia="Calibri" w:cs="Calibri"/>
          <w:b w:val="1"/>
          <w:bCs w:val="1"/>
          <w:noProof w:val="0"/>
          <w:sz w:val="22"/>
          <w:szCs w:val="22"/>
          <w:lang w:val="en-GB"/>
        </w:rPr>
        <w:t>Salsich, J. (2018)</w:t>
      </w:r>
      <w:r w:rsidRPr="4819CEFE" w:rsidR="4819CEFE">
        <w:rPr>
          <w:rFonts w:ascii="Calibri" w:hAnsi="Calibri" w:eastAsia="Calibri" w:cs="Calibri"/>
          <w:i w:val="1"/>
          <w:iCs w:val="1"/>
          <w:noProof w:val="0"/>
          <w:sz w:val="22"/>
          <w:szCs w:val="22"/>
          <w:lang w:val="en-GB"/>
        </w:rPr>
        <w:t xml:space="preserve"> Moving from Passive to Active Learning: Four Ways to Overcome Student Resistance</w:t>
      </w:r>
      <w:r w:rsidRPr="4819CEFE" w:rsidR="4819CEFE">
        <w:rPr>
          <w:rFonts w:ascii="Calibri" w:hAnsi="Calibri" w:eastAsia="Calibri" w:cs="Calibri"/>
          <w:noProof w:val="0"/>
          <w:sz w:val="22"/>
          <w:szCs w:val="22"/>
          <w:lang w:val="en-GB"/>
        </w:rPr>
        <w:t xml:space="preserve">. 20 August. New Designs for School. Next Generation Learning Challenges. Available at: </w:t>
      </w:r>
      <w:hyperlink r:id="R2c68ce6804984ae9">
        <w:r w:rsidRPr="4819CEFE" w:rsidR="4819CEFE">
          <w:rPr>
            <w:rStyle w:val="Hyperlink"/>
            <w:rFonts w:ascii="Calibri" w:hAnsi="Calibri" w:eastAsia="Calibri" w:cs="Calibri"/>
            <w:noProof w:val="0"/>
            <w:sz w:val="22"/>
            <w:szCs w:val="22"/>
            <w:lang w:val="en-GB"/>
          </w:rPr>
          <w:t>https://www.nextgenlearning.org/articles/moving-from-passive-to-active-learning-four-ways-to-overcome-student-resistance</w:t>
        </w:r>
      </w:hyperlink>
      <w:r w:rsidRPr="4819CEFE" w:rsidR="4819CEFE">
        <w:rPr>
          <w:rFonts w:ascii="Calibri" w:hAnsi="Calibri" w:eastAsia="Calibri" w:cs="Calibri"/>
          <w:noProof w:val="0"/>
          <w:sz w:val="22"/>
          <w:szCs w:val="22"/>
          <w:lang w:val="en-GB"/>
        </w:rPr>
        <w:t xml:space="preserve"> (Accessed on 20</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118B0B9E" w:rsidP="4819CEFE" w:rsidRDefault="118B0B9E" w14:paraId="1385D391" w14:textId="44004CAE">
      <w:pPr>
        <w:pStyle w:val="ListParagraph"/>
        <w:numPr>
          <w:ilvl w:val="1"/>
          <w:numId w:val="5"/>
        </w:numPr>
        <w:spacing w:line="360" w:lineRule="auto"/>
        <w:ind/>
        <w:rPr>
          <w:noProof w:val="0"/>
          <w:sz w:val="22"/>
          <w:szCs w:val="22"/>
          <w:lang w:val="en-GB"/>
        </w:rPr>
      </w:pPr>
      <w:proofErr w:type="spellStart"/>
      <w:r w:rsidRPr="4819CEFE" w:rsidR="4819CEFE">
        <w:rPr>
          <w:rFonts w:ascii="Calibri" w:hAnsi="Calibri" w:eastAsia="Calibri" w:cs="Calibri"/>
          <w:b w:val="1"/>
          <w:bCs w:val="1"/>
          <w:noProof w:val="0"/>
          <w:sz w:val="22"/>
          <w:szCs w:val="22"/>
          <w:lang w:val="en-GB"/>
        </w:rPr>
        <w:t>Sarikas</w:t>
      </w:r>
      <w:proofErr w:type="spellEnd"/>
      <w:r w:rsidRPr="4819CEFE" w:rsidR="4819CEFE">
        <w:rPr>
          <w:rFonts w:ascii="Calibri" w:hAnsi="Calibri" w:eastAsia="Calibri" w:cs="Calibri"/>
          <w:b w:val="1"/>
          <w:bCs w:val="1"/>
          <w:noProof w:val="0"/>
          <w:sz w:val="22"/>
          <w:szCs w:val="22"/>
          <w:lang w:val="en-GB"/>
        </w:rPr>
        <w:t>, C. (2020)</w:t>
      </w:r>
      <w:r w:rsidRPr="4819CEFE" w:rsidR="4819CEFE">
        <w:rPr>
          <w:rFonts w:ascii="Calibri" w:hAnsi="Calibri" w:eastAsia="Calibri" w:cs="Calibri"/>
          <w:i w:val="1"/>
          <w:iCs w:val="1"/>
          <w:noProof w:val="0"/>
          <w:sz w:val="22"/>
          <w:szCs w:val="22"/>
          <w:lang w:val="en-GB"/>
        </w:rPr>
        <w:t xml:space="preserve"> ‘Vygotsky Scaffolding: What It Is and How </w:t>
      </w:r>
      <w:proofErr w:type="gramStart"/>
      <w:r w:rsidRPr="4819CEFE" w:rsidR="4819CEFE">
        <w:rPr>
          <w:rFonts w:ascii="Calibri" w:hAnsi="Calibri" w:eastAsia="Calibri" w:cs="Calibri"/>
          <w:i w:val="1"/>
          <w:iCs w:val="1"/>
          <w:noProof w:val="0"/>
          <w:sz w:val="22"/>
          <w:szCs w:val="22"/>
          <w:lang w:val="en-GB"/>
        </w:rPr>
        <w:t>To</w:t>
      </w:r>
      <w:proofErr w:type="gramEnd"/>
      <w:r w:rsidRPr="4819CEFE" w:rsidR="4819CEFE">
        <w:rPr>
          <w:rFonts w:ascii="Calibri" w:hAnsi="Calibri" w:eastAsia="Calibri" w:cs="Calibri"/>
          <w:i w:val="1"/>
          <w:iCs w:val="1"/>
          <w:noProof w:val="0"/>
          <w:sz w:val="22"/>
          <w:szCs w:val="22"/>
          <w:lang w:val="en-GB"/>
        </w:rPr>
        <w:t xml:space="preserve"> Use It.’</w:t>
      </w:r>
      <w:r w:rsidRPr="4819CEFE" w:rsidR="4819CEFE">
        <w:rPr>
          <w:rFonts w:ascii="Calibri" w:hAnsi="Calibri" w:eastAsia="Calibri" w:cs="Calibri"/>
          <w:noProof w:val="0"/>
          <w:sz w:val="22"/>
          <w:szCs w:val="22"/>
          <w:lang w:val="en-GB"/>
        </w:rPr>
        <w:t xml:space="preserve"> </w:t>
      </w:r>
      <w:proofErr w:type="spellStart"/>
      <w:r w:rsidRPr="4819CEFE" w:rsidR="4819CEFE">
        <w:rPr>
          <w:rFonts w:ascii="Calibri" w:hAnsi="Calibri" w:eastAsia="Calibri" w:cs="Calibri"/>
          <w:noProof w:val="0"/>
          <w:sz w:val="22"/>
          <w:szCs w:val="22"/>
          <w:lang w:val="en-GB"/>
        </w:rPr>
        <w:t>PrepScholar</w:t>
      </w:r>
      <w:proofErr w:type="spellEnd"/>
      <w:r w:rsidRPr="4819CEFE" w:rsidR="4819CEFE">
        <w:rPr>
          <w:rFonts w:ascii="Calibri" w:hAnsi="Calibri" w:eastAsia="Calibri" w:cs="Calibri"/>
          <w:noProof w:val="0"/>
          <w:sz w:val="22"/>
          <w:szCs w:val="22"/>
          <w:lang w:val="en-GB"/>
        </w:rPr>
        <w:t xml:space="preserve"> [blog]. 4 January. Available at: </w:t>
      </w:r>
      <w:hyperlink r:id="R6866a1b44e9f48f7">
        <w:r w:rsidRPr="4819CEFE" w:rsidR="4819CEFE">
          <w:rPr>
            <w:rStyle w:val="Hyperlink"/>
            <w:rFonts w:ascii="Calibri" w:hAnsi="Calibri" w:eastAsia="Calibri" w:cs="Calibri"/>
            <w:noProof w:val="0"/>
            <w:sz w:val="22"/>
            <w:szCs w:val="22"/>
            <w:lang w:val="en-GB"/>
          </w:rPr>
          <w:t>https://blog.prepscholar.com/vygotsky-scaffolding-zone-of-proximal-development</w:t>
        </w:r>
      </w:hyperlink>
      <w:r w:rsidRPr="4819CEFE" w:rsidR="4819CEFE">
        <w:rPr>
          <w:rFonts w:ascii="Calibri" w:hAnsi="Calibri" w:eastAsia="Calibri" w:cs="Calibri"/>
          <w:noProof w:val="0"/>
          <w:sz w:val="22"/>
          <w:szCs w:val="22"/>
          <w:lang w:val="en-GB"/>
        </w:rPr>
        <w:t xml:space="preserve"> (Accessed on 18</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118B0B9E" w:rsidP="4819CEFE" w:rsidRDefault="118B0B9E" w14:paraId="1BC96E70" w14:textId="348B4E7C">
      <w:pPr>
        <w:numPr>
          <w:ilvl w:val="1"/>
          <w:numId w:val="5"/>
        </w:numPr>
        <w:spacing w:line="360" w:lineRule="auto"/>
        <w:rPr>
          <w:b w:val="1"/>
          <w:bCs w:val="1"/>
          <w:i w:val="0"/>
          <w:iCs w:val="0"/>
          <w:sz w:val="22"/>
          <w:szCs w:val="22"/>
        </w:rPr>
      </w:pPr>
      <w:r w:rsidRPr="4819CEFE" w:rsidR="4819CEFE">
        <w:rPr>
          <w:rFonts w:ascii="Calibri" w:hAnsi="Calibri" w:eastAsia="Calibri" w:cs="Calibri"/>
          <w:b w:val="1"/>
          <w:bCs w:val="1"/>
          <w:noProof w:val="0"/>
          <w:sz w:val="22"/>
          <w:szCs w:val="22"/>
          <w:lang w:val="en-GB"/>
        </w:rPr>
        <w:t>Sebba, J., Crick, R.D., Lawson, H., Harlen, W., Durant, K. (2008)</w:t>
      </w:r>
      <w:r w:rsidRPr="4819CEFE" w:rsidR="4819CEFE">
        <w:rPr>
          <w:rFonts w:ascii="Calibri" w:hAnsi="Calibri" w:eastAsia="Calibri" w:cs="Calibri"/>
          <w:noProof w:val="0"/>
          <w:sz w:val="22"/>
          <w:szCs w:val="22"/>
          <w:lang w:val="en-GB"/>
        </w:rPr>
        <w:t xml:space="preserve"> </w:t>
      </w:r>
      <w:r w:rsidRPr="4819CEFE" w:rsidR="4819CEFE">
        <w:rPr>
          <w:rFonts w:ascii="Calibri" w:hAnsi="Calibri" w:eastAsia="Calibri" w:cs="Calibri"/>
          <w:i w:val="1"/>
          <w:iCs w:val="1"/>
          <w:noProof w:val="0"/>
          <w:sz w:val="22"/>
          <w:szCs w:val="22"/>
          <w:lang w:val="en-GB"/>
        </w:rPr>
        <w:t>Systematic Review of Research Evidence of the Impact on Students in Secondary Schools of Self and Peer Assessment</w:t>
      </w:r>
      <w:r w:rsidRPr="4819CEFE" w:rsidR="4819CEFE">
        <w:rPr>
          <w:rFonts w:ascii="Calibri" w:hAnsi="Calibri" w:eastAsia="Calibri" w:cs="Calibri"/>
          <w:noProof w:val="0"/>
          <w:sz w:val="22"/>
          <w:szCs w:val="22"/>
          <w:lang w:val="en-GB"/>
        </w:rPr>
        <w:t xml:space="preserve">. Available at: </w:t>
      </w:r>
      <w:hyperlink r:id="R7f688fb9f1a84b86">
        <w:r w:rsidRPr="4819CEFE" w:rsidR="4819CEFE">
          <w:rPr>
            <w:rStyle w:val="Hyperlink"/>
            <w:rFonts w:ascii="Calibri" w:hAnsi="Calibri" w:eastAsia="Calibri" w:cs="Calibri"/>
            <w:noProof w:val="0"/>
            <w:color w:val="0563C1"/>
            <w:sz w:val="22"/>
            <w:szCs w:val="22"/>
            <w:u w:val="single"/>
            <w:lang w:val="en-GB"/>
          </w:rPr>
          <w:t>https://eppi.ioe.ac.uk/cms/Default.aspx?tabid=2415</w:t>
        </w:r>
      </w:hyperlink>
      <w:r w:rsidRPr="4819CEFE" w:rsidR="4819CEFE">
        <w:rPr>
          <w:rFonts w:ascii="Calibri" w:hAnsi="Calibri" w:eastAsia="Calibri" w:cs="Calibri"/>
          <w:b w:val="0"/>
          <w:bCs w:val="0"/>
          <w:noProof w:val="0"/>
          <w:color w:val="auto"/>
          <w:sz w:val="22"/>
          <w:szCs w:val="22"/>
          <w:u w:val="single"/>
          <w:lang w:val="en-GB"/>
        </w:rPr>
        <w:t xml:space="preserve"> </w:t>
      </w:r>
      <w:r w:rsidRPr="4819CEFE" w:rsidR="4819CEFE">
        <w:rPr>
          <w:rFonts w:ascii="Calibri" w:hAnsi="Calibri" w:eastAsia="Calibri" w:cs="Calibri"/>
          <w:b w:val="0"/>
          <w:bCs w:val="0"/>
          <w:noProof w:val="0"/>
          <w:color w:val="auto"/>
          <w:sz w:val="22"/>
          <w:szCs w:val="22"/>
          <w:u w:val="none"/>
          <w:lang w:val="en-GB"/>
        </w:rPr>
        <w:t>(Accessed on the 6</w:t>
      </w:r>
      <w:r w:rsidRPr="4819CEFE" w:rsidR="4819CEFE">
        <w:rPr>
          <w:rFonts w:ascii="Calibri" w:hAnsi="Calibri" w:eastAsia="Calibri" w:cs="Calibri"/>
          <w:b w:val="0"/>
          <w:bCs w:val="0"/>
          <w:noProof w:val="0"/>
          <w:color w:val="auto"/>
          <w:sz w:val="22"/>
          <w:szCs w:val="22"/>
          <w:u w:val="none"/>
          <w:vertAlign w:val="superscript"/>
          <w:lang w:val="en-GB"/>
        </w:rPr>
        <w:t>t</w:t>
      </w:r>
      <w:r w:rsidRPr="4819CEFE" w:rsidR="4819CEFE">
        <w:rPr>
          <w:rFonts w:ascii="Calibri" w:hAnsi="Calibri" w:eastAsia="Calibri" w:cs="Calibri"/>
          <w:noProof w:val="0"/>
          <w:sz w:val="22"/>
          <w:szCs w:val="22"/>
          <w:vertAlign w:val="superscript"/>
          <w:lang w:val="en-GB"/>
        </w:rPr>
        <w:t>h</w:t>
      </w:r>
      <w:r w:rsidRPr="4819CEFE" w:rsidR="4819CEFE">
        <w:rPr>
          <w:rFonts w:ascii="Calibri" w:hAnsi="Calibri" w:eastAsia="Calibri" w:cs="Calibri"/>
          <w:noProof w:val="0"/>
          <w:sz w:val="22"/>
          <w:szCs w:val="22"/>
          <w:lang w:val="en-GB"/>
        </w:rPr>
        <w:t xml:space="preserve"> February 2020) </w:t>
      </w:r>
    </w:p>
    <w:p w:rsidR="118B0B9E" w:rsidP="4819CEFE" w:rsidRDefault="118B0B9E" w14:paraId="766E8D27" w14:textId="639E9192">
      <w:pPr>
        <w:pStyle w:val="ListParagraph"/>
        <w:numPr>
          <w:ilvl w:val="1"/>
          <w:numId w:val="5"/>
        </w:numPr>
        <w:spacing w:line="360" w:lineRule="auto"/>
        <w:ind/>
        <w:rPr>
          <w:b w:val="1"/>
          <w:bCs w:val="1"/>
          <w:noProof w:val="0"/>
          <w:sz w:val="22"/>
          <w:szCs w:val="22"/>
          <w:lang w:val="en-GB"/>
        </w:rPr>
      </w:pPr>
      <w:r w:rsidRPr="4819CEFE" w:rsidR="4819CEFE">
        <w:rPr>
          <w:rFonts w:ascii="Calibri" w:hAnsi="Calibri" w:eastAsia="Calibri" w:cs="Calibri"/>
          <w:b w:val="1"/>
          <w:bCs w:val="1"/>
          <w:noProof w:val="0"/>
          <w:sz w:val="22"/>
          <w:szCs w:val="22"/>
          <w:lang w:val="en-GB"/>
        </w:rPr>
        <w:t xml:space="preserve">Severs, J. (2019) </w:t>
      </w:r>
      <w:r w:rsidRPr="4819CEFE" w:rsidR="4819CEFE">
        <w:rPr>
          <w:rFonts w:ascii="Calibri" w:hAnsi="Calibri" w:eastAsia="Calibri" w:cs="Calibri"/>
          <w:i w:val="1"/>
          <w:iCs w:val="1"/>
          <w:noProof w:val="0"/>
          <w:sz w:val="22"/>
          <w:szCs w:val="22"/>
          <w:lang w:val="en-GB"/>
        </w:rPr>
        <w:t>Why Child-Led Learning ‘does not work’ and what you should do instead.</w:t>
      </w:r>
      <w:r w:rsidRPr="4819CEFE" w:rsidR="4819CEFE">
        <w:rPr>
          <w:rFonts w:ascii="Calibri" w:hAnsi="Calibri" w:eastAsia="Calibri" w:cs="Calibri"/>
          <w:noProof w:val="0"/>
          <w:sz w:val="22"/>
          <w:szCs w:val="22"/>
          <w:lang w:val="en-GB"/>
        </w:rPr>
        <w:t xml:space="preserve"> March 20</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Available at: </w:t>
      </w:r>
      <w:hyperlink r:id="Ra41284a5c0fe4473">
        <w:r w:rsidRPr="4819CEFE" w:rsidR="4819CEFE">
          <w:rPr>
            <w:rStyle w:val="Hyperlink"/>
            <w:rFonts w:ascii="Calibri" w:hAnsi="Calibri" w:eastAsia="Calibri" w:cs="Calibri"/>
            <w:noProof w:val="0"/>
            <w:sz w:val="22"/>
            <w:szCs w:val="22"/>
            <w:lang w:val="en-GB"/>
          </w:rPr>
          <w:t>https://www.tes.com/news/why-child-led-learning-does-not-work-and-what-you-should-do-instead</w:t>
        </w:r>
      </w:hyperlink>
      <w:r w:rsidRPr="4819CEFE" w:rsidR="4819CEFE">
        <w:rPr>
          <w:rFonts w:ascii="Calibri" w:hAnsi="Calibri" w:eastAsia="Calibri" w:cs="Calibri"/>
          <w:noProof w:val="0"/>
          <w:sz w:val="22"/>
          <w:szCs w:val="22"/>
          <w:lang w:val="en-GB"/>
        </w:rPr>
        <w:t xml:space="preserve"> (Accessed on 17</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118B0B9E" w:rsidP="4819CEFE" w:rsidRDefault="118B0B9E" w14:paraId="545A922E" w14:textId="5B80C08C">
      <w:pPr>
        <w:pStyle w:val="ListParagraph"/>
        <w:numPr>
          <w:ilvl w:val="1"/>
          <w:numId w:val="5"/>
        </w:numPr>
        <w:spacing w:line="360" w:lineRule="auto"/>
        <w:ind/>
        <w:rPr>
          <w:b w:val="1"/>
          <w:bCs w:val="1"/>
          <w:i w:val="1"/>
          <w:iCs w:val="1"/>
          <w:noProof w:val="0"/>
          <w:sz w:val="22"/>
          <w:szCs w:val="22"/>
          <w:lang w:val="en-US"/>
        </w:rPr>
      </w:pPr>
      <w:r w:rsidRPr="4819CEFE" w:rsidR="4819CEFE">
        <w:rPr>
          <w:rFonts w:ascii="Calibri" w:hAnsi="Calibri" w:eastAsia="Calibri" w:cs="Calibri"/>
          <w:b w:val="1"/>
          <w:bCs w:val="1"/>
          <w:noProof w:val="0"/>
          <w:sz w:val="22"/>
          <w:szCs w:val="22"/>
          <w:lang w:val="en-GB"/>
        </w:rPr>
        <w:t>Shah, S. (2019)</w:t>
      </w:r>
      <w:r w:rsidRPr="4819CEFE" w:rsidR="4819CEFE">
        <w:rPr>
          <w:rFonts w:ascii="Calibri" w:hAnsi="Calibri" w:eastAsia="Calibri" w:cs="Calibri"/>
          <w:noProof w:val="0"/>
          <w:sz w:val="22"/>
          <w:szCs w:val="22"/>
          <w:lang w:val="en-GB"/>
        </w:rPr>
        <w:t xml:space="preserve"> </w:t>
      </w:r>
      <w:r w:rsidRPr="4819CEFE" w:rsidR="4819CEFE">
        <w:rPr>
          <w:rFonts w:ascii="Calibri" w:hAnsi="Calibri" w:eastAsia="Calibri" w:cs="Calibri"/>
          <w:i w:val="1"/>
          <w:iCs w:val="1"/>
          <w:noProof w:val="0"/>
          <w:sz w:val="22"/>
          <w:szCs w:val="22"/>
          <w:lang w:val="en-GB"/>
        </w:rPr>
        <w:t xml:space="preserve">7 Biases to Avoid in Qualitative Research. </w:t>
      </w:r>
      <w:proofErr w:type="spellStart"/>
      <w:r w:rsidRPr="4819CEFE" w:rsidR="4819CEFE">
        <w:rPr>
          <w:rFonts w:ascii="Calibri" w:hAnsi="Calibri" w:eastAsia="Calibri" w:cs="Calibri"/>
          <w:i w:val="1"/>
          <w:iCs w:val="1"/>
          <w:noProof w:val="0"/>
          <w:sz w:val="22"/>
          <w:szCs w:val="22"/>
          <w:lang w:val="en-GB"/>
        </w:rPr>
        <w:t>Editage</w:t>
      </w:r>
      <w:proofErr w:type="spellEnd"/>
      <w:r w:rsidRPr="4819CEFE" w:rsidR="4819CEFE">
        <w:rPr>
          <w:rFonts w:ascii="Calibri" w:hAnsi="Calibri" w:eastAsia="Calibri" w:cs="Calibri"/>
          <w:i w:val="1"/>
          <w:iCs w:val="1"/>
          <w:noProof w:val="0"/>
          <w:sz w:val="22"/>
          <w:szCs w:val="22"/>
          <w:lang w:val="en-GB"/>
        </w:rPr>
        <w:t xml:space="preserve"> Insights, Statement of the Problem, January 3</w:t>
      </w:r>
      <w:r w:rsidRPr="4819CEFE" w:rsidR="4819CEFE">
        <w:rPr>
          <w:rFonts w:ascii="Calibri" w:hAnsi="Calibri" w:eastAsia="Calibri" w:cs="Calibri"/>
          <w:i w:val="1"/>
          <w:iCs w:val="1"/>
          <w:noProof w:val="0"/>
          <w:sz w:val="22"/>
          <w:szCs w:val="22"/>
          <w:vertAlign w:val="superscript"/>
          <w:lang w:val="en-GB"/>
        </w:rPr>
        <w:t>rd.</w:t>
      </w:r>
      <w:r w:rsidRPr="4819CEFE" w:rsidR="4819CEFE">
        <w:rPr>
          <w:rFonts w:ascii="Calibri" w:hAnsi="Calibri" w:eastAsia="Calibri" w:cs="Calibri"/>
          <w:i w:val="1"/>
          <w:iCs w:val="1"/>
          <w:noProof w:val="0"/>
          <w:sz w:val="22"/>
          <w:szCs w:val="22"/>
          <w:lang w:val="en-GB"/>
        </w:rPr>
        <w:t xml:space="preserve"> Available at: </w:t>
      </w:r>
      <w:hyperlink r:id="Rf40fada1e1d44bb7">
        <w:r w:rsidRPr="4819CEFE" w:rsidR="4819CEFE">
          <w:rPr>
            <w:rStyle w:val="Hyperlink"/>
            <w:rFonts w:ascii="Calibri" w:hAnsi="Calibri" w:eastAsia="Calibri" w:cs="Calibri"/>
            <w:noProof w:val="0"/>
            <w:sz w:val="22"/>
            <w:szCs w:val="22"/>
            <w:lang w:val="en-GB"/>
          </w:rPr>
          <w:t>https://www.editage.com/insights/7-biases-to-avoid-in-qualitative-research?refer=scroll-to-1-article</w:t>
        </w:r>
      </w:hyperlink>
      <w:r w:rsidRPr="4819CEFE" w:rsidR="4819CEFE">
        <w:rPr>
          <w:rFonts w:ascii="Calibri" w:hAnsi="Calibri" w:eastAsia="Calibri" w:cs="Calibri"/>
          <w:noProof w:val="0"/>
          <w:sz w:val="22"/>
          <w:szCs w:val="22"/>
          <w:lang w:val="en-GB"/>
        </w:rPr>
        <w:t xml:space="preserve"> (Accessed on the 7</w:t>
      </w:r>
      <w:r w:rsidRPr="4819CEFE" w:rsidR="4819CEFE">
        <w:rPr>
          <w:rFonts w:ascii="Calibri" w:hAnsi="Calibri" w:eastAsia="Calibri" w:cs="Calibri"/>
          <w:noProof w:val="0"/>
          <w:sz w:val="22"/>
          <w:szCs w:val="22"/>
          <w:vertAlign w:val="superscript"/>
          <w:lang w:val="en-GB"/>
        </w:rPr>
        <w:t>th</w:t>
      </w:r>
      <w:r w:rsidRPr="4819CEFE" w:rsidR="4819CEFE">
        <w:rPr>
          <w:rFonts w:ascii="Calibri" w:hAnsi="Calibri" w:eastAsia="Calibri" w:cs="Calibri"/>
          <w:noProof w:val="0"/>
          <w:sz w:val="22"/>
          <w:szCs w:val="22"/>
          <w:lang w:val="en-GB"/>
        </w:rPr>
        <w:t xml:space="preserve"> February 2020)</w:t>
      </w:r>
    </w:p>
    <w:p w:rsidR="118B0B9E" w:rsidP="4819CEFE" w:rsidRDefault="118B0B9E" w14:paraId="38ED91EC" w14:textId="2B167F25">
      <w:pPr>
        <w:numPr>
          <w:ilvl w:val="1"/>
          <w:numId w:val="5"/>
        </w:numPr>
        <w:spacing w:line="360" w:lineRule="auto"/>
        <w:rPr>
          <w:b w:val="1"/>
          <w:bCs w:val="1"/>
          <w:i w:val="0"/>
          <w:iCs w:val="0"/>
          <w:sz w:val="22"/>
          <w:szCs w:val="22"/>
        </w:rPr>
      </w:pPr>
      <w:r w:rsidRPr="4819CEFE" w:rsidR="4819CEFE">
        <w:rPr>
          <w:rFonts w:ascii="Calibri" w:hAnsi="Calibri" w:eastAsia="Calibri" w:cs="Calibri"/>
          <w:b w:val="1"/>
          <w:bCs w:val="1"/>
          <w:noProof w:val="0"/>
          <w:sz w:val="22"/>
          <w:szCs w:val="22"/>
          <w:lang w:val="en-GB"/>
        </w:rPr>
        <w:t xml:space="preserve">Simpson, M. &amp; </w:t>
      </w:r>
      <w:proofErr w:type="spellStart"/>
      <w:r w:rsidRPr="4819CEFE" w:rsidR="4819CEFE">
        <w:rPr>
          <w:rFonts w:ascii="Calibri" w:hAnsi="Calibri" w:eastAsia="Calibri" w:cs="Calibri"/>
          <w:b w:val="1"/>
          <w:bCs w:val="1"/>
          <w:noProof w:val="0"/>
          <w:sz w:val="22"/>
          <w:szCs w:val="22"/>
          <w:lang w:val="en-GB"/>
        </w:rPr>
        <w:t>Tuson</w:t>
      </w:r>
      <w:proofErr w:type="spellEnd"/>
      <w:r w:rsidRPr="4819CEFE" w:rsidR="4819CEFE">
        <w:rPr>
          <w:rFonts w:ascii="Calibri" w:hAnsi="Calibri" w:eastAsia="Calibri" w:cs="Calibri"/>
          <w:b w:val="1"/>
          <w:bCs w:val="1"/>
          <w:noProof w:val="0"/>
          <w:sz w:val="22"/>
          <w:szCs w:val="22"/>
          <w:lang w:val="en-GB"/>
        </w:rPr>
        <w:t>, J. (2003)</w:t>
      </w:r>
      <w:r w:rsidRPr="4819CEFE" w:rsidR="4819CEFE">
        <w:rPr>
          <w:rFonts w:ascii="Calibri" w:hAnsi="Calibri" w:eastAsia="Calibri" w:cs="Calibri"/>
          <w:noProof w:val="0"/>
          <w:sz w:val="22"/>
          <w:szCs w:val="22"/>
          <w:lang w:val="en-GB"/>
        </w:rPr>
        <w:t xml:space="preserve"> </w:t>
      </w:r>
      <w:r w:rsidRPr="4819CEFE" w:rsidR="4819CEFE">
        <w:rPr>
          <w:rFonts w:ascii="Calibri" w:hAnsi="Calibri" w:eastAsia="Calibri" w:cs="Calibri"/>
          <w:i w:val="1"/>
          <w:iCs w:val="1"/>
          <w:noProof w:val="0"/>
          <w:sz w:val="22"/>
          <w:szCs w:val="22"/>
          <w:lang w:val="en-GB"/>
        </w:rPr>
        <w:t>Using Observations in Small-Scale Research: A Beginner’s Guide.</w:t>
      </w:r>
      <w:r w:rsidRPr="4819CEFE" w:rsidR="4819CEFE">
        <w:rPr>
          <w:rFonts w:ascii="Calibri" w:hAnsi="Calibri" w:eastAsia="Calibri" w:cs="Calibri"/>
          <w:noProof w:val="0"/>
          <w:sz w:val="22"/>
          <w:szCs w:val="22"/>
          <w:lang w:val="en-GB"/>
        </w:rPr>
        <w:t xml:space="preserve"> The SCRE Centre, Research in Education. Pg. 26-75. Scotland: University of Glasgow</w:t>
      </w:r>
      <w:r w:rsidRPr="4819CEFE" w:rsidR="4819CEFE">
        <w:rPr>
          <w:rFonts w:ascii="Calibri" w:hAnsi="Calibri" w:eastAsia="Calibri" w:cs="Calibri"/>
          <w:noProof w:val="0"/>
          <w:sz w:val="22"/>
          <w:szCs w:val="22"/>
          <w:lang w:val="en-US"/>
        </w:rPr>
        <w:t xml:space="preserve"> </w:t>
      </w:r>
    </w:p>
    <w:p w:rsidR="24740B6D" w:rsidP="4819CEFE" w:rsidRDefault="24740B6D" w14:paraId="512A8122" w14:textId="1D385437">
      <w:pPr>
        <w:pStyle w:val="ListParagraph"/>
        <w:numPr>
          <w:ilvl w:val="1"/>
          <w:numId w:val="5"/>
        </w:numPr>
        <w:spacing w:line="360" w:lineRule="auto"/>
        <w:ind/>
        <w:rPr>
          <w:noProof w:val="0"/>
          <w:sz w:val="22"/>
          <w:szCs w:val="22"/>
          <w:lang w:val="en-US"/>
        </w:rPr>
      </w:pPr>
      <w:r w:rsidRPr="4819CEFE" w:rsidR="4819CEFE">
        <w:rPr>
          <w:rFonts w:ascii="Calibri" w:hAnsi="Calibri" w:eastAsia="Calibri" w:cs="Calibri"/>
          <w:b w:val="1"/>
          <w:bCs w:val="1"/>
          <w:noProof w:val="0"/>
          <w:sz w:val="22"/>
          <w:szCs w:val="22"/>
          <w:lang w:val="en-US"/>
        </w:rPr>
        <w:t>UWTSD (2017-20)</w:t>
      </w:r>
      <w:r w:rsidRPr="4819CEFE" w:rsidR="4819CEFE">
        <w:rPr>
          <w:rFonts w:ascii="Calibri" w:hAnsi="Calibri" w:eastAsia="Calibri" w:cs="Calibri"/>
          <w:noProof w:val="0"/>
          <w:sz w:val="22"/>
          <w:szCs w:val="22"/>
          <w:lang w:val="en-US"/>
        </w:rPr>
        <w:t xml:space="preserve"> </w:t>
      </w:r>
      <w:r w:rsidRPr="4819CEFE" w:rsidR="4819CEFE">
        <w:rPr>
          <w:rFonts w:ascii="Calibri" w:hAnsi="Calibri" w:eastAsia="Calibri" w:cs="Calibri"/>
          <w:i w:val="1"/>
          <w:iCs w:val="1"/>
          <w:noProof w:val="0"/>
          <w:sz w:val="22"/>
          <w:szCs w:val="22"/>
          <w:lang w:val="en-US"/>
        </w:rPr>
        <w:t>Research Ethics &amp; Integrity Code of Practice</w:t>
      </w:r>
      <w:r w:rsidRPr="4819CEFE" w:rsidR="4819CEFE">
        <w:rPr>
          <w:rFonts w:ascii="Calibri" w:hAnsi="Calibri" w:eastAsia="Calibri" w:cs="Calibri"/>
          <w:noProof w:val="0"/>
          <w:sz w:val="22"/>
          <w:szCs w:val="22"/>
          <w:lang w:val="en-US"/>
        </w:rPr>
        <w:t xml:space="preserve">. Available at: </w:t>
      </w:r>
      <w:hyperlink r:id="R1180135838864886">
        <w:r w:rsidRPr="4819CEFE" w:rsidR="4819CEFE">
          <w:rPr>
            <w:rStyle w:val="Hyperlink"/>
            <w:rFonts w:ascii="Calibri" w:hAnsi="Calibri" w:eastAsia="Calibri" w:cs="Calibri"/>
            <w:noProof w:val="0"/>
            <w:sz w:val="22"/>
            <w:szCs w:val="22"/>
            <w:lang w:val="en-US"/>
          </w:rPr>
          <w:t>https://www.uwtsd.ac.uk/media/uwtsd-website/content-assets/documents/research/research-ethics-integrity-code-practice.pdf</w:t>
        </w:r>
      </w:hyperlink>
      <w:r w:rsidRPr="4819CEFE" w:rsidR="4819CEFE">
        <w:rPr>
          <w:rFonts w:ascii="Calibri" w:hAnsi="Calibri" w:eastAsia="Calibri" w:cs="Calibri"/>
          <w:noProof w:val="0"/>
          <w:sz w:val="22"/>
          <w:szCs w:val="22"/>
          <w:lang w:val="en-US"/>
        </w:rPr>
        <w:t xml:space="preserve"> (Accessed on 19</w:t>
      </w:r>
      <w:r w:rsidRPr="4819CEFE" w:rsidR="4819CEFE">
        <w:rPr>
          <w:rFonts w:ascii="Calibri" w:hAnsi="Calibri" w:eastAsia="Calibri" w:cs="Calibri"/>
          <w:noProof w:val="0"/>
          <w:sz w:val="22"/>
          <w:szCs w:val="22"/>
          <w:vertAlign w:val="superscript"/>
          <w:lang w:val="en-US"/>
        </w:rPr>
        <w:t>th</w:t>
      </w:r>
      <w:r w:rsidRPr="4819CEFE" w:rsidR="4819CEFE">
        <w:rPr>
          <w:rFonts w:ascii="Calibri" w:hAnsi="Calibri" w:eastAsia="Calibri" w:cs="Calibri"/>
          <w:noProof w:val="0"/>
          <w:sz w:val="22"/>
          <w:szCs w:val="22"/>
          <w:lang w:val="en-US"/>
        </w:rPr>
        <w:t xml:space="preserve"> February 2020)</w:t>
      </w:r>
    </w:p>
    <w:p w:rsidR="56F21E92" w:rsidP="4819CEFE" w:rsidRDefault="56F21E92" w14:paraId="1A7E1D26" w14:textId="19A8A934">
      <w:pPr>
        <w:pStyle w:val="ListParagraph"/>
        <w:numPr>
          <w:ilvl w:val="1"/>
          <w:numId w:val="5"/>
        </w:numPr>
        <w:spacing w:line="360" w:lineRule="auto"/>
        <w:ind/>
        <w:rPr>
          <w:noProof w:val="0"/>
          <w:sz w:val="22"/>
          <w:szCs w:val="22"/>
          <w:lang w:val="en-US"/>
        </w:rPr>
      </w:pPr>
      <w:r w:rsidRPr="4819CEFE" w:rsidR="4819CEFE">
        <w:rPr>
          <w:rFonts w:ascii="Calibri" w:hAnsi="Calibri" w:eastAsia="Calibri" w:cs="Calibri"/>
          <w:b w:val="1"/>
          <w:bCs w:val="1"/>
          <w:noProof w:val="0"/>
          <w:sz w:val="22"/>
          <w:szCs w:val="22"/>
          <w:lang w:val="en-US"/>
        </w:rPr>
        <w:t>Walker, S.E. (2003)</w:t>
      </w:r>
      <w:r w:rsidRPr="4819CEFE" w:rsidR="4819CEFE">
        <w:rPr>
          <w:rFonts w:ascii="Calibri" w:hAnsi="Calibri" w:eastAsia="Calibri" w:cs="Calibri"/>
          <w:noProof w:val="0"/>
          <w:sz w:val="22"/>
          <w:szCs w:val="22"/>
          <w:lang w:val="en-US"/>
        </w:rPr>
        <w:t xml:space="preserve"> </w:t>
      </w:r>
      <w:r w:rsidRPr="4819CEFE" w:rsidR="4819CEFE">
        <w:rPr>
          <w:rFonts w:ascii="Calibri" w:hAnsi="Calibri" w:eastAsia="Calibri" w:cs="Calibri"/>
          <w:i w:val="1"/>
          <w:iCs w:val="1"/>
          <w:noProof w:val="0"/>
          <w:sz w:val="22"/>
          <w:szCs w:val="22"/>
          <w:lang w:val="en-US"/>
        </w:rPr>
        <w:t>Active Learning Strategies to Promote Critical Thinking.</w:t>
      </w:r>
      <w:r w:rsidRPr="4819CEFE" w:rsidR="4819CEFE">
        <w:rPr>
          <w:rFonts w:ascii="Calibri" w:hAnsi="Calibri" w:eastAsia="Calibri" w:cs="Calibri"/>
          <w:noProof w:val="0"/>
          <w:sz w:val="22"/>
          <w:szCs w:val="22"/>
          <w:lang w:val="en-US"/>
        </w:rPr>
        <w:t xml:space="preserve"> Journal of Athletic Training, Vol. 38, 3. Pg. 263-267. Available at: </w:t>
      </w:r>
      <w:hyperlink r:id="Ra56990ba721f4dec">
        <w:r w:rsidRPr="4819CEFE" w:rsidR="4819CEFE">
          <w:rPr>
            <w:rStyle w:val="Hyperlink"/>
            <w:noProof w:val="0"/>
            <w:lang w:val="en-US"/>
          </w:rPr>
          <w:t>https://www.researchgate.net/publication/7219979_Active_Learning_Strategies_to_Promote_Critical_Thinking</w:t>
        </w:r>
      </w:hyperlink>
      <w:r w:rsidRPr="4819CEFE" w:rsidR="4819CEFE">
        <w:rPr>
          <w:noProof w:val="0"/>
          <w:lang w:val="en-US"/>
        </w:rPr>
        <w:t xml:space="preserve"> (Accessed on 20</w:t>
      </w:r>
      <w:r w:rsidRPr="4819CEFE" w:rsidR="4819CEFE">
        <w:rPr>
          <w:noProof w:val="0"/>
          <w:vertAlign w:val="superscript"/>
          <w:lang w:val="en-US"/>
        </w:rPr>
        <w:t>th</w:t>
      </w:r>
      <w:r w:rsidRPr="4819CEFE" w:rsidR="4819CEFE">
        <w:rPr>
          <w:noProof w:val="0"/>
          <w:lang w:val="en-US"/>
        </w:rPr>
        <w:t xml:space="preserve"> February 2020)</w:t>
      </w:r>
    </w:p>
    <w:p w:rsidR="5FB9E170" w:rsidP="4819CEFE" w:rsidRDefault="5FB9E170" w14:paraId="0F022627" w14:textId="33E8311E">
      <w:pPr>
        <w:pStyle w:val="ListParagraph"/>
        <w:numPr>
          <w:ilvl w:val="1"/>
          <w:numId w:val="5"/>
        </w:numPr>
        <w:spacing w:line="360" w:lineRule="auto"/>
        <w:ind/>
        <w:rPr>
          <w:noProof w:val="0"/>
          <w:sz w:val="22"/>
          <w:szCs w:val="22"/>
          <w:lang w:val="en-US"/>
        </w:rPr>
      </w:pPr>
      <w:r w:rsidRPr="4819CEFE" w:rsidR="4819CEFE">
        <w:rPr>
          <w:b w:val="1"/>
          <w:bCs w:val="1"/>
          <w:noProof w:val="0"/>
          <w:lang w:val="en-US"/>
        </w:rPr>
        <w:t>Welsh Assembly Government (2010)</w:t>
      </w:r>
      <w:r w:rsidRPr="4819CEFE" w:rsidR="4819CEFE">
        <w:rPr>
          <w:b w:val="1"/>
          <w:bCs w:val="1"/>
          <w:i w:val="1"/>
          <w:iCs w:val="1"/>
          <w:noProof w:val="0"/>
          <w:lang w:val="en-US"/>
        </w:rPr>
        <w:t xml:space="preserve"> </w:t>
      </w:r>
      <w:r w:rsidRPr="4819CEFE" w:rsidR="4819CEFE">
        <w:rPr>
          <w:i w:val="1"/>
          <w:iCs w:val="1"/>
          <w:noProof w:val="0"/>
          <w:lang w:val="en-US"/>
        </w:rPr>
        <w:t>Learner Involvement Strategies</w:t>
      </w:r>
      <w:r w:rsidRPr="4819CEFE" w:rsidR="4819CEFE">
        <w:rPr>
          <w:noProof w:val="0"/>
          <w:lang w:val="en-US"/>
        </w:rPr>
        <w:t xml:space="preserve">. Guidance for Lifelong learning and skills providers in Wales. February. Available at: </w:t>
      </w:r>
      <w:hyperlink r:id="R3e3ea914e9f744da">
        <w:r w:rsidRPr="4819CEFE" w:rsidR="4819CEFE">
          <w:rPr>
            <w:rStyle w:val="Hyperlink"/>
            <w:noProof w:val="0"/>
            <w:lang w:val="en-US"/>
          </w:rPr>
          <w:t>https://gov.wales/sites/default/files/publications/2018-02/learner-involvement-strategy-guidance.pdf</w:t>
        </w:r>
      </w:hyperlink>
      <w:r w:rsidRPr="4819CEFE" w:rsidR="4819CEFE">
        <w:rPr>
          <w:noProof w:val="0"/>
          <w:lang w:val="en-US"/>
        </w:rPr>
        <w:t xml:space="preserve"> (Accessed on 22</w:t>
      </w:r>
      <w:r w:rsidRPr="4819CEFE" w:rsidR="4819CEFE">
        <w:rPr>
          <w:noProof w:val="0"/>
          <w:vertAlign w:val="superscript"/>
          <w:lang w:val="en-US"/>
        </w:rPr>
        <w:t>nd</w:t>
      </w:r>
      <w:r w:rsidRPr="4819CEFE" w:rsidR="4819CEFE">
        <w:rPr>
          <w:noProof w:val="0"/>
          <w:lang w:val="en-US"/>
        </w:rPr>
        <w:t xml:space="preserve"> February 2020)</w:t>
      </w:r>
    </w:p>
    <w:p w:rsidR="118B0B9E" w:rsidP="4819CEFE" w:rsidRDefault="118B0B9E" w14:paraId="5A57E6E6" w14:textId="7D2DAAD6">
      <w:pPr>
        <w:pStyle w:val="ListParagraph"/>
        <w:numPr>
          <w:ilvl w:val="1"/>
          <w:numId w:val="5"/>
        </w:numPr>
        <w:spacing w:line="360" w:lineRule="auto"/>
        <w:ind/>
        <w:rPr>
          <w:noProof w:val="0"/>
          <w:sz w:val="22"/>
          <w:szCs w:val="22"/>
          <w:lang w:val="en-US"/>
        </w:rPr>
      </w:pPr>
      <w:r w:rsidRPr="4819CEFE" w:rsidR="4819CEFE">
        <w:rPr>
          <w:b w:val="1"/>
          <w:bCs w:val="1"/>
          <w:noProof w:val="0"/>
          <w:lang w:val="en-US"/>
        </w:rPr>
        <w:t>Williams, H. (1969)</w:t>
      </w:r>
      <w:r w:rsidRPr="4819CEFE" w:rsidR="4819CEFE">
        <w:rPr>
          <w:noProof w:val="0"/>
          <w:lang w:val="en-US"/>
        </w:rPr>
        <w:t xml:space="preserve"> </w:t>
      </w:r>
      <w:r w:rsidRPr="4819CEFE" w:rsidR="4819CEFE">
        <w:rPr>
          <w:i w:val="1"/>
          <w:iCs w:val="1"/>
          <w:noProof w:val="0"/>
          <w:lang w:val="en-US"/>
        </w:rPr>
        <w:t>On Teaching Art.</w:t>
      </w:r>
      <w:r w:rsidRPr="4819CEFE" w:rsidR="4819CEFE">
        <w:rPr>
          <w:noProof w:val="0"/>
          <w:lang w:val="en-US"/>
        </w:rPr>
        <w:t xml:space="preserve"> Art Education. Vol. 21. No. 5. Pg. 4-7. Available at: </w:t>
      </w:r>
      <w:hyperlink w:anchor="metadata_info_tab_contents" r:id="R7d6323f809364639">
        <w:r w:rsidRPr="4819CEFE" w:rsidR="4819CEFE">
          <w:rPr>
            <w:rStyle w:val="Hyperlink"/>
            <w:noProof w:val="0"/>
            <w:lang w:val="en-US"/>
          </w:rPr>
          <w:t>https://www-jstor-org.ezproxy.uwtsd.ac.uk/stable/3191142?Search=yes&amp;resultItemClick=true&amp;searchText=teaching&amp;searchText=ART&amp;searchUri=%2Faction%2FdoBasicSearch%3FQuery%3Dteaching%2BART&amp;ab_segments=0%2Fbasic_SYC-4946%2Fcontrol&amp;seq=1#metadata_info_tab_contents</w:t>
        </w:r>
      </w:hyperlink>
      <w:r w:rsidRPr="4819CEFE" w:rsidR="4819CEFE">
        <w:rPr>
          <w:noProof w:val="0"/>
          <w:lang w:val="en-US"/>
        </w:rPr>
        <w:t xml:space="preserve"> (Accessed on 22</w:t>
      </w:r>
      <w:r w:rsidRPr="4819CEFE" w:rsidR="4819CEFE">
        <w:rPr>
          <w:noProof w:val="0"/>
          <w:vertAlign w:val="superscript"/>
          <w:lang w:val="en-US"/>
        </w:rPr>
        <w:t>nd</w:t>
      </w:r>
      <w:r w:rsidRPr="4819CEFE" w:rsidR="4819CEFE">
        <w:rPr>
          <w:noProof w:val="0"/>
          <w:lang w:val="en-US"/>
        </w:rPr>
        <w:t xml:space="preserve"> February 2020)</w:t>
      </w:r>
    </w:p>
    <w:p w:rsidR="200A08A0" w:rsidP="4819CEFE" w:rsidRDefault="200A08A0" w14:paraId="2653ADF0" w14:textId="0B162BB4">
      <w:pPr>
        <w:numPr>
          <w:ilvl w:val="1"/>
          <w:numId w:val="5"/>
        </w:numPr>
        <w:spacing w:line="360" w:lineRule="auto"/>
        <w:rPr>
          <w:b w:val="1"/>
          <w:bCs w:val="1"/>
          <w:i w:val="0"/>
          <w:iCs w:val="0"/>
          <w:sz w:val="22"/>
          <w:szCs w:val="22"/>
        </w:rPr>
      </w:pPr>
      <w:r w:rsidRPr="4819CEFE" w:rsidR="4819CEFE">
        <w:rPr>
          <w:rFonts w:ascii="Calibri" w:hAnsi="Calibri" w:eastAsia="Calibri" w:cs="Calibri"/>
          <w:b w:val="1"/>
          <w:bCs w:val="1"/>
          <w:noProof w:val="0"/>
          <w:sz w:val="22"/>
          <w:szCs w:val="22"/>
          <w:lang w:val="en-GB"/>
        </w:rPr>
        <w:t xml:space="preserve">Zamora, A., Suarez, J. &amp; </w:t>
      </w:r>
      <w:proofErr w:type="spellStart"/>
      <w:r w:rsidRPr="4819CEFE" w:rsidR="4819CEFE">
        <w:rPr>
          <w:rFonts w:ascii="Calibri" w:hAnsi="Calibri" w:eastAsia="Calibri" w:cs="Calibri"/>
          <w:b w:val="1"/>
          <w:bCs w:val="1"/>
          <w:noProof w:val="0"/>
          <w:sz w:val="22"/>
          <w:szCs w:val="22"/>
          <w:lang w:val="en-GB"/>
        </w:rPr>
        <w:t>Ardura</w:t>
      </w:r>
      <w:proofErr w:type="spellEnd"/>
      <w:r w:rsidRPr="4819CEFE" w:rsidR="4819CEFE">
        <w:rPr>
          <w:rFonts w:ascii="Calibri" w:hAnsi="Calibri" w:eastAsia="Calibri" w:cs="Calibri"/>
          <w:b w:val="1"/>
          <w:bCs w:val="1"/>
          <w:noProof w:val="0"/>
          <w:sz w:val="22"/>
          <w:szCs w:val="22"/>
          <w:lang w:val="en-GB"/>
        </w:rPr>
        <w:t xml:space="preserve">, D. (2018) </w:t>
      </w:r>
      <w:r w:rsidRPr="4819CEFE" w:rsidR="4819CEFE">
        <w:rPr>
          <w:rFonts w:ascii="Calibri" w:hAnsi="Calibri" w:eastAsia="Calibri" w:cs="Calibri"/>
          <w:i w:val="1"/>
          <w:iCs w:val="1"/>
          <w:noProof w:val="0"/>
          <w:sz w:val="22"/>
          <w:szCs w:val="22"/>
          <w:lang w:val="en-GB"/>
        </w:rPr>
        <w:t xml:space="preserve">Error Detection and Self-assessment as Mechanisms to Promote Self-Regulation of Learning Among Secondary Education Students. </w:t>
      </w:r>
      <w:r w:rsidRPr="4819CEFE" w:rsidR="4819CEFE">
        <w:rPr>
          <w:rFonts w:ascii="Calibri" w:hAnsi="Calibri" w:eastAsia="Calibri" w:cs="Calibri"/>
          <w:noProof w:val="0"/>
          <w:sz w:val="22"/>
          <w:szCs w:val="22"/>
          <w:lang w:val="en-GB"/>
        </w:rPr>
        <w:t>Vol. 111, No.2, 175-185. Available at:</w:t>
      </w:r>
      <w:r w:rsidRPr="4819CEFE" w:rsidR="4819CEFE">
        <w:rPr>
          <w:rFonts w:ascii="Calibri" w:hAnsi="Calibri" w:eastAsia="Calibri" w:cs="Calibri"/>
          <w:i w:val="1"/>
          <w:iCs w:val="1"/>
          <w:noProof w:val="0"/>
          <w:sz w:val="22"/>
          <w:szCs w:val="22"/>
          <w:lang w:val="en-GB"/>
        </w:rPr>
        <w:t xml:space="preserve"> </w:t>
      </w:r>
      <w:hyperlink r:id="Rc04c00424c6f4210">
        <w:r w:rsidRPr="4819CEFE" w:rsidR="4819CEFE">
          <w:rPr>
            <w:rStyle w:val="Hyperlink"/>
            <w:rFonts w:ascii="Calibri" w:hAnsi="Calibri" w:eastAsia="Calibri" w:cs="Calibri"/>
            <w:noProof w:val="0"/>
            <w:color w:val="0563C1"/>
            <w:sz w:val="22"/>
            <w:szCs w:val="22"/>
            <w:u w:val="single"/>
            <w:lang w:val="en-GB"/>
          </w:rPr>
          <w:t>https://www.researchgate.net/publication/307552369_Error_detection_and_self-assessment_as_mechanisms_to_promote_self-regulation_of_learning_among_secondary_education_students</w:t>
        </w:r>
      </w:hyperlink>
      <w:r w:rsidRPr="4819CEFE" w:rsidR="4819CEFE">
        <w:rPr>
          <w:rFonts w:ascii="Calibri" w:hAnsi="Calibri" w:eastAsia="Calibri" w:cs="Calibri"/>
          <w:noProof w:val="0"/>
          <w:color w:val="auto"/>
          <w:sz w:val="22"/>
          <w:szCs w:val="22"/>
          <w:u w:val="single"/>
          <w:lang w:val="en-GB"/>
        </w:rPr>
        <w:t xml:space="preserve"> </w:t>
      </w:r>
      <w:r w:rsidRPr="4819CEFE" w:rsidR="4819CEFE">
        <w:rPr>
          <w:rFonts w:ascii="Calibri" w:hAnsi="Calibri" w:eastAsia="Calibri" w:cs="Calibri"/>
          <w:noProof w:val="0"/>
          <w:color w:val="auto"/>
          <w:sz w:val="22"/>
          <w:szCs w:val="22"/>
          <w:u w:val="none"/>
          <w:lang w:val="en-GB"/>
        </w:rPr>
        <w:t>(Accessed on the 6</w:t>
      </w:r>
      <w:r w:rsidRPr="4819CEFE" w:rsidR="4819CEFE">
        <w:rPr>
          <w:rFonts w:ascii="Calibri" w:hAnsi="Calibri" w:eastAsia="Calibri" w:cs="Calibri"/>
          <w:noProof w:val="0"/>
          <w:color w:val="auto"/>
          <w:sz w:val="22"/>
          <w:szCs w:val="22"/>
          <w:u w:val="none"/>
          <w:vertAlign w:val="superscript"/>
          <w:lang w:val="en-GB"/>
        </w:rPr>
        <w:t>th</w:t>
      </w:r>
      <w:r w:rsidRPr="4819CEFE" w:rsidR="4819CEFE">
        <w:rPr>
          <w:rFonts w:ascii="Calibri" w:hAnsi="Calibri" w:eastAsia="Calibri" w:cs="Calibri"/>
          <w:noProof w:val="0"/>
          <w:color w:val="auto"/>
          <w:sz w:val="22"/>
          <w:szCs w:val="22"/>
          <w:u w:val="none"/>
          <w:lang w:val="en-GB"/>
        </w:rPr>
        <w:t xml:space="preserve"> February 2020)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C25CEF"/>
  <w15:docId w15:val="{3ee4ab95-e1c4-470b-ad69-db0a963b23ed}"/>
  <w:rsids>
    <w:rsidRoot w:val="26C25CEF"/>
    <w:rsid w:val="118B0B9E"/>
    <w:rsid w:val="1D3E97EC"/>
    <w:rsid w:val="1FC4BD6A"/>
    <w:rsid w:val="200A08A0"/>
    <w:rsid w:val="224814FD"/>
    <w:rsid w:val="24740B6D"/>
    <w:rsid w:val="26298FCD"/>
    <w:rsid w:val="26C25CEF"/>
    <w:rsid w:val="2ADA70B7"/>
    <w:rsid w:val="30BDC31C"/>
    <w:rsid w:val="336AFB74"/>
    <w:rsid w:val="3D5B7A4C"/>
    <w:rsid w:val="3DF9E827"/>
    <w:rsid w:val="4819CEFE"/>
    <w:rsid w:val="4FCAF1C9"/>
    <w:rsid w:val="56F21E92"/>
    <w:rsid w:val="5FB9E170"/>
    <w:rsid w:val="6A47AF9C"/>
    <w:rsid w:val="793A8BCE"/>
    <w:rsid w:val="7F5FA3B3"/>
    <w:rsid w:val="7F98A8D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d5f035ad6ed46f9" /><Relationship Type="http://schemas.openxmlformats.org/officeDocument/2006/relationships/hyperlink" Target="https://www.bera.ac.uk/publication/ethical-guidelines-for-educational-research-2018" TargetMode="External" Id="R9ab0953b4e164cbb" /><Relationship Type="http://schemas.openxmlformats.org/officeDocument/2006/relationships/hyperlink" Target="https://web-a-ebscohost-com.ezproxy.uwtsd.ac.uk/ehost/detail/detail?vid=0&amp;sid=da2ca50d-8fda-4d92-9c56-d25e982e6e60%40sessionmgr4008&amp;bdata=JnNpdGU9ZWhvc3QtbGl2ZQ%3d%3d" TargetMode="External" Id="Re79e2edacf3d4dcc" /><Relationship Type="http://schemas.openxmlformats.org/officeDocument/2006/relationships/hyperlink" Target="https://www.shirleyclarke-education.org/research/learning-objectives-and-success-criteria-2009/" TargetMode="External" Id="Rf17d882c21dd454a" /><Relationship Type="http://schemas.openxmlformats.org/officeDocument/2006/relationships/hyperlink" Target="http://d-scholarship.pitt.edu/9914/1/Coronado-AliegroJ2_etd2006.pdf" TargetMode="External" Id="R780a0a06c74a4d9f" /><Relationship Type="http://schemas.openxmlformats.org/officeDocument/2006/relationships/hyperlink" Target="http://sirkenrobinson.com/pdf/allourfutures.pdf" TargetMode="External" Id="Rf5a18f6bacac4344" /><Relationship Type="http://schemas.openxmlformats.org/officeDocument/2006/relationships/hyperlink" Target="https://www.semanticscholar.org/paper/Lesson-Study-for-Developing-the-Pedagogical-of-by-Diputra-Japa/eeea2824a797c4c330270739b3b73d50ac492b5f" TargetMode="External" Id="Rc1152fb679304b77" /><Relationship Type="http://schemas.openxmlformats.org/officeDocument/2006/relationships/hyperlink" Target="http://lessonstudy.co.uk/wp-content/uploads/2012/03/new-handbook-revisedMay14.pdf" TargetMode="External" Id="Ra7a41dc3cafc4f78" /><Relationship Type="http://schemas.openxmlformats.org/officeDocument/2006/relationships/hyperlink" Target="https://www.nwea.org/blog/2018/what-you-need-to-know-when-establishing-success-criteria-in-the-classroom/" TargetMode="External" Id="Rbf57ecb711ca4316" /><Relationship Type="http://schemas.openxmlformats.org/officeDocument/2006/relationships/hyperlink" Target="https://www.research.ed.ac.uk/portal/files/50115780/Florian_Beaton_IJIE.pdf" TargetMode="External" Id="Rd008f4ba16de4105" /><Relationship Type="http://schemas.openxmlformats.org/officeDocument/2006/relationships/hyperlink" Target="https://whel-primo.hosted.exlibrisgroup.com/primo-explore/fulldisplay?docid=TN_proquest209811759&amp;context=PC&amp;vid=44WHELF_UWTSD_VU1&amp;lang=en_US&amp;search_scope=CSCOP_EVERYTHING&amp;adaptor=primo_central_multiple_fe&amp;tab=tab1&amp;query=any,contains,grant%20&amp;%20dweck%202003&amp;offset=0" TargetMode="External" Id="R2dd6152c449c4ac1" /><Relationship Type="http://schemas.openxmlformats.org/officeDocument/2006/relationships/hyperlink" Target="https://issuu.com/itlworldwide/docs/embedding_plts_in_whole_school_practice_v2" TargetMode="External" Id="Rc1a126fcd9ea4536" /><Relationship Type="http://schemas.openxmlformats.org/officeDocument/2006/relationships/hyperlink" Target="https://www.risingstars-uk.com/blog/september-2017/success-criteria" TargetMode="External" Id="R327f355a2cfb40b6" /><Relationship Type="http://schemas.openxmlformats.org/officeDocument/2006/relationships/hyperlink" Target="https://www-jstor-org.ezproxy.uwtsd.ac.uk/stable/27975285?seq=34" TargetMode="External" Id="Reb58cd86af46459c" /><Relationship Type="http://schemas.openxmlformats.org/officeDocument/2006/relationships/hyperlink" Target="https://erc.europa.eu/news-events/magazine/unconscious-bias-%E2%80%93-avoidable-or-inevitable" TargetMode="External" Id="Rd388b6ab8f2b4503" /><Relationship Type="http://schemas.openxmlformats.org/officeDocument/2006/relationships/hyperlink" Target="https://web-b-ebscohost-com.ezproxy.uwtsd.ac.uk/ehost/detail/detail?vid=0&amp;sid=5d9628fa-2219-44db-9bbd-6ba45ddcb305%40pdc-v-sessmgr04&amp;bdata=JnNpdGU9ZWhvc3QtbGl2ZQ%3d%3d" TargetMode="External" Id="Re957f0724b9b47af" /><Relationship Type="http://schemas.openxmlformats.org/officeDocument/2006/relationships/hyperlink" Target="https://search-proquest-com.ezproxy.uwtsd.ac.uk/docview/2127123951?accountid=130472&amp;rfr_id=info%3Axri%2Fsid%3Aprimo" TargetMode="External" Id="R7f376a0a9ed749a9" /><Relationship Type="http://schemas.openxmlformats.org/officeDocument/2006/relationships/hyperlink" Target="https://search-proquest-com.ezproxy.uwtsd.ac.uk/docview/237237541?accountid=130472&amp;rfr_id=info%3Axri%2Fsid%3Aprimo" TargetMode="External" Id="R4b3eaacfeb3646ff" /><Relationship Type="http://schemas.openxmlformats.org/officeDocument/2006/relationships/hyperlink" Target="https://psych.hanover.edu/vygotsky/matuga.html" TargetMode="External" Id="Rdc60abb87106493c" /><Relationship Type="http://schemas.openxmlformats.org/officeDocument/2006/relationships/hyperlink" Target="https://www.semanticscholar.org/paper/Implementation-of-the-Lesson-Study-as-a-Tool-to-and-%C3%96zdemir/52e94b12b292b123d82e0db10e4977db7de1f8f6" TargetMode="External" Id="Raf51642bb465434e" /><Relationship Type="http://schemas.openxmlformats.org/officeDocument/2006/relationships/hyperlink" Target="http://www.sec-ed.co.uk/best-practice/taking-a-risk-with-plenaries/" TargetMode="External" Id="R844ea395e3a249d6" /><Relationship Type="http://schemas.openxmlformats.org/officeDocument/2006/relationships/hyperlink" Target="https://www.nextgenlearning.org/articles/moving-from-passive-to-active-learning-four-ways-to-overcome-student-resistance" TargetMode="External" Id="R2c68ce6804984ae9" /><Relationship Type="http://schemas.openxmlformats.org/officeDocument/2006/relationships/hyperlink" Target="https://blog.prepscholar.com/vygotsky-scaffolding-zone-of-proximal-development" TargetMode="External" Id="R6866a1b44e9f48f7" /><Relationship Type="http://schemas.openxmlformats.org/officeDocument/2006/relationships/hyperlink" Target="https://eppi.ioe.ac.uk/cms/Default.aspx?tabid=2415" TargetMode="External" Id="R7f688fb9f1a84b86" /><Relationship Type="http://schemas.openxmlformats.org/officeDocument/2006/relationships/hyperlink" Target="https://www.tes.com/news/why-child-led-learning-does-not-work-and-what-you-should-do-instead" TargetMode="External" Id="Ra41284a5c0fe4473" /><Relationship Type="http://schemas.openxmlformats.org/officeDocument/2006/relationships/hyperlink" Target="https://www.editage.com/insights/7-biases-to-avoid-in-qualitative-research?refer=scroll-to-1-article" TargetMode="External" Id="Rf40fada1e1d44bb7" /><Relationship Type="http://schemas.openxmlformats.org/officeDocument/2006/relationships/hyperlink" Target="https://www.uwtsd.ac.uk/media/uwtsd-website/content-assets/documents/research/research-ethics-integrity-code-practice.pdf" TargetMode="External" Id="R1180135838864886" /><Relationship Type="http://schemas.openxmlformats.org/officeDocument/2006/relationships/hyperlink" Target="https://www.researchgate.net/publication/7219979_Active_Learning_Strategies_to_Promote_Critical_Thinking" TargetMode="External" Id="Ra56990ba721f4dec" /><Relationship Type="http://schemas.openxmlformats.org/officeDocument/2006/relationships/hyperlink" Target="https://gov.wales/sites/default/files/publications/2018-02/learner-involvement-strategy-guidance.pdf" TargetMode="External" Id="R3e3ea914e9f744da" /><Relationship Type="http://schemas.openxmlformats.org/officeDocument/2006/relationships/hyperlink" Target="https://www-jstor-org.ezproxy.uwtsd.ac.uk/stable/3191142?Search=yes&amp;resultItemClick=true&amp;searchText=teaching&amp;searchText=ART&amp;searchUri=%2Faction%2FdoBasicSearch%3FQuery%3Dteaching%2BART&amp;ab_segments=0%2Fbasic_SYC-4946%2Fcontrol&amp;seq=1" TargetMode="External" Id="R7d6323f809364639" /><Relationship Type="http://schemas.openxmlformats.org/officeDocument/2006/relationships/hyperlink" Target="https://www.researchgate.net/publication/307552369_Error_detection_and_self-assessment_as_mechanisms_to_promote_self-regulation_of_learning_among_secondary_education_students" TargetMode="External" Id="Rc04c00424c6f42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2020-01-31T11:30:35.9982167Z</dcterms:created>
  <dcterms:modified xsi:type="dcterms:W3CDTF">2020-02-22T15:48:40.4352959Z</dcterms:modified>
  <dc:creator>Stephanie Woodward (1906290)</dc:creator>
  <lastModifiedBy>Stephanie Woodward (1906290)</lastModifiedBy>
</coreProperties>
</file>