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28B8E20" w14:textId="77777777" w:rsidR="00457DBC" w:rsidRDefault="00457DBC" w:rsidP="00457DB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32"/>
              <w:szCs w:val="32"/>
            </w:rPr>
          </w:pPr>
          <w:sdt>
            <w:sdtPr>
              <w:rPr>
                <w:rFonts w:asciiTheme="majorHAnsi" w:eastAsiaTheme="majorEastAsia" w:hAnsiTheme="majorHAnsi" w:cstheme="majorBidi"/>
                <w:caps/>
                <w:color w:val="5B9BD5" w:themeColor="accent1"/>
                <w:sz w:val="32"/>
                <w:szCs w:val="3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r w:rsidRPr="00457DBC">
                <w:rPr>
                  <w:rFonts w:asciiTheme="majorHAnsi" w:eastAsiaTheme="majorEastAsia" w:hAnsiTheme="majorHAnsi" w:cstheme="majorBidi"/>
                  <w:caps/>
                  <w:color w:val="5B9BD5" w:themeColor="accent1"/>
                  <w:sz w:val="32"/>
                  <w:szCs w:val="32"/>
                </w:rPr>
                <w:t>Financial Performance Analysis of Unilever plc and Investment Appraisal Report for Beard Plc</w:t>
              </w:r>
            </w:sdtContent>
          </w:sdt>
        </w:p>
        <w:p w14:paraId="7AF66297" w14:textId="4E3AD85F" w:rsidR="00457DBC" w:rsidRDefault="00457DBC" w:rsidP="00457DBC">
          <w:pPr>
            <w:pStyle w:val="NoSpacing"/>
            <w:pBdr>
              <w:top w:val="single" w:sz="6" w:space="6" w:color="5B9BD5" w:themeColor="accent1"/>
              <w:bottom w:val="single" w:sz="6" w:space="6" w:color="5B9BD5" w:themeColor="accent1"/>
            </w:pBdr>
            <w:spacing w:after="240"/>
            <w:jc w:val="center"/>
            <w:rPr>
              <w:color w:val="5B9BD5" w:themeColor="accent1"/>
              <w:sz w:val="28"/>
              <w:szCs w:val="28"/>
              <w:lang w:val="en-GB"/>
            </w:rPr>
          </w:pPr>
          <w:r w:rsidRPr="00457DBC">
            <w:rPr>
              <w:color w:val="5B9BD5" w:themeColor="accent1"/>
              <w:sz w:val="28"/>
              <w:szCs w:val="28"/>
              <w:lang w:val="en-GB"/>
            </w:rPr>
            <w:t>Finance for Business Managers</w:t>
          </w:r>
        </w:p>
        <w:p w14:paraId="1ADC1124" w14:textId="181BBB8A" w:rsidR="007D1947" w:rsidRDefault="007D1947" w:rsidP="00457DBC">
          <w:pPr>
            <w:pStyle w:val="NoSpacing"/>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19T00:00:00Z">
                                    <w:dateFormat w:val="MMMM d, yyyy"/>
                                    <w:lid w:val="en-US"/>
                                    <w:storeMappedDataAs w:val="dateTime"/>
                                    <w:calendar w:val="gregorian"/>
                                  </w:date>
                                </w:sdtPr>
                                <w:sdtContent>
                                  <w:p w14:paraId="52BAF8D9" w14:textId="40651F34" w:rsidR="007D1947" w:rsidRDefault="00D63FE2">
                                    <w:pPr>
                                      <w:pStyle w:val="NoSpacing"/>
                                      <w:spacing w:after="40"/>
                                      <w:jc w:val="center"/>
                                      <w:rPr>
                                        <w:caps/>
                                        <w:color w:val="5B9BD5" w:themeColor="accent1"/>
                                        <w:sz w:val="28"/>
                                        <w:szCs w:val="28"/>
                                      </w:rPr>
                                    </w:pPr>
                                    <w:r>
                                      <w:rPr>
                                        <w:caps/>
                                        <w:color w:val="5B9BD5" w:themeColor="accent1"/>
                                        <w:sz w:val="28"/>
                                        <w:szCs w:val="28"/>
                                      </w:rPr>
                                      <w:t>April 19,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19T00:00:00Z">
                              <w:dateFormat w:val="MMMM d, yyyy"/>
                              <w:lid w:val="en-US"/>
                              <w:storeMappedDataAs w:val="dateTime"/>
                              <w:calendar w:val="gregorian"/>
                            </w:date>
                          </w:sdtPr>
                          <w:sdtContent>
                            <w:p w14:paraId="52BAF8D9" w14:textId="40651F34" w:rsidR="007D1947" w:rsidRDefault="00D63FE2">
                              <w:pPr>
                                <w:pStyle w:val="NoSpacing"/>
                                <w:spacing w:after="40"/>
                                <w:jc w:val="center"/>
                                <w:rPr>
                                  <w:caps/>
                                  <w:color w:val="5B9BD5" w:themeColor="accent1"/>
                                  <w:sz w:val="28"/>
                                  <w:szCs w:val="28"/>
                                </w:rPr>
                              </w:pPr>
                              <w:r>
                                <w:rPr>
                                  <w:caps/>
                                  <w:color w:val="5B9BD5" w:themeColor="accent1"/>
                                  <w:sz w:val="28"/>
                                  <w:szCs w:val="28"/>
                                </w:rPr>
                                <w:t>April 19,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178766392"/>
          <w:r>
            <w:lastRenderedPageBreak/>
            <w:t>Executive Summary</w:t>
          </w:r>
          <w:bookmarkEnd w:id="0"/>
        </w:p>
        <w:p w14:paraId="2A368548" w14:textId="77777777" w:rsidR="008D1426" w:rsidRPr="008D1426" w:rsidRDefault="008D1426" w:rsidP="008D1426"/>
        <w:p w14:paraId="30EC7993" w14:textId="77777777" w:rsidR="008D1426" w:rsidRDefault="008D1426">
          <w:r w:rsidRPr="008D1426">
            <w:t>This report evaluates two key domains of financial decision-making. In part one</w:t>
          </w:r>
          <w:r>
            <w:t xml:space="preserve"> </w:t>
          </w:r>
          <w:r w:rsidRPr="008D1426">
            <w:t xml:space="preserve">examine the financial performance of Unilever plc in the year 2024 2025 using ratio analysis. In part two, three investment alternatives that Beard Plc can adopt are evaluated using investment appraisal methods, with a goal of determining the most value-creating course of action. </w:t>
          </w:r>
        </w:p>
        <w:p w14:paraId="132DAB93" w14:textId="77777777" w:rsidR="008D1426" w:rsidRDefault="008D1426">
          <w:r w:rsidRPr="008D1426">
            <w:t xml:space="preserve">Part 1 concludes that Unilever overall financial performance had been enhanced in the year. Profitability improved in many indicators such as gross profit margin, operating-based profit margin, return on capital employed and asset turnover, which means that operating efficiency is improved and capital is used in a better way. The performance with respect to investors also enhanced since evidenced by the increased earnings per share and return on equity. Nevertheless, there are also some issues pointed out in the analysis. There was a relative tightness in liquidity although there was relative improvement, a weakening in the collection of receivables, and an increase in gearing indicating that some of the shareholder return improvement was underpinned by a more aggressive financial structure. All in all, Unilever seemed to be more profitable and productive in 2025 yet the quality of its performance is still subject to efficient working-capital control and balance-sheet resilience. It is suggested in the report that further tightening of the receivables management, persistence in inventory efficiency, dampening of gearing in the long term, and a more balanced creditor management is needed. </w:t>
          </w:r>
        </w:p>
        <w:p w14:paraId="78600B78" w14:textId="77777777" w:rsidR="008D1426" w:rsidRDefault="008D1426">
          <w:r w:rsidRPr="008D1426">
            <w:t xml:space="preserve">Part 2 analyses three investment opportunities of Beard Plc based on the net present value (NPV) at a 5% cost of capital. The analysis reveals that Project A has a small negative NPV, and hence must be rejected. Both Project B and C are positive NPVs, with the highest value of Project C. Project C is thus the best one-off investment option as recommended in this report. The internal rate of return (IRR) of Project C is approximately 8.6 which is a confirmation that the project is able to provide a higher rate of return than the cost of capital required. The report also describes that NPV is the best appraisal technique since it takes into account the time value of money, all the project cash flows and is directly related to shareholder wealth maximisation. </w:t>
          </w:r>
        </w:p>
        <w:p w14:paraId="08474F9F" w14:textId="77777777" w:rsidR="008D1426" w:rsidRDefault="008D1426">
          <w:r>
            <w:t>C</w:t>
          </w:r>
          <w:r w:rsidRPr="008D1426">
            <w:t>ase</w:t>
          </w:r>
          <w:r>
            <w:t>s</w:t>
          </w:r>
          <w:r w:rsidRPr="008D1426">
            <w:t xml:space="preserve"> where funds are constrained to 1.5 million and the projects can be divided, the report determines that the best policy would be to invest 100 percent in Project C and the remaining money use to do 55.6 per cent of Project B. The NPV of this policy is a total of 132.3k, and it is the optimal allocation of the scarce capital. Financing wise, the report finds that Beard Plc needs to pursue a balanced strategy of utilizing a mix of retained earnings and medium-term bank borrowing, as a measure to maintain the liquidity and not be too dependent on one source of finance. </w:t>
          </w:r>
        </w:p>
        <w:p w14:paraId="62AB7F7D" w14:textId="09CFBA59" w:rsidR="007D1947" w:rsidRDefault="008D1426">
          <w:r>
            <w:t>Therefore, this report</w:t>
          </w:r>
          <w:r w:rsidRPr="008D1426">
            <w:t xml:space="preserve"> conclude that in order to make sound financial decisions, it is not only a good performance in terms of numbers that is important but also the quality of cash flow, capital structure, strategic fit and financial flexibility.</w:t>
          </w:r>
        </w:p>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24EEE8BC" w14:textId="7FAFD739" w:rsidR="00CF0E48" w:rsidRDefault="007D1947">
              <w:pPr>
                <w:pStyle w:val="TOC1"/>
                <w:tabs>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178766392" w:history="1">
                <w:r w:rsidR="00CF0E48" w:rsidRPr="0042521A">
                  <w:rPr>
                    <w:rStyle w:val="Hyperlink"/>
                    <w:noProof/>
                  </w:rPr>
                  <w:t>Executive Summary</w:t>
                </w:r>
                <w:r w:rsidR="00CF0E48">
                  <w:rPr>
                    <w:noProof/>
                    <w:webHidden/>
                  </w:rPr>
                  <w:tab/>
                </w:r>
                <w:r w:rsidR="00CF0E48">
                  <w:rPr>
                    <w:noProof/>
                    <w:webHidden/>
                  </w:rPr>
                  <w:fldChar w:fldCharType="begin"/>
                </w:r>
                <w:r w:rsidR="00CF0E48">
                  <w:rPr>
                    <w:noProof/>
                    <w:webHidden/>
                  </w:rPr>
                  <w:instrText xml:space="preserve"> PAGEREF _Toc178766392 \h </w:instrText>
                </w:r>
                <w:r w:rsidR="00CF0E48">
                  <w:rPr>
                    <w:noProof/>
                    <w:webHidden/>
                  </w:rPr>
                </w:r>
                <w:r w:rsidR="00CF0E48">
                  <w:rPr>
                    <w:noProof/>
                    <w:webHidden/>
                  </w:rPr>
                  <w:fldChar w:fldCharType="separate"/>
                </w:r>
                <w:r w:rsidR="00CF0E48">
                  <w:rPr>
                    <w:noProof/>
                    <w:webHidden/>
                  </w:rPr>
                  <w:t>1</w:t>
                </w:r>
                <w:r w:rsidR="00CF0E48">
                  <w:rPr>
                    <w:noProof/>
                    <w:webHidden/>
                  </w:rPr>
                  <w:fldChar w:fldCharType="end"/>
                </w:r>
              </w:hyperlink>
            </w:p>
            <w:p w14:paraId="7C633003" w14:textId="23E004A7" w:rsidR="00CF0E48" w:rsidRDefault="00CF0E48">
              <w:pPr>
                <w:pStyle w:val="TOC1"/>
                <w:tabs>
                  <w:tab w:val="right" w:leader="dot" w:pos="9016"/>
                </w:tabs>
                <w:rPr>
                  <w:rFonts w:eastAsiaTheme="minorEastAsia"/>
                  <w:noProof/>
                  <w:kern w:val="2"/>
                  <w:sz w:val="24"/>
                  <w:szCs w:val="24"/>
                  <w:lang w:eastAsia="zh-CN"/>
                  <w14:ligatures w14:val="standardContextual"/>
                </w:rPr>
              </w:pPr>
              <w:hyperlink w:anchor="_Toc178766393" w:history="1">
                <w:r w:rsidRPr="0042521A">
                  <w:rPr>
                    <w:rStyle w:val="Hyperlink"/>
                    <w:noProof/>
                  </w:rPr>
                  <w:t xml:space="preserve">Introduction </w:t>
                </w:r>
                <w:r>
                  <w:rPr>
                    <w:noProof/>
                    <w:webHidden/>
                  </w:rPr>
                  <w:tab/>
                </w:r>
                <w:r>
                  <w:rPr>
                    <w:noProof/>
                    <w:webHidden/>
                  </w:rPr>
                  <w:fldChar w:fldCharType="begin"/>
                </w:r>
                <w:r>
                  <w:rPr>
                    <w:noProof/>
                    <w:webHidden/>
                  </w:rPr>
                  <w:instrText xml:space="preserve"> PAGEREF _Toc178766393 \h </w:instrText>
                </w:r>
                <w:r>
                  <w:rPr>
                    <w:noProof/>
                    <w:webHidden/>
                  </w:rPr>
                </w:r>
                <w:r>
                  <w:rPr>
                    <w:noProof/>
                    <w:webHidden/>
                  </w:rPr>
                  <w:fldChar w:fldCharType="separate"/>
                </w:r>
                <w:r>
                  <w:rPr>
                    <w:noProof/>
                    <w:webHidden/>
                  </w:rPr>
                  <w:t>3</w:t>
                </w:r>
                <w:r>
                  <w:rPr>
                    <w:noProof/>
                    <w:webHidden/>
                  </w:rPr>
                  <w:fldChar w:fldCharType="end"/>
                </w:r>
              </w:hyperlink>
            </w:p>
            <w:p w14:paraId="0435DA61" w14:textId="7AF1163D" w:rsidR="00CF0E48" w:rsidRDefault="00CF0E48">
              <w:pPr>
                <w:pStyle w:val="TOC1"/>
                <w:tabs>
                  <w:tab w:val="right" w:leader="dot" w:pos="9016"/>
                </w:tabs>
                <w:rPr>
                  <w:rFonts w:eastAsiaTheme="minorEastAsia"/>
                  <w:noProof/>
                  <w:kern w:val="2"/>
                  <w:sz w:val="24"/>
                  <w:szCs w:val="24"/>
                  <w:lang w:eastAsia="zh-CN"/>
                  <w14:ligatures w14:val="standardContextual"/>
                </w:rPr>
              </w:pPr>
              <w:hyperlink w:anchor="_Toc178766394" w:history="1">
                <w:r w:rsidRPr="0042521A">
                  <w:rPr>
                    <w:rStyle w:val="Hyperlink"/>
                    <w:noProof/>
                  </w:rPr>
                  <w:t>Main Findings</w:t>
                </w:r>
                <w:r>
                  <w:rPr>
                    <w:noProof/>
                    <w:webHidden/>
                  </w:rPr>
                  <w:tab/>
                </w:r>
                <w:r>
                  <w:rPr>
                    <w:noProof/>
                    <w:webHidden/>
                  </w:rPr>
                  <w:fldChar w:fldCharType="begin"/>
                </w:r>
                <w:r>
                  <w:rPr>
                    <w:noProof/>
                    <w:webHidden/>
                  </w:rPr>
                  <w:instrText xml:space="preserve"> PAGEREF _Toc178766394 \h </w:instrText>
                </w:r>
                <w:r>
                  <w:rPr>
                    <w:noProof/>
                    <w:webHidden/>
                  </w:rPr>
                </w:r>
                <w:r>
                  <w:rPr>
                    <w:noProof/>
                    <w:webHidden/>
                  </w:rPr>
                  <w:fldChar w:fldCharType="separate"/>
                </w:r>
                <w:r>
                  <w:rPr>
                    <w:noProof/>
                    <w:webHidden/>
                  </w:rPr>
                  <w:t>4</w:t>
                </w:r>
                <w:r>
                  <w:rPr>
                    <w:noProof/>
                    <w:webHidden/>
                  </w:rPr>
                  <w:fldChar w:fldCharType="end"/>
                </w:r>
              </w:hyperlink>
            </w:p>
            <w:p w14:paraId="2107754F" w14:textId="190569F1" w:rsidR="00CF0E48" w:rsidRDefault="00CF0E48">
              <w:pPr>
                <w:pStyle w:val="TOC2"/>
                <w:tabs>
                  <w:tab w:val="right" w:leader="dot" w:pos="9016"/>
                </w:tabs>
                <w:rPr>
                  <w:rFonts w:eastAsiaTheme="minorEastAsia"/>
                  <w:noProof/>
                  <w:kern w:val="2"/>
                  <w:sz w:val="24"/>
                  <w:szCs w:val="24"/>
                  <w:lang w:eastAsia="zh-CN"/>
                  <w14:ligatures w14:val="standardContextual"/>
                </w:rPr>
              </w:pPr>
              <w:hyperlink w:anchor="_Toc178766395" w:history="1">
                <w:r w:rsidR="00534101" w:rsidRPr="00534101">
                  <w:t>Part 1: Financial Performance Analysis of Unilever plc</w:t>
                </w:r>
                <w:r>
                  <w:rPr>
                    <w:noProof/>
                    <w:webHidden/>
                  </w:rPr>
                  <w:tab/>
                </w:r>
                <w:r>
                  <w:rPr>
                    <w:noProof/>
                    <w:webHidden/>
                  </w:rPr>
                  <w:fldChar w:fldCharType="begin"/>
                </w:r>
                <w:r>
                  <w:rPr>
                    <w:noProof/>
                    <w:webHidden/>
                  </w:rPr>
                  <w:instrText xml:space="preserve"> PAGEREF _Toc178766395 \h </w:instrText>
                </w:r>
                <w:r>
                  <w:rPr>
                    <w:noProof/>
                    <w:webHidden/>
                  </w:rPr>
                </w:r>
                <w:r>
                  <w:rPr>
                    <w:noProof/>
                    <w:webHidden/>
                  </w:rPr>
                  <w:fldChar w:fldCharType="separate"/>
                </w:r>
                <w:r>
                  <w:rPr>
                    <w:noProof/>
                    <w:webHidden/>
                  </w:rPr>
                  <w:t>4</w:t>
                </w:r>
                <w:r>
                  <w:rPr>
                    <w:noProof/>
                    <w:webHidden/>
                  </w:rPr>
                  <w:fldChar w:fldCharType="end"/>
                </w:r>
              </w:hyperlink>
            </w:p>
            <w:p w14:paraId="362C28C6" w14:textId="074F6F2B" w:rsidR="00CF0E48" w:rsidRDefault="00CF0E48">
              <w:pPr>
                <w:pStyle w:val="TOC2"/>
                <w:tabs>
                  <w:tab w:val="right" w:leader="dot" w:pos="9016"/>
                </w:tabs>
                <w:rPr>
                  <w:rFonts w:eastAsiaTheme="minorEastAsia"/>
                  <w:noProof/>
                  <w:kern w:val="2"/>
                  <w:sz w:val="24"/>
                  <w:szCs w:val="24"/>
                  <w:lang w:eastAsia="zh-CN"/>
                  <w14:ligatures w14:val="standardContextual"/>
                </w:rPr>
              </w:pPr>
              <w:hyperlink w:anchor="_Toc178766396" w:history="1">
                <w:r w:rsidR="00534101" w:rsidRPr="00534101">
                  <w:t>Part 2: Investment Appraisal Report for Beard Plc</w:t>
                </w:r>
                <w:r>
                  <w:rPr>
                    <w:noProof/>
                    <w:webHidden/>
                  </w:rPr>
                  <w:tab/>
                </w:r>
                <w:r w:rsidR="00E75112">
                  <w:rPr>
                    <w:noProof/>
                    <w:webHidden/>
                  </w:rPr>
                  <w:t>9</w:t>
                </w:r>
              </w:hyperlink>
            </w:p>
            <w:p w14:paraId="5724FBEF" w14:textId="1AB54182" w:rsidR="00CF0E48" w:rsidRDefault="00CF0E48">
              <w:pPr>
                <w:pStyle w:val="TOC1"/>
                <w:tabs>
                  <w:tab w:val="right" w:leader="dot" w:pos="9016"/>
                </w:tabs>
                <w:rPr>
                  <w:rFonts w:eastAsiaTheme="minorEastAsia"/>
                  <w:noProof/>
                  <w:kern w:val="2"/>
                  <w:sz w:val="24"/>
                  <w:szCs w:val="24"/>
                  <w:lang w:eastAsia="zh-CN"/>
                  <w14:ligatures w14:val="standardContextual"/>
                </w:rPr>
              </w:pPr>
              <w:hyperlink w:anchor="_Toc178766397" w:history="1">
                <w:r w:rsidRPr="0042521A">
                  <w:rPr>
                    <w:rStyle w:val="Hyperlink"/>
                    <w:noProof/>
                  </w:rPr>
                  <w:t xml:space="preserve">Conclusion </w:t>
                </w:r>
                <w:r>
                  <w:rPr>
                    <w:noProof/>
                    <w:webHidden/>
                  </w:rPr>
                  <w:tab/>
                </w:r>
                <w:r w:rsidR="00E75112">
                  <w:rPr>
                    <w:noProof/>
                    <w:webHidden/>
                  </w:rPr>
                  <w:t>12</w:t>
                </w:r>
              </w:hyperlink>
            </w:p>
            <w:p w14:paraId="40E1EF05" w14:textId="2EAB8217" w:rsidR="00CF0E48" w:rsidRDefault="00CF0E48">
              <w:pPr>
                <w:pStyle w:val="TOC1"/>
                <w:tabs>
                  <w:tab w:val="right" w:leader="dot" w:pos="9016"/>
                </w:tabs>
                <w:rPr>
                  <w:rFonts w:eastAsiaTheme="minorEastAsia"/>
                  <w:noProof/>
                  <w:kern w:val="2"/>
                  <w:sz w:val="24"/>
                  <w:szCs w:val="24"/>
                  <w:lang w:eastAsia="zh-CN"/>
                  <w14:ligatures w14:val="standardContextual"/>
                </w:rPr>
              </w:pPr>
              <w:hyperlink w:anchor="_Toc178766398" w:history="1">
                <w:r w:rsidRPr="0042521A">
                  <w:rPr>
                    <w:rStyle w:val="Hyperlink"/>
                    <w:noProof/>
                  </w:rPr>
                  <w:t>Bibliography</w:t>
                </w:r>
                <w:r>
                  <w:rPr>
                    <w:noProof/>
                    <w:webHidden/>
                  </w:rPr>
                  <w:tab/>
                </w:r>
                <w:r w:rsidR="00547461">
                  <w:rPr>
                    <w:noProof/>
                    <w:webHidden/>
                  </w:rPr>
                  <w:t>13</w:t>
                </w:r>
              </w:hyperlink>
            </w:p>
            <w:p w14:paraId="369B5B93" w14:textId="6AD5B147" w:rsidR="00CF0E48" w:rsidRDefault="00CF0E48">
              <w:pPr>
                <w:pStyle w:val="TOC1"/>
                <w:tabs>
                  <w:tab w:val="right" w:leader="dot" w:pos="9016"/>
                </w:tabs>
                <w:rPr>
                  <w:rFonts w:eastAsiaTheme="minorEastAsia"/>
                  <w:noProof/>
                  <w:kern w:val="2"/>
                  <w:sz w:val="24"/>
                  <w:szCs w:val="24"/>
                  <w:lang w:eastAsia="zh-CN"/>
                  <w14:ligatures w14:val="standardContextual"/>
                </w:rPr>
              </w:pPr>
              <w:hyperlink w:anchor="_Toc178766399" w:history="1">
                <w:r w:rsidRPr="0042521A">
                  <w:rPr>
                    <w:rStyle w:val="Hyperlink"/>
                    <w:noProof/>
                  </w:rPr>
                  <w:t>Appendix</w:t>
                </w:r>
                <w:r>
                  <w:rPr>
                    <w:noProof/>
                    <w:webHidden/>
                  </w:rPr>
                  <w:tab/>
                </w:r>
                <w:r w:rsidR="00547461">
                  <w:rPr>
                    <w:noProof/>
                    <w:webHidden/>
                  </w:rPr>
                  <w:t>15</w:t>
                </w:r>
              </w:hyperlink>
            </w:p>
            <w:p w14:paraId="05194699" w14:textId="54605FAB"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15C6D916" w14:textId="79C9004A" w:rsidR="007D1947" w:rsidRDefault="00E75112">
          <w:r>
            <w:t xml:space="preserve"> </w:t>
          </w:r>
        </w:p>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25DC41A4" w:rsidR="007D1947" w:rsidRDefault="007D1947"/>
        <w:p w14:paraId="0DCF0194" w14:textId="70600FC3" w:rsidR="00084E65" w:rsidRDefault="00084E65"/>
        <w:p w14:paraId="30499783" w14:textId="1246572E" w:rsidR="00084E65" w:rsidRDefault="00084E65"/>
        <w:p w14:paraId="2F8B4A57" w14:textId="0DAFC227" w:rsidR="00084E65" w:rsidRDefault="00084E65"/>
        <w:p w14:paraId="2AB7FDC7" w14:textId="6F8F8A31" w:rsidR="00084E65" w:rsidRDefault="00084E65"/>
        <w:p w14:paraId="70B55DE7" w14:textId="77777777" w:rsidR="00084E65" w:rsidRDefault="00084E65"/>
        <w:p w14:paraId="5CD1CE9F" w14:textId="77777777" w:rsidR="007D1947" w:rsidRDefault="007D1947"/>
        <w:p w14:paraId="655F29CA" w14:textId="77777777" w:rsidR="007D1947" w:rsidRDefault="007D1947"/>
        <w:p w14:paraId="0ED321E6" w14:textId="750CB93B" w:rsidR="007D1947" w:rsidRDefault="007D1947" w:rsidP="00A12B58">
          <w:pPr>
            <w:pStyle w:val="Heading1"/>
          </w:pPr>
          <w:bookmarkStart w:id="1" w:name="_Toc178766393"/>
          <w:r>
            <w:t>Introduction</w:t>
          </w:r>
          <w:r w:rsidR="00480872">
            <w:t xml:space="preserve"> </w:t>
          </w:r>
          <w:bookmarkEnd w:id="1"/>
        </w:p>
        <w:p w14:paraId="5BD2308B" w14:textId="77777777" w:rsidR="00F61BE7" w:rsidRPr="00F61BE7" w:rsidRDefault="00F61BE7" w:rsidP="00F61BE7"/>
        <w:p w14:paraId="513CB6B2" w14:textId="50D1ACFA" w:rsidR="00F61BE7" w:rsidRDefault="00F61BE7" w:rsidP="00F61BE7">
          <w:r w:rsidRPr="000229DA">
            <w:t xml:space="preserve">The role of financial management in business decision making is quite important as it assists the managers to evaluate the performance of the business, manage the resources and also to </w:t>
          </w:r>
          <w:r w:rsidRPr="000229DA">
            <w:t>analyse</w:t>
          </w:r>
          <w:r w:rsidRPr="000229DA">
            <w:t xml:space="preserve"> the future opportunities. As a matter of fact, businesses require financial information in two broad ways; to know how well a company has done and the second one is to determine whether an opportunity of future investment is worth considering. This is why financial statement analysis and investment appraisal are significant fields of finance to business managers. </w:t>
          </w:r>
        </w:p>
        <w:p w14:paraId="2139A602" w14:textId="5D939BD6" w:rsidR="00F61BE7" w:rsidRDefault="00F61BE7" w:rsidP="00F61BE7">
          <w:r w:rsidRPr="000229DA">
            <w:t xml:space="preserve">Financial statement analysis is one of the key aspects of financial management. Even though the financial statements give comprehensive numerical data, the numbers can be interpreted in a better way when </w:t>
          </w:r>
          <w:r w:rsidRPr="000229DA">
            <w:t>analysed</w:t>
          </w:r>
          <w:r w:rsidRPr="000229DA">
            <w:t xml:space="preserve"> using ratio analysis. Ratios provide a systematic way of </w:t>
          </w:r>
          <w:r w:rsidRPr="000229DA">
            <w:t>analysing</w:t>
          </w:r>
          <w:r w:rsidRPr="000229DA">
            <w:t xml:space="preserve"> the performance based on the areas of profitability, liquidity, efficiency, gearing, and investor return. They are also used to determine patterns and trends over time and it is easier to tell whether the financial position of the company has improved or deteriorated. Nevertheless, ratio analysis is best applied in a relative sense as financial outcomes have a different meaning depending on the type of business, business strategy, and the economic climate on an overall basis. </w:t>
          </w:r>
        </w:p>
        <w:p w14:paraId="3BA24EF4" w14:textId="77777777" w:rsidR="00F61BE7" w:rsidRDefault="00F61BE7" w:rsidP="00F61BE7">
          <w:r w:rsidRPr="000229DA">
            <w:t xml:space="preserve">Another important area of financial management is investment appraisal. Whereas ratio analysis is much more preoccupied with the assessment of past and present performance, investment appraisal is concerned with the issue of future decision-making. Companies are often confronted with decisions on growth, new product line, new sales sources or other investment prospects. In this case, managers have to make decisions on whether the anticipated benefits are worth the cost, whether the project will be beneficial to the business and whether the firm can afford to do it. This renders investment appraisal methods a significant section of strategic financial planning. </w:t>
          </w:r>
        </w:p>
        <w:p w14:paraId="0F928D86" w14:textId="044C0C06" w:rsidR="00F61BE7" w:rsidRDefault="00F61BE7" w:rsidP="00F61BE7">
          <w:r w:rsidRPr="000229DA">
            <w:t xml:space="preserve">This report unites these two fields of finance. The initial section analyses financial performance of a London Stock Exchange-traded company that is an FTSE 100 Index company, Unilever plc. The report takes into account the financial position of the company based on ratio analysis using published financial information in 2024 and 2025. The second section is concerned with Beard Plc, in which it is not the past performances that are considered but rather the analysis of the potential future investment opportunities. This section factors the financial methods that can be employed to evaluate other projects, the comparison of anticipated returns, and fund limitation. </w:t>
          </w:r>
        </w:p>
        <w:p w14:paraId="278C7A9C" w14:textId="3D9BACF0" w:rsidR="00F61BE7" w:rsidRDefault="00F61BE7" w:rsidP="00F61BE7">
          <w:r>
            <w:t>Overall, this</w:t>
          </w:r>
          <w:r w:rsidRPr="000229DA">
            <w:t xml:space="preserve"> report indicates the broader nature of finance in the management of business. It demonstrates how financial instruments can be applied not only to </w:t>
          </w:r>
          <w:r w:rsidRPr="000229DA">
            <w:t>analyse</w:t>
          </w:r>
          <w:r w:rsidRPr="000229DA">
            <w:t xml:space="preserve"> the current performance of a company but also to take into account the decisions on the further growth and investment.</w:t>
          </w:r>
        </w:p>
        <w:p w14:paraId="4AA3E07A" w14:textId="77777777" w:rsidR="004A11F6" w:rsidRDefault="004A11F6" w:rsidP="007D1947"/>
        <w:p w14:paraId="0BE775A6" w14:textId="77777777" w:rsidR="004A11F6" w:rsidRDefault="004A11F6" w:rsidP="007D1947"/>
        <w:p w14:paraId="4999262A" w14:textId="77777777" w:rsidR="004A11F6" w:rsidRDefault="004A11F6" w:rsidP="007D1947"/>
        <w:p w14:paraId="1359F054" w14:textId="77777777" w:rsidR="004A11F6" w:rsidRDefault="004A11F6" w:rsidP="007D1947"/>
        <w:p w14:paraId="7C657C89" w14:textId="77777777" w:rsidR="00AA2A91" w:rsidRDefault="00AA2A91" w:rsidP="004D519C"/>
        <w:p w14:paraId="2E293EB9" w14:textId="77777777" w:rsidR="00480872" w:rsidRDefault="00480872" w:rsidP="00AA2A91">
          <w:pPr>
            <w:pStyle w:val="Heading1"/>
          </w:pPr>
          <w:bookmarkStart w:id="2" w:name="_Toc178766394"/>
          <w:r>
            <w:lastRenderedPageBreak/>
            <w:t>Main Findings</w:t>
          </w:r>
          <w:bookmarkEnd w:id="2"/>
        </w:p>
        <w:p w14:paraId="6DF73EDF" w14:textId="77777777" w:rsidR="00480872" w:rsidRDefault="00480872" w:rsidP="00AA2A91">
          <w:pPr>
            <w:pStyle w:val="Heading1"/>
          </w:pPr>
        </w:p>
        <w:p w14:paraId="638C5ADF" w14:textId="131C3DC3" w:rsidR="00CF0E48" w:rsidRDefault="00F61BE7" w:rsidP="00CF0E48">
          <w:r w:rsidRPr="00F61BE7">
            <w:rPr>
              <w:rFonts w:asciiTheme="majorHAnsi" w:eastAsiaTheme="majorEastAsia" w:hAnsiTheme="majorHAnsi" w:cstheme="majorBidi"/>
              <w:color w:val="2E74B5" w:themeColor="accent1" w:themeShade="BF"/>
              <w:sz w:val="26"/>
              <w:szCs w:val="26"/>
            </w:rPr>
            <w:t>Part 1: Financial Performance Analysis of Unilever plc</w:t>
          </w:r>
        </w:p>
        <w:p w14:paraId="46965C6B" w14:textId="4A9F313E" w:rsidR="00CF0E48" w:rsidRDefault="00F61BE7" w:rsidP="00CF0E48">
          <w:r w:rsidRPr="00F61BE7">
            <w:t>This section evaluates Unilever plc’s financial performance for 2024–2025 using the ratio calculations in Appendix B. It examines profitability, liquidity, efficiency, gearing and investor performance, before identifying limitations and making recommendations.</w:t>
          </w:r>
        </w:p>
        <w:p w14:paraId="05998080" w14:textId="77777777" w:rsidR="00F61BE7" w:rsidRDefault="00F61BE7" w:rsidP="00F61BE7">
          <w:r w:rsidRPr="005C36AC">
            <w:rPr>
              <w:b/>
              <w:bCs/>
            </w:rPr>
            <w:t>Profitability analysis</w:t>
          </w:r>
        </w:p>
        <w:p w14:paraId="6CE374DB" w14:textId="77777777" w:rsidR="00F61BE7" w:rsidRDefault="00F61BE7" w:rsidP="00F61BE7">
          <w:r w:rsidRPr="00EB63DB">
            <w:t xml:space="preserve">The ratios in Appendix B1 show that Unilever has increased profitability between 2024 and 2025. </w:t>
          </w:r>
        </w:p>
        <w:p w14:paraId="6D06E4E6" w14:textId="77777777" w:rsidR="00F61BE7" w:rsidRDefault="00F61BE7" w:rsidP="00F61BE7">
          <w:r w:rsidRPr="00EB63DB">
            <w:t xml:space="preserve">In 2025, gross profit margin as calculated in Appendix B1 was 46.95 as compared to 46.69 in 2024. This may be a minor movement but still a significant one to a business of the magnitude of Unilever. Gross margin is used to demonstrate the amount of revenue left after deducting the cost of sales and as such, a small percentage increase can be a significant amount of retained value. It means that Unilever had a good control over production and input costs as well as retained pricing power. This aligns with annual report, which indicated that the gross margin expanded to 46.9 with savings in the supply-chain, volume leverage and positive mix (Unilever, 2025). </w:t>
          </w:r>
        </w:p>
        <w:p w14:paraId="3C8848C3" w14:textId="77777777" w:rsidR="00F61BE7" w:rsidRDefault="00F61BE7" w:rsidP="00F61BE7">
          <w:r w:rsidRPr="00EB63DB">
            <w:t>In Appendix B1, the operating-based profit margin in the appendix as net profit margin increased in a more apparent way, namely, to 17.89, as compared to 16.82%. This is among the most positive movements in the ratio set in the sense that it captures profitability on a wider basis of operating costs as opposed to the direct production costs alone. This trend is backed by the annual report, as operating profit increases to 9.037 billion in 2025 compared to 8.829 in 2024</w:t>
          </w:r>
          <w:r>
            <w:t xml:space="preserve"> </w:t>
          </w:r>
          <w:r w:rsidRPr="00EB63DB">
            <w:t xml:space="preserve">(Unilever, 2025). </w:t>
          </w:r>
        </w:p>
        <w:p w14:paraId="535C2865" w14:textId="77777777" w:rsidR="00F61BE7" w:rsidRDefault="00F61BE7" w:rsidP="00F61BE7">
          <w:r w:rsidRPr="00EB63DB">
            <w:t xml:space="preserve">This implies more operating discipline. Unilever did not merely stand still in terms of gross margin but also enhanced control over overheads and the operating base at large. This is important as turnover on a continuing-operations basis became 50.5 billion compared to 52.5 billion (Unilever, 2025). The operating margin growth in spite of the decrease in turnover suggests that the management created higher operating return on each euro of sales. The annual report exhibits better control of overheads, implying that the change in the ratios indicates real efficiency as opposed to accounting anomaly. Practically, the level and quality of profitability increased. </w:t>
          </w:r>
        </w:p>
        <w:p w14:paraId="11869671" w14:textId="77777777" w:rsidR="00F61BE7" w:rsidRDefault="00F61BE7" w:rsidP="00F61BE7">
          <w:r w:rsidRPr="00EB63DB">
            <w:t>Return on capital employed (ROCE) and asset turnover are the next measures that are critical in Appendix B1 and they rose to 18.51% and 1.035x respectively. These two movements are particularly convincing when taken together. ROCE evaluates the efficiency of the business to create operating profit</w:t>
          </w:r>
          <w:r>
            <w:t xml:space="preserve">, </w:t>
          </w:r>
          <w:r w:rsidRPr="00EB63DB">
            <w:t>whereas asset turnover evaluates the efficiency of the capital base to create sales.</w:t>
          </w:r>
        </w:p>
        <w:p w14:paraId="7346282B" w14:textId="77777777" w:rsidR="00F61BE7" w:rsidRDefault="00F61BE7" w:rsidP="00F61BE7">
          <w:r w:rsidRPr="00EB63DB">
            <w:t>This is supported by the balance-sheet evidence. The total assets of Unilever dropped to 70.47 billion in 2025 and current liabilities dropped to 21.66 billion as well, in comparison to 79.75 billion and 25.23 billion in 2024 (Unilever, 2025). The continuing-operations business after the demerger of Ice Creams thus seems to be running on a leaner capital base. When the level of returns and sales per unit of capital generated by a company increases and the capital base becomes more concentrated, then it is generally a sign of greater strategic discipline and improved capital allocation.</w:t>
          </w:r>
        </w:p>
        <w:p w14:paraId="657FDF86" w14:textId="228DEA22" w:rsidR="00F61BE7" w:rsidRDefault="00F61BE7" w:rsidP="00F61BE7">
          <w:r w:rsidRPr="00EB63DB">
            <w:t xml:space="preserve">In Appendix B1, the highest change in profitability is the growth in the return on </w:t>
          </w:r>
          <w:r w:rsidRPr="00EB63DB">
            <w:t>owners’</w:t>
          </w:r>
          <w:r w:rsidRPr="00EB63DB">
            <w:t xml:space="preserve"> equity which increased by 26.77 percent to 35.33 percent. This suggests much greater returns to holders of equity. However, this ratio must be treated with caution. The increase in the return on equity may </w:t>
          </w:r>
          <w:r w:rsidRPr="00EB63DB">
            <w:lastRenderedPageBreak/>
            <w:t xml:space="preserve">be due to an increase in the profits, or it may be due to either a decrease in the equity base or an increase in leverage. In the example of Unilever, the balance sheet indicates that the total equity declined in 2024 </w:t>
          </w:r>
          <w:r>
            <w:t>from</w:t>
          </w:r>
          <w:r w:rsidRPr="00EB63DB">
            <w:t xml:space="preserve"> 22.56 billion to 17.59 billion in 2025 (Unilever, 2025). This implies that some of the growth of return on </w:t>
          </w:r>
          <w:r w:rsidRPr="00EB63DB">
            <w:t>owners’</w:t>
          </w:r>
          <w:r w:rsidRPr="00EB63DB">
            <w:t xml:space="preserve"> equity is due to a lower equity base and not a higher trading performance in isolation. </w:t>
          </w:r>
        </w:p>
        <w:p w14:paraId="75AEF2B7" w14:textId="77777777" w:rsidR="00F61BE7" w:rsidRDefault="00F61BE7" w:rsidP="00F61BE7">
          <w:r w:rsidRPr="00EB63DB">
            <w:t xml:space="preserve">The ratio continues to reflect better shareholder return, although part of this strength seems to be attributed to the financing structure of the company. When taken in combination with the gearing ratios in Appendix B4, it is evident that part of the perceived strength of equity return comes with greater leverage and less equity protection. In this way, the analysis of profitability in Appendix B1 is, in general, positive, though the best indicator of shareholder-return is also the most carefully to be considered. </w:t>
          </w:r>
        </w:p>
        <w:p w14:paraId="53A24AEB" w14:textId="77777777" w:rsidR="00F61BE7" w:rsidRDefault="00F61BE7" w:rsidP="00F61BE7">
          <w:r w:rsidRPr="00EB63DB">
            <w:t>In general, evidence of profitability is good. Unilever enhanced direct margin, operating profitability, capital efficiency and shareholder return. The key condition is that the growth in the return on equity is likely to be partly leverage-enhanced, thus the growth in the profitability is large but not risk-free.</w:t>
          </w:r>
        </w:p>
        <w:p w14:paraId="1420FDB4" w14:textId="77777777" w:rsidR="00F61BE7" w:rsidRDefault="00F61BE7" w:rsidP="00F61BE7"/>
        <w:p w14:paraId="50B19E2F" w14:textId="77777777" w:rsidR="00F61BE7" w:rsidRDefault="00F61BE7" w:rsidP="00F61BE7">
          <w:r w:rsidRPr="005C36AC">
            <w:rPr>
              <w:b/>
              <w:bCs/>
            </w:rPr>
            <w:t xml:space="preserve">Liquidity analysis </w:t>
          </w:r>
        </w:p>
        <w:p w14:paraId="490E48F7" w14:textId="77777777" w:rsidR="00F61BE7" w:rsidRDefault="00F61BE7" w:rsidP="00F61BE7">
          <w:r>
            <w:t xml:space="preserve">Although </w:t>
          </w:r>
          <w:r w:rsidRPr="005C36AC">
            <w:t>the liquidity ratios in Appendix B2 reveal</w:t>
          </w:r>
          <w:r>
            <w:t xml:space="preserve"> that</w:t>
          </w:r>
          <w:r w:rsidRPr="005C36AC">
            <w:t xml:space="preserve"> Unilever is marginally improving between 2024 and 2025, it also reflects that Unilever still has a relatively tight short-term financial stance. </w:t>
          </w:r>
        </w:p>
        <w:p w14:paraId="4412080B" w14:textId="77777777" w:rsidR="00F61BE7" w:rsidRDefault="00F61BE7" w:rsidP="00F61BE7">
          <w:r w:rsidRPr="005C36AC">
            <w:t xml:space="preserve">The current ratio was raised to 0.79 (previously 0.76) and the acid test ratio was raised to 0.60 (previously 0.56). However, the two ratios are less than 1.0, which means that there is still a higher current liability in relation to current asset in the absence of inventory. </w:t>
          </w:r>
        </w:p>
        <w:p w14:paraId="02CB5F72" w14:textId="77777777" w:rsidR="00F61BE7" w:rsidRDefault="00F61BE7" w:rsidP="00F61BE7">
          <w:r w:rsidRPr="005C36AC">
            <w:t xml:space="preserve">A company can be said to be under-covered on the short-term balance-sheet against immediate liabilities when it has less than one pound or one euro of current assets to cover each unit of current liabilities. But this interpretation must be qualified when it comes to a global consumer goods company such as Unilever. High liquidity ratios in large companies within this industry can be relatively low due to the nature of their revenues, high supplier financing, central treasury management and availability of committed funding. Unilever mentions in its annual report that the Group had credit facilities and deemed that its financing facilities were adequate to meet both its short-term and long-term needs (Unilever, 2025). </w:t>
          </w:r>
        </w:p>
        <w:p w14:paraId="4F195CE6" w14:textId="77777777" w:rsidR="00F61BE7" w:rsidRDefault="00F61BE7" w:rsidP="00F61BE7">
          <w:r w:rsidRPr="005C36AC">
            <w:t>The most moderate answer is thus that Unilever is liquid but tight</w:t>
          </w:r>
          <w:r>
            <w:t>l</w:t>
          </w:r>
          <w:r w:rsidRPr="005C36AC">
            <w:t>y</w:t>
          </w:r>
          <w:r>
            <w:t xml:space="preserve">. </w:t>
          </w:r>
          <w:r w:rsidRPr="005C36AC">
            <w:t>This can be a conscious financial-management option. Reduced liquidity may enhance better returns on capital because less funds are held in dormant current assets.</w:t>
          </w:r>
        </w:p>
        <w:p w14:paraId="1B0DBE26" w14:textId="77777777" w:rsidR="00F61BE7" w:rsidRDefault="00F61BE7" w:rsidP="00F61BE7">
          <w:r w:rsidRPr="005C36AC">
            <w:t xml:space="preserve">Low-liquidity model will be successful in a situation where the inventory is turning over, the receivables are being collected on time, and the supplier credit is not changing dramatically. The minor upturn in Appendix B2 is not as promising in the case of Unilever in light of the upturn in receivables days in Appendix B3. This shows that, despite the slight improvement in the balance-sheet ratios, there was a section of the operating cash cycle that became weak. </w:t>
          </w:r>
        </w:p>
        <w:p w14:paraId="79447312" w14:textId="77777777" w:rsidR="00F61BE7" w:rsidRDefault="00F61BE7" w:rsidP="00F61BE7">
          <w:r w:rsidRPr="005C36AC">
            <w:t xml:space="preserve">The practical implication is that liquidity is not a crisis to Unilever but it is one of the less strong areas in the ratio set. The firm seems to handle the short-term liabilities due to its size and flexibility in the financial statements; the margin of safety is not reflected hugely on the balance sheet. Directors </w:t>
          </w:r>
          <w:r w:rsidRPr="005C36AC">
            <w:lastRenderedPageBreak/>
            <w:t>should then consider liquidity as an area that needs an additional focus, particularly in case the slower receivables collection or tightening market conditions persist.</w:t>
          </w:r>
        </w:p>
        <w:p w14:paraId="51FF6D61" w14:textId="77777777" w:rsidR="00F61BE7" w:rsidRDefault="00F61BE7" w:rsidP="00F61BE7">
          <w:r w:rsidRPr="005C36AC">
            <w:rPr>
              <w:b/>
              <w:bCs/>
            </w:rPr>
            <w:t xml:space="preserve">Efficiency analysis </w:t>
          </w:r>
        </w:p>
        <w:p w14:paraId="4F13F52F" w14:textId="77777777" w:rsidR="00F61BE7" w:rsidRDefault="00F61BE7" w:rsidP="00F61BE7">
          <w:r w:rsidRPr="007B15F4">
            <w:t xml:space="preserve">The ratios in Appendix B3 provide some of the most useful evidence in the report because they show how effectively Unilever is utilising working capital and converting activity into cash. </w:t>
          </w:r>
          <w:r w:rsidRPr="005C36AC">
            <w:t xml:space="preserve">The results are varied. Inventory management was enhanced, receivables were weakened and payables were further extended. </w:t>
          </w:r>
        </w:p>
        <w:p w14:paraId="4BB1E8D6" w14:textId="77777777" w:rsidR="00F61BE7" w:rsidRDefault="00F61BE7" w:rsidP="00F61BE7">
          <w:r w:rsidRPr="005C36AC">
            <w:t xml:space="preserve">The least strength movement is the receivables ratio which increased by 29.40 days in 2024 to 35.07 days in 2025. This implies that Unilever was slow in collecting money due to its customers. In a company whose turnover exceeded 50 billion euros, a change of nearly six days is high since it is like holding down a lot of cash in debtors. This is a weakness that is obvious on financial-management basis. Reduced customer collection reduces cash conversion, puts pressure on funding and can reflect inadequate credit control. </w:t>
          </w:r>
        </w:p>
        <w:p w14:paraId="033E2EA4" w14:textId="77777777" w:rsidR="00F61BE7" w:rsidRDefault="00F61BE7" w:rsidP="00F61BE7">
          <w:r w:rsidRPr="005C36AC">
            <w:t>There can be a number of reasons behind this movement. Unilever could have given longer credit terms to facilitate sales in a market that is more competitive or low key.</w:t>
          </w:r>
          <w:r>
            <w:t xml:space="preserve"> </w:t>
          </w:r>
          <w:r w:rsidRPr="005C36AC">
            <w:t>There is also a possibility of poorer implementation of credit control throughout the year. A ratio alone will not tell what the exact cause is but the implication is obvious; the company retained a greater amount of its revenue uncollected at year end.</w:t>
          </w:r>
        </w:p>
        <w:p w14:paraId="038FF557" w14:textId="77777777" w:rsidR="00F61BE7" w:rsidRDefault="00F61BE7" w:rsidP="00F61BE7">
          <w:r w:rsidRPr="005C36AC">
            <w:t>In comparison, the stock turnover has increased significantly, inventory days have reduced to 55.08 days as compared to 67.56 days. A lower stock days indicate that the inventory was sold by the business at a faster rate in 2025, decreasing holding costs, freeing working capital and decreasing the chance of the business holding excess or obsolete stock.</w:t>
          </w:r>
        </w:p>
        <w:p w14:paraId="44C3C115" w14:textId="77777777" w:rsidR="00F61BE7" w:rsidRDefault="00F61BE7" w:rsidP="00F61BE7">
          <w:r>
            <w:t>I</w:t>
          </w:r>
          <w:r w:rsidRPr="005C36AC">
            <w:t xml:space="preserve">n consumer goods businesses inventory is a significant part of the working capital. Greater stock turnover is hence better in terms of efficiency and liquidity. It further implies that Unilever had actual operational benefits instead of having accounting or financing impacts. Reading along with the growth in asset turnover in Appendix B1, the decrease in stock days contributes to the opinion that the utilisation of resources improved in 2025. </w:t>
          </w:r>
        </w:p>
        <w:p w14:paraId="24D30F20" w14:textId="77777777" w:rsidR="00F61BE7" w:rsidRDefault="00F61BE7" w:rsidP="00F61BE7">
          <w:r w:rsidRPr="005C36AC">
            <w:t xml:space="preserve">Payables days rose from 133.88 to 149.78 days. This implies that Unilever had a slow payment to suppliers in 2025. In the short term this will assist in cash management, as the business can use supplier credit as a source of finance. This could be some form of intentional treasury discipline considering the size and bargaining power of Unilever. </w:t>
          </w:r>
        </w:p>
        <w:p w14:paraId="4FF7F446" w14:textId="77777777" w:rsidR="00F61BE7" w:rsidRDefault="00F61BE7" w:rsidP="00F61BE7">
          <w:r w:rsidRPr="005C36AC">
            <w:t>But this is not all positive in its ratio. An extended payment cycle can help increase cash flow, but it can also destroy supplier relationships when taken to extremes. This is important in a company that relies on intricate global supply chain. By lengthening the creditors, a company can increase measures of working-capital in the short term, but this trade-off can be lower supplier goodwill, flexibility and resilience. So, the growth of payables days can be considered as a potentially useful yet weak area of stimulation.</w:t>
          </w:r>
          <w:r>
            <w:t xml:space="preserve"> </w:t>
          </w:r>
          <w:r w:rsidRPr="005C36AC">
            <w:t xml:space="preserve">These three ratios taken together </w:t>
          </w:r>
          <w:r>
            <w:t xml:space="preserve">to </w:t>
          </w:r>
          <w:r w:rsidRPr="005C36AC">
            <w:t>portray a mixed picture. Unilever achieved good gains on inventory efficiency but this was partially compensated by poorer receivables collection.</w:t>
          </w:r>
        </w:p>
        <w:p w14:paraId="4E9ED41E" w14:textId="020A6C24" w:rsidR="00F61BE7" w:rsidRDefault="00F61BE7" w:rsidP="00F61BE7">
          <w:r w:rsidRPr="005C36AC">
            <w:t xml:space="preserve">The key implications are evident. First Unilever streamlined operational control in those areas that were directly linked to stock and supply-chain efficiency. Second, the level of cash conversion is still not well balanced as the gains of lower stock days are partially compensated by slower collections. To directors, the most important thing in Appendix B3 is that inventory performance is a strong </w:t>
          </w:r>
          <w:r w:rsidRPr="005C36AC">
            <w:lastRenderedPageBreak/>
            <w:t>point, but receivables management has been a major weakness, and needs to be an area of improvement.</w:t>
          </w:r>
        </w:p>
        <w:p w14:paraId="3E3C5C23" w14:textId="77777777" w:rsidR="00F61BE7" w:rsidRDefault="00F61BE7" w:rsidP="00F61BE7">
          <w:r w:rsidRPr="005C36AC">
            <w:rPr>
              <w:b/>
              <w:bCs/>
            </w:rPr>
            <w:t xml:space="preserve">Gearing analysis </w:t>
          </w:r>
        </w:p>
        <w:p w14:paraId="2CA7915E" w14:textId="77777777" w:rsidR="00F61BE7" w:rsidRDefault="00F61BE7" w:rsidP="00F61BE7">
          <w:r w:rsidRPr="005C36AC">
            <w:t xml:space="preserve">Appendix B4 shows that Unilever was more highly leveraged in 2025 but its debt-service capacity was very high. </w:t>
          </w:r>
        </w:p>
        <w:p w14:paraId="33809725" w14:textId="77777777" w:rsidR="00F61BE7" w:rsidRDefault="00F61BE7" w:rsidP="00F61BE7">
          <w:r w:rsidRPr="005C36AC">
            <w:t xml:space="preserve">The debt-to-equity ratio increased from 142.11% in 2024 to 160.79% in 2025. This is a huge increase and implies that the company is becoming more and more reliant on debt compared to equity. Financially-risk wise, this is important since a more geared structure will decrease the equity cushion to absorb shocks. It is also able to increase the returns to the shareholders during the good times, but it also exerts more strain to the company in the event that the trading performance is adversely affected. </w:t>
          </w:r>
        </w:p>
        <w:p w14:paraId="673331AB" w14:textId="77777777" w:rsidR="00F61BE7" w:rsidRDefault="00F61BE7" w:rsidP="00F61BE7">
          <w:r w:rsidRPr="005C36AC">
            <w:t xml:space="preserve">This movement can be explained with the help of the annual report. In comparison to 2024, total equity decreased sharply in the year 2025, but financial liabilities were still high (Unilever, 2025). This implies that the </w:t>
          </w:r>
          <w:r>
            <w:t>in</w:t>
          </w:r>
          <w:r w:rsidRPr="005C36AC">
            <w:t xml:space="preserve">crease in debt-to-equity is not only a factor of the amount of debt but also a less strong equity base. This matters to directors as it suggests that a more aggressive capital structure is facilitating some of the higher measures of shareholder pay as witnessed in both Appendix B1 and Appendix B5. </w:t>
          </w:r>
        </w:p>
        <w:p w14:paraId="3205550C" w14:textId="77777777" w:rsidR="00F61BE7" w:rsidRDefault="00F61BE7" w:rsidP="00F61BE7">
          <w:r w:rsidRPr="005C36AC">
            <w:t xml:space="preserve">In the meantime, interest cover rose to 17.97 times as opposed to 16.98 times. This means that Unilever is operating profitably and comfortably, and finance costs are still covered. The annual report shows that the net finance costs in 2025 were 503 million as opposed to operating profit of 9.037 billion hence the high coverage ratio (Unilever, 2025). </w:t>
          </w:r>
        </w:p>
        <w:p w14:paraId="119C84BB" w14:textId="77777777" w:rsidR="00F61BE7" w:rsidRDefault="00F61BE7" w:rsidP="00F61BE7">
          <w:r w:rsidRPr="005C36AC">
            <w:t xml:space="preserve">The debt-to-equity ratio indicates a higher structural risk, and the interest-cover ratio indicates high ability to service debt in the current period. This practically implies that Unilever is not being pressured by the cost of borrowing at the moment. It is not a short-term solvency issue, though, but a long-term resilience and flexibility. </w:t>
          </w:r>
        </w:p>
        <w:p w14:paraId="3C9CA578" w14:textId="3E7A0038" w:rsidR="00F61BE7" w:rsidRDefault="00F61BE7" w:rsidP="00F61BE7">
          <w:r w:rsidRPr="005C36AC">
            <w:t xml:space="preserve">The less levered business can absorb future shocks, make significant investments or to react to adverse market conditions. This is topical since some of the growth in shareholder return seems to be related to this type of financing structure. The increased </w:t>
          </w:r>
          <w:r w:rsidRPr="005C36AC">
            <w:t>owners’</w:t>
          </w:r>
          <w:r w:rsidRPr="005C36AC">
            <w:t xml:space="preserve"> equity will not be merely the outcome of better operating performance in the case of the higher level of </w:t>
          </w:r>
          <w:r w:rsidRPr="005C36AC">
            <w:t>owners’</w:t>
          </w:r>
          <w:r w:rsidRPr="005C36AC">
            <w:t xml:space="preserve"> equity in the case of Appendix B1; a portion of the outcome is due to increased leverage. </w:t>
          </w:r>
        </w:p>
        <w:p w14:paraId="6084B486" w14:textId="77777777" w:rsidR="00F61BE7" w:rsidRDefault="00F61BE7" w:rsidP="00F61BE7">
          <w:r w:rsidRPr="005C36AC">
            <w:t>In general, the gearing evidence indicates that the capital structure of Unilever is less conservative than in the past. This cannot be considered a present crisis, but directors must realise that in 2025, with improved performance, the balance-sheet risk was greater. The debt is already well-covered by the company, and additional leverage growth would decrease the financial flexibility.</w:t>
          </w:r>
          <w:r>
            <w:t xml:space="preserve"> </w:t>
          </w:r>
        </w:p>
        <w:p w14:paraId="5E0E60E7" w14:textId="77777777" w:rsidR="00F61BE7" w:rsidRDefault="00F61BE7" w:rsidP="00F61BE7">
          <w:r w:rsidRPr="005C36AC">
            <w:rPr>
              <w:b/>
              <w:bCs/>
            </w:rPr>
            <w:t xml:space="preserve">Investor analysis </w:t>
          </w:r>
        </w:p>
        <w:p w14:paraId="68A87128" w14:textId="77777777" w:rsidR="00F61BE7" w:rsidRDefault="00F61BE7" w:rsidP="00F61BE7">
          <w:r w:rsidRPr="005C36AC">
            <w:t xml:space="preserve">Appendix B5 investor ratios show that there is a small positive change in shareholder performance between 2024 and 2025. </w:t>
          </w:r>
        </w:p>
        <w:p w14:paraId="2109F34F" w14:textId="77777777" w:rsidR="00F61BE7" w:rsidRDefault="00F61BE7" w:rsidP="00F61BE7">
          <w:r w:rsidRPr="005C36AC">
            <w:t>There was an improvement in shareholder returns with an increase in earnings per share of 2.45 to 2.60 using the taught ratio method in the appendix.</w:t>
          </w:r>
          <w:r>
            <w:t xml:space="preserve"> </w:t>
          </w:r>
          <w:r w:rsidRPr="005C36AC">
            <w:t xml:space="preserve">This is significant as investor ratios would be able to test on the fact that the gains made in the margins and operating returns are being transferred to the shareholders. In the case of Unilever, the rise in EPS means that operating </w:t>
          </w:r>
          <w:r w:rsidRPr="005C36AC">
            <w:lastRenderedPageBreak/>
            <w:t xml:space="preserve">performance was satisfactorily better to increase attributable earnings using the module approach. It therefore justifies the conclusion that 2025 is a better financial year than 2024. </w:t>
          </w:r>
        </w:p>
        <w:p w14:paraId="15C7E722" w14:textId="77777777" w:rsidR="00F61BE7" w:rsidRDefault="00F61BE7" w:rsidP="00F61BE7">
          <w:r w:rsidRPr="005C36AC">
            <w:t xml:space="preserve">There was also some improvement on dividend cover which increased to 1.43 to 1.44 times. Though the movement is so small, it indicates that earnings remained to support dividends. Meanwhile, the level of cover is not that conservative. This indicates that Unilever continues to pay out a high percentage of earnings as opposed to holding a greater amount to boost liquidity or lower leverage. </w:t>
          </w:r>
        </w:p>
        <w:p w14:paraId="1D50342C" w14:textId="64E34844" w:rsidR="00F61BE7" w:rsidRDefault="00F61BE7" w:rsidP="00F61BE7">
          <w:r w:rsidRPr="005C36AC">
            <w:t>This has a conflicting implication. Investor wise, this is good as it helps in making the company more appealing as a business worth investing in to get returns. Financially-management wise, it is more doubtful, as a tightening of liquidity and increase in gearing can give a stronger retained earnings position. Therefore, the overall investor analysis is high, yet, the quality of shareholder returns is to be read together with the liquidity and gearing evidence.</w:t>
          </w:r>
        </w:p>
        <w:p w14:paraId="28EE44E4" w14:textId="77777777" w:rsidR="00F61BE7" w:rsidRDefault="00F61BE7" w:rsidP="00F61BE7">
          <w:r w:rsidRPr="00F769D0">
            <w:rPr>
              <w:b/>
              <w:bCs/>
            </w:rPr>
            <w:t>Limitation of ratio analysis</w:t>
          </w:r>
        </w:p>
        <w:p w14:paraId="57D5AE8D" w14:textId="77777777" w:rsidR="00F61BE7" w:rsidRDefault="00F61BE7" w:rsidP="00F61BE7">
          <w:r w:rsidRPr="00F769D0">
            <w:t xml:space="preserve">Although the ratios are useful as shown in Appendix B, ratio analysis has some major limitations. </w:t>
          </w:r>
        </w:p>
        <w:p w14:paraId="3B963B41" w14:textId="77777777" w:rsidR="00F61BE7" w:rsidRDefault="00F61BE7" w:rsidP="00F61BE7">
          <w:r w:rsidRPr="00F769D0">
            <w:t xml:space="preserve">First, ratios rely on historic financial statements and hence depict the past performance as opposed to the future performance. Good performance last year does not mean the success in the future. </w:t>
          </w:r>
        </w:p>
        <w:p w14:paraId="0D6BF2E6" w14:textId="77777777" w:rsidR="00F61BE7" w:rsidRDefault="00F61BE7" w:rsidP="00F61BE7">
          <w:r w:rsidRPr="00F769D0">
            <w:t xml:space="preserve">Second, ratios are based on accounting presentation and comparability. Unilever 2024 figures have been restated after the Ice Cream demerger, which enhances consistency in continuing-operations analysis at the cost of the reporting base varying over time (Unilever, 2025). </w:t>
          </w:r>
        </w:p>
        <w:p w14:paraId="01522392" w14:textId="77777777" w:rsidR="00F61BE7" w:rsidRDefault="00F61BE7" w:rsidP="00F61BE7">
          <w:r w:rsidRPr="00F769D0">
            <w:t xml:space="preserve">Third, ratios fail to reflect such significant qualitative elements as brand strength, innovation, management quality, supply-chain resilience or geopolitical exposure. They are extremely pertinent to a global consumer goods firm and can significantly impact the performance of the future where current ratios may look fine. </w:t>
          </w:r>
        </w:p>
        <w:p w14:paraId="472B4C7D" w14:textId="77777777" w:rsidR="00F61BE7" w:rsidRDefault="00F61BE7" w:rsidP="00F61BE7">
          <w:r w:rsidRPr="00F769D0">
            <w:t xml:space="preserve">Fourth, ratios may be deceptive when interpreted alone. As an illustration, the return on </w:t>
          </w:r>
          <w:proofErr w:type="spellStart"/>
          <w:r w:rsidRPr="00F769D0">
            <w:t>owners</w:t>
          </w:r>
          <w:proofErr w:type="spellEnd"/>
          <w:r w:rsidRPr="00F769D0">
            <w:t xml:space="preserve"> equity in Appendix B1 seems like a strong positive, however, when the same is read together with the increased debt to equity ratio in Appendix B4 it seems to be more doubtful. In the same manner, the slight liquidity enhancement in Appendix B2 looks better until the time when it is compared with the worsening in the receivables days in Appendix B3. </w:t>
          </w:r>
        </w:p>
        <w:p w14:paraId="632236F1" w14:textId="77777777" w:rsidR="00F61BE7" w:rsidRDefault="00F61BE7" w:rsidP="00F61BE7">
          <w:r w:rsidRPr="00F769D0">
            <w:t xml:space="preserve">Finally, interpretation of ratios is based on the formula basis. The calculations in this report are in the taught method in the appendix. This will provide consistency, but at the cost of external analysts possibly defining some of these measures differently. Interpretation consistency and transparency are thus required. </w:t>
          </w:r>
        </w:p>
        <w:p w14:paraId="32A2B78F" w14:textId="77777777" w:rsidR="00F61BE7" w:rsidRDefault="00F61BE7" w:rsidP="00F61BE7">
          <w:r w:rsidRPr="00F769D0">
            <w:rPr>
              <w:b/>
              <w:bCs/>
            </w:rPr>
            <w:t>Recommendation</w:t>
          </w:r>
          <w:r w:rsidRPr="00F769D0">
            <w:t xml:space="preserve"> </w:t>
          </w:r>
        </w:p>
        <w:p w14:paraId="2768B407" w14:textId="77777777" w:rsidR="00F61BE7" w:rsidRDefault="00F61BE7" w:rsidP="00F61BE7">
          <w:r w:rsidRPr="00F769D0">
            <w:t xml:space="preserve">Based on the discussion of Appendix B, there are a number of steps that could be taken to enhance the financial management of Unilever. </w:t>
          </w:r>
        </w:p>
        <w:p w14:paraId="76CF4A87" w14:textId="77777777" w:rsidR="00F61BE7" w:rsidRDefault="00F61BE7" w:rsidP="00F61BE7">
          <w:r w:rsidRPr="00F769D0">
            <w:t xml:space="preserve">To begin with, management needs to concentrate on the control of receivables. Among the most obvious weaknesses of the report is the growth of the debtor days in Appendix B3. Tougher credit screening, better collection processes and enhanced regional surveillance would enhance the conversion of cash and lessen liquidity strains. </w:t>
          </w:r>
        </w:p>
        <w:p w14:paraId="096B2305" w14:textId="77777777" w:rsidR="00F61BE7" w:rsidRDefault="00F61BE7" w:rsidP="00F61BE7">
          <w:r w:rsidRPr="00F769D0">
            <w:t xml:space="preserve">Second, inventory efficacy must be maintained and reinforced. Among the best positive changes is the decrease in the stock days in Appendix B3 and this needs to be maintained by disciplined forecasting, coordinated supply-chain management and further simplification of the portfolio. </w:t>
          </w:r>
        </w:p>
        <w:p w14:paraId="6E2B2199" w14:textId="77777777" w:rsidR="00F61BE7" w:rsidRDefault="00F61BE7" w:rsidP="00F61BE7">
          <w:r w:rsidRPr="00F769D0">
            <w:lastRenderedPageBreak/>
            <w:t xml:space="preserve">Third, there should be a moderate gearing over time. Despite the fact that interest cover is quite impressive in Appendix B4, the increasing number of debt-to-equity suggests that the company is less resilient. Financial flexibility would be enhanced by retaining more earnings or being more cautious in discretionary capital returns. </w:t>
          </w:r>
        </w:p>
        <w:p w14:paraId="07B4DFEC" w14:textId="77777777" w:rsidR="00F61BE7" w:rsidRDefault="00F61BE7" w:rsidP="00F61BE7">
          <w:r w:rsidRPr="00F769D0">
            <w:t xml:space="preserve">Fourth, the management should take into account the creditor strategy sustainability. The longer payables are beneficial in supporting the short-term cash flow, but this should not come at the expense of the more robust underlying working-capital management. </w:t>
          </w:r>
        </w:p>
        <w:p w14:paraId="0E280EA1" w14:textId="696744B3" w:rsidR="00CF0E48" w:rsidRDefault="00F61BE7" w:rsidP="00CF0E48">
          <w:r w:rsidRPr="00F769D0">
            <w:t>Finally, Unilever should keep enhancing its operational efficiency and capital productivity, as reported in Appendix B1, and make sure that the improvement in the accounting performance is complemented by the increased quality of cash-conversion.</w:t>
          </w:r>
          <w:r>
            <w:br/>
          </w:r>
        </w:p>
        <w:p w14:paraId="11657221" w14:textId="35C5B0C3" w:rsidR="00CF0E48" w:rsidRPr="00247316" w:rsidRDefault="00B30FDD" w:rsidP="00CF0E48">
          <w:pPr>
            <w:pStyle w:val="Heading2"/>
            <w:rPr>
              <w:b/>
              <w:bCs/>
            </w:rPr>
          </w:pPr>
          <w:r w:rsidRPr="00247316">
            <w:rPr>
              <w:b/>
              <w:bCs/>
            </w:rPr>
            <w:t>Part 2: Investment Appraisal Report for Beard Plc</w:t>
          </w:r>
        </w:p>
        <w:p w14:paraId="7D4FC40A" w14:textId="77777777" w:rsidR="00480872" w:rsidRDefault="00480872" w:rsidP="00AA2A91">
          <w:pPr>
            <w:pStyle w:val="Heading1"/>
          </w:pPr>
        </w:p>
        <w:p w14:paraId="2845E96B" w14:textId="77777777" w:rsidR="00327F96" w:rsidRDefault="00247316" w:rsidP="00247316">
          <w:pPr>
            <w:tabs>
              <w:tab w:val="left" w:pos="1150"/>
            </w:tabs>
            <w:rPr>
              <w:b/>
              <w:bCs/>
            </w:rPr>
          </w:pPr>
          <w:r w:rsidRPr="00247316">
            <w:rPr>
              <w:b/>
              <w:bCs/>
            </w:rPr>
            <w:t>Investment appraisal using NPV and IRR</w:t>
          </w:r>
        </w:p>
        <w:p w14:paraId="064CF601" w14:textId="1895074E" w:rsidR="00247316" w:rsidRPr="00327F96" w:rsidRDefault="00247316" w:rsidP="00247316">
          <w:pPr>
            <w:tabs>
              <w:tab w:val="left" w:pos="1150"/>
            </w:tabs>
            <w:rPr>
              <w:b/>
              <w:bCs/>
            </w:rPr>
          </w:pPr>
          <w:r w:rsidRPr="0060545E">
            <w:br/>
            <w:t xml:space="preserve">This part is an assessment of the three investment opportunities proposed to Beard Plc and recommendations to the Board on whether the company should go ahead with the investment programme or explore alternative opportunities. The three alternatives to be discussed are Project A; to expand the thriving retail store to accommodate all goods; Project B, to create internet sales; and Project C, to make purses and wallets. The appraisal is carried out on the basis of net present value (NPV) method at a cost of capital of 5 percent of the cost of capital as necessitated by the brief. The complete functioning is given in rather separate in Appendix C and in Appendix D, and the bulk of the report is devoted to the main findings and their management implications. </w:t>
          </w:r>
        </w:p>
        <w:p w14:paraId="5186464D" w14:textId="77777777" w:rsidR="00247316" w:rsidRDefault="00247316" w:rsidP="00247316">
          <w:pPr>
            <w:tabs>
              <w:tab w:val="left" w:pos="1150"/>
            </w:tabs>
          </w:pPr>
          <w:r w:rsidRPr="0060545E">
            <w:t xml:space="preserve">The initial step to be taken in the appraisal process is to identify the yearly after tax cash flows of each project. The corporate tax is 25 percent and capital allowances can be claimed at 20 percent on a straight-line basis, which means that every project has a yearly tax break. The workings of the tax and capital allowance are detailed in Appendix C1 and the adjusted annual cash flows are detailed in Appendix C2. Following the addition of the tax and capital allowances, the net cash flows of both projects (after discounting by applied rate of 5 percent per annum) were calculated per annum with the entire present value calculations indicated in Appendix C3 up to C6. The findings show that the NPV of Project A is equal to -3.2k, Project B has equal to 73.9k and Project C has equal to 91.2k. The implications of these results imply that Project A cannot be accepted since it would lead to a slight decrease in shareholder value, whereas both Project B and Project C are acceptable financially since they produce value, which exceeds the cost of capital. </w:t>
          </w:r>
        </w:p>
        <w:p w14:paraId="2743E2D0" w14:textId="77777777" w:rsidR="00247316" w:rsidRDefault="00247316" w:rsidP="00247316">
          <w:pPr>
            <w:tabs>
              <w:tab w:val="left" w:pos="1150"/>
            </w:tabs>
          </w:pPr>
          <w:r w:rsidRPr="0060545E">
            <w:t xml:space="preserve">According to this, the NPV ranking is evident: Project C is the most robust one, then Project B, and Project A should be discarded. Because the NPV quantifies value creation in terms of money, it provides the Board with the best tool of making decisions. The maximum value generated by project C is the most important to Beard Plc and hence it should be chosen in case a single project is to be chosen. In order to prove this conclusion, the approximate internal rate of return of Project C was estimated as well. The complete calculation of the IRR is presented in Appendix D1. Project C has NPV of +£91.2k at the required payback of the company, which is 5%. At 8%, the NPV falls to +£13.7k, while at 9% it becomes -£10.2k. An approximate IRR is obtained by interpolating the values, which are 8.6%. This validates the NPV outcome since the pay-off on Project C is higher than the 5% </w:t>
          </w:r>
          <w:r w:rsidRPr="0060545E">
            <w:lastRenderedPageBreak/>
            <w:t xml:space="preserve">cost of money at Beard Plc. Nonetheless, NPV still needs to be the primary decision rule of the Board, as it quantifies the real monetary value that the project generates, not a percentage rate of return. </w:t>
          </w:r>
        </w:p>
        <w:p w14:paraId="726110DD" w14:textId="77777777" w:rsidR="00247316" w:rsidRPr="00247316" w:rsidRDefault="00247316" w:rsidP="00247316">
          <w:pPr>
            <w:tabs>
              <w:tab w:val="left" w:pos="1150"/>
            </w:tabs>
            <w:rPr>
              <w:b/>
              <w:bCs/>
            </w:rPr>
          </w:pPr>
          <w:r w:rsidRPr="00247316">
            <w:rPr>
              <w:b/>
              <w:bCs/>
            </w:rPr>
            <w:t xml:space="preserve">Interpretation for management </w:t>
          </w:r>
        </w:p>
        <w:p w14:paraId="10D0DD2F" w14:textId="77777777" w:rsidR="00247316" w:rsidRDefault="00247316" w:rsidP="00247316">
          <w:pPr>
            <w:tabs>
              <w:tab w:val="left" w:pos="1150"/>
            </w:tabs>
          </w:pPr>
          <w:r w:rsidRPr="0060545E">
            <w:t xml:space="preserve">The NPV is typically considered to be the most powerful means of investment appraisal since it directly quantifies the value that a project adds. When NPV is positive, it implies that the investment will generate returns exceeding the rate of required return in the company and when it is negative, it will destroy value. Among the key advantages of NPV, it is important to note that it appropriately considers the time value of money. The value of cash that is expected in the future is lower than the value of cash expected in the present, due to the ability to invest present money and due to uncertainty with future receipts. NPV reflects this fact by discounting future cash flows to the present value, which gives a more accurate estimate of the value of the project. The second strength is that NPV considers all the pertinent cash flows throughout the entire life of the project. This is significant in the current case since Projects B and C produce significant inflows in the later years and a method that did not consider the later benefits would give an incomplete picture. </w:t>
          </w:r>
        </w:p>
        <w:p w14:paraId="37C200F5" w14:textId="77777777" w:rsidR="00247316" w:rsidRDefault="00247316" w:rsidP="00247316">
          <w:pPr>
            <w:tabs>
              <w:tab w:val="left" w:pos="1150"/>
            </w:tabs>
          </w:pPr>
          <w:r w:rsidRPr="0060545E">
            <w:t xml:space="preserve">Another benefit of NPV is that it is directly associated with the financial goal of maximising the shareholder wealth. Since it puts the outcome in real dollars, it informs the Board of the precise amount of value that should be generated. This is particularly helpful in situations where the projects vary in size since the project with the highest percentage return is not necessarily the one that generates the most value. The NPV is also applied where the resources are limited as the NPV can still be used even in capital rationing by using the profitability index. All these reasons make NPV the most appropriate appraisal method to use in the decision making of Beard Plc. Although, IRR of Project C proves that the project is acceptable, IRR must be viewed as supportive measure and not as the decision maker. </w:t>
          </w:r>
        </w:p>
        <w:p w14:paraId="28AB8947" w14:textId="77777777" w:rsidR="00247316" w:rsidRDefault="00247316" w:rsidP="00247316">
          <w:pPr>
            <w:tabs>
              <w:tab w:val="left" w:pos="1150"/>
            </w:tabs>
          </w:pPr>
          <w:r w:rsidRPr="0060545E">
            <w:t>Non-discounting techniques like payback period and accounting rate of return are still common among the managers although NPV is theoretically superior. One is due to simplicity, such techniques are simpler to compute and easier to describe, especially with non-financial managers in the decision making process. The second reason is that they pay more attention to liquidity and short-term risk. Payback, such as, demonstrates the speed of recovery of the initial investment, which can be appealing in unpredictable markets. The third reason is that firms tend to employ these methods as screening methods. A long payback project could be thrown overboard before more elaborate discounted cash-flow analysis is conducted. Nonetheless, these methods are severely flawed. Payback does not take into consideration the time value of money and the cash flows received beyond the payback point, whereas the accounting rate of return uses accounting profit and not cash flow. This means that they can still be applicable as complementary measures, but cannot substitute NPV in ultimate investment decisions.</w:t>
          </w:r>
        </w:p>
        <w:p w14:paraId="57BE2D34" w14:textId="77777777" w:rsidR="00247316" w:rsidRDefault="00247316" w:rsidP="00247316">
          <w:pPr>
            <w:tabs>
              <w:tab w:val="left" w:pos="1150"/>
            </w:tabs>
          </w:pPr>
        </w:p>
        <w:p w14:paraId="35D8F783" w14:textId="77777777" w:rsidR="00247316" w:rsidRDefault="00247316" w:rsidP="00247316">
          <w:pPr>
            <w:tabs>
              <w:tab w:val="left" w:pos="1150"/>
            </w:tabs>
          </w:pPr>
          <w:r w:rsidRPr="0060545E">
            <w:t xml:space="preserve">The Board should also take other factors into consideration prior to the final decision than the calculations. One of the most crucial ones is strategic fit. Project C is the one where NPV is the greatest, yet the management still needs to make decisions about whether producing purses and wallets compliments Beard Plc brand, product line and positioning. The market demand and competition are also to be evaluated especially since Project B, internet sales, could generate broader strategic benefits that are not well reflected in the cash-flow forecasts, including reaching more customers, being more convenient, and more digital. Another significant concern is </w:t>
          </w:r>
          <w:r w:rsidRPr="0060545E">
            <w:lastRenderedPageBreak/>
            <w:t xml:space="preserve">implementation risk. The capabilities needed by each project are different: retail expansion needs store management and operational capacity; internet sales needs digital systems and fulfilment capability; new product development needs design changes, sourcing and stock control. Forecast uncertainty should also be identified by the Board as the cash flows are approximations and the actual returns can vary in case of changes in demand, cost or competitive environment. Lastly, working-capital requirements must be taken into account since more stock, staffing, marketing or systems support can result in funding requirements other than the initial investment. </w:t>
          </w:r>
        </w:p>
        <w:p w14:paraId="5F9C2B56" w14:textId="77777777" w:rsidR="00247316" w:rsidRPr="00247316" w:rsidRDefault="00247316" w:rsidP="00247316">
          <w:pPr>
            <w:tabs>
              <w:tab w:val="left" w:pos="1150"/>
            </w:tabs>
            <w:rPr>
              <w:b/>
              <w:bCs/>
            </w:rPr>
          </w:pPr>
          <w:r w:rsidRPr="00247316">
            <w:rPr>
              <w:b/>
              <w:bCs/>
            </w:rPr>
            <w:t xml:space="preserve">Capital rationing and financing recommendation </w:t>
          </w:r>
        </w:p>
        <w:p w14:paraId="05377EC7" w14:textId="77777777" w:rsidR="00247316" w:rsidRDefault="00247316" w:rsidP="00247316">
          <w:pPr>
            <w:tabs>
              <w:tab w:val="left" w:pos="1150"/>
            </w:tabs>
          </w:pPr>
          <w:r w:rsidRPr="0060545E">
            <w:t xml:space="preserve">It is also mentioned in the assignment that the amount of money is limited to 1.5m and that the projects can be split. Here, ranking projects according to profitability index (PI) and not NPV alone is the right approach. Appendix D2 and D3 show the detailed calculations. The profitability index of Project A, Project B and Project C have the values 0.995, 1.082 and 1.091 respectively. This proves that project C yields the greatest value per pound invested, project B comes second and project A should not be considered at all since its profitability index is lower than 1, and also its NPV is negative. Beard Plc has got an initial amount of £1.5 million to invest in Project C and the remaining 0.5 million in Project B. Since Project B is divisible, the fraction undertaken is 500/900 = 0.556 = 55.6%. The cumulative NPV generated under this policy will be £132.3k comprising of £91.2k in full Project C and 55.6% in Project B. This is hence the best investment policy within the funding constraint. </w:t>
          </w:r>
        </w:p>
        <w:p w14:paraId="3D07476C" w14:textId="77777777" w:rsidR="00247316" w:rsidRDefault="00247316" w:rsidP="00247316">
          <w:pPr>
            <w:tabs>
              <w:tab w:val="left" w:pos="1150"/>
            </w:tabs>
          </w:pPr>
          <w:r w:rsidRPr="0060545E">
            <w:t xml:space="preserve">The Board will also need to determine the way this recommended investment programme will be funded. Primary potential sources of funds include retained earnings, bank loans, short-term bank finance, new equity, and leasing or asset finance. The retained earnings are appealing since they do not generate interest charges and neither do they dilute ownership. They are not expensive and flexible, but they decrease internal liquidity. A project of this nature should be financed with a medium term bank loan as it gives the company committed finance over a given period of time and is able to invest without any loss of ownership though it raises the gearing and gives rise to fixed repayment obligations. Bank finance also has the potential to assist in the implementation of the strategic programme after a 4-year period, but in the short term, bank finance is not the most appropriate source of finance since it is only a temporary working-capital source. New equity would minimize the reliance on debt and give the balance sheet more strength but it would dilute ownership and might not be appealing to current shareholders. Leasing or asset finance could be appropriate where the programme involves equipment, fittings or digital systems, as this financial load is distributed over a period of time, but the overall cost of financing it can be more. </w:t>
          </w:r>
        </w:p>
        <w:p w14:paraId="5B4BDDBD" w14:textId="77777777" w:rsidR="00247316" w:rsidRPr="0060545E" w:rsidRDefault="00247316" w:rsidP="00247316">
          <w:pPr>
            <w:tabs>
              <w:tab w:val="left" w:pos="1150"/>
            </w:tabs>
          </w:pPr>
          <w:r w:rsidRPr="0060545E">
            <w:t>Overall the Board would be recommended that Beard Plc ought to invest instead of pursuing alternative opportunities as two out of three projects generate a positive value and the combination of the capital and ratio of the capital generates a strong positive NPV. When a single project is selected, the Project C should be selected since it has the highest NPV, which is 91.2k and an approximate IRR of 8.6 which is higher than the 5% cost of capital of the company. Assuming there is a limit of 1.5 million in funding and the projects can be divided, Beard Plc ought to proceed with 100 percent of Project C and 55.6 percent of Project B and abandon Project A. This will yield an overall NPV of £132.3k, and it is the most desirable investment policy. A combination of retained earnings and medium-term bank borrowing is the preferred financing strategy since it offers optimal balance of cost, protection of liquidity, control, and financial flexibility.</w:t>
          </w:r>
        </w:p>
        <w:p w14:paraId="5C67928C" w14:textId="32F0F531" w:rsidR="00AA2A91" w:rsidRDefault="00AA2A91" w:rsidP="00AA2A91">
          <w:pPr>
            <w:pStyle w:val="Heading1"/>
          </w:pPr>
          <w:bookmarkStart w:id="3" w:name="_Toc178766397"/>
          <w:r>
            <w:lastRenderedPageBreak/>
            <w:t>Conclusion</w:t>
          </w:r>
          <w:r w:rsidR="00D854A5">
            <w:t xml:space="preserve"> </w:t>
          </w:r>
          <w:bookmarkEnd w:id="3"/>
        </w:p>
        <w:p w14:paraId="0C6DEB97" w14:textId="77777777" w:rsidR="00AA2A91" w:rsidRDefault="00AA2A91" w:rsidP="00AA2A91"/>
        <w:p w14:paraId="32B2041A" w14:textId="77777777" w:rsidR="00247316" w:rsidRDefault="00247316" w:rsidP="00AA2A91">
          <w:r w:rsidRPr="00247316">
            <w:t xml:space="preserve">This report not only compared the financial performance of Unilever plc but also evaluated the investment opportunity that Beard Plc could have in this case to facilitate informed managerial decision-making. In both sections, the discussion reveals that good financial management should be based not alone on good reported performance, but also on the quality, sustainability and value-creating quality of the performance. </w:t>
          </w:r>
        </w:p>
        <w:p w14:paraId="1F57F633" w14:textId="77777777" w:rsidR="00247316" w:rsidRDefault="00247316" w:rsidP="00AA2A91">
          <w:r w:rsidRPr="00247316">
            <w:t xml:space="preserve">Part 1 showed that the financial analysis of Unilever plc revealed that there was an overall increase in profitability, capital efficiency and shareholder returns in 2024 to 2025. Ratio analysis revealed that the gross margin, operating profitability, the return on capital employed and the utilisation of assets are stronger indicating that the business was more efficient and more productive in the period. Nevertheless, significant weaknesses were also determined in the analysis. The liquidity continued to be comparatively constrained, the performance of receivables declined, and the gearing rose, which denotes that part of the enhancement in shareholder return was aided by a more leveraged capital structure. This implies that despite the fact that the performance of Unilever improved, the company ought to work on enhancing working-capital management, preserve inventory discipline and withstand long-term financial sustainability. </w:t>
          </w:r>
        </w:p>
        <w:p w14:paraId="0F56FD35" w14:textId="77777777" w:rsidR="00247316" w:rsidRDefault="00247316" w:rsidP="00AA2A91">
          <w:r w:rsidRPr="00247316">
            <w:t xml:space="preserve">The investment appraisal of Beard Plc in Part 2 revealed Project C to be the best single investment option since it generated the highest net present value and internal rate of return exceeding the cost of capital of the company. It was also revealed in the analysis that Project A should be rejected due to the negative NPV that it produced. Project C and 55.6 per cent Project B was the best policy under the constraint of capital-rationing: with limited resources, (maximum of 1,500,000 pounds) the total NPV was the greatest. This proves that value creation should be used to make investment decisions as opposed to the accounting returns or the short-term recovery. </w:t>
          </w:r>
        </w:p>
        <w:p w14:paraId="6FF3B474" w14:textId="0F07A27B" w:rsidR="00AA2A91" w:rsidRDefault="00247316" w:rsidP="00AA2A91">
          <w:r>
            <w:t>Overall</w:t>
          </w:r>
          <w:r w:rsidRPr="00247316">
            <w:t>, the report finds that effective financial decision-making needs to be balanced in terms of profitability, liquidity, strategic fit and long-term value creation. Unilever ought to concentrate on enhancing the quality of its financial performance by tightening the working-capital management and a balanced financing strategy whereas Beard Plc ought to continue with the proposed investment programme via a financing strategy that safeguards flexibility and allows sustainable growth.</w:t>
          </w:r>
        </w:p>
        <w:p w14:paraId="0D823694" w14:textId="77777777" w:rsidR="00AA2A91" w:rsidRDefault="00AA2A91" w:rsidP="00AA2A91"/>
        <w:p w14:paraId="70E87FE0" w14:textId="77777777" w:rsidR="00AA2A91" w:rsidRDefault="00AA2A91" w:rsidP="00AA2A91"/>
        <w:p w14:paraId="1F37563C" w14:textId="77777777" w:rsidR="00247316" w:rsidRDefault="00247316" w:rsidP="00AA2A91"/>
        <w:p w14:paraId="227E9D80" w14:textId="77777777" w:rsidR="00AA2A91" w:rsidRDefault="00AA2A91" w:rsidP="00AA2A91"/>
        <w:p w14:paraId="6E6D0B58" w14:textId="77777777" w:rsidR="00AA2A91" w:rsidRDefault="00AA2A91" w:rsidP="00AA2A91"/>
        <w:p w14:paraId="6859129F" w14:textId="77777777" w:rsidR="00AA2A91" w:rsidRDefault="00AA2A91" w:rsidP="00AA2A91"/>
        <w:p w14:paraId="3C2C4E14" w14:textId="77777777" w:rsidR="00AA2A91" w:rsidRDefault="00AA2A91" w:rsidP="00AA2A91"/>
        <w:p w14:paraId="0ABC39D3" w14:textId="77777777" w:rsidR="00AA2A91" w:rsidRDefault="00AA2A91" w:rsidP="00AA2A91"/>
        <w:p w14:paraId="7202FDFC" w14:textId="77777777" w:rsidR="00AA2A91" w:rsidRPr="00AA2A91" w:rsidRDefault="00AA2A91" w:rsidP="00AA2A91">
          <w:pPr>
            <w:pStyle w:val="Heading1"/>
          </w:pPr>
          <w:bookmarkStart w:id="4" w:name="_Toc178766398"/>
          <w:r>
            <w:lastRenderedPageBreak/>
            <w:t>Bibliography</w:t>
          </w:r>
          <w:bookmarkEnd w:id="4"/>
        </w:p>
        <w:p w14:paraId="77D69E6F" w14:textId="77777777" w:rsidR="004A11F6" w:rsidRPr="007D1947" w:rsidRDefault="004A11F6" w:rsidP="007D1947"/>
        <w:p w14:paraId="51035277" w14:textId="77777777" w:rsidR="00741572" w:rsidRPr="00902140" w:rsidRDefault="00741572" w:rsidP="00741572">
          <w:pPr>
            <w:spacing w:line="278" w:lineRule="auto"/>
          </w:pPr>
          <w:proofErr w:type="spellStart"/>
          <w:r w:rsidRPr="00902140">
            <w:t>Atrill</w:t>
          </w:r>
          <w:proofErr w:type="spellEnd"/>
          <w:r w:rsidRPr="00902140">
            <w:t xml:space="preserve">, P. and McLaney, E. (2022) </w:t>
          </w:r>
          <w:r w:rsidRPr="00902140">
            <w:rPr>
              <w:i/>
              <w:iCs/>
            </w:rPr>
            <w:t>Accounting and finance for non-specialists</w:t>
          </w:r>
          <w:r w:rsidRPr="00902140">
            <w:t xml:space="preserve">. 12th </w:t>
          </w:r>
          <w:proofErr w:type="spellStart"/>
          <w:r w:rsidRPr="00902140">
            <w:t>edn</w:t>
          </w:r>
          <w:proofErr w:type="spellEnd"/>
          <w:r w:rsidRPr="00902140">
            <w:t>. Harlow: Pearson.</w:t>
          </w:r>
        </w:p>
        <w:p w14:paraId="077F8AAE" w14:textId="77777777" w:rsidR="00741572" w:rsidRPr="00902140" w:rsidRDefault="00741572" w:rsidP="00741572">
          <w:pPr>
            <w:spacing w:line="278" w:lineRule="auto"/>
          </w:pPr>
          <w:r w:rsidRPr="00902140">
            <w:t xml:space="preserve">Brigham, E.F. and Ehrhardt, M.C. (2020) </w:t>
          </w:r>
          <w:r w:rsidRPr="00902140">
            <w:rPr>
              <w:i/>
              <w:iCs/>
            </w:rPr>
            <w:t>Financial management: theory and practice</w:t>
          </w:r>
          <w:r w:rsidRPr="00902140">
            <w:t xml:space="preserve">. 16th </w:t>
          </w:r>
          <w:proofErr w:type="spellStart"/>
          <w:r w:rsidRPr="00902140">
            <w:t>edn</w:t>
          </w:r>
          <w:proofErr w:type="spellEnd"/>
          <w:r w:rsidRPr="00902140">
            <w:t>. Boston, MA: Cengage Learning.</w:t>
          </w:r>
        </w:p>
        <w:p w14:paraId="42F7FAD2" w14:textId="10C2118F" w:rsidR="00741572" w:rsidRPr="00902140" w:rsidRDefault="00741572" w:rsidP="00741572">
          <w:pPr>
            <w:spacing w:line="278" w:lineRule="auto"/>
          </w:pPr>
          <w:r w:rsidRPr="00902140">
            <w:t xml:space="preserve">Corporate Finance Institute (2025a) </w:t>
          </w:r>
          <w:r w:rsidRPr="00902140">
            <w:rPr>
              <w:i/>
              <w:iCs/>
            </w:rPr>
            <w:t>Capital budgeting</w:t>
          </w:r>
          <w:r w:rsidRPr="00902140">
            <w:t xml:space="preserve">. Available at: </w:t>
          </w:r>
          <w:hyperlink r:id="rId10" w:tgtFrame="_new" w:history="1">
            <w:r w:rsidRPr="00902140">
              <w:rPr>
                <w:rStyle w:val="Hyperlink"/>
              </w:rPr>
              <w:t>https://corporatefinanceinstitute.com/resources/valuation/capital-budgeting/</w:t>
            </w:r>
          </w:hyperlink>
          <w:r w:rsidRPr="00902140">
            <w:t xml:space="preserve"> (Accessed: 1</w:t>
          </w:r>
          <w:r w:rsidRPr="00E75112">
            <w:t>6</w:t>
          </w:r>
          <w:r w:rsidRPr="00902140">
            <w:t xml:space="preserve"> April 2026).</w:t>
          </w:r>
        </w:p>
        <w:p w14:paraId="3E5E1A50" w14:textId="270A699D" w:rsidR="00741572" w:rsidRPr="00902140" w:rsidRDefault="00741572" w:rsidP="00741572">
          <w:pPr>
            <w:spacing w:line="278" w:lineRule="auto"/>
          </w:pPr>
          <w:r w:rsidRPr="00902140">
            <w:t xml:space="preserve">Corporate Finance Institute (2025b) </w:t>
          </w:r>
          <w:r w:rsidRPr="00902140">
            <w:rPr>
              <w:i/>
              <w:iCs/>
            </w:rPr>
            <w:t>Net present value (NPV)</w:t>
          </w:r>
          <w:r w:rsidRPr="00902140">
            <w:t xml:space="preserve">. Available at: </w:t>
          </w:r>
          <w:hyperlink r:id="rId11" w:tgtFrame="_new" w:history="1">
            <w:r w:rsidRPr="00902140">
              <w:rPr>
                <w:rStyle w:val="Hyperlink"/>
              </w:rPr>
              <w:t>https://corporatefinanceinstitute.com/resources/valuation/net-present-value-npv/</w:t>
            </w:r>
          </w:hyperlink>
          <w:r w:rsidRPr="00902140">
            <w:t xml:space="preserve"> (Accessed: 1</w:t>
          </w:r>
          <w:r w:rsidRPr="00E75112">
            <w:t>6</w:t>
          </w:r>
          <w:r w:rsidRPr="00902140">
            <w:t xml:space="preserve"> April 2026).</w:t>
          </w:r>
        </w:p>
        <w:p w14:paraId="3B24489A" w14:textId="096298F0" w:rsidR="00741572" w:rsidRPr="00902140" w:rsidRDefault="00741572" w:rsidP="00741572">
          <w:pPr>
            <w:spacing w:line="278" w:lineRule="auto"/>
          </w:pPr>
          <w:r w:rsidRPr="00902140">
            <w:t xml:space="preserve">Corporate Finance Institute (2025c) </w:t>
          </w:r>
          <w:r w:rsidRPr="00902140">
            <w:rPr>
              <w:i/>
              <w:iCs/>
            </w:rPr>
            <w:t>Capital planning metrics guide</w:t>
          </w:r>
          <w:r w:rsidRPr="00902140">
            <w:t xml:space="preserve">. Available at: </w:t>
          </w:r>
          <w:hyperlink r:id="rId12" w:tgtFrame="_new" w:history="1">
            <w:r w:rsidRPr="00902140">
              <w:rPr>
                <w:rStyle w:val="Hyperlink"/>
              </w:rPr>
              <w:t>https://corporatefinanceinstitute.com/resources/valuation/capital-planning-metrics-guide/</w:t>
            </w:r>
          </w:hyperlink>
          <w:r w:rsidRPr="00902140">
            <w:t xml:space="preserve"> (Accessed: 1</w:t>
          </w:r>
          <w:r w:rsidRPr="00E75112">
            <w:t>6</w:t>
          </w:r>
          <w:r w:rsidRPr="00902140">
            <w:t xml:space="preserve"> April 2026).</w:t>
          </w:r>
        </w:p>
        <w:p w14:paraId="7A02181B" w14:textId="77777777" w:rsidR="00741572" w:rsidRPr="00902140" w:rsidRDefault="00741572" w:rsidP="00741572">
          <w:pPr>
            <w:spacing w:line="278" w:lineRule="auto"/>
          </w:pPr>
          <w:r w:rsidRPr="00902140">
            <w:t xml:space="preserve">De Franco, G., Kothari, S.P. and Verdi, R.S. (2011) ‘The benefits of financial statement comparability’, </w:t>
          </w:r>
          <w:r w:rsidRPr="00902140">
            <w:rPr>
              <w:i/>
              <w:iCs/>
            </w:rPr>
            <w:t>Journal of Accounting Research</w:t>
          </w:r>
          <w:r w:rsidRPr="00902140">
            <w:t xml:space="preserve">, 49(4), pp. 895–931. Available at: </w:t>
          </w:r>
          <w:hyperlink r:id="rId13" w:tgtFrame="_new" w:history="1">
            <w:r w:rsidRPr="00902140">
              <w:rPr>
                <w:rStyle w:val="Hyperlink"/>
              </w:rPr>
              <w:t>https://doi.org/10.1111/j.1475-679X.2011.00415.x</w:t>
            </w:r>
          </w:hyperlink>
        </w:p>
        <w:p w14:paraId="3D63ADAF" w14:textId="48E1C0B3" w:rsidR="00741572" w:rsidRPr="00902140" w:rsidRDefault="00741572" w:rsidP="00741572">
          <w:pPr>
            <w:spacing w:line="278" w:lineRule="auto"/>
          </w:pPr>
          <w:r w:rsidRPr="00902140">
            <w:t xml:space="preserve">Hasan, M.M., Molla, M.S., Farooque, O.A. and Hoque, M.Z. (2025) ‘Sophisticated capital budgeting decisions for financial performance and risk management’, </w:t>
          </w:r>
          <w:r w:rsidRPr="00902140">
            <w:rPr>
              <w:i/>
              <w:iCs/>
            </w:rPr>
            <w:t>Journal of Risk and Financial Management</w:t>
          </w:r>
          <w:r w:rsidRPr="00902140">
            <w:t xml:space="preserve">, 18(6), p. 297. Available at: </w:t>
          </w:r>
          <w:hyperlink r:id="rId14" w:tgtFrame="_new" w:history="1">
            <w:r w:rsidRPr="00902140">
              <w:rPr>
                <w:rStyle w:val="Hyperlink"/>
              </w:rPr>
              <w:t>https://www.mdpi.com/1911-8074/18/6/297</w:t>
            </w:r>
          </w:hyperlink>
          <w:r w:rsidRPr="00902140">
            <w:t xml:space="preserve"> (Accessed: 1</w:t>
          </w:r>
          <w:r w:rsidRPr="00E75112">
            <w:t>8</w:t>
          </w:r>
          <w:r w:rsidRPr="00902140">
            <w:t xml:space="preserve"> April 2026).</w:t>
          </w:r>
        </w:p>
        <w:p w14:paraId="340ADF60" w14:textId="77777777" w:rsidR="00741572" w:rsidRPr="00902140" w:rsidRDefault="00741572" w:rsidP="00741572">
          <w:pPr>
            <w:spacing w:line="278" w:lineRule="auto"/>
          </w:pPr>
          <w:r w:rsidRPr="00902140">
            <w:t xml:space="preserve">Hussain, S., Nguyen, V.C., Nguyen, Q.M., Nguyen, H.T. and Nguyen, T.T. (2021) ‘Macroeconomic factors, working capital management, and firm performance: a static and dynamic panel analysis’, </w:t>
          </w:r>
          <w:r w:rsidRPr="00902140">
            <w:rPr>
              <w:i/>
              <w:iCs/>
            </w:rPr>
            <w:t>Humanities and Social Sciences Communications</w:t>
          </w:r>
          <w:r w:rsidRPr="00902140">
            <w:t xml:space="preserve">, 8, p. 123. Available at: </w:t>
          </w:r>
          <w:hyperlink r:id="rId15" w:tgtFrame="_new" w:history="1">
            <w:r w:rsidRPr="00902140">
              <w:rPr>
                <w:rStyle w:val="Hyperlink"/>
              </w:rPr>
              <w:t>https://doi.org/10.1057/s41599-021-00778-x</w:t>
            </w:r>
          </w:hyperlink>
        </w:p>
        <w:p w14:paraId="202846AF" w14:textId="77777777" w:rsidR="00741572" w:rsidRPr="00902140" w:rsidRDefault="00741572" w:rsidP="00741572">
          <w:pPr>
            <w:spacing w:line="278" w:lineRule="auto"/>
          </w:pPr>
          <w:r w:rsidRPr="00902140">
            <w:t xml:space="preserve">IFRS Foundation (2017) </w:t>
          </w:r>
          <w:r w:rsidRPr="00902140">
            <w:rPr>
              <w:i/>
              <w:iCs/>
            </w:rPr>
            <w:t>Project summary: discount rates</w:t>
          </w:r>
          <w:r w:rsidRPr="00902140">
            <w:t xml:space="preserve">. Available at: </w:t>
          </w:r>
          <w:hyperlink r:id="rId16" w:tgtFrame="_new" w:history="1">
            <w:r w:rsidRPr="00902140">
              <w:rPr>
                <w:rStyle w:val="Hyperlink"/>
              </w:rPr>
              <w:t>https://www.ifrs.org/content/dam/ifrs/project/discount-rates/project-summary.pdf</w:t>
            </w:r>
          </w:hyperlink>
          <w:r w:rsidRPr="00902140">
            <w:t xml:space="preserve"> (Accessed: 19 April 2026).</w:t>
          </w:r>
        </w:p>
        <w:p w14:paraId="442C7520" w14:textId="77777777" w:rsidR="00741572" w:rsidRPr="00902140" w:rsidRDefault="00741572" w:rsidP="00741572">
          <w:pPr>
            <w:spacing w:line="278" w:lineRule="auto"/>
          </w:pPr>
          <w:r w:rsidRPr="00902140">
            <w:t xml:space="preserve">Jaiswal, S. and </w:t>
          </w:r>
          <w:proofErr w:type="spellStart"/>
          <w:r w:rsidRPr="00902140">
            <w:t>Elmarzouky</w:t>
          </w:r>
          <w:proofErr w:type="spellEnd"/>
          <w:r w:rsidRPr="00902140">
            <w:t xml:space="preserve">, M. (2025) ‘Capital structure and firm performance: evidence from FTSE All-Share firms during COVID-19’, </w:t>
          </w:r>
          <w:r w:rsidRPr="00902140">
            <w:rPr>
              <w:i/>
              <w:iCs/>
            </w:rPr>
            <w:t>Journal of Risk and Financial Management</w:t>
          </w:r>
          <w:r w:rsidRPr="00902140">
            <w:t xml:space="preserve">, 18(11), p. 648. Available at: </w:t>
          </w:r>
          <w:hyperlink r:id="rId17" w:tgtFrame="_new" w:history="1">
            <w:r w:rsidRPr="00902140">
              <w:rPr>
                <w:rStyle w:val="Hyperlink"/>
              </w:rPr>
              <w:t>https://doi.org/10.3390/jrfm18110648</w:t>
            </w:r>
          </w:hyperlink>
        </w:p>
        <w:p w14:paraId="78962663" w14:textId="77777777" w:rsidR="00741572" w:rsidRPr="00902140" w:rsidRDefault="00741572" w:rsidP="00741572">
          <w:pPr>
            <w:spacing w:line="278" w:lineRule="auto"/>
          </w:pPr>
          <w:r w:rsidRPr="00902140">
            <w:t xml:space="preserve">Jaworski, J. and Czerwonka, L. (2024) ‘Profitability and working capital management: a meta-study in macroeconomic and institutional conditions’, </w:t>
          </w:r>
          <w:r w:rsidRPr="00902140">
            <w:rPr>
              <w:i/>
              <w:iCs/>
            </w:rPr>
            <w:t>Decision</w:t>
          </w:r>
          <w:r w:rsidRPr="00902140">
            <w:t xml:space="preserve">, 51, pp. 123–145. Available at: </w:t>
          </w:r>
          <w:hyperlink r:id="rId18" w:tgtFrame="_new" w:history="1">
            <w:r w:rsidRPr="00902140">
              <w:rPr>
                <w:rStyle w:val="Hyperlink"/>
              </w:rPr>
              <w:t>https://doi.org/10.1007/s40622-023-00372-x</w:t>
            </w:r>
          </w:hyperlink>
        </w:p>
        <w:p w14:paraId="334B9508" w14:textId="77777777" w:rsidR="00741572" w:rsidRPr="00902140" w:rsidRDefault="00741572" w:rsidP="00741572">
          <w:pPr>
            <w:spacing w:line="278" w:lineRule="auto"/>
          </w:pPr>
          <w:r w:rsidRPr="00902140">
            <w:t xml:space="preserve">Kieschnick, R., LaPlante, M. and Moussawi, R. (2013) ‘Working capital management and shareholders’ wealth’, </w:t>
          </w:r>
          <w:r w:rsidRPr="00902140">
            <w:rPr>
              <w:i/>
              <w:iCs/>
            </w:rPr>
            <w:t>Review of Finance</w:t>
          </w:r>
          <w:r w:rsidRPr="00902140">
            <w:t xml:space="preserve">, 17(5), pp. 1827–1852. Available at: </w:t>
          </w:r>
          <w:hyperlink r:id="rId19" w:tgtFrame="_new" w:history="1">
            <w:r w:rsidRPr="00902140">
              <w:rPr>
                <w:rStyle w:val="Hyperlink"/>
              </w:rPr>
              <w:t>https://doi.org/10.1093/rof/rfs043</w:t>
            </w:r>
          </w:hyperlink>
        </w:p>
        <w:p w14:paraId="75A1317D" w14:textId="77777777" w:rsidR="00741572" w:rsidRPr="00902140" w:rsidRDefault="00741572" w:rsidP="00741572">
          <w:pPr>
            <w:spacing w:line="278" w:lineRule="auto"/>
          </w:pPr>
          <w:proofErr w:type="spellStart"/>
          <w:r w:rsidRPr="00902140">
            <w:lastRenderedPageBreak/>
            <w:t>Kiymaz</w:t>
          </w:r>
          <w:proofErr w:type="spellEnd"/>
          <w:r w:rsidRPr="00902140">
            <w:t xml:space="preserve">, H., Haque, S. and Choudhury, A.A. (2024) ‘Working capital management and firm performance: a comparative analysis of developed and emerging economies’, </w:t>
          </w:r>
          <w:r w:rsidRPr="00902140">
            <w:rPr>
              <w:i/>
              <w:iCs/>
            </w:rPr>
            <w:t>Borsa Istanbul Review</w:t>
          </w:r>
          <w:r w:rsidRPr="00902140">
            <w:t xml:space="preserve">, 24(3), pp. 634–642. Available at: </w:t>
          </w:r>
          <w:hyperlink r:id="rId20" w:tgtFrame="_new" w:history="1">
            <w:r w:rsidRPr="00902140">
              <w:rPr>
                <w:rStyle w:val="Hyperlink"/>
              </w:rPr>
              <w:t>https://doi.org/10.1016/j.bir.2024.03.004</w:t>
            </w:r>
          </w:hyperlink>
        </w:p>
        <w:p w14:paraId="43F48398" w14:textId="77777777" w:rsidR="00741572" w:rsidRPr="00902140" w:rsidRDefault="00741572" w:rsidP="00741572">
          <w:pPr>
            <w:spacing w:line="278" w:lineRule="auto"/>
          </w:pPr>
          <w:r w:rsidRPr="00902140">
            <w:t xml:space="preserve">Palepu, K.G., Healy, P.M. and Peek, E. (2025) </w:t>
          </w:r>
          <w:r w:rsidRPr="00902140">
            <w:rPr>
              <w:i/>
              <w:iCs/>
            </w:rPr>
            <w:t>Business analysis and valuation: IFRS edition</w:t>
          </w:r>
          <w:r w:rsidRPr="00902140">
            <w:t xml:space="preserve">. 7th </w:t>
          </w:r>
          <w:proofErr w:type="spellStart"/>
          <w:r w:rsidRPr="00902140">
            <w:t>edn</w:t>
          </w:r>
          <w:proofErr w:type="spellEnd"/>
          <w:r w:rsidRPr="00902140">
            <w:t>. Andover: Cengage Learning.</w:t>
          </w:r>
        </w:p>
        <w:p w14:paraId="16692960" w14:textId="77777777" w:rsidR="00741572" w:rsidRPr="00902140" w:rsidRDefault="00741572" w:rsidP="00741572">
          <w:pPr>
            <w:spacing w:line="278" w:lineRule="auto"/>
          </w:pPr>
          <w:r w:rsidRPr="00902140">
            <w:t xml:space="preserve">Penman, S.H. (2013) </w:t>
          </w:r>
          <w:r w:rsidRPr="00902140">
            <w:rPr>
              <w:i/>
              <w:iCs/>
            </w:rPr>
            <w:t>Financial statement analysis and security valuation</w:t>
          </w:r>
          <w:r w:rsidRPr="00902140">
            <w:t xml:space="preserve">. 5th </w:t>
          </w:r>
          <w:proofErr w:type="spellStart"/>
          <w:r w:rsidRPr="00902140">
            <w:t>edn</w:t>
          </w:r>
          <w:proofErr w:type="spellEnd"/>
          <w:r w:rsidRPr="00902140">
            <w:t>. New York, NY: McGraw-Hill/Irwin.</w:t>
          </w:r>
        </w:p>
        <w:p w14:paraId="5B650278" w14:textId="02E27283" w:rsidR="00741572" w:rsidRPr="00902140" w:rsidRDefault="00741572" w:rsidP="00741572">
          <w:pPr>
            <w:spacing w:line="278" w:lineRule="auto"/>
          </w:pPr>
          <w:r w:rsidRPr="00902140">
            <w:t xml:space="preserve">Siziba, S. and Hall, J.H. (2024) ‘NPV, IRR, PI, PP, and DPP: a unified view’, </w:t>
          </w:r>
          <w:r w:rsidRPr="00902140">
            <w:rPr>
              <w:i/>
              <w:iCs/>
            </w:rPr>
            <w:t>Journal of Corporate Finance</w:t>
          </w:r>
          <w:r w:rsidRPr="00902140">
            <w:t xml:space="preserve">. Available at: </w:t>
          </w:r>
          <w:hyperlink r:id="rId21" w:tgtFrame="_new" w:history="1">
            <w:r w:rsidRPr="00902140">
              <w:rPr>
                <w:rStyle w:val="Hyperlink"/>
              </w:rPr>
              <w:t>https://www.sciencedirect.com/science/article/abs/pii/S0304406824000545</w:t>
            </w:r>
          </w:hyperlink>
          <w:r w:rsidRPr="00902140">
            <w:t xml:space="preserve"> (Accessed: 1</w:t>
          </w:r>
          <w:r w:rsidRPr="00E75112">
            <w:t>8</w:t>
          </w:r>
          <w:r w:rsidRPr="00902140">
            <w:t xml:space="preserve"> April 2026).</w:t>
          </w:r>
        </w:p>
        <w:p w14:paraId="4D1C9115" w14:textId="77777777" w:rsidR="00741572" w:rsidRPr="00902140" w:rsidRDefault="00741572" w:rsidP="00741572">
          <w:pPr>
            <w:spacing w:line="278" w:lineRule="auto"/>
          </w:pPr>
          <w:r w:rsidRPr="00902140">
            <w:t xml:space="preserve">Subramanyam, K.R. (2014) </w:t>
          </w:r>
          <w:r w:rsidRPr="00902140">
            <w:rPr>
              <w:i/>
              <w:iCs/>
            </w:rPr>
            <w:t>Financial statement analysis</w:t>
          </w:r>
          <w:r w:rsidRPr="00902140">
            <w:t xml:space="preserve">. 11th </w:t>
          </w:r>
          <w:proofErr w:type="spellStart"/>
          <w:r w:rsidRPr="00902140">
            <w:t>edn</w:t>
          </w:r>
          <w:proofErr w:type="spellEnd"/>
          <w:r w:rsidRPr="00902140">
            <w:t>. New York, NY: McGraw-Hill Education.</w:t>
          </w:r>
        </w:p>
        <w:p w14:paraId="5BF6A426" w14:textId="77777777" w:rsidR="00741572" w:rsidRPr="00902140" w:rsidRDefault="00741572" w:rsidP="00741572">
          <w:pPr>
            <w:spacing w:line="278" w:lineRule="auto"/>
          </w:pPr>
          <w:r w:rsidRPr="00902140">
            <w:t xml:space="preserve">Unilever PLC (2025a) </w:t>
          </w:r>
          <w:r w:rsidRPr="00902140">
            <w:rPr>
              <w:i/>
              <w:iCs/>
            </w:rPr>
            <w:t>Annual Report and Accounts 2025</w:t>
          </w:r>
          <w:r w:rsidRPr="00902140">
            <w:t xml:space="preserve">. London: Unilever PLC. Available at: </w:t>
          </w:r>
          <w:hyperlink r:id="rId22" w:tgtFrame="_new" w:history="1">
            <w:r w:rsidRPr="00902140">
              <w:rPr>
                <w:rStyle w:val="Hyperlink"/>
              </w:rPr>
              <w:t>https://www.unilever.com/files/unilever-annual-report-and-accounts-2025.pdf</w:t>
            </w:r>
          </w:hyperlink>
          <w:r w:rsidRPr="00902140">
            <w:t xml:space="preserve"> (Accessed: 19 April 2026).</w:t>
          </w:r>
        </w:p>
        <w:p w14:paraId="2004379F" w14:textId="77777777" w:rsidR="00741572" w:rsidRPr="00902140" w:rsidRDefault="00741572" w:rsidP="00741572">
          <w:pPr>
            <w:spacing w:line="278" w:lineRule="auto"/>
          </w:pPr>
          <w:r w:rsidRPr="00902140">
            <w:t xml:space="preserve">Unilever PLC (2025b) </w:t>
          </w:r>
          <w:r w:rsidRPr="00902140">
            <w:rPr>
              <w:i/>
              <w:iCs/>
            </w:rPr>
            <w:t>Annual Report on Form 20-F 2025</w:t>
          </w:r>
          <w:r w:rsidRPr="00902140">
            <w:t xml:space="preserve">. London: Unilever PLC. Available at: </w:t>
          </w:r>
          <w:hyperlink r:id="rId23" w:tgtFrame="_new" w:history="1">
            <w:r w:rsidRPr="00902140">
              <w:rPr>
                <w:rStyle w:val="Hyperlink"/>
              </w:rPr>
              <w:t>https://www.unilever.com/files/unilever-annual-report-on-form-20-f-2025.pdf</w:t>
            </w:r>
          </w:hyperlink>
          <w:r w:rsidRPr="00902140">
            <w:t xml:space="preserve"> (Accessed: 19 April 2026).</w:t>
          </w:r>
        </w:p>
        <w:p w14:paraId="5CD6A53A" w14:textId="77777777" w:rsidR="00741572" w:rsidRPr="00902140" w:rsidRDefault="00741572" w:rsidP="00741572">
          <w:pPr>
            <w:spacing w:line="278" w:lineRule="auto"/>
          </w:pPr>
          <w:proofErr w:type="spellStart"/>
          <w:r w:rsidRPr="00902140">
            <w:t>Vernimmen</w:t>
          </w:r>
          <w:proofErr w:type="spellEnd"/>
          <w:r w:rsidRPr="00902140">
            <w:t xml:space="preserve">, P., </w:t>
          </w:r>
          <w:proofErr w:type="spellStart"/>
          <w:r w:rsidRPr="00902140">
            <w:t>Quiry</w:t>
          </w:r>
          <w:proofErr w:type="spellEnd"/>
          <w:r w:rsidRPr="00902140">
            <w:t xml:space="preserve">, P., Dallocchio, M., Le Fur, Y. and Salvi, A. (2022) </w:t>
          </w:r>
          <w:r w:rsidRPr="00902140">
            <w:rPr>
              <w:i/>
              <w:iCs/>
            </w:rPr>
            <w:t>Corporate finance: theory and practice</w:t>
          </w:r>
          <w:r w:rsidRPr="00902140">
            <w:t xml:space="preserve">. 6th </w:t>
          </w:r>
          <w:proofErr w:type="spellStart"/>
          <w:r w:rsidRPr="00902140">
            <w:t>edn</w:t>
          </w:r>
          <w:proofErr w:type="spellEnd"/>
          <w:r w:rsidRPr="00902140">
            <w:t>. Hoboken, NJ: Wiley.</w:t>
          </w:r>
        </w:p>
        <w:p w14:paraId="318D9370" w14:textId="77777777" w:rsidR="00741572" w:rsidRPr="00902140" w:rsidRDefault="00741572" w:rsidP="00741572">
          <w:pPr>
            <w:spacing w:line="278" w:lineRule="auto"/>
          </w:pPr>
          <w:r w:rsidRPr="00902140">
            <w:t xml:space="preserve">Weygandt, J.J., Kimmel, P.D. and Martin, D.E. (2023) </w:t>
          </w:r>
          <w:r w:rsidRPr="00902140">
            <w:rPr>
              <w:i/>
              <w:iCs/>
            </w:rPr>
            <w:t>Financial accounting: IFRS edition</w:t>
          </w:r>
          <w:r w:rsidRPr="00902140">
            <w:t xml:space="preserve">. 5th </w:t>
          </w:r>
          <w:proofErr w:type="spellStart"/>
          <w:r w:rsidRPr="00902140">
            <w:t>edn</w:t>
          </w:r>
          <w:proofErr w:type="spellEnd"/>
          <w:r w:rsidRPr="00902140">
            <w:t>. Hoboken, NJ: Wiley.</w:t>
          </w:r>
        </w:p>
        <w:p w14:paraId="1F5E02B6" w14:textId="77777777" w:rsidR="00741572" w:rsidRDefault="00741572" w:rsidP="00741572"/>
        <w:p w14:paraId="7F890C1F" w14:textId="77777777" w:rsidR="00CA09F3" w:rsidRDefault="00000000"/>
      </w:sdtContent>
    </w:sdt>
    <w:p w14:paraId="1E418EE2" w14:textId="77777777" w:rsidR="00CF0E48" w:rsidRDefault="00CF0E48"/>
    <w:p w14:paraId="493C784B" w14:textId="77777777" w:rsidR="00CF0E48" w:rsidRDefault="00CF0E48"/>
    <w:p w14:paraId="35C7F415" w14:textId="77777777" w:rsidR="00CF0E48" w:rsidRDefault="00CF0E48"/>
    <w:p w14:paraId="365813D8" w14:textId="77777777" w:rsidR="00CF0E48" w:rsidRDefault="00CF0E48"/>
    <w:p w14:paraId="0B40F6B3" w14:textId="77777777" w:rsidR="00CF0E48" w:rsidRDefault="00CF0E48"/>
    <w:p w14:paraId="3A0F8A35" w14:textId="77777777" w:rsidR="00CF0E48" w:rsidRDefault="00CF0E48"/>
    <w:p w14:paraId="0982A9AD" w14:textId="77777777" w:rsidR="00CF0E48" w:rsidRDefault="00CF0E48"/>
    <w:p w14:paraId="3800EC8D" w14:textId="77777777" w:rsidR="00CF0E48" w:rsidRDefault="00CF0E48"/>
    <w:p w14:paraId="3DB2A612" w14:textId="77777777" w:rsidR="00CF0E48" w:rsidRDefault="00CF0E48"/>
    <w:p w14:paraId="6C7E6260" w14:textId="77777777" w:rsidR="00CF0E48" w:rsidRDefault="00CF0E48"/>
    <w:p w14:paraId="1F4145EA" w14:textId="452E1343" w:rsidR="00CF0E48" w:rsidRDefault="00CF0E48" w:rsidP="00CF0E48">
      <w:pPr>
        <w:pStyle w:val="Heading1"/>
      </w:pPr>
      <w:bookmarkStart w:id="5" w:name="_Toc178766399"/>
      <w:r>
        <w:lastRenderedPageBreak/>
        <w:t>Appendix</w:t>
      </w:r>
      <w:bookmarkEnd w:id="5"/>
    </w:p>
    <w:p w14:paraId="45FB3CF4" w14:textId="77777777" w:rsidR="00EC2A13" w:rsidRDefault="00EC2A13" w:rsidP="00EC2A13"/>
    <w:p w14:paraId="3525B209" w14:textId="77777777" w:rsidR="00EC2A13" w:rsidRPr="00EC2A13" w:rsidRDefault="00EC2A13" w:rsidP="00EC2A13">
      <w:r w:rsidRPr="00EC2A13">
        <w:rPr>
          <w:b/>
          <w:bCs/>
        </w:rPr>
        <w:t>Appendix A: Financial Statements – Unilever plc (2024–2025)</w:t>
      </w:r>
    </w:p>
    <w:p w14:paraId="022BD253" w14:textId="77777777" w:rsidR="00EC2A13" w:rsidRPr="00EC2A13" w:rsidRDefault="00EC2A13" w:rsidP="00EC2A13">
      <w:r w:rsidRPr="00EC2A13">
        <w:rPr>
          <w:b/>
          <w:bCs/>
        </w:rPr>
        <w:t>A1: Consolidated Income Statement</w:t>
      </w:r>
      <w:r w:rsidRPr="00EC2A13">
        <w:br/>
        <w:t>Extract from Unilever plc Annual Report and Accounts 2025 showing the consolidated income statement for 2025 and the comparative 2024 figures.</w:t>
      </w:r>
    </w:p>
    <w:p w14:paraId="11493792" w14:textId="20B9F9D3" w:rsidR="00EC2A13" w:rsidRDefault="00EC2A13" w:rsidP="00EC2A13">
      <w:r w:rsidRPr="00DC5614">
        <w:rPr>
          <w:noProof/>
        </w:rPr>
        <w:drawing>
          <wp:inline distT="0" distB="0" distL="0" distR="0" wp14:anchorId="19B1E09B" wp14:editId="580262B0">
            <wp:extent cx="4867954" cy="4744112"/>
            <wp:effectExtent l="0" t="0" r="8890" b="0"/>
            <wp:docPr id="1449766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766083" name=""/>
                    <pic:cNvPicPr/>
                  </pic:nvPicPr>
                  <pic:blipFill>
                    <a:blip r:embed="rId24"/>
                    <a:stretch>
                      <a:fillRect/>
                    </a:stretch>
                  </pic:blipFill>
                  <pic:spPr>
                    <a:xfrm>
                      <a:off x="0" y="0"/>
                      <a:ext cx="4867954" cy="4744112"/>
                    </a:xfrm>
                    <a:prstGeom prst="rect">
                      <a:avLst/>
                    </a:prstGeom>
                  </pic:spPr>
                </pic:pic>
              </a:graphicData>
            </a:graphic>
          </wp:inline>
        </w:drawing>
      </w:r>
    </w:p>
    <w:p w14:paraId="2ED759D6" w14:textId="36BC4818" w:rsidR="00EC2A13" w:rsidRDefault="00EC2A13" w:rsidP="00EC2A13">
      <w:r w:rsidRPr="00EC2A13">
        <w:rPr>
          <w:b/>
          <w:bCs/>
        </w:rPr>
        <w:t>A2: Consolidated Balance Sheet</w:t>
      </w:r>
      <w:r w:rsidRPr="00EC2A13">
        <w:br/>
        <w:t>Extract from Unilever plc Annual Report and Accounts 2025 showing the consolidated balance sheet for 2025 and the comparative 2024 figures.</w:t>
      </w:r>
    </w:p>
    <w:p w14:paraId="118CA635" w14:textId="1D0B0F92" w:rsidR="00EC2A13" w:rsidRDefault="00EC2A13" w:rsidP="00EC2A13">
      <w:r w:rsidRPr="00DC5614">
        <w:rPr>
          <w:noProof/>
        </w:rPr>
        <w:lastRenderedPageBreak/>
        <w:drawing>
          <wp:inline distT="0" distB="0" distL="0" distR="0" wp14:anchorId="4C6112E7" wp14:editId="431F10F8">
            <wp:extent cx="4820323" cy="5563376"/>
            <wp:effectExtent l="0" t="0" r="0" b="0"/>
            <wp:docPr id="1287792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792481" name=""/>
                    <pic:cNvPicPr/>
                  </pic:nvPicPr>
                  <pic:blipFill>
                    <a:blip r:embed="rId25"/>
                    <a:stretch>
                      <a:fillRect/>
                    </a:stretch>
                  </pic:blipFill>
                  <pic:spPr>
                    <a:xfrm>
                      <a:off x="0" y="0"/>
                      <a:ext cx="4820323" cy="5563376"/>
                    </a:xfrm>
                    <a:prstGeom prst="rect">
                      <a:avLst/>
                    </a:prstGeom>
                  </pic:spPr>
                </pic:pic>
              </a:graphicData>
            </a:graphic>
          </wp:inline>
        </w:drawing>
      </w:r>
    </w:p>
    <w:p w14:paraId="74CC9D95" w14:textId="77777777" w:rsidR="00EC2A13" w:rsidRDefault="00EC2A13" w:rsidP="00EC2A13"/>
    <w:p w14:paraId="1D5073B2" w14:textId="08895172" w:rsidR="00EC2A13" w:rsidRDefault="00EC2A13" w:rsidP="00EC2A13">
      <w:r w:rsidRPr="00EC2A13">
        <w:rPr>
          <w:b/>
          <w:bCs/>
        </w:rPr>
        <w:t>A3: Consolidated Cash Flow Statement</w:t>
      </w:r>
      <w:r w:rsidRPr="00EC2A13">
        <w:br/>
        <w:t>Extract from Unilever plc Annual Report and Accounts 2025 showing the consolidated cash flow statement for 2025 and the comparative 2024 figures.</w:t>
      </w:r>
    </w:p>
    <w:p w14:paraId="311097C0" w14:textId="649A5C9E" w:rsidR="00EC2A13" w:rsidRDefault="00EC2A13" w:rsidP="00EC2A13">
      <w:r w:rsidRPr="00FA346C">
        <w:lastRenderedPageBreak/>
        <w:drawing>
          <wp:inline distT="0" distB="0" distL="0" distR="0" wp14:anchorId="10DFF843" wp14:editId="36D10565">
            <wp:extent cx="5731510" cy="7056755"/>
            <wp:effectExtent l="0" t="0" r="2540" b="0"/>
            <wp:docPr id="2058435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435720" name=""/>
                    <pic:cNvPicPr/>
                  </pic:nvPicPr>
                  <pic:blipFill>
                    <a:blip r:embed="rId26"/>
                    <a:stretch>
                      <a:fillRect/>
                    </a:stretch>
                  </pic:blipFill>
                  <pic:spPr>
                    <a:xfrm>
                      <a:off x="0" y="0"/>
                      <a:ext cx="5731510" cy="7056755"/>
                    </a:xfrm>
                    <a:prstGeom prst="rect">
                      <a:avLst/>
                    </a:prstGeom>
                  </pic:spPr>
                </pic:pic>
              </a:graphicData>
            </a:graphic>
          </wp:inline>
        </w:drawing>
      </w:r>
    </w:p>
    <w:p w14:paraId="2E5FB029" w14:textId="77777777" w:rsidR="00EC2A13" w:rsidRDefault="00EC2A13" w:rsidP="00EC2A13"/>
    <w:p w14:paraId="209816B0" w14:textId="77777777" w:rsidR="00EC2A13" w:rsidRDefault="00EC2A13" w:rsidP="00EC2A13"/>
    <w:p w14:paraId="08C69711" w14:textId="77777777" w:rsidR="00EC2A13" w:rsidRPr="00EC2A13" w:rsidRDefault="00EC2A13" w:rsidP="00EC2A13">
      <w:r w:rsidRPr="00EC2A13">
        <w:rPr>
          <w:b/>
          <w:bCs/>
        </w:rPr>
        <w:t>Appendix B: Summary of Financial Ratios (2024–2025)</w:t>
      </w:r>
    </w:p>
    <w:p w14:paraId="77080B9E" w14:textId="29534133" w:rsidR="00EC2A13" w:rsidRDefault="00A92485" w:rsidP="00EC2A13">
      <w:r w:rsidRPr="00A92485">
        <w:t xml:space="preserve">This appendix presents the financial ratios calculated for Unilever plc for the years 2024 and 2025, based on the Consolidated Income Statement, Consolidated Balance Sheet and relevant notes in the Unilever plc Annual Report and Accounts 2025. </w:t>
      </w:r>
    </w:p>
    <w:p w14:paraId="3881F5DA" w14:textId="77777777" w:rsidR="00A92485" w:rsidRPr="00A92485" w:rsidRDefault="00A92485" w:rsidP="00A92485">
      <w:pPr>
        <w:rPr>
          <w:b/>
          <w:bCs/>
        </w:rPr>
      </w:pPr>
      <w:r w:rsidRPr="00A92485">
        <w:rPr>
          <w:b/>
          <w:bCs/>
        </w:rPr>
        <w:t>B1: Profitability Ratios</w:t>
      </w:r>
    </w:p>
    <w:p w14:paraId="6E3A99EF" w14:textId="77777777" w:rsidR="00A92485" w:rsidRDefault="00A92485" w:rsidP="00EC2A13"/>
    <w:tbl>
      <w:tblPr>
        <w:tblW w:w="0" w:type="auto"/>
        <w:tblCellSpacing w:w="15" w:type="dxa"/>
        <w:tblBorders>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22"/>
        <w:gridCol w:w="5001"/>
        <w:gridCol w:w="739"/>
        <w:gridCol w:w="754"/>
      </w:tblGrid>
      <w:tr w:rsidR="00A92485" w:rsidRPr="00A92485" w14:paraId="23D9086E" w14:textId="77777777" w:rsidTr="00A92485">
        <w:trPr>
          <w:tblHeader/>
          <w:tblCellSpacing w:w="15" w:type="dxa"/>
        </w:trPr>
        <w:tc>
          <w:tcPr>
            <w:tcW w:w="0" w:type="auto"/>
            <w:vAlign w:val="center"/>
            <w:hideMark/>
          </w:tcPr>
          <w:p w14:paraId="338136E8" w14:textId="77777777" w:rsidR="00A92485" w:rsidRPr="00A92485" w:rsidRDefault="00A92485" w:rsidP="00A92485">
            <w:pPr>
              <w:rPr>
                <w:b/>
                <w:bCs/>
              </w:rPr>
            </w:pPr>
            <w:r w:rsidRPr="00A92485">
              <w:rPr>
                <w:b/>
                <w:bCs/>
              </w:rPr>
              <w:t>Ratio</w:t>
            </w:r>
          </w:p>
        </w:tc>
        <w:tc>
          <w:tcPr>
            <w:tcW w:w="0" w:type="auto"/>
            <w:vAlign w:val="center"/>
            <w:hideMark/>
          </w:tcPr>
          <w:p w14:paraId="7F24336D" w14:textId="77777777" w:rsidR="00A92485" w:rsidRPr="00A92485" w:rsidRDefault="00A92485" w:rsidP="00A92485">
            <w:pPr>
              <w:rPr>
                <w:b/>
                <w:bCs/>
              </w:rPr>
            </w:pPr>
            <w:r w:rsidRPr="00A92485">
              <w:rPr>
                <w:b/>
                <w:bCs/>
              </w:rPr>
              <w:t>Formula</w:t>
            </w:r>
          </w:p>
        </w:tc>
        <w:tc>
          <w:tcPr>
            <w:tcW w:w="0" w:type="auto"/>
            <w:vAlign w:val="center"/>
            <w:hideMark/>
          </w:tcPr>
          <w:p w14:paraId="2AD5D1F0" w14:textId="77777777" w:rsidR="00A92485" w:rsidRPr="00A92485" w:rsidRDefault="00A92485" w:rsidP="00A92485">
            <w:pPr>
              <w:rPr>
                <w:b/>
                <w:bCs/>
              </w:rPr>
            </w:pPr>
            <w:r w:rsidRPr="00A92485">
              <w:rPr>
                <w:b/>
                <w:bCs/>
              </w:rPr>
              <w:t>2024</w:t>
            </w:r>
          </w:p>
        </w:tc>
        <w:tc>
          <w:tcPr>
            <w:tcW w:w="0" w:type="auto"/>
            <w:vAlign w:val="center"/>
            <w:hideMark/>
          </w:tcPr>
          <w:p w14:paraId="67E3A90B" w14:textId="77777777" w:rsidR="00A92485" w:rsidRPr="00A92485" w:rsidRDefault="00A92485" w:rsidP="00A92485">
            <w:pPr>
              <w:rPr>
                <w:b/>
                <w:bCs/>
              </w:rPr>
            </w:pPr>
            <w:r w:rsidRPr="00A92485">
              <w:rPr>
                <w:b/>
                <w:bCs/>
              </w:rPr>
              <w:t>2025</w:t>
            </w:r>
          </w:p>
        </w:tc>
      </w:tr>
      <w:tr w:rsidR="00A92485" w:rsidRPr="00A92485" w14:paraId="0A671BAF" w14:textId="77777777" w:rsidTr="00A92485">
        <w:trPr>
          <w:tblCellSpacing w:w="15" w:type="dxa"/>
        </w:trPr>
        <w:tc>
          <w:tcPr>
            <w:tcW w:w="0" w:type="auto"/>
            <w:vAlign w:val="center"/>
            <w:hideMark/>
          </w:tcPr>
          <w:p w14:paraId="582519FC" w14:textId="77777777" w:rsidR="00A92485" w:rsidRPr="00A92485" w:rsidRDefault="00A92485" w:rsidP="00A92485">
            <w:r w:rsidRPr="00A92485">
              <w:t>Gross Profit Margin</w:t>
            </w:r>
          </w:p>
        </w:tc>
        <w:tc>
          <w:tcPr>
            <w:tcW w:w="0" w:type="auto"/>
            <w:vAlign w:val="center"/>
            <w:hideMark/>
          </w:tcPr>
          <w:p w14:paraId="2262B0F7" w14:textId="77777777" w:rsidR="00A92485" w:rsidRPr="00A92485" w:rsidRDefault="00A92485" w:rsidP="00A92485">
            <w:r w:rsidRPr="00A92485">
              <w:t>Gross / Sales × 100</w:t>
            </w:r>
          </w:p>
        </w:tc>
        <w:tc>
          <w:tcPr>
            <w:tcW w:w="0" w:type="auto"/>
            <w:vAlign w:val="center"/>
            <w:hideMark/>
          </w:tcPr>
          <w:p w14:paraId="3F2BB418" w14:textId="77777777" w:rsidR="00A92485" w:rsidRPr="00A92485" w:rsidRDefault="00A92485" w:rsidP="00A92485">
            <w:r w:rsidRPr="00A92485">
              <w:t>46.69%</w:t>
            </w:r>
          </w:p>
        </w:tc>
        <w:tc>
          <w:tcPr>
            <w:tcW w:w="0" w:type="auto"/>
            <w:vAlign w:val="center"/>
            <w:hideMark/>
          </w:tcPr>
          <w:p w14:paraId="0AA8D7AF" w14:textId="77777777" w:rsidR="00A92485" w:rsidRPr="00A92485" w:rsidRDefault="00A92485" w:rsidP="00A92485">
            <w:r w:rsidRPr="00A92485">
              <w:t>46.95%</w:t>
            </w:r>
          </w:p>
        </w:tc>
      </w:tr>
      <w:tr w:rsidR="00A92485" w:rsidRPr="00A92485" w14:paraId="07266E88" w14:textId="77777777" w:rsidTr="00A92485">
        <w:trPr>
          <w:tblCellSpacing w:w="15" w:type="dxa"/>
        </w:trPr>
        <w:tc>
          <w:tcPr>
            <w:tcW w:w="0" w:type="auto"/>
            <w:vAlign w:val="center"/>
            <w:hideMark/>
          </w:tcPr>
          <w:p w14:paraId="309DCA83" w14:textId="77777777" w:rsidR="00A92485" w:rsidRPr="00A92485" w:rsidRDefault="00A92485" w:rsidP="00A92485">
            <w:r w:rsidRPr="00A92485">
              <w:t>Net Profit Margin</w:t>
            </w:r>
          </w:p>
        </w:tc>
        <w:tc>
          <w:tcPr>
            <w:tcW w:w="0" w:type="auto"/>
            <w:vAlign w:val="center"/>
            <w:hideMark/>
          </w:tcPr>
          <w:p w14:paraId="306ED770" w14:textId="77777777" w:rsidR="00A92485" w:rsidRPr="00A92485" w:rsidRDefault="00A92485" w:rsidP="00A92485">
            <w:r w:rsidRPr="00A92485">
              <w:t>Operating Profit / Sales × 100</w:t>
            </w:r>
          </w:p>
        </w:tc>
        <w:tc>
          <w:tcPr>
            <w:tcW w:w="0" w:type="auto"/>
            <w:vAlign w:val="center"/>
            <w:hideMark/>
          </w:tcPr>
          <w:p w14:paraId="274BA0FB" w14:textId="77777777" w:rsidR="00A92485" w:rsidRPr="00A92485" w:rsidRDefault="00A92485" w:rsidP="00A92485">
            <w:r w:rsidRPr="00A92485">
              <w:t>16.82%</w:t>
            </w:r>
          </w:p>
        </w:tc>
        <w:tc>
          <w:tcPr>
            <w:tcW w:w="0" w:type="auto"/>
            <w:vAlign w:val="center"/>
            <w:hideMark/>
          </w:tcPr>
          <w:p w14:paraId="1B6B86FE" w14:textId="77777777" w:rsidR="00A92485" w:rsidRPr="00A92485" w:rsidRDefault="00A92485" w:rsidP="00A92485">
            <w:r w:rsidRPr="00A92485">
              <w:t>17.89%</w:t>
            </w:r>
          </w:p>
        </w:tc>
      </w:tr>
      <w:tr w:rsidR="00A92485" w:rsidRPr="00A92485" w14:paraId="1ED1E6A7" w14:textId="77777777" w:rsidTr="00A92485">
        <w:trPr>
          <w:tblCellSpacing w:w="15" w:type="dxa"/>
        </w:trPr>
        <w:tc>
          <w:tcPr>
            <w:tcW w:w="0" w:type="auto"/>
            <w:vAlign w:val="center"/>
            <w:hideMark/>
          </w:tcPr>
          <w:p w14:paraId="686B09FB" w14:textId="77777777" w:rsidR="00A92485" w:rsidRPr="00A92485" w:rsidRDefault="00A92485" w:rsidP="00A92485">
            <w:r w:rsidRPr="00A92485">
              <w:t>Return on Capital Employed</w:t>
            </w:r>
          </w:p>
        </w:tc>
        <w:tc>
          <w:tcPr>
            <w:tcW w:w="0" w:type="auto"/>
            <w:vAlign w:val="center"/>
            <w:hideMark/>
          </w:tcPr>
          <w:p w14:paraId="6D6AD353" w14:textId="77777777" w:rsidR="00A92485" w:rsidRPr="00A92485" w:rsidRDefault="00A92485" w:rsidP="00A92485">
            <w:r w:rsidRPr="00A92485">
              <w:t>Operating Profit / (Total Assets - Current Liabilities) × 100</w:t>
            </w:r>
          </w:p>
        </w:tc>
        <w:tc>
          <w:tcPr>
            <w:tcW w:w="0" w:type="auto"/>
            <w:vAlign w:val="center"/>
            <w:hideMark/>
          </w:tcPr>
          <w:p w14:paraId="3639FBA2" w14:textId="77777777" w:rsidR="00A92485" w:rsidRPr="00A92485" w:rsidRDefault="00A92485" w:rsidP="00A92485">
            <w:r w:rsidRPr="00A92485">
              <w:t>16.20%</w:t>
            </w:r>
          </w:p>
        </w:tc>
        <w:tc>
          <w:tcPr>
            <w:tcW w:w="0" w:type="auto"/>
            <w:vAlign w:val="center"/>
            <w:hideMark/>
          </w:tcPr>
          <w:p w14:paraId="69773FA7" w14:textId="77777777" w:rsidR="00A92485" w:rsidRPr="00A92485" w:rsidRDefault="00A92485" w:rsidP="00A92485">
            <w:r w:rsidRPr="00A92485">
              <w:t>18.51%</w:t>
            </w:r>
          </w:p>
        </w:tc>
      </w:tr>
      <w:tr w:rsidR="00A92485" w:rsidRPr="00A92485" w14:paraId="5562D342" w14:textId="77777777" w:rsidTr="00A92485">
        <w:trPr>
          <w:tblCellSpacing w:w="15" w:type="dxa"/>
        </w:trPr>
        <w:tc>
          <w:tcPr>
            <w:tcW w:w="0" w:type="auto"/>
            <w:vAlign w:val="center"/>
            <w:hideMark/>
          </w:tcPr>
          <w:p w14:paraId="758A473E" w14:textId="77777777" w:rsidR="00A92485" w:rsidRPr="00A92485" w:rsidRDefault="00A92485" w:rsidP="00A92485">
            <w:r w:rsidRPr="00A92485">
              <w:t>Asset Turnover</w:t>
            </w:r>
          </w:p>
        </w:tc>
        <w:tc>
          <w:tcPr>
            <w:tcW w:w="0" w:type="auto"/>
            <w:vAlign w:val="center"/>
            <w:hideMark/>
          </w:tcPr>
          <w:p w14:paraId="54DC06AA" w14:textId="77777777" w:rsidR="00A92485" w:rsidRPr="00A92485" w:rsidRDefault="00A92485" w:rsidP="00A92485">
            <w:r w:rsidRPr="00A92485">
              <w:t>Sales / (Total Assets - Current Liabilities)</w:t>
            </w:r>
          </w:p>
        </w:tc>
        <w:tc>
          <w:tcPr>
            <w:tcW w:w="0" w:type="auto"/>
            <w:vAlign w:val="center"/>
            <w:hideMark/>
          </w:tcPr>
          <w:p w14:paraId="17F88C64" w14:textId="77777777" w:rsidR="00A92485" w:rsidRPr="00A92485" w:rsidRDefault="00A92485" w:rsidP="00A92485">
            <w:r w:rsidRPr="00A92485">
              <w:t>0.963x</w:t>
            </w:r>
          </w:p>
        </w:tc>
        <w:tc>
          <w:tcPr>
            <w:tcW w:w="0" w:type="auto"/>
            <w:vAlign w:val="center"/>
            <w:hideMark/>
          </w:tcPr>
          <w:p w14:paraId="352E89A2" w14:textId="77777777" w:rsidR="00A92485" w:rsidRPr="00A92485" w:rsidRDefault="00A92485" w:rsidP="00A92485">
            <w:r w:rsidRPr="00A92485">
              <w:t>1.035x</w:t>
            </w:r>
          </w:p>
        </w:tc>
      </w:tr>
      <w:tr w:rsidR="00A92485" w:rsidRPr="00A92485" w14:paraId="07A24AE3" w14:textId="77777777" w:rsidTr="00A92485">
        <w:trPr>
          <w:tblCellSpacing w:w="15" w:type="dxa"/>
        </w:trPr>
        <w:tc>
          <w:tcPr>
            <w:tcW w:w="0" w:type="auto"/>
            <w:vAlign w:val="center"/>
            <w:hideMark/>
          </w:tcPr>
          <w:p w14:paraId="4B4F68C9" w14:textId="77777777" w:rsidR="00A92485" w:rsidRPr="00A92485" w:rsidRDefault="00A92485" w:rsidP="00A92485">
            <w:r w:rsidRPr="00A92485">
              <w:t>Return on Owners’ Equity</w:t>
            </w:r>
          </w:p>
        </w:tc>
        <w:tc>
          <w:tcPr>
            <w:tcW w:w="0" w:type="auto"/>
            <w:vAlign w:val="center"/>
            <w:hideMark/>
          </w:tcPr>
          <w:p w14:paraId="4073D0BE" w14:textId="77777777" w:rsidR="00A92485" w:rsidRPr="00A92485" w:rsidRDefault="00A92485" w:rsidP="00A92485">
            <w:r w:rsidRPr="00A92485">
              <w:t>Profit after Tax / (Ordinary Share + Reserves) × 100</w:t>
            </w:r>
          </w:p>
        </w:tc>
        <w:tc>
          <w:tcPr>
            <w:tcW w:w="0" w:type="auto"/>
            <w:vAlign w:val="center"/>
            <w:hideMark/>
          </w:tcPr>
          <w:p w14:paraId="361BEE2D" w14:textId="77777777" w:rsidR="00A92485" w:rsidRPr="00A92485" w:rsidRDefault="00A92485" w:rsidP="00A92485">
            <w:r w:rsidRPr="00A92485">
              <w:t>26.77%</w:t>
            </w:r>
          </w:p>
        </w:tc>
        <w:tc>
          <w:tcPr>
            <w:tcW w:w="0" w:type="auto"/>
            <w:vAlign w:val="center"/>
            <w:hideMark/>
          </w:tcPr>
          <w:p w14:paraId="688D166D" w14:textId="77777777" w:rsidR="00A92485" w:rsidRPr="00A92485" w:rsidRDefault="00A92485" w:rsidP="00A92485">
            <w:r w:rsidRPr="00A92485">
              <w:t>35.33%</w:t>
            </w:r>
          </w:p>
        </w:tc>
      </w:tr>
    </w:tbl>
    <w:p w14:paraId="3B53B604" w14:textId="77777777" w:rsidR="00A92485" w:rsidRDefault="00A92485" w:rsidP="00EC2A13"/>
    <w:p w14:paraId="2CD9FD0F" w14:textId="77777777" w:rsidR="00A92485" w:rsidRPr="00A92485" w:rsidRDefault="00A92485" w:rsidP="00A92485">
      <w:pPr>
        <w:rPr>
          <w:b/>
          <w:bCs/>
        </w:rPr>
      </w:pPr>
      <w:r w:rsidRPr="00A92485">
        <w:rPr>
          <w:b/>
          <w:bCs/>
        </w:rPr>
        <w:t>B2: Liquidity Ratios</w:t>
      </w:r>
    </w:p>
    <w:p w14:paraId="3F6A77D2" w14:textId="77777777" w:rsidR="00A92485" w:rsidRDefault="00A92485" w:rsidP="00EC2A1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95"/>
        <w:gridCol w:w="3922"/>
        <w:gridCol w:w="527"/>
        <w:gridCol w:w="542"/>
      </w:tblGrid>
      <w:tr w:rsidR="00A92485" w:rsidRPr="00A92485" w14:paraId="653FFB5D" w14:textId="77777777" w:rsidTr="00A92485">
        <w:trPr>
          <w:tblHeader/>
          <w:tblCellSpacing w:w="15" w:type="dxa"/>
        </w:trPr>
        <w:tc>
          <w:tcPr>
            <w:tcW w:w="0" w:type="auto"/>
            <w:vAlign w:val="center"/>
            <w:hideMark/>
          </w:tcPr>
          <w:p w14:paraId="0E1D389C" w14:textId="77777777" w:rsidR="00A92485" w:rsidRPr="00A92485" w:rsidRDefault="00A92485" w:rsidP="00A92485">
            <w:pPr>
              <w:rPr>
                <w:b/>
                <w:bCs/>
              </w:rPr>
            </w:pPr>
            <w:r w:rsidRPr="00A92485">
              <w:rPr>
                <w:b/>
                <w:bCs/>
              </w:rPr>
              <w:t>Ratio</w:t>
            </w:r>
          </w:p>
        </w:tc>
        <w:tc>
          <w:tcPr>
            <w:tcW w:w="0" w:type="auto"/>
            <w:vAlign w:val="center"/>
            <w:hideMark/>
          </w:tcPr>
          <w:p w14:paraId="1211675B" w14:textId="77777777" w:rsidR="00A92485" w:rsidRPr="00A92485" w:rsidRDefault="00A92485" w:rsidP="00A92485">
            <w:pPr>
              <w:rPr>
                <w:b/>
                <w:bCs/>
              </w:rPr>
            </w:pPr>
            <w:r w:rsidRPr="00A92485">
              <w:rPr>
                <w:b/>
                <w:bCs/>
              </w:rPr>
              <w:t>Formula</w:t>
            </w:r>
          </w:p>
        </w:tc>
        <w:tc>
          <w:tcPr>
            <w:tcW w:w="0" w:type="auto"/>
            <w:vAlign w:val="center"/>
            <w:hideMark/>
          </w:tcPr>
          <w:p w14:paraId="40B6C7C1" w14:textId="77777777" w:rsidR="00A92485" w:rsidRPr="00A92485" w:rsidRDefault="00A92485" w:rsidP="00A92485">
            <w:pPr>
              <w:rPr>
                <w:b/>
                <w:bCs/>
              </w:rPr>
            </w:pPr>
            <w:r w:rsidRPr="00A92485">
              <w:rPr>
                <w:b/>
                <w:bCs/>
              </w:rPr>
              <w:t>2024</w:t>
            </w:r>
          </w:p>
        </w:tc>
        <w:tc>
          <w:tcPr>
            <w:tcW w:w="0" w:type="auto"/>
            <w:vAlign w:val="center"/>
            <w:hideMark/>
          </w:tcPr>
          <w:p w14:paraId="3F1A0BB5" w14:textId="77777777" w:rsidR="00A92485" w:rsidRPr="00A92485" w:rsidRDefault="00A92485" w:rsidP="00A92485">
            <w:pPr>
              <w:rPr>
                <w:b/>
                <w:bCs/>
              </w:rPr>
            </w:pPr>
            <w:r w:rsidRPr="00A92485">
              <w:rPr>
                <w:b/>
                <w:bCs/>
              </w:rPr>
              <w:t>2025</w:t>
            </w:r>
          </w:p>
        </w:tc>
      </w:tr>
      <w:tr w:rsidR="00A92485" w:rsidRPr="00A92485" w14:paraId="1A3F4523" w14:textId="77777777" w:rsidTr="00A92485">
        <w:trPr>
          <w:tblCellSpacing w:w="15" w:type="dxa"/>
        </w:trPr>
        <w:tc>
          <w:tcPr>
            <w:tcW w:w="0" w:type="auto"/>
            <w:vAlign w:val="center"/>
            <w:hideMark/>
          </w:tcPr>
          <w:p w14:paraId="629B0C1B" w14:textId="77777777" w:rsidR="00A92485" w:rsidRPr="00A92485" w:rsidRDefault="00A92485" w:rsidP="00A92485">
            <w:r w:rsidRPr="00A92485">
              <w:t>Current Ratio</w:t>
            </w:r>
          </w:p>
        </w:tc>
        <w:tc>
          <w:tcPr>
            <w:tcW w:w="0" w:type="auto"/>
            <w:vAlign w:val="center"/>
            <w:hideMark/>
          </w:tcPr>
          <w:p w14:paraId="712C422B" w14:textId="77777777" w:rsidR="00A92485" w:rsidRPr="00A92485" w:rsidRDefault="00A92485" w:rsidP="00A92485">
            <w:r w:rsidRPr="00A92485">
              <w:t>Current Assets / Current Liabilities</w:t>
            </w:r>
          </w:p>
        </w:tc>
        <w:tc>
          <w:tcPr>
            <w:tcW w:w="0" w:type="auto"/>
            <w:vAlign w:val="center"/>
            <w:hideMark/>
          </w:tcPr>
          <w:p w14:paraId="49F36E12" w14:textId="77777777" w:rsidR="00A92485" w:rsidRPr="00A92485" w:rsidRDefault="00A92485" w:rsidP="00A92485">
            <w:r w:rsidRPr="00A92485">
              <w:t>0.76</w:t>
            </w:r>
          </w:p>
        </w:tc>
        <w:tc>
          <w:tcPr>
            <w:tcW w:w="0" w:type="auto"/>
            <w:vAlign w:val="center"/>
            <w:hideMark/>
          </w:tcPr>
          <w:p w14:paraId="1AD28B86" w14:textId="77777777" w:rsidR="00A92485" w:rsidRPr="00A92485" w:rsidRDefault="00A92485" w:rsidP="00A92485">
            <w:r w:rsidRPr="00A92485">
              <w:t>0.79</w:t>
            </w:r>
          </w:p>
        </w:tc>
      </w:tr>
      <w:tr w:rsidR="00A92485" w:rsidRPr="00A92485" w14:paraId="04992691" w14:textId="77777777" w:rsidTr="00A92485">
        <w:trPr>
          <w:tblCellSpacing w:w="15" w:type="dxa"/>
        </w:trPr>
        <w:tc>
          <w:tcPr>
            <w:tcW w:w="0" w:type="auto"/>
            <w:vAlign w:val="center"/>
            <w:hideMark/>
          </w:tcPr>
          <w:p w14:paraId="084BFEB3" w14:textId="77777777" w:rsidR="00A92485" w:rsidRPr="00A92485" w:rsidRDefault="00A92485" w:rsidP="00A92485">
            <w:r w:rsidRPr="00A92485">
              <w:t>Acid Test</w:t>
            </w:r>
          </w:p>
        </w:tc>
        <w:tc>
          <w:tcPr>
            <w:tcW w:w="0" w:type="auto"/>
            <w:vAlign w:val="center"/>
            <w:hideMark/>
          </w:tcPr>
          <w:p w14:paraId="6676C83B" w14:textId="77777777" w:rsidR="00A92485" w:rsidRPr="00A92485" w:rsidRDefault="00A92485" w:rsidP="00A92485">
            <w:r w:rsidRPr="00A92485">
              <w:t>(Current Assets - Stock) / Current Liabilities</w:t>
            </w:r>
          </w:p>
        </w:tc>
        <w:tc>
          <w:tcPr>
            <w:tcW w:w="0" w:type="auto"/>
            <w:vAlign w:val="center"/>
            <w:hideMark/>
          </w:tcPr>
          <w:p w14:paraId="75EC69E7" w14:textId="77777777" w:rsidR="00A92485" w:rsidRPr="00A92485" w:rsidRDefault="00A92485" w:rsidP="00A92485">
            <w:r w:rsidRPr="00A92485">
              <w:t>0.56</w:t>
            </w:r>
          </w:p>
        </w:tc>
        <w:tc>
          <w:tcPr>
            <w:tcW w:w="0" w:type="auto"/>
            <w:vAlign w:val="center"/>
            <w:hideMark/>
          </w:tcPr>
          <w:p w14:paraId="09A7C765" w14:textId="77777777" w:rsidR="00A92485" w:rsidRPr="00A92485" w:rsidRDefault="00A92485" w:rsidP="00A92485">
            <w:r w:rsidRPr="00A92485">
              <w:t>0.60</w:t>
            </w:r>
          </w:p>
        </w:tc>
      </w:tr>
    </w:tbl>
    <w:p w14:paraId="4E872BEE" w14:textId="77777777" w:rsidR="00A92485" w:rsidRDefault="00A92485" w:rsidP="00EC2A13"/>
    <w:p w14:paraId="0F9A2E2D" w14:textId="77777777" w:rsidR="00A92485" w:rsidRPr="00A92485" w:rsidRDefault="00A92485" w:rsidP="00A92485">
      <w:pPr>
        <w:rPr>
          <w:b/>
          <w:bCs/>
        </w:rPr>
      </w:pPr>
      <w:r w:rsidRPr="00A92485">
        <w:rPr>
          <w:b/>
          <w:bCs/>
        </w:rPr>
        <w:t>B3: Efficiency Ratios</w:t>
      </w:r>
    </w:p>
    <w:p w14:paraId="3B6B875B" w14:textId="77777777" w:rsidR="00A92485" w:rsidRDefault="00A92485" w:rsidP="00EC2A1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54"/>
        <w:gridCol w:w="2759"/>
        <w:gridCol w:w="1150"/>
        <w:gridCol w:w="1165"/>
      </w:tblGrid>
      <w:tr w:rsidR="00A92485" w:rsidRPr="00A92485" w14:paraId="1C8613BE" w14:textId="77777777" w:rsidTr="00A92485">
        <w:trPr>
          <w:tblHeader/>
          <w:tblCellSpacing w:w="15" w:type="dxa"/>
        </w:trPr>
        <w:tc>
          <w:tcPr>
            <w:tcW w:w="0" w:type="auto"/>
            <w:vAlign w:val="center"/>
            <w:hideMark/>
          </w:tcPr>
          <w:p w14:paraId="3A39A7F1" w14:textId="77777777" w:rsidR="00A92485" w:rsidRPr="00A92485" w:rsidRDefault="00A92485" w:rsidP="00A92485">
            <w:pPr>
              <w:rPr>
                <w:b/>
                <w:bCs/>
              </w:rPr>
            </w:pPr>
            <w:r w:rsidRPr="00A92485">
              <w:rPr>
                <w:b/>
                <w:bCs/>
              </w:rPr>
              <w:t>Ratio</w:t>
            </w:r>
          </w:p>
        </w:tc>
        <w:tc>
          <w:tcPr>
            <w:tcW w:w="0" w:type="auto"/>
            <w:vAlign w:val="center"/>
            <w:hideMark/>
          </w:tcPr>
          <w:p w14:paraId="50ECACCE" w14:textId="77777777" w:rsidR="00A92485" w:rsidRPr="00A92485" w:rsidRDefault="00A92485" w:rsidP="00A92485">
            <w:pPr>
              <w:rPr>
                <w:b/>
                <w:bCs/>
              </w:rPr>
            </w:pPr>
            <w:r w:rsidRPr="00A92485">
              <w:rPr>
                <w:b/>
                <w:bCs/>
              </w:rPr>
              <w:t>Formula</w:t>
            </w:r>
          </w:p>
        </w:tc>
        <w:tc>
          <w:tcPr>
            <w:tcW w:w="0" w:type="auto"/>
            <w:vAlign w:val="center"/>
            <w:hideMark/>
          </w:tcPr>
          <w:p w14:paraId="22AE3607" w14:textId="77777777" w:rsidR="00A92485" w:rsidRPr="00A92485" w:rsidRDefault="00A92485" w:rsidP="00A92485">
            <w:pPr>
              <w:rPr>
                <w:b/>
                <w:bCs/>
              </w:rPr>
            </w:pPr>
            <w:r w:rsidRPr="00A92485">
              <w:rPr>
                <w:b/>
                <w:bCs/>
              </w:rPr>
              <w:t>2024</w:t>
            </w:r>
          </w:p>
        </w:tc>
        <w:tc>
          <w:tcPr>
            <w:tcW w:w="0" w:type="auto"/>
            <w:vAlign w:val="center"/>
            <w:hideMark/>
          </w:tcPr>
          <w:p w14:paraId="105B6032" w14:textId="77777777" w:rsidR="00A92485" w:rsidRPr="00A92485" w:rsidRDefault="00A92485" w:rsidP="00A92485">
            <w:pPr>
              <w:rPr>
                <w:b/>
                <w:bCs/>
              </w:rPr>
            </w:pPr>
            <w:r w:rsidRPr="00A92485">
              <w:rPr>
                <w:b/>
                <w:bCs/>
              </w:rPr>
              <w:t>2025</w:t>
            </w:r>
          </w:p>
        </w:tc>
      </w:tr>
      <w:tr w:rsidR="00A92485" w:rsidRPr="00A92485" w14:paraId="47160B37" w14:textId="77777777" w:rsidTr="00A92485">
        <w:trPr>
          <w:tblCellSpacing w:w="15" w:type="dxa"/>
        </w:trPr>
        <w:tc>
          <w:tcPr>
            <w:tcW w:w="0" w:type="auto"/>
            <w:vAlign w:val="center"/>
            <w:hideMark/>
          </w:tcPr>
          <w:p w14:paraId="5EB00EA1" w14:textId="77777777" w:rsidR="00A92485" w:rsidRPr="00A92485" w:rsidRDefault="00A92485" w:rsidP="00A92485">
            <w:r w:rsidRPr="00A92485">
              <w:t>Debtors (Receivables) Ratio</w:t>
            </w:r>
          </w:p>
        </w:tc>
        <w:tc>
          <w:tcPr>
            <w:tcW w:w="0" w:type="auto"/>
            <w:vAlign w:val="center"/>
            <w:hideMark/>
          </w:tcPr>
          <w:p w14:paraId="232E0F95" w14:textId="77777777" w:rsidR="00A92485" w:rsidRPr="00A92485" w:rsidRDefault="00A92485" w:rsidP="00A92485">
            <w:r w:rsidRPr="00A92485">
              <w:t>Debtors / Sales × 365</w:t>
            </w:r>
          </w:p>
        </w:tc>
        <w:tc>
          <w:tcPr>
            <w:tcW w:w="0" w:type="auto"/>
            <w:vAlign w:val="center"/>
            <w:hideMark/>
          </w:tcPr>
          <w:p w14:paraId="3918797B" w14:textId="77777777" w:rsidR="00A92485" w:rsidRPr="00A92485" w:rsidRDefault="00A92485" w:rsidP="00A92485">
            <w:r w:rsidRPr="00A92485">
              <w:t>29.40 days</w:t>
            </w:r>
          </w:p>
        </w:tc>
        <w:tc>
          <w:tcPr>
            <w:tcW w:w="0" w:type="auto"/>
            <w:vAlign w:val="center"/>
            <w:hideMark/>
          </w:tcPr>
          <w:p w14:paraId="7AF93FEB" w14:textId="77777777" w:rsidR="00A92485" w:rsidRPr="00A92485" w:rsidRDefault="00A92485" w:rsidP="00A92485">
            <w:r w:rsidRPr="00A92485">
              <w:t>35.07 days</w:t>
            </w:r>
          </w:p>
        </w:tc>
      </w:tr>
      <w:tr w:rsidR="00A92485" w:rsidRPr="00A92485" w14:paraId="5E9E9E03" w14:textId="77777777" w:rsidTr="00A92485">
        <w:trPr>
          <w:tblCellSpacing w:w="15" w:type="dxa"/>
        </w:trPr>
        <w:tc>
          <w:tcPr>
            <w:tcW w:w="0" w:type="auto"/>
            <w:vAlign w:val="center"/>
            <w:hideMark/>
          </w:tcPr>
          <w:p w14:paraId="33B905BD" w14:textId="77777777" w:rsidR="00A92485" w:rsidRPr="00A92485" w:rsidRDefault="00A92485" w:rsidP="00A92485">
            <w:r w:rsidRPr="00A92485">
              <w:t>Creditors (Payables) Ratio</w:t>
            </w:r>
          </w:p>
        </w:tc>
        <w:tc>
          <w:tcPr>
            <w:tcW w:w="0" w:type="auto"/>
            <w:vAlign w:val="center"/>
            <w:hideMark/>
          </w:tcPr>
          <w:p w14:paraId="5C1DE572" w14:textId="77777777" w:rsidR="00A92485" w:rsidRPr="00A92485" w:rsidRDefault="00A92485" w:rsidP="00A92485">
            <w:r w:rsidRPr="00A92485">
              <w:t>Creditors / Cost of Sales × 365</w:t>
            </w:r>
          </w:p>
        </w:tc>
        <w:tc>
          <w:tcPr>
            <w:tcW w:w="0" w:type="auto"/>
            <w:vAlign w:val="center"/>
            <w:hideMark/>
          </w:tcPr>
          <w:p w14:paraId="01F832B1" w14:textId="77777777" w:rsidR="00A92485" w:rsidRPr="00A92485" w:rsidRDefault="00A92485" w:rsidP="00A92485">
            <w:r w:rsidRPr="00A92485">
              <w:t>133.88 days</w:t>
            </w:r>
          </w:p>
        </w:tc>
        <w:tc>
          <w:tcPr>
            <w:tcW w:w="0" w:type="auto"/>
            <w:vAlign w:val="center"/>
            <w:hideMark/>
          </w:tcPr>
          <w:p w14:paraId="29BD4F79" w14:textId="77777777" w:rsidR="00A92485" w:rsidRPr="00A92485" w:rsidRDefault="00A92485" w:rsidP="00A92485">
            <w:r w:rsidRPr="00A92485">
              <w:t>149.78 days</w:t>
            </w:r>
          </w:p>
        </w:tc>
      </w:tr>
      <w:tr w:rsidR="00A92485" w:rsidRPr="00A92485" w14:paraId="32B1531B" w14:textId="77777777" w:rsidTr="00A92485">
        <w:trPr>
          <w:tblCellSpacing w:w="15" w:type="dxa"/>
        </w:trPr>
        <w:tc>
          <w:tcPr>
            <w:tcW w:w="0" w:type="auto"/>
            <w:vAlign w:val="center"/>
            <w:hideMark/>
          </w:tcPr>
          <w:p w14:paraId="0620CDC2" w14:textId="77777777" w:rsidR="00A92485" w:rsidRPr="00A92485" w:rsidRDefault="00A92485" w:rsidP="00A92485">
            <w:r w:rsidRPr="00A92485">
              <w:t>Stock Turnover</w:t>
            </w:r>
          </w:p>
        </w:tc>
        <w:tc>
          <w:tcPr>
            <w:tcW w:w="0" w:type="auto"/>
            <w:vAlign w:val="center"/>
            <w:hideMark/>
          </w:tcPr>
          <w:p w14:paraId="338237D6" w14:textId="77777777" w:rsidR="00A92485" w:rsidRPr="00A92485" w:rsidRDefault="00A92485" w:rsidP="00A92485">
            <w:r w:rsidRPr="00A92485">
              <w:t>Stock / Cost of Sales × 365</w:t>
            </w:r>
          </w:p>
        </w:tc>
        <w:tc>
          <w:tcPr>
            <w:tcW w:w="0" w:type="auto"/>
            <w:vAlign w:val="center"/>
            <w:hideMark/>
          </w:tcPr>
          <w:p w14:paraId="25A4D49A" w14:textId="77777777" w:rsidR="00A92485" w:rsidRPr="00A92485" w:rsidRDefault="00A92485" w:rsidP="00A92485">
            <w:r w:rsidRPr="00A92485">
              <w:t>67.56 days</w:t>
            </w:r>
          </w:p>
        </w:tc>
        <w:tc>
          <w:tcPr>
            <w:tcW w:w="0" w:type="auto"/>
            <w:vAlign w:val="center"/>
            <w:hideMark/>
          </w:tcPr>
          <w:p w14:paraId="3F7CD2D7" w14:textId="77777777" w:rsidR="00A92485" w:rsidRPr="00A92485" w:rsidRDefault="00A92485" w:rsidP="00A92485">
            <w:r w:rsidRPr="00A92485">
              <w:t>55.08 days</w:t>
            </w:r>
          </w:p>
        </w:tc>
      </w:tr>
    </w:tbl>
    <w:p w14:paraId="0A8741B2" w14:textId="77777777" w:rsidR="00A92485" w:rsidRDefault="00A92485" w:rsidP="00EC2A13"/>
    <w:p w14:paraId="3EDF46D0" w14:textId="77777777" w:rsidR="00A92485" w:rsidRPr="00A92485" w:rsidRDefault="00A92485" w:rsidP="00A92485">
      <w:pPr>
        <w:rPr>
          <w:b/>
          <w:bCs/>
        </w:rPr>
      </w:pPr>
      <w:r w:rsidRPr="00A92485">
        <w:rPr>
          <w:b/>
          <w:bCs/>
        </w:rPr>
        <w:t>B4: Gearing Ratios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81"/>
        <w:gridCol w:w="4048"/>
        <w:gridCol w:w="851"/>
        <w:gridCol w:w="866"/>
      </w:tblGrid>
      <w:tr w:rsidR="00A92485" w:rsidRPr="00A92485" w14:paraId="53132234" w14:textId="77777777" w:rsidTr="00A92485">
        <w:trPr>
          <w:tblHeader/>
          <w:tblCellSpacing w:w="15" w:type="dxa"/>
        </w:trPr>
        <w:tc>
          <w:tcPr>
            <w:tcW w:w="0" w:type="auto"/>
            <w:vAlign w:val="center"/>
            <w:hideMark/>
          </w:tcPr>
          <w:p w14:paraId="2B1AEB0C" w14:textId="77777777" w:rsidR="00A92485" w:rsidRPr="00A92485" w:rsidRDefault="00A92485" w:rsidP="00A92485">
            <w:pPr>
              <w:rPr>
                <w:b/>
                <w:bCs/>
              </w:rPr>
            </w:pPr>
            <w:r w:rsidRPr="00A92485">
              <w:rPr>
                <w:b/>
                <w:bCs/>
              </w:rPr>
              <w:t>Ratio</w:t>
            </w:r>
          </w:p>
        </w:tc>
        <w:tc>
          <w:tcPr>
            <w:tcW w:w="0" w:type="auto"/>
            <w:vAlign w:val="center"/>
            <w:hideMark/>
          </w:tcPr>
          <w:p w14:paraId="42B7F52A" w14:textId="77777777" w:rsidR="00A92485" w:rsidRPr="00A92485" w:rsidRDefault="00A92485" w:rsidP="00A92485">
            <w:pPr>
              <w:rPr>
                <w:b/>
                <w:bCs/>
              </w:rPr>
            </w:pPr>
            <w:r w:rsidRPr="00A92485">
              <w:rPr>
                <w:b/>
                <w:bCs/>
              </w:rPr>
              <w:t>Formula</w:t>
            </w:r>
          </w:p>
        </w:tc>
        <w:tc>
          <w:tcPr>
            <w:tcW w:w="0" w:type="auto"/>
            <w:vAlign w:val="center"/>
            <w:hideMark/>
          </w:tcPr>
          <w:p w14:paraId="264522E0" w14:textId="77777777" w:rsidR="00A92485" w:rsidRPr="00A92485" w:rsidRDefault="00A92485" w:rsidP="00A92485">
            <w:pPr>
              <w:rPr>
                <w:b/>
                <w:bCs/>
              </w:rPr>
            </w:pPr>
            <w:r w:rsidRPr="00A92485">
              <w:rPr>
                <w:b/>
                <w:bCs/>
              </w:rPr>
              <w:t>2024</w:t>
            </w:r>
          </w:p>
        </w:tc>
        <w:tc>
          <w:tcPr>
            <w:tcW w:w="0" w:type="auto"/>
            <w:vAlign w:val="center"/>
            <w:hideMark/>
          </w:tcPr>
          <w:p w14:paraId="4557C451" w14:textId="77777777" w:rsidR="00A92485" w:rsidRPr="00A92485" w:rsidRDefault="00A92485" w:rsidP="00A92485">
            <w:pPr>
              <w:rPr>
                <w:b/>
                <w:bCs/>
              </w:rPr>
            </w:pPr>
            <w:r w:rsidRPr="00A92485">
              <w:rPr>
                <w:b/>
                <w:bCs/>
              </w:rPr>
              <w:t>2025</w:t>
            </w:r>
          </w:p>
        </w:tc>
      </w:tr>
      <w:tr w:rsidR="00A92485" w:rsidRPr="00A92485" w14:paraId="463BF8C3" w14:textId="77777777" w:rsidTr="00A92485">
        <w:trPr>
          <w:tblCellSpacing w:w="15" w:type="dxa"/>
        </w:trPr>
        <w:tc>
          <w:tcPr>
            <w:tcW w:w="0" w:type="auto"/>
            <w:vAlign w:val="center"/>
            <w:hideMark/>
          </w:tcPr>
          <w:p w14:paraId="2014095F" w14:textId="77777777" w:rsidR="00A92485" w:rsidRPr="00A92485" w:rsidRDefault="00A92485" w:rsidP="00A92485">
            <w:r w:rsidRPr="00A92485">
              <w:t>Debt to Equity</w:t>
            </w:r>
          </w:p>
        </w:tc>
        <w:tc>
          <w:tcPr>
            <w:tcW w:w="0" w:type="auto"/>
            <w:vAlign w:val="center"/>
            <w:hideMark/>
          </w:tcPr>
          <w:p w14:paraId="3BB84B3E" w14:textId="77777777" w:rsidR="00A92485" w:rsidRPr="00A92485" w:rsidRDefault="00A92485" w:rsidP="00A92485">
            <w:r w:rsidRPr="00A92485">
              <w:t>Total Financial Liabilities / Total Equity × 100</w:t>
            </w:r>
          </w:p>
        </w:tc>
        <w:tc>
          <w:tcPr>
            <w:tcW w:w="0" w:type="auto"/>
            <w:vAlign w:val="center"/>
            <w:hideMark/>
          </w:tcPr>
          <w:p w14:paraId="282B592D" w14:textId="77777777" w:rsidR="00A92485" w:rsidRPr="00A92485" w:rsidRDefault="00A92485" w:rsidP="00A92485">
            <w:r w:rsidRPr="00A92485">
              <w:t>142.11%</w:t>
            </w:r>
          </w:p>
        </w:tc>
        <w:tc>
          <w:tcPr>
            <w:tcW w:w="0" w:type="auto"/>
            <w:vAlign w:val="center"/>
            <w:hideMark/>
          </w:tcPr>
          <w:p w14:paraId="2208CA0C" w14:textId="77777777" w:rsidR="00A92485" w:rsidRPr="00A92485" w:rsidRDefault="00A92485" w:rsidP="00A92485">
            <w:r w:rsidRPr="00A92485">
              <w:t>160.79%</w:t>
            </w:r>
          </w:p>
        </w:tc>
      </w:tr>
      <w:tr w:rsidR="00A92485" w:rsidRPr="00A92485" w14:paraId="3C55297E" w14:textId="77777777" w:rsidTr="00A92485">
        <w:trPr>
          <w:tblCellSpacing w:w="15" w:type="dxa"/>
        </w:trPr>
        <w:tc>
          <w:tcPr>
            <w:tcW w:w="0" w:type="auto"/>
            <w:vAlign w:val="center"/>
            <w:hideMark/>
          </w:tcPr>
          <w:p w14:paraId="05C338D8" w14:textId="77777777" w:rsidR="00A92485" w:rsidRPr="00A92485" w:rsidRDefault="00A92485" w:rsidP="00A92485">
            <w:r w:rsidRPr="00A92485">
              <w:t>Interest Cover</w:t>
            </w:r>
          </w:p>
        </w:tc>
        <w:tc>
          <w:tcPr>
            <w:tcW w:w="0" w:type="auto"/>
            <w:vAlign w:val="center"/>
            <w:hideMark/>
          </w:tcPr>
          <w:p w14:paraId="2D686E71" w14:textId="77777777" w:rsidR="00A92485" w:rsidRPr="00A92485" w:rsidRDefault="00A92485" w:rsidP="00A92485">
            <w:r w:rsidRPr="00A92485">
              <w:t>Operating Profit / Net Finance Costs</w:t>
            </w:r>
          </w:p>
        </w:tc>
        <w:tc>
          <w:tcPr>
            <w:tcW w:w="0" w:type="auto"/>
            <w:vAlign w:val="center"/>
            <w:hideMark/>
          </w:tcPr>
          <w:p w14:paraId="1A61B2D4" w14:textId="77777777" w:rsidR="00A92485" w:rsidRPr="00A92485" w:rsidRDefault="00A92485" w:rsidP="00A92485">
            <w:r w:rsidRPr="00A92485">
              <w:t>16.98x</w:t>
            </w:r>
          </w:p>
        </w:tc>
        <w:tc>
          <w:tcPr>
            <w:tcW w:w="0" w:type="auto"/>
            <w:vAlign w:val="center"/>
            <w:hideMark/>
          </w:tcPr>
          <w:p w14:paraId="31163753" w14:textId="77777777" w:rsidR="00A92485" w:rsidRPr="00A92485" w:rsidRDefault="00A92485" w:rsidP="00A92485">
            <w:r w:rsidRPr="00A92485">
              <w:t>17.97x</w:t>
            </w:r>
          </w:p>
        </w:tc>
      </w:tr>
    </w:tbl>
    <w:p w14:paraId="61F954C0" w14:textId="77777777" w:rsidR="00A92485" w:rsidRDefault="00A92485" w:rsidP="00EC2A13"/>
    <w:p w14:paraId="730DAAF9" w14:textId="77777777" w:rsidR="00A92485" w:rsidRPr="00A92485" w:rsidRDefault="00A92485" w:rsidP="00A92485">
      <w:pPr>
        <w:rPr>
          <w:b/>
          <w:bCs/>
        </w:rPr>
      </w:pPr>
      <w:r w:rsidRPr="00A92485">
        <w:rPr>
          <w:b/>
          <w:bCs/>
        </w:rPr>
        <w:t>B5: Investor Ratios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71"/>
        <w:gridCol w:w="3614"/>
        <w:gridCol w:w="582"/>
        <w:gridCol w:w="597"/>
      </w:tblGrid>
      <w:tr w:rsidR="00A92485" w:rsidRPr="00A92485" w14:paraId="1B598D8E" w14:textId="77777777">
        <w:trPr>
          <w:tblHeader/>
          <w:tblCellSpacing w:w="15" w:type="dxa"/>
        </w:trPr>
        <w:tc>
          <w:tcPr>
            <w:tcW w:w="0" w:type="auto"/>
            <w:vAlign w:val="center"/>
            <w:hideMark/>
          </w:tcPr>
          <w:p w14:paraId="223A9286" w14:textId="77777777" w:rsidR="00A92485" w:rsidRPr="00A92485" w:rsidRDefault="00A92485" w:rsidP="00A92485">
            <w:pPr>
              <w:rPr>
                <w:b/>
                <w:bCs/>
              </w:rPr>
            </w:pPr>
            <w:r w:rsidRPr="00A92485">
              <w:rPr>
                <w:b/>
                <w:bCs/>
              </w:rPr>
              <w:lastRenderedPageBreak/>
              <w:t>Ratio</w:t>
            </w:r>
          </w:p>
        </w:tc>
        <w:tc>
          <w:tcPr>
            <w:tcW w:w="0" w:type="auto"/>
            <w:vAlign w:val="center"/>
            <w:hideMark/>
          </w:tcPr>
          <w:p w14:paraId="3C13EC75" w14:textId="77777777" w:rsidR="00A92485" w:rsidRPr="00A92485" w:rsidRDefault="00A92485" w:rsidP="00A92485">
            <w:pPr>
              <w:rPr>
                <w:b/>
                <w:bCs/>
              </w:rPr>
            </w:pPr>
            <w:r w:rsidRPr="00A92485">
              <w:rPr>
                <w:b/>
                <w:bCs/>
              </w:rPr>
              <w:t>Formula</w:t>
            </w:r>
          </w:p>
        </w:tc>
        <w:tc>
          <w:tcPr>
            <w:tcW w:w="0" w:type="auto"/>
            <w:vAlign w:val="center"/>
            <w:hideMark/>
          </w:tcPr>
          <w:p w14:paraId="63630CCF" w14:textId="77777777" w:rsidR="00A92485" w:rsidRPr="00A92485" w:rsidRDefault="00A92485" w:rsidP="00A92485">
            <w:pPr>
              <w:rPr>
                <w:b/>
                <w:bCs/>
              </w:rPr>
            </w:pPr>
            <w:r w:rsidRPr="00A92485">
              <w:rPr>
                <w:b/>
                <w:bCs/>
              </w:rPr>
              <w:t>2024</w:t>
            </w:r>
          </w:p>
        </w:tc>
        <w:tc>
          <w:tcPr>
            <w:tcW w:w="0" w:type="auto"/>
            <w:vAlign w:val="center"/>
            <w:hideMark/>
          </w:tcPr>
          <w:p w14:paraId="69EF45E7" w14:textId="77777777" w:rsidR="00A92485" w:rsidRPr="00A92485" w:rsidRDefault="00A92485" w:rsidP="00A92485">
            <w:pPr>
              <w:rPr>
                <w:b/>
                <w:bCs/>
              </w:rPr>
            </w:pPr>
            <w:r w:rsidRPr="00A92485">
              <w:rPr>
                <w:b/>
                <w:bCs/>
              </w:rPr>
              <w:t>2025</w:t>
            </w:r>
          </w:p>
        </w:tc>
      </w:tr>
      <w:tr w:rsidR="00A92485" w:rsidRPr="00A92485" w14:paraId="3F1AC2B2" w14:textId="77777777" w:rsidTr="00A9248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59843DF" w14:textId="77777777" w:rsidR="00A92485" w:rsidRPr="00A92485" w:rsidRDefault="00A92485" w:rsidP="00A92485">
            <w:r w:rsidRPr="00A92485">
              <w:t>Earnings per Share (EPS)</w:t>
            </w:r>
          </w:p>
        </w:tc>
        <w:tc>
          <w:tcPr>
            <w:tcW w:w="0" w:type="auto"/>
            <w:tcBorders>
              <w:top w:val="single" w:sz="4" w:space="0" w:color="auto"/>
              <w:left w:val="single" w:sz="4" w:space="0" w:color="auto"/>
              <w:bottom w:val="single" w:sz="4" w:space="0" w:color="auto"/>
              <w:right w:val="single" w:sz="4" w:space="0" w:color="auto"/>
            </w:tcBorders>
            <w:vAlign w:val="center"/>
            <w:hideMark/>
          </w:tcPr>
          <w:p w14:paraId="4D70A032" w14:textId="77777777" w:rsidR="00A92485" w:rsidRPr="00A92485" w:rsidRDefault="00A92485" w:rsidP="00A92485">
            <w:r w:rsidRPr="00A92485">
              <w:t>Profit after Tax / Ordinary Share Capital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74BE845D" w14:textId="77777777" w:rsidR="00A92485" w:rsidRPr="00A92485" w:rsidRDefault="00A92485" w:rsidP="00A92485">
            <w:r w:rsidRPr="00A92485">
              <w:t>€2.45</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8DAB2" w14:textId="77777777" w:rsidR="00A92485" w:rsidRPr="00A92485" w:rsidRDefault="00A92485" w:rsidP="00A92485">
            <w:r w:rsidRPr="00A92485">
              <w:t>€2.60</w:t>
            </w:r>
          </w:p>
        </w:tc>
      </w:tr>
      <w:tr w:rsidR="00A92485" w:rsidRPr="00A92485" w14:paraId="0950D7EC" w14:textId="77777777" w:rsidTr="00A9248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0ABECF3" w14:textId="77777777" w:rsidR="00A92485" w:rsidRPr="00A92485" w:rsidRDefault="00A92485" w:rsidP="00A92485">
            <w:r w:rsidRPr="00A92485">
              <w:t>Dividend Cover</w:t>
            </w:r>
          </w:p>
        </w:tc>
        <w:tc>
          <w:tcPr>
            <w:tcW w:w="0" w:type="auto"/>
            <w:tcBorders>
              <w:top w:val="single" w:sz="4" w:space="0" w:color="auto"/>
              <w:left w:val="single" w:sz="4" w:space="0" w:color="auto"/>
              <w:bottom w:val="single" w:sz="4" w:space="0" w:color="auto"/>
              <w:right w:val="single" w:sz="4" w:space="0" w:color="auto"/>
            </w:tcBorders>
            <w:vAlign w:val="center"/>
            <w:hideMark/>
          </w:tcPr>
          <w:p w14:paraId="5EADE84A" w14:textId="77777777" w:rsidR="00A92485" w:rsidRPr="00A92485" w:rsidRDefault="00A92485" w:rsidP="00A92485">
            <w:r w:rsidRPr="00A92485">
              <w:t>Profit after Tax / Ordinary Dividend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0B539B2" w14:textId="77777777" w:rsidR="00A92485" w:rsidRPr="00A92485" w:rsidRDefault="00A92485" w:rsidP="00A92485">
            <w:r w:rsidRPr="00A92485">
              <w:t>1.43x</w:t>
            </w:r>
          </w:p>
        </w:tc>
        <w:tc>
          <w:tcPr>
            <w:tcW w:w="0" w:type="auto"/>
            <w:tcBorders>
              <w:top w:val="single" w:sz="4" w:space="0" w:color="auto"/>
              <w:left w:val="single" w:sz="4" w:space="0" w:color="auto"/>
              <w:bottom w:val="single" w:sz="4" w:space="0" w:color="auto"/>
              <w:right w:val="single" w:sz="4" w:space="0" w:color="auto"/>
            </w:tcBorders>
            <w:vAlign w:val="center"/>
            <w:hideMark/>
          </w:tcPr>
          <w:p w14:paraId="53734CA9" w14:textId="77777777" w:rsidR="00A92485" w:rsidRPr="00A92485" w:rsidRDefault="00A92485" w:rsidP="00A92485">
            <w:r w:rsidRPr="00A92485">
              <w:t>1.44x</w:t>
            </w:r>
          </w:p>
        </w:tc>
      </w:tr>
    </w:tbl>
    <w:p w14:paraId="60187BBE" w14:textId="77777777" w:rsidR="00A92485" w:rsidRDefault="00A92485" w:rsidP="00EC2A13"/>
    <w:p w14:paraId="610C7FD1" w14:textId="77777777" w:rsidR="00A92485" w:rsidRDefault="00A92485" w:rsidP="00EC2A13"/>
    <w:p w14:paraId="5F4889C7" w14:textId="77777777" w:rsidR="0012756B" w:rsidRPr="0012756B" w:rsidRDefault="0012756B" w:rsidP="0012756B">
      <w:pPr>
        <w:rPr>
          <w:b/>
          <w:bCs/>
        </w:rPr>
      </w:pPr>
      <w:r w:rsidRPr="0012756B">
        <w:rPr>
          <w:b/>
          <w:bCs/>
        </w:rPr>
        <w:t>Appendix C: NPV Calculations for Projects A, B and C</w:t>
      </w:r>
    </w:p>
    <w:p w14:paraId="7CDA70D4" w14:textId="77777777" w:rsidR="0012756B" w:rsidRPr="0012756B" w:rsidRDefault="0012756B" w:rsidP="0012756B">
      <w:r w:rsidRPr="0012756B">
        <w:t>All figures are in £’000.</w:t>
      </w:r>
    </w:p>
    <w:p w14:paraId="6327778A" w14:textId="77777777" w:rsidR="0012756B" w:rsidRPr="0012756B" w:rsidRDefault="0012756B" w:rsidP="0012756B">
      <w:pPr>
        <w:rPr>
          <w:b/>
          <w:bCs/>
        </w:rPr>
      </w:pPr>
      <w:r w:rsidRPr="0012756B">
        <w:rPr>
          <w:b/>
          <w:bCs/>
        </w:rPr>
        <w:t>C1. Tax and capital allowance workings</w:t>
      </w:r>
    </w:p>
    <w:p w14:paraId="7C21D327" w14:textId="77777777" w:rsidR="0012756B" w:rsidRPr="0012756B" w:rsidRDefault="0012756B" w:rsidP="0012756B">
      <w:r w:rsidRPr="0012756B">
        <w:t>Corporation tax rate = 25%</w:t>
      </w:r>
      <w:r w:rsidRPr="0012756B">
        <w:br/>
        <w:t>Capital allowance rate = 20% straight-line</w:t>
      </w:r>
    </w:p>
    <w:p w14:paraId="38AE8032" w14:textId="77777777" w:rsidR="0012756B" w:rsidRPr="0012756B" w:rsidRDefault="0012756B" w:rsidP="0012756B">
      <w:r w:rsidRPr="0012756B">
        <w:rPr>
          <w:b/>
          <w:bCs/>
        </w:rPr>
        <w:t>Project A</w:t>
      </w:r>
      <w:r w:rsidRPr="0012756B">
        <w:br/>
        <w:t>Initial investment = 600</w:t>
      </w:r>
      <w:r w:rsidRPr="0012756B">
        <w:br/>
        <w:t>Annual capital allowance = 20% x 600 = 120</w:t>
      </w:r>
      <w:r w:rsidRPr="0012756B">
        <w:br/>
        <w:t>Annual tax shield = 25% x 120 = 30</w:t>
      </w:r>
    </w:p>
    <w:p w14:paraId="1978CFEA" w14:textId="77777777" w:rsidR="0012756B" w:rsidRPr="0012756B" w:rsidRDefault="0012756B" w:rsidP="0012756B">
      <w:r w:rsidRPr="0012756B">
        <w:rPr>
          <w:b/>
          <w:bCs/>
        </w:rPr>
        <w:t>Project B</w:t>
      </w:r>
      <w:r w:rsidRPr="0012756B">
        <w:br/>
        <w:t>Initial investment = 900</w:t>
      </w:r>
      <w:r w:rsidRPr="0012756B">
        <w:br/>
        <w:t>Annual capital allowance = 20% x 900 = 180</w:t>
      </w:r>
      <w:r w:rsidRPr="0012756B">
        <w:br/>
        <w:t>Annual tax shield = 25% x 180 = 45</w:t>
      </w:r>
    </w:p>
    <w:p w14:paraId="4ACCFE01" w14:textId="77777777" w:rsidR="0012756B" w:rsidRPr="0012756B" w:rsidRDefault="0012756B" w:rsidP="0012756B">
      <w:r w:rsidRPr="0012756B">
        <w:rPr>
          <w:b/>
          <w:bCs/>
        </w:rPr>
        <w:t>Project C</w:t>
      </w:r>
      <w:r w:rsidRPr="0012756B">
        <w:br/>
        <w:t>Initial investment = 1000</w:t>
      </w:r>
      <w:r w:rsidRPr="0012756B">
        <w:br/>
        <w:t>Annual capital allowance = 20% x 1000 = 200</w:t>
      </w:r>
      <w:r w:rsidRPr="0012756B">
        <w:br/>
        <w:t>Annual tax shield = 25% x 200 = 50</w:t>
      </w:r>
    </w:p>
    <w:p w14:paraId="35393678" w14:textId="77777777" w:rsidR="0012756B" w:rsidRPr="0012756B" w:rsidRDefault="0012756B" w:rsidP="0012756B">
      <w:r w:rsidRPr="0012756B">
        <w:rPr>
          <w:b/>
          <w:bCs/>
        </w:rPr>
        <w:t>Formula used</w:t>
      </w:r>
      <w:r w:rsidRPr="0012756B">
        <w:t>:</w:t>
      </w:r>
      <w:r w:rsidRPr="0012756B">
        <w:br/>
        <w:t>After-tax cash flow = (Cash inflow x 0.75) + tax shield</w:t>
      </w:r>
    </w:p>
    <w:p w14:paraId="6EEB65B8" w14:textId="77777777" w:rsidR="0012756B" w:rsidRPr="0012756B" w:rsidRDefault="0012756B" w:rsidP="0012756B">
      <w:pPr>
        <w:rPr>
          <w:b/>
          <w:bCs/>
        </w:rPr>
      </w:pPr>
      <w:r w:rsidRPr="0012756B">
        <w:rPr>
          <w:b/>
          <w:bCs/>
        </w:rPr>
        <w:t>C2. Adjusted annual cash flows</w:t>
      </w:r>
    </w:p>
    <w:p w14:paraId="57AA32A9" w14:textId="77777777" w:rsidR="0012756B" w:rsidRPr="0012756B" w:rsidRDefault="0012756B" w:rsidP="0012756B">
      <w:r w:rsidRPr="0012756B">
        <w:rPr>
          <w:b/>
          <w:bCs/>
        </w:rPr>
        <w:t>Project A</w:t>
      </w:r>
      <w:r w:rsidRPr="0012756B">
        <w:br/>
        <w:t>Year 1 = (100 x 0.75) + 30 = 75 + 30 = 105</w:t>
      </w:r>
      <w:r w:rsidRPr="0012756B">
        <w:br/>
        <w:t>Year 2 = (180 x 0.75) + 30 = 135 + 30 = 165</w:t>
      </w:r>
      <w:r w:rsidRPr="0012756B">
        <w:br/>
        <w:t>Year 3 = (210 x 0.75) + 30 = 157.5 + 30 = 187.5</w:t>
      </w:r>
      <w:r w:rsidRPr="0012756B">
        <w:br/>
        <w:t>Year 4 = (260 x 0.75) + 30 = 195 + 30 = 225</w:t>
      </w:r>
    </w:p>
    <w:p w14:paraId="3766701C" w14:textId="77777777" w:rsidR="0012756B" w:rsidRPr="0012756B" w:rsidRDefault="0012756B" w:rsidP="0012756B">
      <w:r w:rsidRPr="0012756B">
        <w:rPr>
          <w:b/>
          <w:bCs/>
        </w:rPr>
        <w:t>Project B</w:t>
      </w:r>
      <w:r w:rsidRPr="0012756B">
        <w:br/>
        <w:t>Year 1 = (220 x 0.75) + 45 = 165 + 45 = 210</w:t>
      </w:r>
      <w:r w:rsidRPr="0012756B">
        <w:br/>
        <w:t>Year 2 = (270 x 0.75) + 45 = 202.5 + 45 = 247.5</w:t>
      </w:r>
      <w:r w:rsidRPr="0012756B">
        <w:br/>
        <w:t>Year 3 = (350 x 0.75) + 45 = 262.5 + 45 = 307.5</w:t>
      </w:r>
      <w:r w:rsidRPr="0012756B">
        <w:br/>
        <w:t>Year 4 = (400 x 0.75) + 45 = 300 + 45 = 345</w:t>
      </w:r>
    </w:p>
    <w:p w14:paraId="6FE7BF88" w14:textId="77777777" w:rsidR="0012756B" w:rsidRPr="0012756B" w:rsidRDefault="0012756B" w:rsidP="0012756B">
      <w:r w:rsidRPr="0012756B">
        <w:rPr>
          <w:b/>
          <w:bCs/>
        </w:rPr>
        <w:t>Project C</w:t>
      </w:r>
      <w:r w:rsidRPr="0012756B">
        <w:br/>
        <w:t>Year 1 = (250 x 0.75) + 50 = 187.5 + 50 = 237.5</w:t>
      </w:r>
      <w:r w:rsidRPr="0012756B">
        <w:br/>
        <w:t>Year 2 = (310 x 0.75) + 50 = 232.5 + 50 = 282.5</w:t>
      </w:r>
      <w:r w:rsidRPr="0012756B">
        <w:br/>
      </w:r>
      <w:r w:rsidRPr="0012756B">
        <w:lastRenderedPageBreak/>
        <w:t>Year 3 = (400 x 0.75) + 50 = 300 + 50 = 350</w:t>
      </w:r>
      <w:r w:rsidRPr="0012756B">
        <w:br/>
        <w:t>Year 4 = (430 x 0.75) + 50 = 322.5 + 50 = 372.5</w:t>
      </w:r>
    </w:p>
    <w:p w14:paraId="28ABAAAF" w14:textId="77777777" w:rsidR="0012756B" w:rsidRPr="0012756B" w:rsidRDefault="0012756B" w:rsidP="0012756B">
      <w:pPr>
        <w:rPr>
          <w:b/>
          <w:bCs/>
        </w:rPr>
      </w:pPr>
      <w:r w:rsidRPr="0012756B">
        <w:rPr>
          <w:b/>
          <w:bCs/>
        </w:rPr>
        <w:t>C3. Discount factors at 5%</w:t>
      </w:r>
    </w:p>
    <w:p w14:paraId="5CBFD32A" w14:textId="77777777" w:rsidR="0012756B" w:rsidRPr="0012756B" w:rsidRDefault="0012756B" w:rsidP="0012756B">
      <w:r w:rsidRPr="0012756B">
        <w:t>Year 1 = 0.9524</w:t>
      </w:r>
      <w:r w:rsidRPr="0012756B">
        <w:br/>
        <w:t>Year 2 = 0.9070</w:t>
      </w:r>
      <w:r w:rsidRPr="0012756B">
        <w:br/>
        <w:t>Year 3 = 0.8638</w:t>
      </w:r>
      <w:r w:rsidRPr="0012756B">
        <w:br/>
        <w:t>Year 4 = 0.8227</w:t>
      </w:r>
    </w:p>
    <w:p w14:paraId="4614D90F" w14:textId="77777777" w:rsidR="0012756B" w:rsidRPr="0012756B" w:rsidRDefault="0012756B" w:rsidP="0012756B">
      <w:pPr>
        <w:rPr>
          <w:b/>
          <w:bCs/>
        </w:rPr>
      </w:pPr>
      <w:r w:rsidRPr="0012756B">
        <w:rPr>
          <w:b/>
          <w:bCs/>
        </w:rPr>
        <w:t>C4. NPV of Project A</w:t>
      </w:r>
    </w:p>
    <w:p w14:paraId="28D7F662" w14:textId="77777777" w:rsidR="0012756B" w:rsidRPr="0012756B" w:rsidRDefault="0012756B" w:rsidP="0012756B">
      <w:r w:rsidRPr="0012756B">
        <w:t>Year 1 present value = 105 x 0.9524 = 100.0</w:t>
      </w:r>
      <w:r w:rsidRPr="0012756B">
        <w:br/>
        <w:t>Year 2 present value = 165 x 0.9070 = 149.7</w:t>
      </w:r>
      <w:r w:rsidRPr="0012756B">
        <w:br/>
        <w:t>Year 3 present value = 187.5 x 0.8638 = 162.0</w:t>
      </w:r>
      <w:r w:rsidRPr="0012756B">
        <w:br/>
        <w:t>Year 4 present value = 225 x 0.8227 = 185.1</w:t>
      </w:r>
    </w:p>
    <w:p w14:paraId="0013D097" w14:textId="77777777" w:rsidR="0012756B" w:rsidRPr="0012756B" w:rsidRDefault="0012756B" w:rsidP="0012756B">
      <w:r w:rsidRPr="0012756B">
        <w:t>Total present value of inflows</w:t>
      </w:r>
      <w:r w:rsidRPr="0012756B">
        <w:br/>
        <w:t>= 100.0 + 149.7 + 162.0 + 185.1</w:t>
      </w:r>
      <w:r w:rsidRPr="0012756B">
        <w:br/>
        <w:t>= 596.8</w:t>
      </w:r>
    </w:p>
    <w:p w14:paraId="1335F32C" w14:textId="77777777" w:rsidR="0012756B" w:rsidRPr="0012756B" w:rsidRDefault="0012756B" w:rsidP="0012756B">
      <w:r w:rsidRPr="0012756B">
        <w:t>NPV of Project A</w:t>
      </w:r>
      <w:r w:rsidRPr="0012756B">
        <w:br/>
        <w:t>= 596.8 - 600.0</w:t>
      </w:r>
      <w:r w:rsidRPr="0012756B">
        <w:br/>
        <w:t>= -3.2</w:t>
      </w:r>
    </w:p>
    <w:p w14:paraId="17BE88F3" w14:textId="77777777" w:rsidR="0012756B" w:rsidRPr="0012756B" w:rsidRDefault="0012756B" w:rsidP="0012756B">
      <w:pPr>
        <w:rPr>
          <w:b/>
          <w:bCs/>
        </w:rPr>
      </w:pPr>
      <w:r w:rsidRPr="0012756B">
        <w:rPr>
          <w:b/>
          <w:bCs/>
        </w:rPr>
        <w:t>C5. NPV of Project B</w:t>
      </w:r>
    </w:p>
    <w:p w14:paraId="039888A0" w14:textId="77777777" w:rsidR="0012756B" w:rsidRPr="0012756B" w:rsidRDefault="0012756B" w:rsidP="0012756B">
      <w:r w:rsidRPr="0012756B">
        <w:t>Year 1 present value = 210 x 0.9524 = 200.0</w:t>
      </w:r>
      <w:r w:rsidRPr="0012756B">
        <w:br/>
        <w:t>Year 2 present value = 247.5 x 0.9070 = 224.5</w:t>
      </w:r>
      <w:r w:rsidRPr="0012756B">
        <w:br/>
        <w:t>Year 3 present value = 307.5 x 0.8638 = 265.6</w:t>
      </w:r>
      <w:r w:rsidRPr="0012756B">
        <w:br/>
        <w:t>Year 4 present value = 345 x 0.8227 = 283.8</w:t>
      </w:r>
    </w:p>
    <w:p w14:paraId="0DBE01D8" w14:textId="77777777" w:rsidR="0012756B" w:rsidRPr="0012756B" w:rsidRDefault="0012756B" w:rsidP="0012756B">
      <w:r w:rsidRPr="0012756B">
        <w:t>Total present value of inflows</w:t>
      </w:r>
      <w:r w:rsidRPr="0012756B">
        <w:br/>
        <w:t>= 200.0 + 224.5 + 265.6 + 283.8</w:t>
      </w:r>
      <w:r w:rsidRPr="0012756B">
        <w:br/>
        <w:t>= 973.9</w:t>
      </w:r>
    </w:p>
    <w:p w14:paraId="4D5960BA" w14:textId="77777777" w:rsidR="0012756B" w:rsidRPr="0012756B" w:rsidRDefault="0012756B" w:rsidP="0012756B">
      <w:r w:rsidRPr="0012756B">
        <w:t>NPV of Project B</w:t>
      </w:r>
      <w:r w:rsidRPr="0012756B">
        <w:br/>
        <w:t>= 973.9 - 900.0</w:t>
      </w:r>
      <w:r w:rsidRPr="0012756B">
        <w:br/>
        <w:t>= 73.9</w:t>
      </w:r>
    </w:p>
    <w:p w14:paraId="78E09C1F" w14:textId="77777777" w:rsidR="0012756B" w:rsidRPr="0012756B" w:rsidRDefault="0012756B" w:rsidP="0012756B">
      <w:pPr>
        <w:rPr>
          <w:b/>
          <w:bCs/>
        </w:rPr>
      </w:pPr>
      <w:r w:rsidRPr="0012756B">
        <w:rPr>
          <w:b/>
          <w:bCs/>
        </w:rPr>
        <w:t>C6. NPV of Project C</w:t>
      </w:r>
    </w:p>
    <w:p w14:paraId="5BD2561C" w14:textId="77777777" w:rsidR="0012756B" w:rsidRPr="0012756B" w:rsidRDefault="0012756B" w:rsidP="0012756B">
      <w:r w:rsidRPr="0012756B">
        <w:t>Year 1 present value = 237.5 x 0.9524 = 226.2</w:t>
      </w:r>
      <w:r w:rsidRPr="0012756B">
        <w:br/>
        <w:t>Year 2 present value = 282.5 x 0.9070 = 256.2</w:t>
      </w:r>
      <w:r w:rsidRPr="0012756B">
        <w:br/>
        <w:t>Year 3 present value = 350 x 0.8638 = 302.3</w:t>
      </w:r>
      <w:r w:rsidRPr="0012756B">
        <w:br/>
        <w:t>Year 4 present value = 372.5 x 0.8227 = 306.5</w:t>
      </w:r>
    </w:p>
    <w:p w14:paraId="2F3E4BF6" w14:textId="77777777" w:rsidR="0012756B" w:rsidRPr="0012756B" w:rsidRDefault="0012756B" w:rsidP="0012756B">
      <w:r w:rsidRPr="0012756B">
        <w:t>Total present value of inflows</w:t>
      </w:r>
      <w:r w:rsidRPr="0012756B">
        <w:br/>
        <w:t>= 226.2 + 256.2 + 302.3 + 306.5</w:t>
      </w:r>
      <w:r w:rsidRPr="0012756B">
        <w:br/>
        <w:t>= 1091.2</w:t>
      </w:r>
    </w:p>
    <w:p w14:paraId="03F4E367" w14:textId="77777777" w:rsidR="0012756B" w:rsidRPr="0012756B" w:rsidRDefault="0012756B" w:rsidP="0012756B">
      <w:r w:rsidRPr="0012756B">
        <w:t>NPV of Project C</w:t>
      </w:r>
      <w:r w:rsidRPr="0012756B">
        <w:br/>
        <w:t>= 1091.2 - 1000.0</w:t>
      </w:r>
      <w:r w:rsidRPr="0012756B">
        <w:br/>
        <w:t>= 91.2</w:t>
      </w:r>
    </w:p>
    <w:p w14:paraId="64C4A162" w14:textId="77777777" w:rsidR="0012756B" w:rsidRPr="0012756B" w:rsidRDefault="0012756B" w:rsidP="0012756B">
      <w:pPr>
        <w:rPr>
          <w:b/>
          <w:bCs/>
        </w:rPr>
      </w:pPr>
      <w:r w:rsidRPr="0012756B">
        <w:rPr>
          <w:b/>
          <w:bCs/>
        </w:rPr>
        <w:lastRenderedPageBreak/>
        <w:t>Appendix D: IRR and Capital Rationing Calculations</w:t>
      </w:r>
    </w:p>
    <w:p w14:paraId="66702AEE" w14:textId="77777777" w:rsidR="0012756B" w:rsidRPr="0012756B" w:rsidRDefault="0012756B" w:rsidP="0012756B">
      <w:pPr>
        <w:rPr>
          <w:b/>
          <w:bCs/>
        </w:rPr>
      </w:pPr>
      <w:r w:rsidRPr="0012756B">
        <w:rPr>
          <w:b/>
          <w:bCs/>
        </w:rPr>
        <w:t>D1. IRR calculation for Project C</w:t>
      </w:r>
    </w:p>
    <w:p w14:paraId="782BCFBD" w14:textId="77777777" w:rsidR="0012756B" w:rsidRPr="0012756B" w:rsidRDefault="0012756B" w:rsidP="0012756B">
      <w:r w:rsidRPr="0012756B">
        <w:t>At 5%, NPV of Project C = +91.2</w:t>
      </w:r>
    </w:p>
    <w:p w14:paraId="43CD7959" w14:textId="77777777" w:rsidR="0012756B" w:rsidRPr="0012756B" w:rsidRDefault="0012756B" w:rsidP="0012756B">
      <w:r w:rsidRPr="0012756B">
        <w:t>Discount factors at 8%</w:t>
      </w:r>
      <w:r w:rsidRPr="0012756B">
        <w:br/>
        <w:t>Year 1 = 0.9259</w:t>
      </w:r>
      <w:r w:rsidRPr="0012756B">
        <w:br/>
        <w:t>Year 2 = 0.8573</w:t>
      </w:r>
      <w:r w:rsidRPr="0012756B">
        <w:br/>
        <w:t>Year 3 = 0.7938</w:t>
      </w:r>
      <w:r w:rsidRPr="0012756B">
        <w:br/>
        <w:t>Year 4 = 0.7350</w:t>
      </w:r>
    </w:p>
    <w:p w14:paraId="3CB5368E" w14:textId="77777777" w:rsidR="0012756B" w:rsidRPr="0012756B" w:rsidRDefault="0012756B" w:rsidP="0012756B">
      <w:r w:rsidRPr="0012756B">
        <w:t>Year 1 present value = 237.5 x 0.9259 = 219.9</w:t>
      </w:r>
      <w:r w:rsidRPr="0012756B">
        <w:br/>
        <w:t>Year 2 present value = 282.5 x 0.8573 = 242.2</w:t>
      </w:r>
      <w:r w:rsidRPr="0012756B">
        <w:br/>
        <w:t>Year 3 present value = 350 x 0.7938 = 277.8</w:t>
      </w:r>
      <w:r w:rsidRPr="0012756B">
        <w:br/>
        <w:t>Year 4 present value = 372.5 x 0.7350 = 273.8</w:t>
      </w:r>
    </w:p>
    <w:p w14:paraId="0EFABCA8" w14:textId="77777777" w:rsidR="0012756B" w:rsidRPr="0012756B" w:rsidRDefault="0012756B" w:rsidP="0012756B">
      <w:r w:rsidRPr="0012756B">
        <w:t>Total present value</w:t>
      </w:r>
      <w:r w:rsidRPr="0012756B">
        <w:br/>
        <w:t>= 219.9 + 242.2 + 277.8 + 273.8</w:t>
      </w:r>
      <w:r w:rsidRPr="0012756B">
        <w:br/>
        <w:t>= 1013.7</w:t>
      </w:r>
    </w:p>
    <w:p w14:paraId="44242F0E" w14:textId="77777777" w:rsidR="0012756B" w:rsidRPr="0012756B" w:rsidRDefault="0012756B" w:rsidP="0012756B">
      <w:r w:rsidRPr="0012756B">
        <w:t>NPV at 8%</w:t>
      </w:r>
      <w:r w:rsidRPr="0012756B">
        <w:br/>
        <w:t>= 1013.7 - 1000.0</w:t>
      </w:r>
      <w:r w:rsidRPr="0012756B">
        <w:br/>
        <w:t>= +13.7</w:t>
      </w:r>
    </w:p>
    <w:p w14:paraId="3B2E0480" w14:textId="77777777" w:rsidR="0012756B" w:rsidRPr="0012756B" w:rsidRDefault="0012756B" w:rsidP="0012756B">
      <w:r w:rsidRPr="0012756B">
        <w:t>Discount factors at 9%</w:t>
      </w:r>
      <w:r w:rsidRPr="0012756B">
        <w:br/>
        <w:t>Year 1 = 0.9174</w:t>
      </w:r>
      <w:r w:rsidRPr="0012756B">
        <w:br/>
        <w:t>Year 2 = 0.8417</w:t>
      </w:r>
      <w:r w:rsidRPr="0012756B">
        <w:br/>
        <w:t>Year 3 = 0.7722</w:t>
      </w:r>
      <w:r w:rsidRPr="0012756B">
        <w:br/>
        <w:t>Year 4 = 0.7084</w:t>
      </w:r>
    </w:p>
    <w:p w14:paraId="6F6F8939" w14:textId="77777777" w:rsidR="0012756B" w:rsidRPr="0012756B" w:rsidRDefault="0012756B" w:rsidP="0012756B">
      <w:r w:rsidRPr="0012756B">
        <w:t>Year 1 present value = 237.5 x 0.9174 = 217.9</w:t>
      </w:r>
      <w:r w:rsidRPr="0012756B">
        <w:br/>
        <w:t>Year 2 present value = 282.5 x 0.8417 = 237.8</w:t>
      </w:r>
      <w:r w:rsidRPr="0012756B">
        <w:br/>
        <w:t>Year 3 present value = 350 x 0.7722 = 270.3</w:t>
      </w:r>
      <w:r w:rsidRPr="0012756B">
        <w:br/>
        <w:t>Year 4 present value = 372.5 x 0.7084 = 263.8</w:t>
      </w:r>
    </w:p>
    <w:p w14:paraId="24F05109" w14:textId="77777777" w:rsidR="0012756B" w:rsidRPr="0012756B" w:rsidRDefault="0012756B" w:rsidP="0012756B">
      <w:r w:rsidRPr="0012756B">
        <w:t>Total present value</w:t>
      </w:r>
      <w:r w:rsidRPr="0012756B">
        <w:br/>
        <w:t>= 217.9 + 237.8 + 270.3 + 263.8</w:t>
      </w:r>
      <w:r w:rsidRPr="0012756B">
        <w:br/>
        <w:t>= 989.8</w:t>
      </w:r>
    </w:p>
    <w:p w14:paraId="32618D87" w14:textId="77777777" w:rsidR="0012756B" w:rsidRPr="0012756B" w:rsidRDefault="0012756B" w:rsidP="0012756B">
      <w:r w:rsidRPr="0012756B">
        <w:t>NPV at 9%</w:t>
      </w:r>
      <w:r w:rsidRPr="0012756B">
        <w:br/>
        <w:t>= 989.8 - 1000.0</w:t>
      </w:r>
      <w:r w:rsidRPr="0012756B">
        <w:br/>
        <w:t>= -10.2</w:t>
      </w:r>
    </w:p>
    <w:p w14:paraId="637F43EA" w14:textId="77777777" w:rsidR="0012756B" w:rsidRPr="0012756B" w:rsidRDefault="0012756B" w:rsidP="0012756B">
      <w:r w:rsidRPr="0012756B">
        <w:t>Interpolation</w:t>
      </w:r>
    </w:p>
    <w:p w14:paraId="245D59FA" w14:textId="77777777" w:rsidR="0012756B" w:rsidRPr="0012756B" w:rsidRDefault="0012756B" w:rsidP="0012756B">
      <w:r w:rsidRPr="0012756B">
        <w:t>IRR = 8% + 13.7 / (13.7 + 10.2) x 1%</w:t>
      </w:r>
      <w:r w:rsidRPr="0012756B">
        <w:br/>
        <w:t>IRR = 8% + 13.7 / 23.9 x 1%</w:t>
      </w:r>
      <w:r w:rsidRPr="0012756B">
        <w:br/>
        <w:t>IRR = 8% + 0.57%</w:t>
      </w:r>
      <w:r w:rsidRPr="0012756B">
        <w:br/>
        <w:t>IRR = 8.57%</w:t>
      </w:r>
    </w:p>
    <w:p w14:paraId="2C5189DD" w14:textId="77777777" w:rsidR="0012756B" w:rsidRPr="0012756B" w:rsidRDefault="0012756B" w:rsidP="0012756B">
      <w:r w:rsidRPr="0012756B">
        <w:t>Approximate IRR of Project C = 8.6%</w:t>
      </w:r>
    </w:p>
    <w:p w14:paraId="4F22A60C" w14:textId="77777777" w:rsidR="0012756B" w:rsidRPr="0012756B" w:rsidRDefault="0012756B" w:rsidP="0012756B">
      <w:pPr>
        <w:rPr>
          <w:b/>
          <w:bCs/>
        </w:rPr>
      </w:pPr>
      <w:r w:rsidRPr="0012756B">
        <w:rPr>
          <w:b/>
          <w:bCs/>
        </w:rPr>
        <w:t>D2. Profitability index calculations</w:t>
      </w:r>
    </w:p>
    <w:p w14:paraId="7F48EE20" w14:textId="77777777" w:rsidR="0012756B" w:rsidRPr="0012756B" w:rsidRDefault="0012756B" w:rsidP="0012756B">
      <w:r w:rsidRPr="0012756B">
        <w:lastRenderedPageBreak/>
        <w:t>Profitability Index = Present value of inflows / Initial investment</w:t>
      </w:r>
    </w:p>
    <w:p w14:paraId="2BE444AD" w14:textId="77777777" w:rsidR="0012756B" w:rsidRPr="0012756B" w:rsidRDefault="0012756B" w:rsidP="0012756B">
      <w:r w:rsidRPr="0012756B">
        <w:t>Project A</w:t>
      </w:r>
      <w:r w:rsidRPr="0012756B">
        <w:br/>
        <w:t>PI = 596.8 / 600.0 = 0.995</w:t>
      </w:r>
    </w:p>
    <w:p w14:paraId="6F2B6ED8" w14:textId="77777777" w:rsidR="0012756B" w:rsidRPr="0012756B" w:rsidRDefault="0012756B" w:rsidP="0012756B">
      <w:r w:rsidRPr="0012756B">
        <w:t>Project B</w:t>
      </w:r>
      <w:r w:rsidRPr="0012756B">
        <w:br/>
        <w:t>PI = 973.9 / 900.0 = 1.082</w:t>
      </w:r>
    </w:p>
    <w:p w14:paraId="7048580A" w14:textId="77777777" w:rsidR="0012756B" w:rsidRPr="0012756B" w:rsidRDefault="0012756B" w:rsidP="0012756B">
      <w:r w:rsidRPr="0012756B">
        <w:t>Project C</w:t>
      </w:r>
      <w:r w:rsidRPr="0012756B">
        <w:br/>
        <w:t>PI = 1091.2 / 1000.0 = 1.091</w:t>
      </w:r>
    </w:p>
    <w:p w14:paraId="22667657" w14:textId="77777777" w:rsidR="0012756B" w:rsidRPr="0012756B" w:rsidRDefault="0012756B" w:rsidP="0012756B">
      <w:r w:rsidRPr="0012756B">
        <w:t>Ranking by profitability index</w:t>
      </w:r>
      <w:r w:rsidRPr="0012756B">
        <w:br/>
        <w:t>Project C = 1.091</w:t>
      </w:r>
      <w:r w:rsidRPr="0012756B">
        <w:br/>
        <w:t>Project B = 1.082</w:t>
      </w:r>
      <w:r w:rsidRPr="0012756B">
        <w:br/>
        <w:t>Project A = 0.995</w:t>
      </w:r>
    </w:p>
    <w:p w14:paraId="4FD6A113" w14:textId="77777777" w:rsidR="0012756B" w:rsidRPr="0012756B" w:rsidRDefault="0012756B" w:rsidP="0012756B">
      <w:pPr>
        <w:rPr>
          <w:b/>
          <w:bCs/>
        </w:rPr>
      </w:pPr>
      <w:r w:rsidRPr="0012756B">
        <w:rPr>
          <w:b/>
          <w:bCs/>
        </w:rPr>
        <w:t>D3. Capital rationing with £1.5 million</w:t>
      </w:r>
    </w:p>
    <w:p w14:paraId="77EE3BF4" w14:textId="77777777" w:rsidR="0012756B" w:rsidRPr="0012756B" w:rsidRDefault="0012756B" w:rsidP="0012756B">
      <w:r w:rsidRPr="0012756B">
        <w:t>Available funds = 1500</w:t>
      </w:r>
    </w:p>
    <w:p w14:paraId="097EE89E" w14:textId="77777777" w:rsidR="0012756B" w:rsidRPr="0012756B" w:rsidRDefault="0012756B" w:rsidP="0012756B">
      <w:r w:rsidRPr="0012756B">
        <w:t>Invest fully in Project C</w:t>
      </w:r>
      <w:r w:rsidRPr="0012756B">
        <w:br/>
        <w:t>Investment in Project C = 1000</w:t>
      </w:r>
    </w:p>
    <w:p w14:paraId="64AEBB4E" w14:textId="77777777" w:rsidR="0012756B" w:rsidRPr="0012756B" w:rsidRDefault="0012756B" w:rsidP="0012756B">
      <w:r w:rsidRPr="0012756B">
        <w:t>Remaining funds</w:t>
      </w:r>
      <w:r w:rsidRPr="0012756B">
        <w:br/>
        <w:t>= 1500 - 1000</w:t>
      </w:r>
      <w:r w:rsidRPr="0012756B">
        <w:br/>
        <w:t>= 500</w:t>
      </w:r>
    </w:p>
    <w:p w14:paraId="1E548B3C" w14:textId="77777777" w:rsidR="0012756B" w:rsidRPr="0012756B" w:rsidRDefault="0012756B" w:rsidP="0012756B">
      <w:r w:rsidRPr="0012756B">
        <w:t>Invest remaining funds in Project B</w:t>
      </w:r>
    </w:p>
    <w:p w14:paraId="2C6E45DA" w14:textId="77777777" w:rsidR="0012756B" w:rsidRPr="0012756B" w:rsidRDefault="0012756B" w:rsidP="0012756B">
      <w:r w:rsidRPr="0012756B">
        <w:t>Fraction of Project B undertaken</w:t>
      </w:r>
      <w:r w:rsidRPr="0012756B">
        <w:br/>
        <w:t>= 500/900</w:t>
      </w:r>
      <w:r w:rsidRPr="0012756B">
        <w:br/>
        <w:t>= 0.556</w:t>
      </w:r>
      <w:r w:rsidRPr="0012756B">
        <w:br/>
        <w:t>= 55.6%</w:t>
      </w:r>
    </w:p>
    <w:p w14:paraId="1D7A99DC" w14:textId="77777777" w:rsidR="0012756B" w:rsidRPr="0012756B" w:rsidRDefault="0012756B" w:rsidP="0012756B">
      <w:r w:rsidRPr="0012756B">
        <w:t>NPV from full Project C = 91.2</w:t>
      </w:r>
    </w:p>
    <w:p w14:paraId="036D425A" w14:textId="77777777" w:rsidR="0012756B" w:rsidRPr="0012756B" w:rsidRDefault="0012756B" w:rsidP="0012756B">
      <w:r w:rsidRPr="0012756B">
        <w:t>NPV from 55.6% of Project B</w:t>
      </w:r>
      <w:r w:rsidRPr="0012756B">
        <w:br/>
        <w:t>= 73.9 x 500/900</w:t>
      </w:r>
      <w:r w:rsidRPr="0012756B">
        <w:br/>
        <w:t>= 73.9 x 0.556</w:t>
      </w:r>
      <w:r w:rsidRPr="0012756B">
        <w:br/>
        <w:t>= 41.1</w:t>
      </w:r>
    </w:p>
    <w:p w14:paraId="1197175E" w14:textId="77777777" w:rsidR="0012756B" w:rsidRPr="0012756B" w:rsidRDefault="0012756B" w:rsidP="0012756B">
      <w:r w:rsidRPr="0012756B">
        <w:t>Total NPV</w:t>
      </w:r>
      <w:r w:rsidRPr="0012756B">
        <w:br/>
        <w:t>= 91.2 + 41.1</w:t>
      </w:r>
      <w:r w:rsidRPr="0012756B">
        <w:br/>
        <w:t>= 132.3</w:t>
      </w:r>
    </w:p>
    <w:p w14:paraId="6C682C1D" w14:textId="77777777" w:rsidR="0012756B" w:rsidRPr="0012756B" w:rsidRDefault="0012756B" w:rsidP="0012756B">
      <w:r w:rsidRPr="0012756B">
        <w:t>Optimal investment policy</w:t>
      </w:r>
      <w:r w:rsidRPr="0012756B">
        <w:br/>
        <w:t>100% of Project C</w:t>
      </w:r>
      <w:r w:rsidRPr="0012756B">
        <w:br/>
        <w:t>55.6% of Project B</w:t>
      </w:r>
      <w:r w:rsidRPr="0012756B">
        <w:br/>
        <w:t>0% of Project A</w:t>
      </w:r>
    </w:p>
    <w:p w14:paraId="737152DD" w14:textId="77777777" w:rsidR="0012756B" w:rsidRPr="0012756B" w:rsidRDefault="0012756B" w:rsidP="0012756B">
      <w:r w:rsidRPr="0012756B">
        <w:t>Resulting total NPV = £132.3k</w:t>
      </w:r>
    </w:p>
    <w:p w14:paraId="5D84CBB7" w14:textId="77777777" w:rsidR="0012756B" w:rsidRPr="0012756B" w:rsidRDefault="0012756B" w:rsidP="0012756B">
      <w:pPr>
        <w:rPr>
          <w:vanish/>
        </w:rPr>
      </w:pPr>
      <w:r w:rsidRPr="0012756B">
        <w:rPr>
          <w:vanish/>
        </w:rPr>
        <w:t>Top of Form</w:t>
      </w:r>
    </w:p>
    <w:p w14:paraId="4A8806D1" w14:textId="77777777" w:rsidR="0012756B" w:rsidRPr="0012756B" w:rsidRDefault="0012756B" w:rsidP="0012756B"/>
    <w:p w14:paraId="5F7A69DF" w14:textId="77777777" w:rsidR="0012756B" w:rsidRPr="0012756B" w:rsidRDefault="0012756B" w:rsidP="0012756B">
      <w:pPr>
        <w:rPr>
          <w:vanish/>
        </w:rPr>
      </w:pPr>
      <w:r w:rsidRPr="0012756B">
        <w:rPr>
          <w:vanish/>
        </w:rPr>
        <w:t>Bottom of Form</w:t>
      </w:r>
    </w:p>
    <w:p w14:paraId="69729C50" w14:textId="77777777" w:rsidR="0012756B" w:rsidRPr="00EC2A13" w:rsidRDefault="0012756B" w:rsidP="00EC2A13"/>
    <w:sectPr w:rsidR="0012756B" w:rsidRPr="00EC2A13" w:rsidSect="007D1947">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DEE1F" w14:textId="77777777" w:rsidR="00CF13D8" w:rsidRDefault="00CF13D8" w:rsidP="00F33B24">
      <w:pPr>
        <w:spacing w:after="0" w:line="240" w:lineRule="auto"/>
      </w:pPr>
      <w:r>
        <w:separator/>
      </w:r>
    </w:p>
  </w:endnote>
  <w:endnote w:type="continuationSeparator" w:id="0">
    <w:p w14:paraId="4CCB7C0E" w14:textId="77777777" w:rsidR="00CF13D8" w:rsidRDefault="00CF13D8"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088306"/>
      <w:docPartObj>
        <w:docPartGallery w:val="Page Numbers (Bottom of Page)"/>
        <w:docPartUnique/>
      </w:docPartObj>
    </w:sdtPr>
    <w:sdtEndPr>
      <w:rPr>
        <w:noProof/>
      </w:rPr>
    </w:sdtEndPr>
    <w:sdtContent>
      <w:p w14:paraId="4C366E65" w14:textId="31925501" w:rsidR="00F33B24" w:rsidRDefault="00F33B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ED3F4" w14:textId="77777777" w:rsidR="00F33B24" w:rsidRDefault="00F33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E597B" w14:textId="77777777" w:rsidR="00CF13D8" w:rsidRDefault="00CF13D8" w:rsidP="00F33B24">
      <w:pPr>
        <w:spacing w:after="0" w:line="240" w:lineRule="auto"/>
      </w:pPr>
      <w:r>
        <w:separator/>
      </w:r>
    </w:p>
  </w:footnote>
  <w:footnote w:type="continuationSeparator" w:id="0">
    <w:p w14:paraId="15449A97" w14:textId="77777777" w:rsidR="00CF13D8" w:rsidRDefault="00CF13D8" w:rsidP="00F33B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84E65"/>
    <w:rsid w:val="00107936"/>
    <w:rsid w:val="00115B96"/>
    <w:rsid w:val="0012756B"/>
    <w:rsid w:val="00247316"/>
    <w:rsid w:val="00310F2F"/>
    <w:rsid w:val="00324CCD"/>
    <w:rsid w:val="00327F96"/>
    <w:rsid w:val="003C11E7"/>
    <w:rsid w:val="00457DBC"/>
    <w:rsid w:val="00480872"/>
    <w:rsid w:val="004A11F6"/>
    <w:rsid w:val="004D519C"/>
    <w:rsid w:val="00534101"/>
    <w:rsid w:val="00547461"/>
    <w:rsid w:val="00702B44"/>
    <w:rsid w:val="00741572"/>
    <w:rsid w:val="007D1947"/>
    <w:rsid w:val="008D1426"/>
    <w:rsid w:val="00931CAA"/>
    <w:rsid w:val="00A11633"/>
    <w:rsid w:val="00A12B58"/>
    <w:rsid w:val="00A434A5"/>
    <w:rsid w:val="00A92485"/>
    <w:rsid w:val="00AA2A91"/>
    <w:rsid w:val="00B30FDD"/>
    <w:rsid w:val="00C06376"/>
    <w:rsid w:val="00CA09F3"/>
    <w:rsid w:val="00CF0E48"/>
    <w:rsid w:val="00CF13D8"/>
    <w:rsid w:val="00D63FE2"/>
    <w:rsid w:val="00D854A5"/>
    <w:rsid w:val="00E75112"/>
    <w:rsid w:val="00EC2A13"/>
    <w:rsid w:val="00F33B24"/>
    <w:rsid w:val="00F61B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11/j.1475-679X.2011.00415.x" TargetMode="External"/><Relationship Id="rId18" Type="http://schemas.openxmlformats.org/officeDocument/2006/relationships/hyperlink" Target="https://doi.org/10.1007/s40622-023-00372-x"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www.sciencedirect.com/science/article/abs/pii/S0304406824000545?utm_source=chatgpt.com" TargetMode="External"/><Relationship Id="rId7" Type="http://schemas.openxmlformats.org/officeDocument/2006/relationships/endnotes" Target="endnotes.xml"/><Relationship Id="rId12" Type="http://schemas.openxmlformats.org/officeDocument/2006/relationships/hyperlink" Target="https://corporatefinanceinstitute.com/resources/valuation/capital-planning-metrics-guide/?utm_source=chatgpt.com" TargetMode="External"/><Relationship Id="rId17" Type="http://schemas.openxmlformats.org/officeDocument/2006/relationships/hyperlink" Target="https://doi.org/10.3390/jrfm18110648"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ifrs.org/content/dam/ifrs/project/discount-rates/project-summary.pdf?utm_source=chatgpt.com" TargetMode="External"/><Relationship Id="rId20" Type="http://schemas.openxmlformats.org/officeDocument/2006/relationships/hyperlink" Target="https://doi.org/10.1016/j.bir.2024.03.004"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financeinstitute.com/resources/valuation/net-present-value-npv/?utm_source=chatgpt.com" TargetMode="Externa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doi.org/10.1057/s41599-021-00778-x" TargetMode="External"/><Relationship Id="rId23" Type="http://schemas.openxmlformats.org/officeDocument/2006/relationships/hyperlink" Target="https://www.unilever.com/files/unilever-annual-report-on-form-20-f-2025.pdf?utm_source=chatgpt.com" TargetMode="External"/><Relationship Id="rId28" Type="http://schemas.openxmlformats.org/officeDocument/2006/relationships/fontTable" Target="fontTable.xml"/><Relationship Id="rId10" Type="http://schemas.openxmlformats.org/officeDocument/2006/relationships/hyperlink" Target="https://corporatefinanceinstitute.com/resources/valuation/capital-budgeting/" TargetMode="External"/><Relationship Id="rId19" Type="http://schemas.openxmlformats.org/officeDocument/2006/relationships/hyperlink" Target="https://doi.org/10.1093/rof/rfs04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dpi.com/1911-8074/18/6/297?utm_source=chatgpt.com" TargetMode="External"/><Relationship Id="rId22" Type="http://schemas.openxmlformats.org/officeDocument/2006/relationships/hyperlink" Target="https://www.unilever.com/files/unilever-annual-report-and-accounts-2025.pdf?utm_source=chatgpt.com"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2C4564"/>
    <w:rsid w:val="003203C2"/>
    <w:rsid w:val="003C11E7"/>
    <w:rsid w:val="004D25D2"/>
    <w:rsid w:val="00702B44"/>
    <w:rsid w:val="00A11633"/>
    <w:rsid w:val="00A34C42"/>
    <w:rsid w:val="00B910DE"/>
    <w:rsid w:val="00BC1251"/>
    <w:rsid w:val="00C67429"/>
    <w:rsid w:val="00E00C6B"/>
    <w:rsid w:val="00FD60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8553</Words>
  <Characters>41743</Characters>
  <Application>Microsoft Office Word</Application>
  <DocSecurity>0</DocSecurity>
  <Lines>13914</Lines>
  <Paragraphs>1571</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48725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Performance Analysis of Unilever plc and Investment Appraisal Report for Beard Plc</dc:title>
  <dc:subject/>
  <dc:creator>Marie Pitson</dc:creator>
  <cp:keywords/>
  <dc:description/>
  <cp:lastModifiedBy>Md Rokibul Islam [Student-PECS]</cp:lastModifiedBy>
  <cp:revision>7</cp:revision>
  <dcterms:created xsi:type="dcterms:W3CDTF">2024-10-21T13:17:00Z</dcterms:created>
  <dcterms:modified xsi:type="dcterms:W3CDTF">2026-04-19T21:48:00Z</dcterms:modified>
</cp:coreProperties>
</file>