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1" w14:textId="77777777" w:rsidR="002D2CA4" w:rsidRPr="00DB6E5F" w:rsidRDefault="00000000" w:rsidP="00DB6E5F">
      <w:pPr>
        <w:pStyle w:val="Title"/>
        <w:rPr>
          <w:rFonts w:ascii="Arial" w:hAnsi="Arial" w:cs="Arial"/>
        </w:rPr>
      </w:pPr>
      <w:r w:rsidRPr="00DB6E5F">
        <w:rPr>
          <w:rFonts w:ascii="Arial" w:hAnsi="Arial" w:cs="Arial"/>
        </w:rPr>
        <w:t>Module Title: Protecting and Supporting Families in Health and Care</w:t>
      </w:r>
    </w:p>
    <w:p w14:paraId="00000002" w14:textId="0172AF03" w:rsidR="002D2CA4" w:rsidRPr="00DB6E5F" w:rsidRDefault="00000000" w:rsidP="00DB6E5F">
      <w:pPr>
        <w:pStyle w:val="Title"/>
        <w:rPr>
          <w:rFonts w:ascii="Arial" w:hAnsi="Arial" w:cs="Arial"/>
        </w:rPr>
      </w:pPr>
      <w:r w:rsidRPr="00DB6E5F">
        <w:rPr>
          <w:rFonts w:ascii="Arial" w:hAnsi="Arial" w:cs="Arial"/>
        </w:rPr>
        <w:t>Module Code: BMHP5021</w:t>
      </w:r>
    </w:p>
    <w:p w14:paraId="00000003" w14:textId="77777777" w:rsidR="002D2CA4" w:rsidRPr="00DB6E5F" w:rsidRDefault="00000000" w:rsidP="00DB6E5F">
      <w:pPr>
        <w:pStyle w:val="Title"/>
        <w:rPr>
          <w:rFonts w:ascii="Arial" w:hAnsi="Arial" w:cs="Arial"/>
        </w:rPr>
      </w:pPr>
      <w:bookmarkStart w:id="0" w:name="_heading=h.3s7oevndigbg" w:colFirst="0" w:colLast="0"/>
      <w:bookmarkEnd w:id="0"/>
      <w:r w:rsidRPr="00DB6E5F">
        <w:rPr>
          <w:rFonts w:ascii="Arial" w:hAnsi="Arial" w:cs="Arial"/>
        </w:rPr>
        <w:t>Student Name: Amie Banja</w:t>
      </w:r>
    </w:p>
    <w:p w14:paraId="226FF6FA" w14:textId="2E48C712" w:rsidR="00DB6E5F" w:rsidRPr="00DB6E5F" w:rsidRDefault="00DB6E5F" w:rsidP="00DB6E5F">
      <w:pPr>
        <w:jc w:val="center"/>
        <w:rPr>
          <w:rFonts w:ascii="Arial" w:hAnsi="Arial" w:cs="Arial"/>
          <w:b/>
          <w:bCs/>
          <w:sz w:val="32"/>
          <w:szCs w:val="32"/>
        </w:rPr>
      </w:pPr>
      <w:r w:rsidRPr="00DB6E5F">
        <w:rPr>
          <w:rFonts w:ascii="Arial" w:hAnsi="Arial" w:cs="Arial"/>
          <w:b/>
          <w:bCs/>
          <w:sz w:val="32"/>
          <w:szCs w:val="32"/>
        </w:rPr>
        <w:t>Lecturer Name</w:t>
      </w:r>
      <w:r>
        <w:rPr>
          <w:rFonts w:ascii="Arial" w:hAnsi="Arial" w:cs="Arial"/>
          <w:b/>
          <w:bCs/>
          <w:sz w:val="32"/>
          <w:szCs w:val="32"/>
        </w:rPr>
        <w:t>: Robert Nartowski</w:t>
      </w:r>
    </w:p>
    <w:p w14:paraId="537D0A12" w14:textId="7EF83B7D" w:rsidR="00DB6E5F" w:rsidRPr="00DB6E5F" w:rsidRDefault="00000000" w:rsidP="00DB6E5F">
      <w:pPr>
        <w:pStyle w:val="Title"/>
        <w:rPr>
          <w:rFonts w:ascii="Arial" w:hAnsi="Arial" w:cs="Arial"/>
        </w:rPr>
      </w:pPr>
      <w:bookmarkStart w:id="1" w:name="_heading=h.fg8ll8dabqpn" w:colFirst="0" w:colLast="0"/>
      <w:bookmarkEnd w:id="1"/>
      <w:r w:rsidRPr="00DB6E5F">
        <w:rPr>
          <w:rFonts w:ascii="Arial" w:hAnsi="Arial" w:cs="Arial"/>
        </w:rPr>
        <w:t>Student ID:</w:t>
      </w:r>
      <w:r w:rsidR="00DB6E5F" w:rsidRPr="00DB6E5F">
        <w:rPr>
          <w:rFonts w:ascii="Arial" w:hAnsi="Arial" w:cs="Arial"/>
        </w:rPr>
        <w:t xml:space="preserve"> 2309251</w:t>
      </w:r>
    </w:p>
    <w:p w14:paraId="7721BD2D" w14:textId="77777777" w:rsidR="00DB6E5F" w:rsidRPr="00DB6E5F" w:rsidRDefault="00DB6E5F" w:rsidP="00DB6E5F">
      <w:pPr>
        <w:rPr>
          <w:b/>
          <w:bCs/>
        </w:rPr>
      </w:pPr>
    </w:p>
    <w:p w14:paraId="00000005" w14:textId="77777777" w:rsidR="002D2CA4" w:rsidRDefault="002D2CA4">
      <w:pPr>
        <w:pStyle w:val="Title"/>
      </w:pPr>
      <w:bookmarkStart w:id="2" w:name="_heading=h.a4m0ndn087lv" w:colFirst="0" w:colLast="0"/>
      <w:bookmarkEnd w:id="2"/>
    </w:p>
    <w:p w14:paraId="0B614595" w14:textId="77777777" w:rsidR="00DB6E5F" w:rsidRDefault="00DB6E5F">
      <w:pPr>
        <w:pStyle w:val="Title"/>
      </w:pPr>
      <w:bookmarkStart w:id="3" w:name="_heading=h.7sfnrsp8jtn3" w:colFirst="0" w:colLast="0"/>
      <w:bookmarkEnd w:id="3"/>
    </w:p>
    <w:p w14:paraId="62495A39" w14:textId="77777777" w:rsidR="00DB6E5F" w:rsidRDefault="00DB6E5F">
      <w:pPr>
        <w:pStyle w:val="Title"/>
      </w:pPr>
    </w:p>
    <w:p w14:paraId="1A74EBC1" w14:textId="77777777" w:rsidR="00DB6E5F" w:rsidRDefault="00DB6E5F">
      <w:pPr>
        <w:pStyle w:val="Title"/>
      </w:pPr>
    </w:p>
    <w:p w14:paraId="15949C99" w14:textId="77777777" w:rsidR="00DB6E5F" w:rsidRDefault="00DB6E5F">
      <w:pPr>
        <w:pStyle w:val="Title"/>
      </w:pPr>
    </w:p>
    <w:p w14:paraId="4C84D859" w14:textId="77777777" w:rsidR="00DB6E5F" w:rsidRDefault="00DB6E5F">
      <w:pPr>
        <w:pStyle w:val="Title"/>
      </w:pPr>
    </w:p>
    <w:p w14:paraId="255D0A0E" w14:textId="77777777" w:rsidR="00DB6E5F" w:rsidRDefault="00DB6E5F">
      <w:pPr>
        <w:pStyle w:val="Title"/>
      </w:pPr>
    </w:p>
    <w:p w14:paraId="2138D975" w14:textId="77777777" w:rsidR="00DB6E5F" w:rsidRDefault="00DB6E5F">
      <w:pPr>
        <w:pStyle w:val="Title"/>
      </w:pPr>
    </w:p>
    <w:p w14:paraId="688D6A6B" w14:textId="77777777" w:rsidR="00DB6E5F" w:rsidRDefault="00DB6E5F">
      <w:pPr>
        <w:pStyle w:val="Title"/>
      </w:pPr>
    </w:p>
    <w:p w14:paraId="5853288A" w14:textId="77777777" w:rsidR="00DB6E5F" w:rsidRDefault="00DB6E5F">
      <w:pPr>
        <w:pStyle w:val="Title"/>
      </w:pPr>
    </w:p>
    <w:p w14:paraId="06FA4C99" w14:textId="77777777" w:rsidR="00DB6E5F" w:rsidRDefault="00DB6E5F">
      <w:pPr>
        <w:pStyle w:val="Title"/>
      </w:pPr>
    </w:p>
    <w:p w14:paraId="00000006" w14:textId="094714EC" w:rsidR="002D2CA4" w:rsidRDefault="00000000">
      <w:pPr>
        <w:pStyle w:val="Title"/>
        <w:rPr>
          <w:i/>
          <w:iCs/>
        </w:rPr>
      </w:pPr>
      <w:r>
        <w:t xml:space="preserve">Title: </w:t>
      </w:r>
      <w:r>
        <w:rPr>
          <w:i/>
          <w:iCs/>
        </w:rPr>
        <w:t>An Examination and Analysis of How the Early Help System is Signposted to UK Families by Local Authority Websites</w:t>
      </w:r>
      <w:r>
        <w:br w:type="page"/>
      </w:r>
    </w:p>
    <w:p w14:paraId="00000007" w14:textId="77777777" w:rsidR="002D2CA4" w:rsidRPr="00DB6E5F" w:rsidRDefault="00000000" w:rsidP="00DB6E5F">
      <w:pPr>
        <w:spacing w:line="276" w:lineRule="auto"/>
        <w:jc w:val="center"/>
        <w:rPr>
          <w:rFonts w:ascii="Arial" w:hAnsi="Arial" w:cs="Arial"/>
          <w:b/>
          <w:bCs/>
          <w:sz w:val="22"/>
          <w:szCs w:val="22"/>
        </w:rPr>
      </w:pPr>
      <w:r w:rsidRPr="00DB6E5F">
        <w:rPr>
          <w:rFonts w:ascii="Arial" w:hAnsi="Arial" w:cs="Arial"/>
          <w:b/>
          <w:bCs/>
          <w:sz w:val="22"/>
          <w:szCs w:val="22"/>
        </w:rPr>
        <w:lastRenderedPageBreak/>
        <w:t>Table of Contents</w:t>
      </w:r>
    </w:p>
    <w:sdt>
      <w:sdtPr>
        <w:rPr>
          <w:rFonts w:ascii="Arial" w:hAnsi="Arial" w:cs="Arial"/>
          <w:sz w:val="22"/>
          <w:szCs w:val="22"/>
        </w:rPr>
        <w:id w:val="-657022237"/>
        <w:docPartObj>
          <w:docPartGallery w:val="Table of Contents"/>
          <w:docPartUnique/>
        </w:docPartObj>
      </w:sdtPr>
      <w:sdtContent>
        <w:p w14:paraId="00000008" w14:textId="77777777" w:rsidR="002D2CA4" w:rsidRPr="00DB6E5F" w:rsidRDefault="00000000" w:rsidP="00DB6E5F">
          <w:pPr>
            <w:widowControl w:val="0"/>
            <w:tabs>
              <w:tab w:val="right" w:pos="12000"/>
            </w:tabs>
            <w:spacing w:before="60" w:line="276" w:lineRule="auto"/>
            <w:jc w:val="left"/>
            <w:rPr>
              <w:rFonts w:ascii="Arial" w:hAnsi="Arial" w:cs="Arial"/>
              <w:color w:val="000000"/>
              <w:sz w:val="22"/>
              <w:szCs w:val="22"/>
            </w:rPr>
          </w:pPr>
          <w:r w:rsidRPr="00DB6E5F">
            <w:rPr>
              <w:rFonts w:ascii="Arial" w:hAnsi="Arial" w:cs="Arial"/>
              <w:sz w:val="22"/>
              <w:szCs w:val="22"/>
            </w:rPr>
            <w:fldChar w:fldCharType="begin"/>
          </w:r>
          <w:r w:rsidRPr="00DB6E5F">
            <w:rPr>
              <w:rFonts w:ascii="Arial" w:hAnsi="Arial" w:cs="Arial"/>
              <w:sz w:val="22"/>
              <w:szCs w:val="22"/>
            </w:rPr>
            <w:instrText xml:space="preserve"> TOC \h \u \z \t "Heading 1,1,Heading 2,2,Heading 3,3,Heading 4,4,Heading 5,5,Heading 6,6,"</w:instrText>
          </w:r>
          <w:r w:rsidRPr="00DB6E5F">
            <w:rPr>
              <w:rFonts w:ascii="Arial" w:hAnsi="Arial" w:cs="Arial"/>
              <w:sz w:val="22"/>
              <w:szCs w:val="22"/>
            </w:rPr>
            <w:fldChar w:fldCharType="separate"/>
          </w:r>
          <w:hyperlink w:anchor="_heading=h.h5phcoo59gbi">
            <w:r w:rsidRPr="00DB6E5F">
              <w:rPr>
                <w:rFonts w:ascii="Arial" w:hAnsi="Arial" w:cs="Arial"/>
                <w:color w:val="000000"/>
                <w:sz w:val="22"/>
                <w:szCs w:val="22"/>
              </w:rPr>
              <w:t>1. Introduction</w:t>
            </w:r>
            <w:r w:rsidRPr="00DB6E5F">
              <w:rPr>
                <w:rFonts w:ascii="Arial" w:hAnsi="Arial" w:cs="Arial"/>
                <w:color w:val="000000"/>
                <w:sz w:val="22"/>
                <w:szCs w:val="22"/>
              </w:rPr>
              <w:tab/>
              <w:t>3</w:t>
            </w:r>
          </w:hyperlink>
        </w:p>
        <w:p w14:paraId="00000009" w14:textId="77777777" w:rsidR="002D2CA4" w:rsidRPr="00DB6E5F" w:rsidRDefault="00000000" w:rsidP="00DB6E5F">
          <w:pPr>
            <w:widowControl w:val="0"/>
            <w:tabs>
              <w:tab w:val="right" w:pos="12000"/>
            </w:tabs>
            <w:spacing w:before="60" w:line="276" w:lineRule="auto"/>
            <w:jc w:val="left"/>
            <w:rPr>
              <w:rFonts w:ascii="Arial" w:hAnsi="Arial" w:cs="Arial"/>
              <w:color w:val="000000"/>
              <w:sz w:val="22"/>
              <w:szCs w:val="22"/>
            </w:rPr>
          </w:pPr>
          <w:hyperlink w:anchor="_heading=h.lcclezvemo22">
            <w:r w:rsidRPr="00DB6E5F">
              <w:rPr>
                <w:rFonts w:ascii="Arial" w:hAnsi="Arial" w:cs="Arial"/>
                <w:color w:val="000000"/>
                <w:sz w:val="22"/>
                <w:szCs w:val="22"/>
              </w:rPr>
              <w:t>2. Explanation of the Early Help System</w:t>
            </w:r>
            <w:r w:rsidRPr="00DB6E5F">
              <w:rPr>
                <w:rFonts w:ascii="Arial" w:hAnsi="Arial" w:cs="Arial"/>
                <w:color w:val="000000"/>
                <w:sz w:val="22"/>
                <w:szCs w:val="22"/>
              </w:rPr>
              <w:tab/>
              <w:t>4</w:t>
            </w:r>
          </w:hyperlink>
        </w:p>
        <w:p w14:paraId="0000000A" w14:textId="77777777" w:rsidR="002D2CA4" w:rsidRPr="00DB6E5F" w:rsidRDefault="00000000" w:rsidP="00DB6E5F">
          <w:pPr>
            <w:widowControl w:val="0"/>
            <w:tabs>
              <w:tab w:val="right" w:pos="12000"/>
            </w:tabs>
            <w:spacing w:before="60" w:line="276" w:lineRule="auto"/>
            <w:jc w:val="left"/>
            <w:rPr>
              <w:rFonts w:ascii="Arial" w:hAnsi="Arial" w:cs="Arial"/>
              <w:color w:val="000000"/>
              <w:sz w:val="22"/>
              <w:szCs w:val="22"/>
            </w:rPr>
          </w:pPr>
          <w:hyperlink w:anchor="_heading=h.sso4mv458vus">
            <w:r w:rsidRPr="00DB6E5F">
              <w:rPr>
                <w:rFonts w:ascii="Arial" w:hAnsi="Arial" w:cs="Arial"/>
                <w:color w:val="000000"/>
                <w:sz w:val="22"/>
                <w:szCs w:val="22"/>
              </w:rPr>
              <w:t>3. Explanation of Multi-Agency Working</w:t>
            </w:r>
            <w:r w:rsidRPr="00DB6E5F">
              <w:rPr>
                <w:rFonts w:ascii="Arial" w:hAnsi="Arial" w:cs="Arial"/>
                <w:color w:val="000000"/>
                <w:sz w:val="22"/>
                <w:szCs w:val="22"/>
              </w:rPr>
              <w:tab/>
              <w:t>4</w:t>
            </w:r>
          </w:hyperlink>
        </w:p>
        <w:p w14:paraId="0000000B" w14:textId="77777777" w:rsidR="002D2CA4" w:rsidRPr="00DB6E5F" w:rsidRDefault="00000000" w:rsidP="00DB6E5F">
          <w:pPr>
            <w:widowControl w:val="0"/>
            <w:tabs>
              <w:tab w:val="right" w:pos="12000"/>
            </w:tabs>
            <w:spacing w:before="60" w:line="276" w:lineRule="auto"/>
            <w:jc w:val="left"/>
            <w:rPr>
              <w:rFonts w:ascii="Arial" w:hAnsi="Arial" w:cs="Arial"/>
              <w:color w:val="000000"/>
              <w:sz w:val="22"/>
              <w:szCs w:val="22"/>
            </w:rPr>
          </w:pPr>
          <w:hyperlink w:anchor="_heading=h.vgi6piorj5oy">
            <w:r w:rsidRPr="00DB6E5F">
              <w:rPr>
                <w:rFonts w:ascii="Arial" w:hAnsi="Arial" w:cs="Arial"/>
                <w:color w:val="000000"/>
                <w:sz w:val="22"/>
                <w:szCs w:val="22"/>
              </w:rPr>
              <w:t>4. Evaluation of Each Local Authority Website</w:t>
            </w:r>
            <w:r w:rsidRPr="00DB6E5F">
              <w:rPr>
                <w:rFonts w:ascii="Arial" w:hAnsi="Arial" w:cs="Arial"/>
                <w:color w:val="000000"/>
                <w:sz w:val="22"/>
                <w:szCs w:val="22"/>
              </w:rPr>
              <w:tab/>
              <w:t>5</w:t>
            </w:r>
          </w:hyperlink>
        </w:p>
        <w:p w14:paraId="0000000C" w14:textId="77777777" w:rsidR="002D2CA4" w:rsidRPr="00DB6E5F" w:rsidRDefault="00000000" w:rsidP="00DB6E5F">
          <w:pPr>
            <w:widowControl w:val="0"/>
            <w:tabs>
              <w:tab w:val="right" w:pos="12000"/>
            </w:tabs>
            <w:spacing w:before="60" w:line="276" w:lineRule="auto"/>
            <w:jc w:val="left"/>
            <w:rPr>
              <w:rFonts w:ascii="Arial" w:hAnsi="Arial" w:cs="Arial"/>
              <w:color w:val="000000"/>
              <w:sz w:val="22"/>
              <w:szCs w:val="22"/>
            </w:rPr>
          </w:pPr>
          <w:hyperlink w:anchor="_heading=h.4yxptosyxzis">
            <w:r w:rsidRPr="00DB6E5F">
              <w:rPr>
                <w:rFonts w:ascii="Arial" w:hAnsi="Arial" w:cs="Arial"/>
                <w:color w:val="000000"/>
                <w:sz w:val="22"/>
                <w:szCs w:val="22"/>
              </w:rPr>
              <w:t>5. Comparative Analysis</w:t>
            </w:r>
            <w:r w:rsidRPr="00DB6E5F">
              <w:rPr>
                <w:rFonts w:ascii="Arial" w:hAnsi="Arial" w:cs="Arial"/>
                <w:color w:val="000000"/>
                <w:sz w:val="22"/>
                <w:szCs w:val="22"/>
              </w:rPr>
              <w:tab/>
              <w:t>8</w:t>
            </w:r>
          </w:hyperlink>
        </w:p>
        <w:p w14:paraId="0000000D" w14:textId="77777777" w:rsidR="002D2CA4" w:rsidRPr="00DB6E5F" w:rsidRDefault="00000000" w:rsidP="00DB6E5F">
          <w:pPr>
            <w:widowControl w:val="0"/>
            <w:tabs>
              <w:tab w:val="right" w:pos="12000"/>
            </w:tabs>
            <w:spacing w:before="60" w:line="276" w:lineRule="auto"/>
            <w:jc w:val="left"/>
            <w:rPr>
              <w:rFonts w:ascii="Arial" w:hAnsi="Arial" w:cs="Arial"/>
              <w:color w:val="000000"/>
              <w:sz w:val="22"/>
              <w:szCs w:val="22"/>
            </w:rPr>
          </w:pPr>
          <w:hyperlink w:anchor="_heading=h.m1zmuab3osg">
            <w:r w:rsidRPr="00DB6E5F">
              <w:rPr>
                <w:rFonts w:ascii="Arial" w:hAnsi="Arial" w:cs="Arial"/>
                <w:color w:val="000000"/>
                <w:sz w:val="22"/>
                <w:szCs w:val="22"/>
              </w:rPr>
              <w:t>6. Conclusion and Recommendations</w:t>
            </w:r>
            <w:r w:rsidRPr="00DB6E5F">
              <w:rPr>
                <w:rFonts w:ascii="Arial" w:hAnsi="Arial" w:cs="Arial"/>
                <w:color w:val="000000"/>
                <w:sz w:val="22"/>
                <w:szCs w:val="22"/>
              </w:rPr>
              <w:tab/>
              <w:t>9</w:t>
            </w:r>
          </w:hyperlink>
        </w:p>
        <w:p w14:paraId="0000000E" w14:textId="77777777" w:rsidR="002D2CA4" w:rsidRPr="00DB6E5F" w:rsidRDefault="00000000" w:rsidP="00DB6E5F">
          <w:pPr>
            <w:widowControl w:val="0"/>
            <w:tabs>
              <w:tab w:val="right" w:pos="12000"/>
            </w:tabs>
            <w:spacing w:before="60" w:line="276" w:lineRule="auto"/>
            <w:jc w:val="left"/>
            <w:rPr>
              <w:rFonts w:ascii="Arial" w:hAnsi="Arial" w:cs="Arial"/>
              <w:color w:val="000000"/>
              <w:sz w:val="22"/>
              <w:szCs w:val="22"/>
            </w:rPr>
          </w:pPr>
          <w:hyperlink w:anchor="_heading=h.8ox0cbu6snqw">
            <w:r w:rsidRPr="00DB6E5F">
              <w:rPr>
                <w:rFonts w:ascii="Arial" w:hAnsi="Arial" w:cs="Arial"/>
                <w:color w:val="000000"/>
                <w:sz w:val="22"/>
                <w:szCs w:val="22"/>
              </w:rPr>
              <w:t>7. Reference</w:t>
            </w:r>
            <w:r w:rsidRPr="00DB6E5F">
              <w:rPr>
                <w:rFonts w:ascii="Arial" w:hAnsi="Arial" w:cs="Arial"/>
                <w:color w:val="000000"/>
                <w:sz w:val="22"/>
                <w:szCs w:val="22"/>
              </w:rPr>
              <w:tab/>
              <w:t>10</w:t>
            </w:r>
          </w:hyperlink>
          <w:r w:rsidRPr="00DB6E5F">
            <w:rPr>
              <w:rFonts w:ascii="Arial" w:hAnsi="Arial" w:cs="Arial"/>
              <w:sz w:val="22"/>
              <w:szCs w:val="22"/>
            </w:rPr>
            <w:fldChar w:fldCharType="end"/>
          </w:r>
        </w:p>
      </w:sdtContent>
    </w:sdt>
    <w:p w14:paraId="0000000F" w14:textId="77777777" w:rsidR="002D2CA4" w:rsidRPr="00DB6E5F" w:rsidRDefault="00000000" w:rsidP="00DB6E5F">
      <w:pPr>
        <w:spacing w:line="276" w:lineRule="auto"/>
        <w:jc w:val="left"/>
        <w:rPr>
          <w:rFonts w:ascii="Arial" w:hAnsi="Arial" w:cs="Arial"/>
          <w:b/>
          <w:bCs/>
          <w:sz w:val="22"/>
          <w:szCs w:val="22"/>
        </w:rPr>
      </w:pPr>
      <w:r w:rsidRPr="00DB6E5F">
        <w:rPr>
          <w:rFonts w:ascii="Arial" w:hAnsi="Arial" w:cs="Arial"/>
          <w:sz w:val="22"/>
          <w:szCs w:val="22"/>
        </w:rPr>
        <w:br w:type="page"/>
      </w:r>
    </w:p>
    <w:p w14:paraId="00000010" w14:textId="77777777" w:rsidR="002D2CA4" w:rsidRPr="00DB6E5F" w:rsidRDefault="00000000" w:rsidP="00DB6E5F">
      <w:pPr>
        <w:pStyle w:val="Heading1"/>
        <w:spacing w:line="276" w:lineRule="auto"/>
        <w:rPr>
          <w:rFonts w:ascii="Arial" w:hAnsi="Arial" w:cs="Arial"/>
          <w:sz w:val="22"/>
          <w:szCs w:val="22"/>
        </w:rPr>
      </w:pPr>
      <w:bookmarkStart w:id="4" w:name="_heading=h.h5phcoo59gbi" w:colFirst="0" w:colLast="0"/>
      <w:bookmarkEnd w:id="4"/>
      <w:r w:rsidRPr="00DB6E5F">
        <w:rPr>
          <w:rFonts w:ascii="Arial" w:hAnsi="Arial" w:cs="Arial"/>
          <w:sz w:val="22"/>
          <w:szCs w:val="22"/>
        </w:rPr>
        <w:lastRenderedPageBreak/>
        <w:t>1. Introduction</w:t>
      </w:r>
    </w:p>
    <w:p w14:paraId="00000011" w14:textId="4E8CFF3B"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This report discusses how three local authorities in the UK display Early Help and family support services on their websites. The selected authorities to be compared are Leeds City Council, Norfolk County Council and Nottinghamshire County Council (WEBB, 2021). This is meant to test accessibility, signposting and clarity to ensure that families seek the necessary assistance on time before it is too late. Early Help can be defined as a proactive protective strategy that can provide proportional and family-focused interventions once the issues begin to be manifested, with the goal of fewer subsequent statutory interventions and better outcomes for children and families (Corliss </w:t>
      </w:r>
      <w:r w:rsidRPr="00DB6E5F">
        <w:rPr>
          <w:rFonts w:ascii="Arial" w:hAnsi="Arial" w:cs="Arial"/>
          <w:i/>
          <w:iCs/>
          <w:sz w:val="22"/>
          <w:szCs w:val="22"/>
        </w:rPr>
        <w:t xml:space="preserve">et al., </w:t>
      </w:r>
      <w:r w:rsidRPr="00DB6E5F">
        <w:rPr>
          <w:rFonts w:ascii="Arial" w:hAnsi="Arial" w:cs="Arial"/>
          <w:sz w:val="22"/>
          <w:szCs w:val="22"/>
        </w:rPr>
        <w:t xml:space="preserve">2021). It has been analysed in the context of </w:t>
      </w:r>
      <w:r w:rsidR="00DB6E5F" w:rsidRPr="00DB6E5F">
        <w:rPr>
          <w:rFonts w:ascii="Arial" w:hAnsi="Arial" w:cs="Arial"/>
          <w:sz w:val="22"/>
          <w:szCs w:val="22"/>
        </w:rPr>
        <w:t>statutory</w:t>
      </w:r>
      <w:r w:rsidRPr="00DB6E5F">
        <w:rPr>
          <w:rFonts w:ascii="Arial" w:hAnsi="Arial" w:cs="Arial"/>
          <w:sz w:val="22"/>
          <w:szCs w:val="22"/>
        </w:rPr>
        <w:t xml:space="preserve"> advice and practice guidance, namely, the Working Together to Safeguard Children 2023 and the Early Help System Guide (Terras, Jarrett and McGregor, 2021). The report introduces the Early Help system and justification of multi-agency working first, then gives a detailed website analysis of each authority, after which it compares the sites and makes evidence-based suggestions on how </w:t>
      </w:r>
      <w:proofErr w:type="gramStart"/>
      <w:r w:rsidRPr="00DB6E5F">
        <w:rPr>
          <w:rFonts w:ascii="Arial" w:hAnsi="Arial" w:cs="Arial"/>
          <w:sz w:val="22"/>
          <w:szCs w:val="22"/>
        </w:rPr>
        <w:t>the web</w:t>
      </w:r>
      <w:proofErr w:type="gramEnd"/>
      <w:r w:rsidRPr="00DB6E5F">
        <w:rPr>
          <w:rFonts w:ascii="Arial" w:hAnsi="Arial" w:cs="Arial"/>
          <w:sz w:val="22"/>
          <w:szCs w:val="22"/>
        </w:rPr>
        <w:t xml:space="preserve"> communication can be improved. To contextualise the findings and determine which website provides the best information to parents and carers, this work relied on up-to-date academic literature. Online information is clear, and it facilitates prompt help-seeking and interagency coordination effectively. </w:t>
      </w:r>
    </w:p>
    <w:p w14:paraId="00000012" w14:textId="77777777" w:rsidR="002D2CA4" w:rsidRPr="00DB6E5F" w:rsidRDefault="00000000" w:rsidP="00DB6E5F">
      <w:pPr>
        <w:pStyle w:val="Heading1"/>
        <w:spacing w:line="276" w:lineRule="auto"/>
        <w:rPr>
          <w:rFonts w:ascii="Arial" w:hAnsi="Arial" w:cs="Arial"/>
          <w:sz w:val="22"/>
          <w:szCs w:val="22"/>
        </w:rPr>
      </w:pPr>
      <w:bookmarkStart w:id="5" w:name="_heading=h.b7c02649tb3v" w:colFirst="0" w:colLast="0"/>
      <w:bookmarkEnd w:id="5"/>
      <w:r w:rsidRPr="00DB6E5F">
        <w:rPr>
          <w:rFonts w:ascii="Arial" w:hAnsi="Arial" w:cs="Arial"/>
          <w:sz w:val="22"/>
          <w:szCs w:val="22"/>
        </w:rPr>
        <w:br w:type="page"/>
      </w:r>
    </w:p>
    <w:p w14:paraId="00000013" w14:textId="77777777" w:rsidR="002D2CA4" w:rsidRPr="00DB6E5F" w:rsidRDefault="00000000" w:rsidP="00DB6E5F">
      <w:pPr>
        <w:pStyle w:val="Heading1"/>
        <w:spacing w:line="276" w:lineRule="auto"/>
        <w:rPr>
          <w:rFonts w:ascii="Arial" w:hAnsi="Arial" w:cs="Arial"/>
          <w:sz w:val="22"/>
          <w:szCs w:val="22"/>
        </w:rPr>
      </w:pPr>
      <w:bookmarkStart w:id="6" w:name="_heading=h.lcclezvemo22" w:colFirst="0" w:colLast="0"/>
      <w:bookmarkEnd w:id="6"/>
      <w:r w:rsidRPr="00DB6E5F">
        <w:rPr>
          <w:rFonts w:ascii="Arial" w:hAnsi="Arial" w:cs="Arial"/>
          <w:sz w:val="22"/>
          <w:szCs w:val="22"/>
        </w:rPr>
        <w:lastRenderedPageBreak/>
        <w:t>2. Explanation of the Early Help System</w:t>
      </w:r>
    </w:p>
    <w:p w14:paraId="00000014"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Early Help explains early intervention and </w:t>
      </w:r>
      <w:proofErr w:type="gramStart"/>
      <w:r w:rsidRPr="00DB6E5F">
        <w:rPr>
          <w:rFonts w:ascii="Arial" w:hAnsi="Arial" w:cs="Arial"/>
          <w:sz w:val="22"/>
          <w:szCs w:val="22"/>
        </w:rPr>
        <w:t>coordinated</w:t>
      </w:r>
      <w:proofErr w:type="gramEnd"/>
      <w:r w:rsidRPr="00DB6E5F">
        <w:rPr>
          <w:rFonts w:ascii="Arial" w:hAnsi="Arial" w:cs="Arial"/>
          <w:sz w:val="22"/>
          <w:szCs w:val="22"/>
        </w:rPr>
        <w:t xml:space="preserve"> assistance that is provided to children, young people and families when there are some problems emerging that are identified, </w:t>
      </w:r>
      <w:proofErr w:type="gramStart"/>
      <w:r w:rsidRPr="00DB6E5F">
        <w:rPr>
          <w:rFonts w:ascii="Arial" w:hAnsi="Arial" w:cs="Arial"/>
          <w:sz w:val="22"/>
          <w:szCs w:val="22"/>
        </w:rPr>
        <w:t>so as to</w:t>
      </w:r>
      <w:proofErr w:type="gramEnd"/>
      <w:r w:rsidRPr="00DB6E5F">
        <w:rPr>
          <w:rFonts w:ascii="Arial" w:hAnsi="Arial" w:cs="Arial"/>
          <w:sz w:val="22"/>
          <w:szCs w:val="22"/>
        </w:rPr>
        <w:t xml:space="preserve"> ensure that issues are addressed early enough before they become statutory cases of child protection. The strategy falls under the legal protective framework, and Working Together to Safeguard Children 2023 defines local duties of prevention, partnership working and communicating to the public (HM Government, 2023). The Early Help System Guide also states that Early Help is not a service but a system and provides an answer to the role of agreed thresholds, the role of a lead professional to help coordinate support and the focus on family-</w:t>
      </w:r>
      <w:proofErr w:type="spellStart"/>
      <w:r w:rsidRPr="00DB6E5F">
        <w:rPr>
          <w:rFonts w:ascii="Arial" w:hAnsi="Arial" w:cs="Arial"/>
          <w:sz w:val="22"/>
          <w:szCs w:val="22"/>
        </w:rPr>
        <w:t>centred</w:t>
      </w:r>
      <w:proofErr w:type="spellEnd"/>
      <w:r w:rsidRPr="00DB6E5F">
        <w:rPr>
          <w:rFonts w:ascii="Arial" w:hAnsi="Arial" w:cs="Arial"/>
          <w:sz w:val="22"/>
          <w:szCs w:val="22"/>
        </w:rPr>
        <w:t xml:space="preserve"> practice and shared outcomes.</w:t>
      </w:r>
    </w:p>
    <w:p w14:paraId="00000015"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An effective early help practice is based on holistic needs assessment, including the exploration of child and family strengths and risks, as well as on strength-based practice, which builds on family </w:t>
      </w:r>
      <w:proofErr w:type="gramStart"/>
      <w:r w:rsidRPr="00DB6E5F">
        <w:rPr>
          <w:rFonts w:ascii="Arial" w:hAnsi="Arial" w:cs="Arial"/>
          <w:sz w:val="22"/>
          <w:szCs w:val="22"/>
        </w:rPr>
        <w:t>potentials</w:t>
      </w:r>
      <w:proofErr w:type="gramEnd"/>
      <w:r w:rsidRPr="00DB6E5F">
        <w:rPr>
          <w:rFonts w:ascii="Arial" w:hAnsi="Arial" w:cs="Arial"/>
          <w:sz w:val="22"/>
          <w:szCs w:val="22"/>
        </w:rPr>
        <w:t>, rather than emphasising the lacks. The involvement must be voluntary and informed, where the practitioners ought to request consent and work with the families to co-produce the plans (Devaney</w:t>
      </w:r>
      <w:r w:rsidRPr="00DB6E5F">
        <w:rPr>
          <w:rFonts w:ascii="Arial" w:hAnsi="Arial" w:cs="Arial"/>
          <w:i/>
          <w:iCs/>
          <w:sz w:val="22"/>
          <w:szCs w:val="22"/>
        </w:rPr>
        <w:t xml:space="preserve"> et al.,</w:t>
      </w:r>
      <w:r w:rsidRPr="00DB6E5F">
        <w:rPr>
          <w:rFonts w:ascii="Arial" w:hAnsi="Arial" w:cs="Arial"/>
          <w:sz w:val="22"/>
          <w:szCs w:val="22"/>
        </w:rPr>
        <w:t xml:space="preserve"> 2022). The level of need should be met with proportionate, targeted interventions that have explicit mechanisms of escalating or reducing support in response to the situation.</w:t>
      </w:r>
    </w:p>
    <w:p w14:paraId="00000016"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The provision of an integrated Early Help offer falls on local safeguarding partnerships and children's services, who must also make clear where families can access help. Families often encounter the web in public-facing sites first, and therefore, the design of websites, their readability and digital access have a direct impact on the equity of access and timely help seeking (UNHCR, 2023). Online sign-in thus facilitates prompt feedback, referral and multi-agency coordination among health, education and social care and community stakeholders.</w:t>
      </w:r>
    </w:p>
    <w:p w14:paraId="00000017" w14:textId="77777777" w:rsidR="002D2CA4" w:rsidRPr="00DB6E5F" w:rsidRDefault="00000000" w:rsidP="00DB6E5F">
      <w:pPr>
        <w:pStyle w:val="Heading1"/>
        <w:spacing w:line="276" w:lineRule="auto"/>
        <w:rPr>
          <w:rFonts w:ascii="Arial" w:hAnsi="Arial" w:cs="Arial"/>
          <w:sz w:val="22"/>
          <w:szCs w:val="22"/>
        </w:rPr>
      </w:pPr>
      <w:bookmarkStart w:id="7" w:name="_heading=h.sso4mv458vus" w:colFirst="0" w:colLast="0"/>
      <w:bookmarkEnd w:id="7"/>
      <w:r w:rsidRPr="00DB6E5F">
        <w:rPr>
          <w:rFonts w:ascii="Arial" w:hAnsi="Arial" w:cs="Arial"/>
          <w:sz w:val="22"/>
          <w:szCs w:val="22"/>
        </w:rPr>
        <w:t>3. Explanation of Multi-Agency Working</w:t>
      </w:r>
    </w:p>
    <w:p w14:paraId="00000018"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Multi-agency/interdisciplinary is the collaboration of professionals across different sectors together as the needs are assessed, support is planned, and mutual decisions are made to safeguard children and assist families. It integrates the elements of health, education, social care and community </w:t>
      </w:r>
      <w:proofErr w:type="spellStart"/>
      <w:r w:rsidRPr="00DB6E5F">
        <w:rPr>
          <w:rFonts w:ascii="Arial" w:hAnsi="Arial" w:cs="Arial"/>
          <w:sz w:val="22"/>
          <w:szCs w:val="22"/>
        </w:rPr>
        <w:t>organisations</w:t>
      </w:r>
      <w:proofErr w:type="spellEnd"/>
      <w:r w:rsidRPr="00DB6E5F">
        <w:rPr>
          <w:rFonts w:ascii="Arial" w:hAnsi="Arial" w:cs="Arial"/>
          <w:sz w:val="22"/>
          <w:szCs w:val="22"/>
        </w:rPr>
        <w:t xml:space="preserve"> and ensures that there is a </w:t>
      </w:r>
      <w:proofErr w:type="gramStart"/>
      <w:r w:rsidRPr="00DB6E5F">
        <w:rPr>
          <w:rFonts w:ascii="Arial" w:hAnsi="Arial" w:cs="Arial"/>
          <w:sz w:val="22"/>
          <w:szCs w:val="22"/>
        </w:rPr>
        <w:t>synthesis of perspectives</w:t>
      </w:r>
      <w:proofErr w:type="gramEnd"/>
      <w:r w:rsidRPr="00DB6E5F">
        <w:rPr>
          <w:rFonts w:ascii="Arial" w:hAnsi="Arial" w:cs="Arial"/>
          <w:sz w:val="22"/>
          <w:szCs w:val="22"/>
        </w:rPr>
        <w:t xml:space="preserve"> of the professionals in bringing out a holistic view of children and families. Legal guidelines such as Working Together to Safeguard Children 2023 have provided their expectations of cooperative usage and the management and connection of information sharing (Dixon </w:t>
      </w:r>
      <w:r w:rsidRPr="00DB6E5F">
        <w:rPr>
          <w:rFonts w:ascii="Arial" w:hAnsi="Arial" w:cs="Arial"/>
          <w:i/>
          <w:iCs/>
          <w:sz w:val="22"/>
          <w:szCs w:val="22"/>
        </w:rPr>
        <w:t>et al.,</w:t>
      </w:r>
      <w:r w:rsidRPr="00DB6E5F">
        <w:rPr>
          <w:rFonts w:ascii="Arial" w:hAnsi="Arial" w:cs="Arial"/>
          <w:sz w:val="22"/>
          <w:szCs w:val="22"/>
        </w:rPr>
        <w:t xml:space="preserve"> 2022).</w:t>
      </w:r>
    </w:p>
    <w:p w14:paraId="00000019"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Multi-agency working in Early Help is crucial as it allows effective information exchange, plans and coordination of support and avoids repetition. Where goals and roles are agreed between agencies, there is less likelihood of families falling through gaps and more probability of proportionate step-up or step-down decisions (Kothari </w:t>
      </w:r>
      <w:r w:rsidRPr="00DB6E5F">
        <w:rPr>
          <w:rFonts w:ascii="Arial" w:hAnsi="Arial" w:cs="Arial"/>
          <w:i/>
          <w:iCs/>
          <w:sz w:val="22"/>
          <w:szCs w:val="22"/>
        </w:rPr>
        <w:t>et al.,</w:t>
      </w:r>
      <w:r w:rsidRPr="00DB6E5F">
        <w:rPr>
          <w:rFonts w:ascii="Arial" w:hAnsi="Arial" w:cs="Arial"/>
          <w:sz w:val="22"/>
          <w:szCs w:val="22"/>
        </w:rPr>
        <w:t xml:space="preserve"> 2022). Coordination enhances the sustainability of protection and better outcomes through resource </w:t>
      </w:r>
      <w:proofErr w:type="spellStart"/>
      <w:r w:rsidRPr="00DB6E5F">
        <w:rPr>
          <w:rFonts w:ascii="Arial" w:hAnsi="Arial" w:cs="Arial"/>
          <w:sz w:val="22"/>
          <w:szCs w:val="22"/>
        </w:rPr>
        <w:t>synchronisation</w:t>
      </w:r>
      <w:proofErr w:type="spellEnd"/>
      <w:r w:rsidRPr="00DB6E5F">
        <w:rPr>
          <w:rFonts w:ascii="Arial" w:hAnsi="Arial" w:cs="Arial"/>
          <w:sz w:val="22"/>
          <w:szCs w:val="22"/>
        </w:rPr>
        <w:t xml:space="preserve"> and eliminating redundant measurement.</w:t>
      </w:r>
    </w:p>
    <w:p w14:paraId="0000001A"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Working </w:t>
      </w:r>
      <w:proofErr w:type="gramStart"/>
      <w:r w:rsidRPr="00DB6E5F">
        <w:rPr>
          <w:rFonts w:ascii="Arial" w:hAnsi="Arial" w:cs="Arial"/>
          <w:sz w:val="22"/>
          <w:szCs w:val="22"/>
        </w:rPr>
        <w:t>Together</w:t>
      </w:r>
      <w:proofErr w:type="gramEnd"/>
      <w:r w:rsidRPr="00DB6E5F">
        <w:rPr>
          <w:rFonts w:ascii="Arial" w:hAnsi="Arial" w:cs="Arial"/>
          <w:sz w:val="22"/>
          <w:szCs w:val="22"/>
        </w:rPr>
        <w:t xml:space="preserve"> 2023 needs multifaceted approaches and evident local multi-agency setups. Collaborative processes must also be visible on local authority websites by describing roles, sharing information and explaining where families can receive assistance. Public-facing pages must be written in plain language, give routes to contact and display pathways in simple flow charts or frequently asked questions to remind the families of the multi-agency support and interact with Early Help with confidence (</w:t>
      </w:r>
      <w:proofErr w:type="spellStart"/>
      <w:r w:rsidRPr="00DB6E5F">
        <w:rPr>
          <w:rFonts w:ascii="Arial" w:hAnsi="Arial" w:cs="Arial"/>
          <w:sz w:val="22"/>
          <w:szCs w:val="22"/>
        </w:rPr>
        <w:t>Jahans</w:t>
      </w:r>
      <w:proofErr w:type="spellEnd"/>
      <w:r w:rsidRPr="00DB6E5F">
        <w:rPr>
          <w:rFonts w:ascii="Cambria Math" w:hAnsi="Cambria Math" w:cs="Cambria Math"/>
          <w:sz w:val="22"/>
          <w:szCs w:val="22"/>
        </w:rPr>
        <w:t>‐</w:t>
      </w:r>
      <w:r w:rsidRPr="00DB6E5F">
        <w:rPr>
          <w:rFonts w:ascii="Arial" w:hAnsi="Arial" w:cs="Arial"/>
          <w:sz w:val="22"/>
          <w:szCs w:val="22"/>
        </w:rPr>
        <w:t xml:space="preserve">Baynton and Grealish, 2021). They are supposed to post pictograms to local associates, </w:t>
      </w:r>
      <w:proofErr w:type="gramStart"/>
      <w:r w:rsidRPr="00DB6E5F">
        <w:rPr>
          <w:rFonts w:ascii="Arial" w:hAnsi="Arial" w:cs="Arial"/>
          <w:sz w:val="22"/>
          <w:szCs w:val="22"/>
        </w:rPr>
        <w:t>refer</w:t>
      </w:r>
      <w:proofErr w:type="gramEnd"/>
      <w:r w:rsidRPr="00DB6E5F">
        <w:rPr>
          <w:rFonts w:ascii="Arial" w:hAnsi="Arial" w:cs="Arial"/>
          <w:sz w:val="22"/>
          <w:szCs w:val="22"/>
        </w:rPr>
        <w:t xml:space="preserve"> to ramps and timelines.</w:t>
      </w:r>
    </w:p>
    <w:p w14:paraId="0000001B" w14:textId="77777777" w:rsidR="002D2CA4" w:rsidRPr="00DB6E5F" w:rsidRDefault="00000000" w:rsidP="00DB6E5F">
      <w:pPr>
        <w:pStyle w:val="Heading1"/>
        <w:spacing w:line="276" w:lineRule="auto"/>
        <w:rPr>
          <w:rFonts w:ascii="Arial" w:hAnsi="Arial" w:cs="Arial"/>
          <w:sz w:val="22"/>
          <w:szCs w:val="22"/>
        </w:rPr>
      </w:pPr>
      <w:bookmarkStart w:id="8" w:name="_heading=h.vgi6piorj5oy" w:colFirst="0" w:colLast="0"/>
      <w:bookmarkEnd w:id="8"/>
      <w:r w:rsidRPr="00DB6E5F">
        <w:rPr>
          <w:rFonts w:ascii="Arial" w:hAnsi="Arial" w:cs="Arial"/>
          <w:sz w:val="22"/>
          <w:szCs w:val="22"/>
        </w:rPr>
        <w:lastRenderedPageBreak/>
        <w:t>4. Evaluation of Each Local Authority Website</w:t>
      </w:r>
    </w:p>
    <w:p w14:paraId="0000001C" w14:textId="77777777" w:rsidR="002D2CA4" w:rsidRPr="00DB6E5F" w:rsidRDefault="00000000" w:rsidP="00DB6E5F">
      <w:pPr>
        <w:spacing w:line="276" w:lineRule="auto"/>
        <w:rPr>
          <w:rFonts w:ascii="Arial" w:hAnsi="Arial" w:cs="Arial"/>
          <w:b/>
          <w:bCs/>
          <w:sz w:val="22"/>
          <w:szCs w:val="22"/>
        </w:rPr>
      </w:pPr>
      <w:r w:rsidRPr="00DB6E5F">
        <w:rPr>
          <w:rFonts w:ascii="Arial" w:hAnsi="Arial" w:cs="Arial"/>
          <w:b/>
          <w:bCs/>
          <w:sz w:val="22"/>
          <w:szCs w:val="22"/>
        </w:rPr>
        <w:t>Leeds City Council -Evaluation</w:t>
      </w:r>
    </w:p>
    <w:p w14:paraId="0000001D" w14:textId="77777777" w:rsidR="002D2CA4" w:rsidRPr="00DB6E5F" w:rsidRDefault="00000000" w:rsidP="00DB6E5F">
      <w:pPr>
        <w:spacing w:line="276" w:lineRule="auto"/>
        <w:rPr>
          <w:rFonts w:ascii="Arial" w:hAnsi="Arial" w:cs="Arial"/>
          <w:b/>
          <w:bCs/>
          <w:i/>
          <w:iCs/>
          <w:sz w:val="22"/>
          <w:szCs w:val="22"/>
        </w:rPr>
      </w:pPr>
      <w:r w:rsidRPr="00DB6E5F">
        <w:rPr>
          <w:rFonts w:ascii="Arial" w:hAnsi="Arial" w:cs="Arial"/>
          <w:b/>
          <w:bCs/>
          <w:i/>
          <w:iCs/>
          <w:sz w:val="22"/>
          <w:szCs w:val="22"/>
        </w:rPr>
        <w:t>Accessibility and navigation</w:t>
      </w:r>
    </w:p>
    <w:p w14:paraId="0000001E"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Leeds has Early Help sections under distinct children and </w:t>
      </w:r>
      <w:proofErr w:type="gramStart"/>
      <w:r w:rsidRPr="00DB6E5F">
        <w:rPr>
          <w:rFonts w:ascii="Arial" w:hAnsi="Arial" w:cs="Arial"/>
          <w:sz w:val="22"/>
          <w:szCs w:val="22"/>
        </w:rPr>
        <w:t>families</w:t>
      </w:r>
      <w:proofErr w:type="gramEnd"/>
      <w:r w:rsidRPr="00DB6E5F">
        <w:rPr>
          <w:rFonts w:ascii="Arial" w:hAnsi="Arial" w:cs="Arial"/>
          <w:sz w:val="22"/>
          <w:szCs w:val="22"/>
        </w:rPr>
        <w:t xml:space="preserve"> menus, and contains a separate section of family hubs, which are visible on the main children and </w:t>
      </w:r>
      <w:proofErr w:type="gramStart"/>
      <w:r w:rsidRPr="00DB6E5F">
        <w:rPr>
          <w:rFonts w:ascii="Arial" w:hAnsi="Arial" w:cs="Arial"/>
          <w:sz w:val="22"/>
          <w:szCs w:val="22"/>
        </w:rPr>
        <w:t>families</w:t>
      </w:r>
      <w:proofErr w:type="gramEnd"/>
      <w:r w:rsidRPr="00DB6E5F">
        <w:rPr>
          <w:rFonts w:ascii="Arial" w:hAnsi="Arial" w:cs="Arial"/>
          <w:sz w:val="22"/>
          <w:szCs w:val="22"/>
        </w:rPr>
        <w:t xml:space="preserve"> portal. The family hubs pages connect to practicable contact routes and a centrally published one-minute guide that sums up access pathways and the central telephone number to families (Leeds City Council, 2022). The site navigation has a service-oriented manner that assists in locating family support, but part of Early Help is spread across multiple pages, and additional clicks might be necessary to locate specific information.</w:t>
      </w:r>
    </w:p>
    <w:p w14:paraId="0000001F" w14:textId="77777777" w:rsidR="002D2CA4" w:rsidRPr="00DB6E5F" w:rsidRDefault="00000000" w:rsidP="00DB6E5F">
      <w:pPr>
        <w:spacing w:line="276" w:lineRule="auto"/>
        <w:rPr>
          <w:rFonts w:ascii="Arial" w:hAnsi="Arial" w:cs="Arial"/>
          <w:b/>
          <w:bCs/>
          <w:i/>
          <w:iCs/>
          <w:sz w:val="22"/>
          <w:szCs w:val="22"/>
        </w:rPr>
      </w:pPr>
      <w:r w:rsidRPr="00DB6E5F">
        <w:rPr>
          <w:rFonts w:ascii="Arial" w:hAnsi="Arial" w:cs="Arial"/>
          <w:b/>
          <w:bCs/>
          <w:i/>
          <w:iCs/>
          <w:sz w:val="22"/>
          <w:szCs w:val="22"/>
        </w:rPr>
        <w:t>Clarity of information</w:t>
      </w:r>
    </w:p>
    <w:p w14:paraId="00000020"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Leeds describes family hubs as a source of early help and initiates the age scope and broad service of the hub. The content </w:t>
      </w:r>
      <w:proofErr w:type="spellStart"/>
      <w:r w:rsidRPr="00DB6E5F">
        <w:rPr>
          <w:rFonts w:ascii="Arial" w:hAnsi="Arial" w:cs="Arial"/>
          <w:sz w:val="22"/>
          <w:szCs w:val="22"/>
        </w:rPr>
        <w:t>utilises</w:t>
      </w:r>
      <w:proofErr w:type="spellEnd"/>
      <w:r w:rsidRPr="00DB6E5F">
        <w:rPr>
          <w:rFonts w:ascii="Arial" w:hAnsi="Arial" w:cs="Arial"/>
          <w:sz w:val="22"/>
          <w:szCs w:val="22"/>
        </w:rPr>
        <w:t xml:space="preserve"> simple language in the one-minute guides, and lacks a consistent, single, clear policy page about Early Help that details thresholds one-handedly and gives it to parents (Leeds City Council, 2025). Such a mixed presentation could potentially facilitate quick access to the services and restrict readers who desire a brief threshold explanation.</w:t>
      </w:r>
    </w:p>
    <w:p w14:paraId="00000021" w14:textId="77777777" w:rsidR="002D2CA4" w:rsidRPr="00DB6E5F" w:rsidRDefault="00000000" w:rsidP="00DB6E5F">
      <w:pPr>
        <w:spacing w:line="276" w:lineRule="auto"/>
        <w:rPr>
          <w:rFonts w:ascii="Arial" w:hAnsi="Arial" w:cs="Arial"/>
          <w:b/>
          <w:bCs/>
          <w:i/>
          <w:iCs/>
          <w:sz w:val="22"/>
          <w:szCs w:val="22"/>
        </w:rPr>
      </w:pPr>
      <w:r w:rsidRPr="00DB6E5F">
        <w:rPr>
          <w:rFonts w:ascii="Arial" w:hAnsi="Arial" w:cs="Arial"/>
          <w:b/>
          <w:bCs/>
          <w:i/>
          <w:iCs/>
          <w:sz w:val="22"/>
          <w:szCs w:val="22"/>
        </w:rPr>
        <w:t>Signposting to services</w:t>
      </w:r>
    </w:p>
    <w:p w14:paraId="00000022"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Leeds is connected to family hubs, healthy holidays, fostering services and Leeds Directory, which is a compilation of local resources. Contact information, a central contact hub email and phone number are visible and can be downloaded (IANNUZZI </w:t>
      </w:r>
      <w:r w:rsidRPr="00DB6E5F">
        <w:rPr>
          <w:rFonts w:ascii="Arial" w:hAnsi="Arial" w:cs="Arial"/>
          <w:i/>
          <w:iCs/>
          <w:sz w:val="22"/>
          <w:szCs w:val="22"/>
        </w:rPr>
        <w:t>et al.,</w:t>
      </w:r>
      <w:r w:rsidRPr="00DB6E5F">
        <w:rPr>
          <w:rFonts w:ascii="Arial" w:hAnsi="Arial" w:cs="Arial"/>
          <w:sz w:val="22"/>
          <w:szCs w:val="22"/>
        </w:rPr>
        <w:t xml:space="preserve"> 2025). One-minute guides are provided that facilitate offline usage. This role is performed to some degree by visual flowcharts, which have clear limitations.</w:t>
      </w:r>
    </w:p>
    <w:p w14:paraId="00000023" w14:textId="77777777" w:rsidR="002D2CA4" w:rsidRPr="00DB6E5F" w:rsidRDefault="00000000" w:rsidP="00DB6E5F">
      <w:pPr>
        <w:spacing w:line="276" w:lineRule="auto"/>
        <w:rPr>
          <w:rFonts w:ascii="Arial" w:hAnsi="Arial" w:cs="Arial"/>
          <w:b/>
          <w:bCs/>
          <w:i/>
          <w:iCs/>
          <w:sz w:val="22"/>
          <w:szCs w:val="22"/>
        </w:rPr>
      </w:pPr>
      <w:r w:rsidRPr="00DB6E5F">
        <w:rPr>
          <w:rFonts w:ascii="Arial" w:hAnsi="Arial" w:cs="Arial"/>
          <w:b/>
          <w:bCs/>
          <w:i/>
          <w:iCs/>
          <w:sz w:val="22"/>
          <w:szCs w:val="22"/>
        </w:rPr>
        <w:t>Quality of multi-agency information</w:t>
      </w:r>
    </w:p>
    <w:p w14:paraId="00000024"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Leeds outlines multidisciplinary family hub teams and provides multidisciplinary roles of teachers and social workers on council pages. Joint working in public-facing material is given particular emphasis, but professional guidance is substituted by family-facing pages that can lose their agency-coordinating side to the lay reader (Mathews</w:t>
      </w:r>
      <w:r w:rsidRPr="00DB6E5F">
        <w:rPr>
          <w:rFonts w:ascii="Arial" w:hAnsi="Arial" w:cs="Arial"/>
          <w:i/>
          <w:iCs/>
          <w:sz w:val="22"/>
          <w:szCs w:val="22"/>
        </w:rPr>
        <w:t xml:space="preserve"> et al.,</w:t>
      </w:r>
      <w:r w:rsidRPr="00DB6E5F">
        <w:rPr>
          <w:rFonts w:ascii="Arial" w:hAnsi="Arial" w:cs="Arial"/>
          <w:sz w:val="22"/>
          <w:szCs w:val="22"/>
        </w:rPr>
        <w:t xml:space="preserve"> 2024).</w:t>
      </w:r>
    </w:p>
    <w:p w14:paraId="00000025" w14:textId="77777777" w:rsidR="002D2CA4" w:rsidRPr="00DB6E5F" w:rsidRDefault="00000000" w:rsidP="00DB6E5F">
      <w:pPr>
        <w:spacing w:line="276" w:lineRule="auto"/>
        <w:rPr>
          <w:rFonts w:ascii="Arial" w:hAnsi="Arial" w:cs="Arial"/>
          <w:b/>
          <w:bCs/>
          <w:i/>
          <w:iCs/>
          <w:sz w:val="22"/>
          <w:szCs w:val="22"/>
        </w:rPr>
      </w:pPr>
      <w:r w:rsidRPr="00DB6E5F">
        <w:rPr>
          <w:rFonts w:ascii="Arial" w:hAnsi="Arial" w:cs="Arial"/>
          <w:b/>
          <w:bCs/>
          <w:i/>
          <w:iCs/>
          <w:sz w:val="22"/>
          <w:szCs w:val="22"/>
        </w:rPr>
        <w:t>Strengths and weaknesses</w:t>
      </w:r>
    </w:p>
    <w:p w14:paraId="00000026"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Access points, email and phone contacts, as well as family hub mapping, are visible strengths. Such weaknesses are </w:t>
      </w:r>
      <w:proofErr w:type="gramStart"/>
      <w:r w:rsidRPr="00DB6E5F">
        <w:rPr>
          <w:rFonts w:ascii="Arial" w:hAnsi="Arial" w:cs="Arial"/>
          <w:sz w:val="22"/>
          <w:szCs w:val="22"/>
        </w:rPr>
        <w:t>distributed</w:t>
      </w:r>
      <w:proofErr w:type="gramEnd"/>
      <w:r w:rsidRPr="00DB6E5F">
        <w:rPr>
          <w:rFonts w:ascii="Arial" w:hAnsi="Arial" w:cs="Arial"/>
          <w:sz w:val="22"/>
          <w:szCs w:val="22"/>
        </w:rPr>
        <w:t xml:space="preserve"> information with no clear way for the user to find an easy way to go, and a lack of visual cues to the threshold. Evidence indicates that clear online signposting and straightforward flowcharts enhance help-seeking and reduce confusion among parents, which helps to improve consolidated Early Help landing pages (Kubb and Foran, 2020).</w:t>
      </w:r>
    </w:p>
    <w:p w14:paraId="00000027" w14:textId="77777777" w:rsidR="002D2CA4" w:rsidRPr="00DB6E5F" w:rsidRDefault="00000000" w:rsidP="00DB6E5F">
      <w:pPr>
        <w:spacing w:line="276" w:lineRule="auto"/>
        <w:rPr>
          <w:rFonts w:ascii="Arial" w:hAnsi="Arial" w:cs="Arial"/>
          <w:b/>
          <w:bCs/>
          <w:sz w:val="22"/>
          <w:szCs w:val="22"/>
        </w:rPr>
      </w:pPr>
      <w:r w:rsidRPr="00DB6E5F">
        <w:rPr>
          <w:rFonts w:ascii="Arial" w:hAnsi="Arial" w:cs="Arial"/>
          <w:b/>
          <w:bCs/>
          <w:sz w:val="22"/>
          <w:szCs w:val="22"/>
        </w:rPr>
        <w:t>Norfolk County Council - Evaluation</w:t>
      </w:r>
    </w:p>
    <w:p w14:paraId="00000028" w14:textId="77777777" w:rsidR="002D2CA4" w:rsidRPr="00DB6E5F" w:rsidRDefault="00000000" w:rsidP="00DB6E5F">
      <w:pPr>
        <w:spacing w:line="276" w:lineRule="auto"/>
        <w:rPr>
          <w:rFonts w:ascii="Arial" w:hAnsi="Arial" w:cs="Arial"/>
          <w:b/>
          <w:bCs/>
          <w:i/>
          <w:iCs/>
          <w:sz w:val="22"/>
          <w:szCs w:val="22"/>
        </w:rPr>
      </w:pPr>
      <w:r w:rsidRPr="00DB6E5F">
        <w:rPr>
          <w:rFonts w:ascii="Arial" w:hAnsi="Arial" w:cs="Arial"/>
          <w:b/>
          <w:bCs/>
          <w:i/>
          <w:iCs/>
          <w:sz w:val="22"/>
          <w:szCs w:val="22"/>
        </w:rPr>
        <w:t>Accessibility and navigation</w:t>
      </w:r>
    </w:p>
    <w:p w14:paraId="00000029"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Norfolk locates Early Help and family hub content </w:t>
      </w:r>
      <w:proofErr w:type="gramStart"/>
      <w:r w:rsidRPr="00DB6E5F">
        <w:rPr>
          <w:rFonts w:ascii="Arial" w:hAnsi="Arial" w:cs="Arial"/>
          <w:sz w:val="22"/>
          <w:szCs w:val="22"/>
        </w:rPr>
        <w:t>in the area of</w:t>
      </w:r>
      <w:proofErr w:type="gramEnd"/>
      <w:r w:rsidRPr="00DB6E5F">
        <w:rPr>
          <w:rFonts w:ascii="Arial" w:hAnsi="Arial" w:cs="Arial"/>
          <w:sz w:val="22"/>
          <w:szCs w:val="22"/>
        </w:rPr>
        <w:t xml:space="preserve"> children and </w:t>
      </w:r>
      <w:proofErr w:type="gramStart"/>
      <w:r w:rsidRPr="00DB6E5F">
        <w:rPr>
          <w:rFonts w:ascii="Arial" w:hAnsi="Arial" w:cs="Arial"/>
          <w:sz w:val="22"/>
          <w:szCs w:val="22"/>
        </w:rPr>
        <w:t>families</w:t>
      </w:r>
      <w:proofErr w:type="gramEnd"/>
      <w:r w:rsidRPr="00DB6E5F">
        <w:rPr>
          <w:rFonts w:ascii="Arial" w:hAnsi="Arial" w:cs="Arial"/>
          <w:sz w:val="22"/>
          <w:szCs w:val="22"/>
        </w:rPr>
        <w:t xml:space="preserve"> services and has an Early Help page and family hubs pages. The site menu shows the children and families links, and the family hub pages are comparatively accessible via the homepage. Norfolk also offers downloadable professional process guides that enhance transparency when using referral routes, but some pages are very long and may be overwhelming to users with low literacy (Norfolk County Council, 2024).</w:t>
      </w:r>
    </w:p>
    <w:p w14:paraId="0000002A" w14:textId="77777777" w:rsidR="002D2CA4" w:rsidRPr="00DB6E5F" w:rsidRDefault="00000000" w:rsidP="00DB6E5F">
      <w:pPr>
        <w:spacing w:line="276" w:lineRule="auto"/>
        <w:rPr>
          <w:rFonts w:ascii="Arial" w:hAnsi="Arial" w:cs="Arial"/>
          <w:b/>
          <w:bCs/>
          <w:i/>
          <w:iCs/>
          <w:sz w:val="22"/>
          <w:szCs w:val="22"/>
        </w:rPr>
      </w:pPr>
      <w:r w:rsidRPr="00DB6E5F">
        <w:rPr>
          <w:rFonts w:ascii="Arial" w:hAnsi="Arial" w:cs="Arial"/>
          <w:b/>
          <w:bCs/>
          <w:i/>
          <w:iCs/>
          <w:sz w:val="22"/>
          <w:szCs w:val="22"/>
        </w:rPr>
        <w:t>Clarity of information</w:t>
      </w:r>
    </w:p>
    <w:p w14:paraId="0000002B"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lastRenderedPageBreak/>
        <w:t>Norfolk is very clear about who can use Early Help and provides age restrictions and sample concerns that it can support. The site connects to a range of needs and process advice hosted by the safeguarding partnership that explains practitioner threshold, but the individual profession-oriented documents might be less readable by a family requiring simple language explanations.</w:t>
      </w:r>
    </w:p>
    <w:p w14:paraId="0000002C" w14:textId="77777777" w:rsidR="002D2CA4" w:rsidRPr="00DB6E5F" w:rsidRDefault="00000000" w:rsidP="00DB6E5F">
      <w:pPr>
        <w:spacing w:line="276" w:lineRule="auto"/>
        <w:rPr>
          <w:rFonts w:ascii="Arial" w:hAnsi="Arial" w:cs="Arial"/>
          <w:b/>
          <w:bCs/>
          <w:i/>
          <w:iCs/>
          <w:sz w:val="22"/>
          <w:szCs w:val="22"/>
        </w:rPr>
      </w:pPr>
      <w:r w:rsidRPr="00DB6E5F">
        <w:rPr>
          <w:rFonts w:ascii="Arial" w:hAnsi="Arial" w:cs="Arial"/>
          <w:b/>
          <w:bCs/>
          <w:i/>
          <w:iCs/>
          <w:sz w:val="22"/>
          <w:szCs w:val="22"/>
        </w:rPr>
        <w:t>Signposting to services</w:t>
      </w:r>
    </w:p>
    <w:p w14:paraId="0000002D"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Norfolk links to family hubs, early childhood services and particular interventions and step-by-step upload and submit pages on Early Help assessments (</w:t>
      </w:r>
      <w:proofErr w:type="spellStart"/>
      <w:r w:rsidRPr="00DB6E5F">
        <w:rPr>
          <w:rFonts w:ascii="Arial" w:hAnsi="Arial" w:cs="Arial"/>
          <w:sz w:val="22"/>
          <w:szCs w:val="22"/>
        </w:rPr>
        <w:t>Sarangam</w:t>
      </w:r>
      <w:proofErr w:type="spellEnd"/>
      <w:r w:rsidRPr="00DB6E5F">
        <w:rPr>
          <w:rFonts w:ascii="Arial" w:hAnsi="Arial" w:cs="Arial"/>
          <w:sz w:val="22"/>
          <w:szCs w:val="22"/>
        </w:rPr>
        <w:t>, 2025). Family hubs, contact routes and listings on the available support are also listed satisfactorily. Such breadth of signposting affirms multi-channel referral choice.</w:t>
      </w:r>
    </w:p>
    <w:p w14:paraId="0000002E" w14:textId="77777777" w:rsidR="002D2CA4" w:rsidRPr="00DB6E5F" w:rsidRDefault="00000000" w:rsidP="00DB6E5F">
      <w:pPr>
        <w:spacing w:line="276" w:lineRule="auto"/>
        <w:rPr>
          <w:rFonts w:ascii="Arial" w:hAnsi="Arial" w:cs="Arial"/>
          <w:b/>
          <w:bCs/>
          <w:i/>
          <w:iCs/>
          <w:sz w:val="22"/>
          <w:szCs w:val="22"/>
        </w:rPr>
      </w:pPr>
      <w:r w:rsidRPr="00DB6E5F">
        <w:rPr>
          <w:rFonts w:ascii="Arial" w:hAnsi="Arial" w:cs="Arial"/>
          <w:b/>
          <w:bCs/>
          <w:i/>
          <w:iCs/>
          <w:sz w:val="22"/>
          <w:szCs w:val="22"/>
        </w:rPr>
        <w:t>Quality of multi-agency information</w:t>
      </w:r>
    </w:p>
    <w:p w14:paraId="0000002F"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Norfolk focuses on partnership working and is associated with Norfolk Safeguarding Children Partnership as a pathway to operation. The access to professional guidance and upload capabilities demonstrates good procedural harmony of </w:t>
      </w:r>
      <w:proofErr w:type="gramStart"/>
      <w:r w:rsidRPr="00DB6E5F">
        <w:rPr>
          <w:rFonts w:ascii="Arial" w:hAnsi="Arial" w:cs="Arial"/>
          <w:sz w:val="22"/>
          <w:szCs w:val="22"/>
        </w:rPr>
        <w:t>agencies, but</w:t>
      </w:r>
      <w:proofErr w:type="gramEnd"/>
      <w:r w:rsidRPr="00DB6E5F">
        <w:rPr>
          <w:rFonts w:ascii="Arial" w:hAnsi="Arial" w:cs="Arial"/>
          <w:sz w:val="22"/>
          <w:szCs w:val="22"/>
        </w:rPr>
        <w:t xml:space="preserve"> may be more observable in family-facing descriptions of multi-agency roles (Wallace and Garthwaite, 2023).</w:t>
      </w:r>
    </w:p>
    <w:p w14:paraId="00000030" w14:textId="77777777" w:rsidR="002D2CA4" w:rsidRPr="00DB6E5F" w:rsidRDefault="00000000" w:rsidP="00DB6E5F">
      <w:pPr>
        <w:spacing w:line="276" w:lineRule="auto"/>
        <w:rPr>
          <w:rFonts w:ascii="Arial" w:hAnsi="Arial" w:cs="Arial"/>
          <w:b/>
          <w:bCs/>
          <w:sz w:val="22"/>
          <w:szCs w:val="22"/>
        </w:rPr>
      </w:pPr>
      <w:r w:rsidRPr="00DB6E5F">
        <w:rPr>
          <w:rFonts w:ascii="Arial" w:hAnsi="Arial" w:cs="Arial"/>
          <w:b/>
          <w:bCs/>
          <w:sz w:val="22"/>
          <w:szCs w:val="22"/>
        </w:rPr>
        <w:t>Nottinghamshire County Council - Evaluation</w:t>
      </w:r>
    </w:p>
    <w:p w14:paraId="00000031" w14:textId="77777777" w:rsidR="002D2CA4" w:rsidRPr="00DB6E5F" w:rsidRDefault="00000000" w:rsidP="00DB6E5F">
      <w:pPr>
        <w:spacing w:line="276" w:lineRule="auto"/>
        <w:rPr>
          <w:rFonts w:ascii="Arial" w:hAnsi="Arial" w:cs="Arial"/>
          <w:b/>
          <w:bCs/>
          <w:i/>
          <w:iCs/>
          <w:sz w:val="22"/>
          <w:szCs w:val="22"/>
        </w:rPr>
      </w:pPr>
      <w:r w:rsidRPr="00DB6E5F">
        <w:rPr>
          <w:rFonts w:ascii="Arial" w:hAnsi="Arial" w:cs="Arial"/>
          <w:b/>
          <w:bCs/>
          <w:i/>
          <w:iCs/>
          <w:sz w:val="22"/>
          <w:szCs w:val="22"/>
        </w:rPr>
        <w:t>Accessibility and navigation</w:t>
      </w:r>
    </w:p>
    <w:p w14:paraId="00000032"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The primary points of entry of Early Help used by Nottinghamshire are the family hub networks and the early years pages. The site has a clear find your nearest family hub tool and professional sections that divide audiences into families and professionals, which are directly navigable (Zhang </w:t>
      </w:r>
      <w:r w:rsidRPr="00DB6E5F">
        <w:rPr>
          <w:rFonts w:ascii="Arial" w:hAnsi="Arial" w:cs="Arial"/>
          <w:i/>
          <w:iCs/>
          <w:sz w:val="22"/>
          <w:szCs w:val="22"/>
        </w:rPr>
        <w:t>et al.,</w:t>
      </w:r>
      <w:r w:rsidRPr="00DB6E5F">
        <w:rPr>
          <w:rFonts w:ascii="Arial" w:hAnsi="Arial" w:cs="Arial"/>
          <w:sz w:val="22"/>
          <w:szCs w:val="22"/>
        </w:rPr>
        <w:t xml:space="preserve"> 2022). Contact lists and hub locations are accessible and linked to brief explanatory videos that are easily available.</w:t>
      </w:r>
    </w:p>
    <w:p w14:paraId="00000033" w14:textId="77777777" w:rsidR="002D2CA4" w:rsidRPr="00DB6E5F" w:rsidRDefault="00000000" w:rsidP="00DB6E5F">
      <w:pPr>
        <w:spacing w:line="276" w:lineRule="auto"/>
        <w:rPr>
          <w:rFonts w:ascii="Arial" w:hAnsi="Arial" w:cs="Arial"/>
          <w:b/>
          <w:bCs/>
          <w:i/>
          <w:iCs/>
          <w:sz w:val="22"/>
          <w:szCs w:val="22"/>
        </w:rPr>
      </w:pPr>
      <w:r w:rsidRPr="00DB6E5F">
        <w:rPr>
          <w:rFonts w:ascii="Arial" w:hAnsi="Arial" w:cs="Arial"/>
          <w:b/>
          <w:bCs/>
          <w:i/>
          <w:iCs/>
          <w:sz w:val="22"/>
          <w:szCs w:val="22"/>
        </w:rPr>
        <w:t>Clarity of information</w:t>
      </w:r>
    </w:p>
    <w:p w14:paraId="00000034"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Nottinghamshire publishes the Early Help development plan and the Early Help offer document, indicating the scope of the services and referral expectations. Local Early Help assessment </w:t>
      </w:r>
      <w:proofErr w:type="gramStart"/>
      <w:r w:rsidRPr="00DB6E5F">
        <w:rPr>
          <w:rFonts w:ascii="Arial" w:hAnsi="Arial" w:cs="Arial"/>
          <w:sz w:val="22"/>
          <w:szCs w:val="22"/>
        </w:rPr>
        <w:t>form</w:t>
      </w:r>
      <w:proofErr w:type="gramEnd"/>
      <w:r w:rsidRPr="00DB6E5F">
        <w:rPr>
          <w:rFonts w:ascii="Arial" w:hAnsi="Arial" w:cs="Arial"/>
          <w:sz w:val="22"/>
          <w:szCs w:val="22"/>
        </w:rPr>
        <w:t xml:space="preserve"> together with online referral advice are publicly accessible, which makes thresholds and steps clear to professionals and to those informed families who seek more detailed documentation (Baxter, Boydell and McPherson, 2023). To less familiar families, the site might include less complex parent guides or frequently asked questions.</w:t>
      </w:r>
    </w:p>
    <w:p w14:paraId="00000035" w14:textId="77777777" w:rsidR="002D2CA4" w:rsidRPr="00DB6E5F" w:rsidRDefault="00000000" w:rsidP="00DB6E5F">
      <w:pPr>
        <w:spacing w:line="276" w:lineRule="auto"/>
        <w:rPr>
          <w:rFonts w:ascii="Arial" w:hAnsi="Arial" w:cs="Arial"/>
          <w:b/>
          <w:bCs/>
          <w:i/>
          <w:iCs/>
          <w:sz w:val="22"/>
          <w:szCs w:val="22"/>
        </w:rPr>
      </w:pPr>
      <w:r w:rsidRPr="00DB6E5F">
        <w:rPr>
          <w:rFonts w:ascii="Arial" w:hAnsi="Arial" w:cs="Arial"/>
          <w:b/>
          <w:bCs/>
          <w:i/>
          <w:iCs/>
          <w:sz w:val="22"/>
          <w:szCs w:val="22"/>
        </w:rPr>
        <w:t>Signposting to services</w:t>
      </w:r>
    </w:p>
    <w:p w14:paraId="00000036"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The family hub pages contain parenting support, play sessions, young people's services, libraries and SEND support </w:t>
      </w:r>
      <w:proofErr w:type="gramStart"/>
      <w:r w:rsidRPr="00DB6E5F">
        <w:rPr>
          <w:rFonts w:ascii="Arial" w:hAnsi="Arial" w:cs="Arial"/>
          <w:sz w:val="22"/>
          <w:szCs w:val="22"/>
        </w:rPr>
        <w:t>and also</w:t>
      </w:r>
      <w:proofErr w:type="gramEnd"/>
      <w:r w:rsidRPr="00DB6E5F">
        <w:rPr>
          <w:rFonts w:ascii="Arial" w:hAnsi="Arial" w:cs="Arial"/>
          <w:sz w:val="22"/>
          <w:szCs w:val="22"/>
        </w:rPr>
        <w:t xml:space="preserve"> have direct referral links (Alonso and Little, 2019). The practical signposting to community-based services and to family hub timetables assists in the help-seeking within local </w:t>
      </w:r>
      <w:proofErr w:type="spellStart"/>
      <w:r w:rsidRPr="00DB6E5F">
        <w:rPr>
          <w:rFonts w:ascii="Arial" w:hAnsi="Arial" w:cs="Arial"/>
          <w:sz w:val="22"/>
          <w:szCs w:val="22"/>
        </w:rPr>
        <w:t>neighbourhoods</w:t>
      </w:r>
      <w:proofErr w:type="spellEnd"/>
      <w:r w:rsidRPr="00DB6E5F">
        <w:rPr>
          <w:rFonts w:ascii="Arial" w:hAnsi="Arial" w:cs="Arial"/>
          <w:sz w:val="22"/>
          <w:szCs w:val="22"/>
        </w:rPr>
        <w:t>.</w:t>
      </w:r>
      <w:hyperlink r:id="rId7">
        <w:r w:rsidRPr="00DB6E5F">
          <w:rPr>
            <w:rFonts w:ascii="Arial" w:hAnsi="Arial" w:cs="Arial"/>
            <w:color w:val="1155CC"/>
            <w:sz w:val="22"/>
            <w:szCs w:val="22"/>
            <w:u w:val="single"/>
          </w:rPr>
          <w:t xml:space="preserve"> </w:t>
        </w:r>
      </w:hyperlink>
    </w:p>
    <w:p w14:paraId="00000037" w14:textId="77777777" w:rsidR="002D2CA4" w:rsidRPr="00DB6E5F" w:rsidRDefault="00000000" w:rsidP="00DB6E5F">
      <w:pPr>
        <w:spacing w:line="276" w:lineRule="auto"/>
        <w:rPr>
          <w:rFonts w:ascii="Arial" w:hAnsi="Arial" w:cs="Arial"/>
          <w:b/>
          <w:bCs/>
          <w:i/>
          <w:iCs/>
          <w:sz w:val="22"/>
          <w:szCs w:val="22"/>
        </w:rPr>
      </w:pPr>
      <w:r w:rsidRPr="00DB6E5F">
        <w:rPr>
          <w:rFonts w:ascii="Arial" w:hAnsi="Arial" w:cs="Arial"/>
          <w:b/>
          <w:bCs/>
          <w:i/>
          <w:iCs/>
          <w:sz w:val="22"/>
          <w:szCs w:val="22"/>
        </w:rPr>
        <w:t>Quality of multi-agency information</w:t>
      </w:r>
    </w:p>
    <w:p w14:paraId="00000038"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Nottinghamshire illustrates the work of multi-agencies through published development plans and through an Early Help Unit contact point that proves to be at a system level (Daly </w:t>
      </w:r>
      <w:r w:rsidRPr="00DB6E5F">
        <w:rPr>
          <w:rFonts w:ascii="Arial" w:hAnsi="Arial" w:cs="Arial"/>
          <w:i/>
          <w:iCs/>
          <w:sz w:val="22"/>
          <w:szCs w:val="22"/>
        </w:rPr>
        <w:t>et al.,</w:t>
      </w:r>
      <w:r w:rsidRPr="00DB6E5F">
        <w:rPr>
          <w:rFonts w:ascii="Arial" w:hAnsi="Arial" w:cs="Arial"/>
          <w:sz w:val="22"/>
          <w:szCs w:val="22"/>
        </w:rPr>
        <w:t xml:space="preserve"> 2018). The presence of a special unit and published forms facilitates joined-up practice. However, the family-friendly narrative of who does what should be more accessible to lay understanding and engagement.</w:t>
      </w:r>
    </w:p>
    <w:p w14:paraId="00000039" w14:textId="77777777" w:rsidR="002D2CA4" w:rsidRPr="00DB6E5F" w:rsidRDefault="00000000" w:rsidP="00DB6E5F">
      <w:pPr>
        <w:pStyle w:val="Heading1"/>
        <w:spacing w:line="276" w:lineRule="auto"/>
        <w:rPr>
          <w:rFonts w:ascii="Arial" w:hAnsi="Arial" w:cs="Arial"/>
          <w:sz w:val="22"/>
          <w:szCs w:val="22"/>
        </w:rPr>
      </w:pPr>
      <w:bookmarkStart w:id="9" w:name="_heading=h.4yxptosyxzis" w:colFirst="0" w:colLast="0"/>
      <w:bookmarkEnd w:id="9"/>
      <w:r w:rsidRPr="00DB6E5F">
        <w:rPr>
          <w:rFonts w:ascii="Arial" w:hAnsi="Arial" w:cs="Arial"/>
          <w:sz w:val="22"/>
          <w:szCs w:val="22"/>
        </w:rPr>
        <w:t>5. Comparative Analysis</w:t>
      </w:r>
    </w:p>
    <w:p w14:paraId="0000003A"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The comparison of Leeds, Norfolk and Nottinghamshire websites on Early Help reveals differences in accessibility. The searchable map tool Nottinghamshire offers an easier way to navigate compared to Leeds, where Early Help information is divided between various pages, or Norfolk, which offers lengthy policy-style pages that could overwhelm some of its users (Lal, </w:t>
      </w:r>
      <w:r w:rsidRPr="00DB6E5F">
        <w:rPr>
          <w:rFonts w:ascii="Arial" w:hAnsi="Arial" w:cs="Arial"/>
          <w:sz w:val="22"/>
          <w:szCs w:val="22"/>
        </w:rPr>
        <w:lastRenderedPageBreak/>
        <w:t xml:space="preserve">Halicki-Asakawa and </w:t>
      </w:r>
      <w:proofErr w:type="spellStart"/>
      <w:r w:rsidRPr="00DB6E5F">
        <w:rPr>
          <w:rFonts w:ascii="Arial" w:hAnsi="Arial" w:cs="Arial"/>
          <w:sz w:val="22"/>
          <w:szCs w:val="22"/>
        </w:rPr>
        <w:t>Fauvelle</w:t>
      </w:r>
      <w:proofErr w:type="spellEnd"/>
      <w:r w:rsidRPr="00DB6E5F">
        <w:rPr>
          <w:rFonts w:ascii="Arial" w:hAnsi="Arial" w:cs="Arial"/>
          <w:sz w:val="22"/>
          <w:szCs w:val="22"/>
        </w:rPr>
        <w:t xml:space="preserve">, 2021). Regarding the depth and clarity of Early Help explanation, Nottinghamshire offers detailed documentation of assessment forms and development plans, making their offer clear. Leeds makes concise one-minute guides that are helpful in quick </w:t>
      </w:r>
      <w:proofErr w:type="gramStart"/>
      <w:r w:rsidRPr="00DB6E5F">
        <w:rPr>
          <w:rFonts w:ascii="Arial" w:hAnsi="Arial" w:cs="Arial"/>
          <w:sz w:val="22"/>
          <w:szCs w:val="22"/>
        </w:rPr>
        <w:t>consultation, but</w:t>
      </w:r>
      <w:proofErr w:type="gramEnd"/>
      <w:r w:rsidRPr="00DB6E5F">
        <w:rPr>
          <w:rFonts w:ascii="Arial" w:hAnsi="Arial" w:cs="Arial"/>
          <w:sz w:val="22"/>
          <w:szCs w:val="22"/>
        </w:rPr>
        <w:t xml:space="preserve"> </w:t>
      </w:r>
      <w:proofErr w:type="gramStart"/>
      <w:r w:rsidRPr="00DB6E5F">
        <w:rPr>
          <w:rFonts w:ascii="Arial" w:hAnsi="Arial" w:cs="Arial"/>
          <w:sz w:val="22"/>
          <w:szCs w:val="22"/>
        </w:rPr>
        <w:t>does</w:t>
      </w:r>
      <w:proofErr w:type="gramEnd"/>
      <w:r w:rsidRPr="00DB6E5F">
        <w:rPr>
          <w:rFonts w:ascii="Arial" w:hAnsi="Arial" w:cs="Arial"/>
          <w:sz w:val="22"/>
          <w:szCs w:val="22"/>
        </w:rPr>
        <w:t xml:space="preserve"> not provide an in-depth explanation of thresholds. Norfolk leans more to professional-style documents, which might not be read by a lay audience (Zhao and Basnyat, 2022). On service signposting, the three offer links to parenting help, youth and SEND services hubs, with Nottinghamshire being the strongest in listing local community services with referral links. Regarding multi-agency visibility, Nottinghamshire explicitly outlines shared responsibilities and a specific Early Help unit, but Leeds is weaker at explaining views to the outside world, and Norfolk focuses more on professional documents than on </w:t>
      </w:r>
      <w:proofErr w:type="spellStart"/>
      <w:r w:rsidRPr="00DB6E5F">
        <w:rPr>
          <w:rFonts w:ascii="Arial" w:hAnsi="Arial" w:cs="Arial"/>
          <w:sz w:val="22"/>
          <w:szCs w:val="22"/>
        </w:rPr>
        <w:t>explainables</w:t>
      </w:r>
      <w:proofErr w:type="spellEnd"/>
      <w:r w:rsidRPr="00DB6E5F">
        <w:rPr>
          <w:rFonts w:ascii="Arial" w:hAnsi="Arial" w:cs="Arial"/>
          <w:sz w:val="22"/>
          <w:szCs w:val="22"/>
        </w:rPr>
        <w:t xml:space="preserve"> (Stanford, 2023). Regarding referral tools, once again, Nottinghamshire is at the front line to offer direct assessment upload and referral forms on a web-based service, Norfolk encourages the submission, but less prominently, whereas Leeds uses contact points but does not offer form options. </w:t>
      </w:r>
      <w:proofErr w:type="gramStart"/>
      <w:r w:rsidRPr="00DB6E5F">
        <w:rPr>
          <w:rFonts w:ascii="Arial" w:hAnsi="Arial" w:cs="Arial"/>
          <w:sz w:val="22"/>
          <w:szCs w:val="22"/>
        </w:rPr>
        <w:t>At last</w:t>
      </w:r>
      <w:proofErr w:type="gramEnd"/>
      <w:r w:rsidRPr="00DB6E5F">
        <w:rPr>
          <w:rFonts w:ascii="Arial" w:hAnsi="Arial" w:cs="Arial"/>
          <w:sz w:val="22"/>
          <w:szCs w:val="22"/>
        </w:rPr>
        <w:t xml:space="preserve">, regarding family-group support, the Nottinghamshire site expressly contains SEND and young carers; Leeds is moderate; Norfolk is general. In general, Nottinghamshire is the best one because it is clear, transparent, and has convenient digital routes. Norfolk is less strong due to its low accessibility to families of inexperienced professionals. There is evidence to support the idea that ambiguous digital signposting and complicated information architecture will lower use of services among underserved families (Haworth </w:t>
      </w:r>
      <w:r w:rsidRPr="00DB6E5F">
        <w:rPr>
          <w:rFonts w:ascii="Arial" w:hAnsi="Arial" w:cs="Arial"/>
          <w:i/>
          <w:iCs/>
          <w:sz w:val="22"/>
          <w:szCs w:val="22"/>
        </w:rPr>
        <w:t xml:space="preserve">et al., </w:t>
      </w:r>
      <w:r w:rsidRPr="00DB6E5F">
        <w:rPr>
          <w:rFonts w:ascii="Arial" w:hAnsi="Arial" w:cs="Arial"/>
          <w:sz w:val="22"/>
          <w:szCs w:val="22"/>
        </w:rPr>
        <w:t>2022).</w:t>
      </w:r>
    </w:p>
    <w:p w14:paraId="0000003B" w14:textId="77777777" w:rsidR="002D2CA4" w:rsidRPr="00DB6E5F" w:rsidRDefault="00000000" w:rsidP="00DB6E5F">
      <w:pPr>
        <w:pStyle w:val="Heading1"/>
        <w:spacing w:line="276" w:lineRule="auto"/>
        <w:rPr>
          <w:rFonts w:ascii="Arial" w:hAnsi="Arial" w:cs="Arial"/>
          <w:sz w:val="22"/>
          <w:szCs w:val="22"/>
        </w:rPr>
      </w:pPr>
      <w:bookmarkStart w:id="10" w:name="_heading=h.k7vrc6vw4e5s" w:colFirst="0" w:colLast="0"/>
      <w:bookmarkEnd w:id="10"/>
      <w:r w:rsidRPr="00DB6E5F">
        <w:rPr>
          <w:rFonts w:ascii="Arial" w:hAnsi="Arial" w:cs="Arial"/>
          <w:sz w:val="22"/>
          <w:szCs w:val="22"/>
        </w:rPr>
        <w:br w:type="page"/>
      </w:r>
    </w:p>
    <w:p w14:paraId="0000003C" w14:textId="77777777" w:rsidR="002D2CA4" w:rsidRPr="00DB6E5F" w:rsidRDefault="00000000" w:rsidP="00DB6E5F">
      <w:pPr>
        <w:pStyle w:val="Heading1"/>
        <w:spacing w:line="276" w:lineRule="auto"/>
        <w:rPr>
          <w:rFonts w:ascii="Arial" w:hAnsi="Arial" w:cs="Arial"/>
          <w:sz w:val="22"/>
          <w:szCs w:val="22"/>
        </w:rPr>
      </w:pPr>
      <w:bookmarkStart w:id="11" w:name="_heading=h.m1zmuab3osg" w:colFirst="0" w:colLast="0"/>
      <w:bookmarkEnd w:id="11"/>
      <w:r w:rsidRPr="00DB6E5F">
        <w:rPr>
          <w:rFonts w:ascii="Arial" w:hAnsi="Arial" w:cs="Arial"/>
          <w:sz w:val="22"/>
          <w:szCs w:val="22"/>
        </w:rPr>
        <w:lastRenderedPageBreak/>
        <w:t>6. Conclusion and Recommendations</w:t>
      </w:r>
    </w:p>
    <w:p w14:paraId="0000003D"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Effective communication of Early Help services is critical to protection since families will be more likely to avail services when information is easy to follow, and it is in an accessible language that is backed by clear referral pathways. Communication is another important element of prevention, as it can help prevent emerging needs earlier and prompt the receipt of professional contact online. Out of the three sites reviewed, Nottinghamshire has shown the best and the most, making the easiest contact with Early Help because of its simplified structure and referral tools, with an explanation of multi-agency roles.</w:t>
      </w:r>
    </w:p>
    <w:p w14:paraId="0000003E" w14:textId="77777777" w:rsidR="002D2CA4" w:rsidRPr="00DB6E5F" w:rsidRDefault="00000000" w:rsidP="00DB6E5F">
      <w:pPr>
        <w:spacing w:line="276" w:lineRule="auto"/>
        <w:rPr>
          <w:rFonts w:ascii="Arial" w:hAnsi="Arial" w:cs="Arial"/>
          <w:sz w:val="22"/>
          <w:szCs w:val="22"/>
        </w:rPr>
      </w:pPr>
      <w:r w:rsidRPr="00DB6E5F">
        <w:rPr>
          <w:rFonts w:ascii="Arial" w:hAnsi="Arial" w:cs="Arial"/>
          <w:b/>
          <w:bCs/>
          <w:i/>
          <w:iCs/>
          <w:sz w:val="22"/>
          <w:szCs w:val="22"/>
        </w:rPr>
        <w:t>Recommendations</w:t>
      </w:r>
      <w:r w:rsidRPr="00DB6E5F">
        <w:rPr>
          <w:rFonts w:ascii="Arial" w:hAnsi="Arial" w:cs="Arial"/>
          <w:sz w:val="22"/>
          <w:szCs w:val="22"/>
        </w:rPr>
        <w:br/>
        <w:t>Improvement recommendations will involve simplifying the language used so that less literate families can comprehend the Early Help processes and including step-by-step referral guides to get a lot more in line with the statutory expectations as outlined in Working Together 2023. Navigation menus are to be simplified and accompanied by graphic illustrations to make the thresholds and paths clear. Ensuring mobile-friendly design and high-visibility links to local family hubs would also help all websites become more accessible to diverse family groups.</w:t>
      </w:r>
    </w:p>
    <w:p w14:paraId="0000003F" w14:textId="77777777" w:rsidR="002D2CA4" w:rsidRPr="00DB6E5F" w:rsidRDefault="00000000" w:rsidP="00DB6E5F">
      <w:pPr>
        <w:pStyle w:val="Heading1"/>
        <w:spacing w:line="276" w:lineRule="auto"/>
        <w:rPr>
          <w:rFonts w:ascii="Arial" w:hAnsi="Arial" w:cs="Arial"/>
          <w:sz w:val="22"/>
          <w:szCs w:val="22"/>
        </w:rPr>
      </w:pPr>
      <w:bookmarkStart w:id="12" w:name="_heading=h.kxpoe2k7de5n" w:colFirst="0" w:colLast="0"/>
      <w:bookmarkEnd w:id="12"/>
      <w:r w:rsidRPr="00DB6E5F">
        <w:rPr>
          <w:rFonts w:ascii="Arial" w:hAnsi="Arial" w:cs="Arial"/>
          <w:sz w:val="22"/>
          <w:szCs w:val="22"/>
        </w:rPr>
        <w:br w:type="page"/>
      </w:r>
    </w:p>
    <w:p w14:paraId="00000040" w14:textId="77777777" w:rsidR="002D2CA4" w:rsidRPr="00DB6E5F" w:rsidRDefault="00000000" w:rsidP="00DB6E5F">
      <w:pPr>
        <w:pStyle w:val="Heading1"/>
        <w:spacing w:line="276" w:lineRule="auto"/>
        <w:rPr>
          <w:rFonts w:ascii="Arial" w:hAnsi="Arial" w:cs="Arial"/>
          <w:sz w:val="22"/>
          <w:szCs w:val="22"/>
        </w:rPr>
      </w:pPr>
      <w:bookmarkStart w:id="13" w:name="_heading=h.8ox0cbu6snqw" w:colFirst="0" w:colLast="0"/>
      <w:bookmarkEnd w:id="13"/>
      <w:r w:rsidRPr="00DB6E5F">
        <w:rPr>
          <w:rFonts w:ascii="Arial" w:hAnsi="Arial" w:cs="Arial"/>
          <w:sz w:val="22"/>
          <w:szCs w:val="22"/>
        </w:rPr>
        <w:lastRenderedPageBreak/>
        <w:t>7. Reference</w:t>
      </w:r>
    </w:p>
    <w:p w14:paraId="00000041"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UNHCR (2023). </w:t>
      </w:r>
      <w:r w:rsidRPr="00DB6E5F">
        <w:rPr>
          <w:rFonts w:ascii="Arial" w:hAnsi="Arial" w:cs="Arial"/>
          <w:i/>
          <w:iCs/>
          <w:sz w:val="22"/>
          <w:szCs w:val="22"/>
        </w:rPr>
        <w:t xml:space="preserve">Working Together to Safeguard Children 2023: A guide to inter-agency working to safeguard and promote the welfare of children | </w:t>
      </w:r>
      <w:proofErr w:type="spellStart"/>
      <w:r w:rsidRPr="00DB6E5F">
        <w:rPr>
          <w:rFonts w:ascii="Arial" w:hAnsi="Arial" w:cs="Arial"/>
          <w:i/>
          <w:iCs/>
          <w:sz w:val="22"/>
          <w:szCs w:val="22"/>
        </w:rPr>
        <w:t>Refworld</w:t>
      </w:r>
      <w:proofErr w:type="spellEnd"/>
      <w:r w:rsidRPr="00DB6E5F">
        <w:rPr>
          <w:rFonts w:ascii="Arial" w:hAnsi="Arial" w:cs="Arial"/>
          <w:sz w:val="22"/>
          <w:szCs w:val="22"/>
        </w:rPr>
        <w:t xml:space="preserve">. [online] </w:t>
      </w:r>
      <w:proofErr w:type="spellStart"/>
      <w:r w:rsidRPr="00DB6E5F">
        <w:rPr>
          <w:rFonts w:ascii="Arial" w:hAnsi="Arial" w:cs="Arial"/>
          <w:sz w:val="22"/>
          <w:szCs w:val="22"/>
        </w:rPr>
        <w:t>Refworld</w:t>
      </w:r>
      <w:proofErr w:type="spellEnd"/>
      <w:r w:rsidRPr="00DB6E5F">
        <w:rPr>
          <w:rFonts w:ascii="Arial" w:hAnsi="Arial" w:cs="Arial"/>
          <w:sz w:val="22"/>
          <w:szCs w:val="22"/>
        </w:rPr>
        <w:t xml:space="preserve">. Available at: </w:t>
      </w:r>
      <w:hyperlink r:id="rId8">
        <w:r w:rsidRPr="00DB6E5F">
          <w:rPr>
            <w:rFonts w:ascii="Arial" w:hAnsi="Arial" w:cs="Arial"/>
            <w:color w:val="1155CC"/>
            <w:sz w:val="22"/>
            <w:szCs w:val="22"/>
            <w:u w:val="single"/>
          </w:rPr>
          <w:t>https://www.refworld.org/policy/opguidance/ukho/2023/en/147498</w:t>
        </w:r>
      </w:hyperlink>
      <w:r w:rsidRPr="00DB6E5F">
        <w:rPr>
          <w:rFonts w:ascii="Arial" w:hAnsi="Arial" w:cs="Arial"/>
          <w:sz w:val="22"/>
          <w:szCs w:val="22"/>
        </w:rPr>
        <w:t xml:space="preserve">  [Accessed 20 Nov. 2025].</w:t>
      </w:r>
    </w:p>
    <w:p w14:paraId="00000042"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Alonso, J. and Little, E. (2019). Parent help-seeking </w:t>
      </w:r>
      <w:proofErr w:type="spellStart"/>
      <w:r w:rsidRPr="00DB6E5F">
        <w:rPr>
          <w:rFonts w:ascii="Arial" w:hAnsi="Arial" w:cs="Arial"/>
          <w:sz w:val="22"/>
          <w:szCs w:val="22"/>
        </w:rPr>
        <w:t>behaviour</w:t>
      </w:r>
      <w:proofErr w:type="spellEnd"/>
      <w:r w:rsidRPr="00DB6E5F">
        <w:rPr>
          <w:rFonts w:ascii="Arial" w:hAnsi="Arial" w:cs="Arial"/>
          <w:sz w:val="22"/>
          <w:szCs w:val="22"/>
        </w:rPr>
        <w:t xml:space="preserve">: Examining the impact of parent beliefs on professional help-seeking for child emotional and </w:t>
      </w:r>
      <w:proofErr w:type="spellStart"/>
      <w:r w:rsidRPr="00DB6E5F">
        <w:rPr>
          <w:rFonts w:ascii="Arial" w:hAnsi="Arial" w:cs="Arial"/>
          <w:sz w:val="22"/>
          <w:szCs w:val="22"/>
        </w:rPr>
        <w:t>behavioural</w:t>
      </w:r>
      <w:proofErr w:type="spellEnd"/>
      <w:r w:rsidRPr="00DB6E5F">
        <w:rPr>
          <w:rFonts w:ascii="Arial" w:hAnsi="Arial" w:cs="Arial"/>
          <w:sz w:val="22"/>
          <w:szCs w:val="22"/>
        </w:rPr>
        <w:t xml:space="preserve"> difficulties. </w:t>
      </w:r>
      <w:r w:rsidRPr="00DB6E5F">
        <w:rPr>
          <w:rFonts w:ascii="Arial" w:hAnsi="Arial" w:cs="Arial"/>
          <w:i/>
          <w:iCs/>
          <w:sz w:val="22"/>
          <w:szCs w:val="22"/>
        </w:rPr>
        <w:t>The Educational and Developmental Psychologist</w:t>
      </w:r>
      <w:r w:rsidRPr="00DB6E5F">
        <w:rPr>
          <w:rFonts w:ascii="Arial" w:hAnsi="Arial" w:cs="Arial"/>
          <w:sz w:val="22"/>
          <w:szCs w:val="22"/>
        </w:rPr>
        <w:t xml:space="preserve">, pp.1–8. </w:t>
      </w:r>
      <w:proofErr w:type="spellStart"/>
      <w:proofErr w:type="gramStart"/>
      <w:r w:rsidRPr="00DB6E5F">
        <w:rPr>
          <w:rFonts w:ascii="Arial" w:hAnsi="Arial" w:cs="Arial"/>
          <w:sz w:val="22"/>
          <w:szCs w:val="22"/>
        </w:rPr>
        <w:t>doi:https</w:t>
      </w:r>
      <w:proofErr w:type="spellEnd"/>
      <w:r w:rsidRPr="00DB6E5F">
        <w:rPr>
          <w:rFonts w:ascii="Arial" w:hAnsi="Arial" w:cs="Arial"/>
          <w:sz w:val="22"/>
          <w:szCs w:val="22"/>
        </w:rPr>
        <w:t>://doi.org/10.1017/edp.2019.8</w:t>
      </w:r>
      <w:proofErr w:type="gramEnd"/>
      <w:r w:rsidRPr="00DB6E5F">
        <w:rPr>
          <w:rFonts w:ascii="Arial" w:hAnsi="Arial" w:cs="Arial"/>
          <w:sz w:val="22"/>
          <w:szCs w:val="22"/>
        </w:rPr>
        <w:t>.</w:t>
      </w:r>
    </w:p>
    <w:p w14:paraId="00000043"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Baxter, V., Boydell, V. and McPherson, S. (2023). Multi-disciplinary Support for Families with Complex Needs and Children on the Edge of Care in the UK: a Mixed Methods Evaluation. </w:t>
      </w:r>
      <w:r w:rsidRPr="00DB6E5F">
        <w:rPr>
          <w:rFonts w:ascii="Arial" w:hAnsi="Arial" w:cs="Arial"/>
          <w:i/>
          <w:iCs/>
          <w:sz w:val="22"/>
          <w:szCs w:val="22"/>
        </w:rPr>
        <w:t>Journal of Social Welfare and Family Law</w:t>
      </w:r>
      <w:r w:rsidRPr="00DB6E5F">
        <w:rPr>
          <w:rFonts w:ascii="Arial" w:hAnsi="Arial" w:cs="Arial"/>
          <w:sz w:val="22"/>
          <w:szCs w:val="22"/>
        </w:rPr>
        <w:t xml:space="preserve">, [online] 45(4), pp.307–325. </w:t>
      </w:r>
      <w:proofErr w:type="spellStart"/>
      <w:proofErr w:type="gramStart"/>
      <w:r w:rsidRPr="00DB6E5F">
        <w:rPr>
          <w:rFonts w:ascii="Arial" w:hAnsi="Arial" w:cs="Arial"/>
          <w:sz w:val="22"/>
          <w:szCs w:val="22"/>
        </w:rPr>
        <w:t>doi:https</w:t>
      </w:r>
      <w:proofErr w:type="spellEnd"/>
      <w:r w:rsidRPr="00DB6E5F">
        <w:rPr>
          <w:rFonts w:ascii="Arial" w:hAnsi="Arial" w:cs="Arial"/>
          <w:sz w:val="22"/>
          <w:szCs w:val="22"/>
        </w:rPr>
        <w:t>://doi.org/10.1080/09649069.2023.2281840</w:t>
      </w:r>
      <w:proofErr w:type="gramEnd"/>
      <w:r w:rsidRPr="00DB6E5F">
        <w:rPr>
          <w:rFonts w:ascii="Arial" w:hAnsi="Arial" w:cs="Arial"/>
          <w:sz w:val="22"/>
          <w:szCs w:val="22"/>
        </w:rPr>
        <w:t>.</w:t>
      </w:r>
    </w:p>
    <w:p w14:paraId="00000044"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Corliss, C., Addis, S., El-Banna, A., Maxwell, N., Scourfield, J., Warner, N. and Williams, A. (2021). The Views of Local Authorities in England on How to Prevent Children Being in Care. </w:t>
      </w:r>
      <w:r w:rsidRPr="00DB6E5F">
        <w:rPr>
          <w:rFonts w:ascii="Arial" w:hAnsi="Arial" w:cs="Arial"/>
          <w:i/>
          <w:iCs/>
          <w:sz w:val="22"/>
          <w:szCs w:val="22"/>
        </w:rPr>
        <w:t>Child Care in Practice</w:t>
      </w:r>
      <w:r w:rsidRPr="00DB6E5F">
        <w:rPr>
          <w:rFonts w:ascii="Arial" w:hAnsi="Arial" w:cs="Arial"/>
          <w:sz w:val="22"/>
          <w:szCs w:val="22"/>
        </w:rPr>
        <w:t xml:space="preserve">, 28(4), pp.1–17. </w:t>
      </w:r>
      <w:proofErr w:type="spellStart"/>
      <w:proofErr w:type="gramStart"/>
      <w:r w:rsidRPr="00DB6E5F">
        <w:rPr>
          <w:rFonts w:ascii="Arial" w:hAnsi="Arial" w:cs="Arial"/>
          <w:sz w:val="22"/>
          <w:szCs w:val="22"/>
        </w:rPr>
        <w:t>doi:https</w:t>
      </w:r>
      <w:proofErr w:type="spellEnd"/>
      <w:r w:rsidRPr="00DB6E5F">
        <w:rPr>
          <w:rFonts w:ascii="Arial" w:hAnsi="Arial" w:cs="Arial"/>
          <w:sz w:val="22"/>
          <w:szCs w:val="22"/>
        </w:rPr>
        <w:t>://doi.org/10.1080/13575279.2021.1975648</w:t>
      </w:r>
      <w:proofErr w:type="gramEnd"/>
      <w:r w:rsidRPr="00DB6E5F">
        <w:rPr>
          <w:rFonts w:ascii="Arial" w:hAnsi="Arial" w:cs="Arial"/>
          <w:sz w:val="22"/>
          <w:szCs w:val="22"/>
        </w:rPr>
        <w:t>.</w:t>
      </w:r>
    </w:p>
    <w:p w14:paraId="00000045"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Daly, N., Byrne, M., Dillion, B., Heavin, C. and Northridge, J. (2018). </w:t>
      </w:r>
      <w:r w:rsidRPr="00DB6E5F">
        <w:rPr>
          <w:rFonts w:ascii="Arial" w:hAnsi="Arial" w:cs="Arial"/>
          <w:i/>
          <w:iCs/>
          <w:sz w:val="22"/>
          <w:szCs w:val="22"/>
        </w:rPr>
        <w:t>Implementing Website Accessibility Standards in Higher Education – Lessons Learnt</w:t>
      </w:r>
      <w:r w:rsidRPr="00DB6E5F">
        <w:rPr>
          <w:rFonts w:ascii="Arial" w:hAnsi="Arial" w:cs="Arial"/>
          <w:sz w:val="22"/>
          <w:szCs w:val="22"/>
        </w:rPr>
        <w:t xml:space="preserve">. [online] AHEAD. Available at: </w:t>
      </w:r>
      <w:hyperlink r:id="rId9">
        <w:r w:rsidRPr="00DB6E5F">
          <w:rPr>
            <w:rFonts w:ascii="Arial" w:hAnsi="Arial" w:cs="Arial"/>
            <w:color w:val="1155CC"/>
            <w:sz w:val="22"/>
            <w:szCs w:val="22"/>
            <w:u w:val="single"/>
          </w:rPr>
          <w:t>https://www.ahead.ie/journal/Implementing-Website-Accessibility-Standards-in-Higher-Education-Lessons-Learnt</w:t>
        </w:r>
      </w:hyperlink>
      <w:r w:rsidRPr="00DB6E5F">
        <w:rPr>
          <w:rFonts w:ascii="Arial" w:hAnsi="Arial" w:cs="Arial"/>
          <w:sz w:val="22"/>
          <w:szCs w:val="22"/>
        </w:rPr>
        <w:t xml:space="preserve">  [Accessed 20 Nov. 2025].</w:t>
      </w:r>
    </w:p>
    <w:p w14:paraId="00000046"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Devaney, C., Brady, B., Crosse, R. and Jackson, R. (2022). Realizing the potential of a </w:t>
      </w:r>
      <w:proofErr w:type="gramStart"/>
      <w:r w:rsidRPr="00DB6E5F">
        <w:rPr>
          <w:rFonts w:ascii="Arial" w:hAnsi="Arial" w:cs="Arial"/>
          <w:sz w:val="22"/>
          <w:szCs w:val="22"/>
        </w:rPr>
        <w:t>strengths</w:t>
      </w:r>
      <w:r w:rsidRPr="00DB6E5F">
        <w:rPr>
          <w:rFonts w:ascii="Cambria Math" w:hAnsi="Cambria Math" w:cs="Cambria Math"/>
          <w:sz w:val="22"/>
          <w:szCs w:val="22"/>
        </w:rPr>
        <w:t>‐</w:t>
      </w:r>
      <w:proofErr w:type="gramEnd"/>
      <w:r w:rsidRPr="00DB6E5F">
        <w:rPr>
          <w:rFonts w:ascii="Arial" w:hAnsi="Arial" w:cs="Arial"/>
          <w:sz w:val="22"/>
          <w:szCs w:val="22"/>
        </w:rPr>
        <w:t xml:space="preserve">based approach in family support with young people and their parents. </w:t>
      </w:r>
      <w:r w:rsidRPr="00DB6E5F">
        <w:rPr>
          <w:rFonts w:ascii="Arial" w:hAnsi="Arial" w:cs="Arial"/>
          <w:i/>
          <w:iCs/>
          <w:sz w:val="22"/>
          <w:szCs w:val="22"/>
        </w:rPr>
        <w:t>Child &amp; Family Social Work</w:t>
      </w:r>
      <w:r w:rsidRPr="00DB6E5F">
        <w:rPr>
          <w:rFonts w:ascii="Arial" w:hAnsi="Arial" w:cs="Arial"/>
          <w:sz w:val="22"/>
          <w:szCs w:val="22"/>
        </w:rPr>
        <w:t>, 28(2).</w:t>
      </w:r>
    </w:p>
    <w:p w14:paraId="00000047"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Dixon, S., Kendall, B., Driscoll, J. and Pope, C. (2022). Supporting the ‘Multi’ in Multi-agency working: Learning with and from Each Other Could Enable multi-agency Safeguarding. </w:t>
      </w:r>
      <w:r w:rsidRPr="00DB6E5F">
        <w:rPr>
          <w:rFonts w:ascii="Arial" w:hAnsi="Arial" w:cs="Arial"/>
          <w:i/>
          <w:iCs/>
          <w:sz w:val="22"/>
          <w:szCs w:val="22"/>
        </w:rPr>
        <w:t>British Journal of General Practice</w:t>
      </w:r>
      <w:r w:rsidRPr="00DB6E5F">
        <w:rPr>
          <w:rFonts w:ascii="Arial" w:hAnsi="Arial" w:cs="Arial"/>
          <w:sz w:val="22"/>
          <w:szCs w:val="22"/>
        </w:rPr>
        <w:t xml:space="preserve">, [online] 72(722), pp.438–439. </w:t>
      </w:r>
      <w:proofErr w:type="spellStart"/>
      <w:proofErr w:type="gramStart"/>
      <w:r w:rsidRPr="00DB6E5F">
        <w:rPr>
          <w:rFonts w:ascii="Arial" w:hAnsi="Arial" w:cs="Arial"/>
          <w:sz w:val="22"/>
          <w:szCs w:val="22"/>
        </w:rPr>
        <w:t>doi:https</w:t>
      </w:r>
      <w:proofErr w:type="spellEnd"/>
      <w:r w:rsidRPr="00DB6E5F">
        <w:rPr>
          <w:rFonts w:ascii="Arial" w:hAnsi="Arial" w:cs="Arial"/>
          <w:sz w:val="22"/>
          <w:szCs w:val="22"/>
        </w:rPr>
        <w:t>://doi.org/10.3399/bjgp22x720617</w:t>
      </w:r>
      <w:proofErr w:type="gramEnd"/>
      <w:r w:rsidRPr="00DB6E5F">
        <w:rPr>
          <w:rFonts w:ascii="Arial" w:hAnsi="Arial" w:cs="Arial"/>
          <w:sz w:val="22"/>
          <w:szCs w:val="22"/>
        </w:rPr>
        <w:t>.</w:t>
      </w:r>
    </w:p>
    <w:p w14:paraId="00000048"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Haworth, S., Bilson, A., </w:t>
      </w:r>
      <w:proofErr w:type="spellStart"/>
      <w:r w:rsidRPr="00DB6E5F">
        <w:rPr>
          <w:rFonts w:ascii="Arial" w:hAnsi="Arial" w:cs="Arial"/>
          <w:sz w:val="22"/>
          <w:szCs w:val="22"/>
        </w:rPr>
        <w:t>Drayak</w:t>
      </w:r>
      <w:proofErr w:type="spellEnd"/>
      <w:r w:rsidRPr="00DB6E5F">
        <w:rPr>
          <w:rFonts w:ascii="Arial" w:hAnsi="Arial" w:cs="Arial"/>
          <w:sz w:val="22"/>
          <w:szCs w:val="22"/>
        </w:rPr>
        <w:t xml:space="preserve">, T., Mayes, T. and Saar-Heiman, Y. (2022). Parental Partnership, Advocacy and Engagement: The Way Forward. </w:t>
      </w:r>
      <w:r w:rsidRPr="00DB6E5F">
        <w:rPr>
          <w:rFonts w:ascii="Arial" w:hAnsi="Arial" w:cs="Arial"/>
          <w:i/>
          <w:iCs/>
          <w:sz w:val="22"/>
          <w:szCs w:val="22"/>
        </w:rPr>
        <w:t>Social Sciences</w:t>
      </w:r>
      <w:r w:rsidRPr="00DB6E5F">
        <w:rPr>
          <w:rFonts w:ascii="Arial" w:hAnsi="Arial" w:cs="Arial"/>
          <w:sz w:val="22"/>
          <w:szCs w:val="22"/>
        </w:rPr>
        <w:t xml:space="preserve">, 11(8), p.353. </w:t>
      </w:r>
      <w:proofErr w:type="spellStart"/>
      <w:proofErr w:type="gramStart"/>
      <w:r w:rsidRPr="00DB6E5F">
        <w:rPr>
          <w:rFonts w:ascii="Arial" w:hAnsi="Arial" w:cs="Arial"/>
          <w:sz w:val="22"/>
          <w:szCs w:val="22"/>
        </w:rPr>
        <w:t>doi:https</w:t>
      </w:r>
      <w:proofErr w:type="spellEnd"/>
      <w:r w:rsidRPr="00DB6E5F">
        <w:rPr>
          <w:rFonts w:ascii="Arial" w:hAnsi="Arial" w:cs="Arial"/>
          <w:sz w:val="22"/>
          <w:szCs w:val="22"/>
        </w:rPr>
        <w:t>://doi.org/10.3390/socsci11080353</w:t>
      </w:r>
      <w:proofErr w:type="gramEnd"/>
      <w:r w:rsidRPr="00DB6E5F">
        <w:rPr>
          <w:rFonts w:ascii="Arial" w:hAnsi="Arial" w:cs="Arial"/>
          <w:sz w:val="22"/>
          <w:szCs w:val="22"/>
        </w:rPr>
        <w:t>.</w:t>
      </w:r>
    </w:p>
    <w:p w14:paraId="00000049"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HM Government (2023). </w:t>
      </w:r>
      <w:r w:rsidRPr="00DB6E5F">
        <w:rPr>
          <w:rFonts w:ascii="Arial" w:hAnsi="Arial" w:cs="Arial"/>
          <w:i/>
          <w:iCs/>
          <w:sz w:val="22"/>
          <w:szCs w:val="22"/>
        </w:rPr>
        <w:t>Working Together to Safeguard Children 2023</w:t>
      </w:r>
      <w:r w:rsidRPr="00DB6E5F">
        <w:rPr>
          <w:rFonts w:ascii="Arial" w:hAnsi="Arial" w:cs="Arial"/>
          <w:sz w:val="22"/>
          <w:szCs w:val="22"/>
        </w:rPr>
        <w:t xml:space="preserve">. [online] Available at: </w:t>
      </w:r>
      <w:hyperlink r:id="rId10">
        <w:r w:rsidRPr="00DB6E5F">
          <w:rPr>
            <w:rFonts w:ascii="Arial" w:hAnsi="Arial" w:cs="Arial"/>
            <w:color w:val="1155CC"/>
            <w:sz w:val="22"/>
            <w:szCs w:val="22"/>
            <w:u w:val="single"/>
          </w:rPr>
          <w:t>https://assets.publishing.service.gov.uk/media/6849a7b67cba25f610c7db3f/Working_together_to_safeguard_children_2023_-_statutory_guidance.pdf</w:t>
        </w:r>
      </w:hyperlink>
      <w:r w:rsidRPr="00DB6E5F">
        <w:rPr>
          <w:rFonts w:ascii="Arial" w:hAnsi="Arial" w:cs="Arial"/>
          <w:sz w:val="22"/>
          <w:szCs w:val="22"/>
        </w:rPr>
        <w:t xml:space="preserve">  [Accessed 20 Nov. 2025].</w:t>
      </w:r>
    </w:p>
    <w:p w14:paraId="0000004A"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IANNUZZI, N., MANCA, M., PATERNO, F. and SANTORO, C. (2025). Improving Accessibility of Public Administrations Web Sites through Large-Scale Automatic Validations. </w:t>
      </w:r>
      <w:r w:rsidRPr="00DB6E5F">
        <w:rPr>
          <w:rFonts w:ascii="Arial" w:hAnsi="Arial" w:cs="Arial"/>
          <w:i/>
          <w:iCs/>
          <w:sz w:val="22"/>
          <w:szCs w:val="22"/>
        </w:rPr>
        <w:t>ACM Journal on Responsible Computing</w:t>
      </w:r>
      <w:r w:rsidRPr="00DB6E5F">
        <w:rPr>
          <w:rFonts w:ascii="Arial" w:hAnsi="Arial" w:cs="Arial"/>
          <w:sz w:val="22"/>
          <w:szCs w:val="22"/>
        </w:rPr>
        <w:t xml:space="preserve">, 2(3), pp.1–21. </w:t>
      </w:r>
      <w:proofErr w:type="spellStart"/>
      <w:proofErr w:type="gramStart"/>
      <w:r w:rsidRPr="00DB6E5F">
        <w:rPr>
          <w:rFonts w:ascii="Arial" w:hAnsi="Arial" w:cs="Arial"/>
          <w:sz w:val="22"/>
          <w:szCs w:val="22"/>
        </w:rPr>
        <w:t>doi:https</w:t>
      </w:r>
      <w:proofErr w:type="spellEnd"/>
      <w:r w:rsidRPr="00DB6E5F">
        <w:rPr>
          <w:rFonts w:ascii="Arial" w:hAnsi="Arial" w:cs="Arial"/>
          <w:sz w:val="22"/>
          <w:szCs w:val="22"/>
        </w:rPr>
        <w:t>://doi.org/10.1145/3762815</w:t>
      </w:r>
      <w:proofErr w:type="gramEnd"/>
      <w:r w:rsidRPr="00DB6E5F">
        <w:rPr>
          <w:rFonts w:ascii="Arial" w:hAnsi="Arial" w:cs="Arial"/>
          <w:sz w:val="22"/>
          <w:szCs w:val="22"/>
        </w:rPr>
        <w:t>.</w:t>
      </w:r>
    </w:p>
    <w:p w14:paraId="0000004B" w14:textId="77777777" w:rsidR="002D2CA4" w:rsidRPr="00DB6E5F" w:rsidRDefault="00000000" w:rsidP="00DB6E5F">
      <w:pPr>
        <w:spacing w:line="276" w:lineRule="auto"/>
        <w:rPr>
          <w:rFonts w:ascii="Arial" w:hAnsi="Arial" w:cs="Arial"/>
          <w:sz w:val="22"/>
          <w:szCs w:val="22"/>
        </w:rPr>
      </w:pPr>
      <w:proofErr w:type="spellStart"/>
      <w:r w:rsidRPr="00DB6E5F">
        <w:rPr>
          <w:rFonts w:ascii="Arial" w:hAnsi="Arial" w:cs="Arial"/>
          <w:sz w:val="22"/>
          <w:szCs w:val="22"/>
        </w:rPr>
        <w:t>Jahans</w:t>
      </w:r>
      <w:proofErr w:type="spellEnd"/>
      <w:r w:rsidRPr="00DB6E5F">
        <w:rPr>
          <w:rFonts w:ascii="Cambria Math" w:hAnsi="Cambria Math" w:cs="Cambria Math"/>
          <w:sz w:val="22"/>
          <w:szCs w:val="22"/>
        </w:rPr>
        <w:t>‐</w:t>
      </w:r>
      <w:r w:rsidRPr="00DB6E5F">
        <w:rPr>
          <w:rFonts w:ascii="Arial" w:hAnsi="Arial" w:cs="Arial"/>
          <w:sz w:val="22"/>
          <w:szCs w:val="22"/>
        </w:rPr>
        <w:t xml:space="preserve">Baynton, K. and Grealish, A. (2021). Safeguarding Communications between Multiagency Professionals When Working with Children and Young people: a Qualitative Study. </w:t>
      </w:r>
      <w:r w:rsidRPr="00DB6E5F">
        <w:rPr>
          <w:rFonts w:ascii="Arial" w:hAnsi="Arial" w:cs="Arial"/>
          <w:i/>
          <w:iCs/>
          <w:sz w:val="22"/>
          <w:szCs w:val="22"/>
        </w:rPr>
        <w:t>Journal of Child and Adolescent Psychiatric Nursing</w:t>
      </w:r>
      <w:r w:rsidRPr="00DB6E5F">
        <w:rPr>
          <w:rFonts w:ascii="Arial" w:hAnsi="Arial" w:cs="Arial"/>
          <w:sz w:val="22"/>
          <w:szCs w:val="22"/>
        </w:rPr>
        <w:t>, 35(2).</w:t>
      </w:r>
    </w:p>
    <w:p w14:paraId="0000004C"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Kothari, B.H., Fischer, C., Mullican, N., Lipscomb, S.T. and Jaramillo, J. (2022). Interagency collaboration among community organizations serving children and families in child welfare. </w:t>
      </w:r>
      <w:r w:rsidRPr="00DB6E5F">
        <w:rPr>
          <w:rFonts w:ascii="Arial" w:hAnsi="Arial" w:cs="Arial"/>
          <w:i/>
          <w:iCs/>
          <w:sz w:val="22"/>
          <w:szCs w:val="22"/>
        </w:rPr>
        <w:t>Journal of Community &amp; Applied Social Psychology</w:t>
      </w:r>
      <w:r w:rsidRPr="00DB6E5F">
        <w:rPr>
          <w:rFonts w:ascii="Arial" w:hAnsi="Arial" w:cs="Arial"/>
          <w:sz w:val="22"/>
          <w:szCs w:val="22"/>
        </w:rPr>
        <w:t xml:space="preserve">, 32(6). </w:t>
      </w:r>
      <w:proofErr w:type="spellStart"/>
      <w:proofErr w:type="gramStart"/>
      <w:r w:rsidRPr="00DB6E5F">
        <w:rPr>
          <w:rFonts w:ascii="Arial" w:hAnsi="Arial" w:cs="Arial"/>
          <w:sz w:val="22"/>
          <w:szCs w:val="22"/>
        </w:rPr>
        <w:t>doi:https</w:t>
      </w:r>
      <w:proofErr w:type="spellEnd"/>
      <w:r w:rsidRPr="00DB6E5F">
        <w:rPr>
          <w:rFonts w:ascii="Arial" w:hAnsi="Arial" w:cs="Arial"/>
          <w:sz w:val="22"/>
          <w:szCs w:val="22"/>
        </w:rPr>
        <w:t>://doi.org/10.1002/casp.2612</w:t>
      </w:r>
      <w:proofErr w:type="gramEnd"/>
      <w:r w:rsidRPr="00DB6E5F">
        <w:rPr>
          <w:rFonts w:ascii="Arial" w:hAnsi="Arial" w:cs="Arial"/>
          <w:sz w:val="22"/>
          <w:szCs w:val="22"/>
        </w:rPr>
        <w:t>.</w:t>
      </w:r>
    </w:p>
    <w:p w14:paraId="0000004D"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Kubb, C. and Foran, H.M. (2020). Online Health Information Seeking by Parents for Their Children: Systematic Review and Agenda for Further Research. </w:t>
      </w:r>
      <w:r w:rsidRPr="00DB6E5F">
        <w:rPr>
          <w:rFonts w:ascii="Arial" w:hAnsi="Arial" w:cs="Arial"/>
          <w:i/>
          <w:iCs/>
          <w:sz w:val="22"/>
          <w:szCs w:val="22"/>
        </w:rPr>
        <w:t>Journal of Medical Internet Research</w:t>
      </w:r>
      <w:r w:rsidRPr="00DB6E5F">
        <w:rPr>
          <w:rFonts w:ascii="Arial" w:hAnsi="Arial" w:cs="Arial"/>
          <w:sz w:val="22"/>
          <w:szCs w:val="22"/>
        </w:rPr>
        <w:t xml:space="preserve">, 22(8), p.e19985. </w:t>
      </w:r>
      <w:proofErr w:type="spellStart"/>
      <w:proofErr w:type="gramStart"/>
      <w:r w:rsidRPr="00DB6E5F">
        <w:rPr>
          <w:rFonts w:ascii="Arial" w:hAnsi="Arial" w:cs="Arial"/>
          <w:sz w:val="22"/>
          <w:szCs w:val="22"/>
        </w:rPr>
        <w:t>doi:https</w:t>
      </w:r>
      <w:proofErr w:type="spellEnd"/>
      <w:r w:rsidRPr="00DB6E5F">
        <w:rPr>
          <w:rFonts w:ascii="Arial" w:hAnsi="Arial" w:cs="Arial"/>
          <w:sz w:val="22"/>
          <w:szCs w:val="22"/>
        </w:rPr>
        <w:t>://doi.org/10.2196/19985</w:t>
      </w:r>
      <w:proofErr w:type="gramEnd"/>
      <w:r w:rsidRPr="00DB6E5F">
        <w:rPr>
          <w:rFonts w:ascii="Arial" w:hAnsi="Arial" w:cs="Arial"/>
          <w:sz w:val="22"/>
          <w:szCs w:val="22"/>
        </w:rPr>
        <w:t>.</w:t>
      </w:r>
    </w:p>
    <w:p w14:paraId="0000004E"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lastRenderedPageBreak/>
        <w:t xml:space="preserve">Lal, S., Halicki-Asakawa, A. and </w:t>
      </w:r>
      <w:proofErr w:type="spellStart"/>
      <w:r w:rsidRPr="00DB6E5F">
        <w:rPr>
          <w:rFonts w:ascii="Arial" w:hAnsi="Arial" w:cs="Arial"/>
          <w:sz w:val="22"/>
          <w:szCs w:val="22"/>
        </w:rPr>
        <w:t>Fauvelle</w:t>
      </w:r>
      <w:proofErr w:type="spellEnd"/>
      <w:r w:rsidRPr="00DB6E5F">
        <w:rPr>
          <w:rFonts w:ascii="Arial" w:hAnsi="Arial" w:cs="Arial"/>
          <w:sz w:val="22"/>
          <w:szCs w:val="22"/>
        </w:rPr>
        <w:t xml:space="preserve">, A. (2021). A Scoping Review on Access and Use of Technology in Youth Experiencing Homelessness: Implications for Healthcare. </w:t>
      </w:r>
      <w:r w:rsidRPr="00DB6E5F">
        <w:rPr>
          <w:rFonts w:ascii="Arial" w:hAnsi="Arial" w:cs="Arial"/>
          <w:i/>
          <w:iCs/>
          <w:sz w:val="22"/>
          <w:szCs w:val="22"/>
        </w:rPr>
        <w:t>Frontiers in Digital Health</w:t>
      </w:r>
      <w:r w:rsidRPr="00DB6E5F">
        <w:rPr>
          <w:rFonts w:ascii="Arial" w:hAnsi="Arial" w:cs="Arial"/>
          <w:sz w:val="22"/>
          <w:szCs w:val="22"/>
        </w:rPr>
        <w:t xml:space="preserve">, 3. </w:t>
      </w:r>
      <w:proofErr w:type="spellStart"/>
      <w:proofErr w:type="gramStart"/>
      <w:r w:rsidRPr="00DB6E5F">
        <w:rPr>
          <w:rFonts w:ascii="Arial" w:hAnsi="Arial" w:cs="Arial"/>
          <w:sz w:val="22"/>
          <w:szCs w:val="22"/>
        </w:rPr>
        <w:t>doi:https</w:t>
      </w:r>
      <w:proofErr w:type="spellEnd"/>
      <w:r w:rsidRPr="00DB6E5F">
        <w:rPr>
          <w:rFonts w:ascii="Arial" w:hAnsi="Arial" w:cs="Arial"/>
          <w:sz w:val="22"/>
          <w:szCs w:val="22"/>
        </w:rPr>
        <w:t>://doi.org/10.3389/fdgth.2021.782145</w:t>
      </w:r>
      <w:proofErr w:type="gramEnd"/>
      <w:r w:rsidRPr="00DB6E5F">
        <w:rPr>
          <w:rFonts w:ascii="Arial" w:hAnsi="Arial" w:cs="Arial"/>
          <w:sz w:val="22"/>
          <w:szCs w:val="22"/>
        </w:rPr>
        <w:t>.</w:t>
      </w:r>
    </w:p>
    <w:p w14:paraId="0000004F"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Leeds City Council (2022). </w:t>
      </w:r>
      <w:r w:rsidRPr="00DB6E5F">
        <w:rPr>
          <w:rFonts w:ascii="Arial" w:hAnsi="Arial" w:cs="Arial"/>
          <w:i/>
          <w:iCs/>
          <w:sz w:val="22"/>
          <w:szCs w:val="22"/>
        </w:rPr>
        <w:t>Children and families</w:t>
      </w:r>
      <w:r w:rsidRPr="00DB6E5F">
        <w:rPr>
          <w:rFonts w:ascii="Arial" w:hAnsi="Arial" w:cs="Arial"/>
          <w:sz w:val="22"/>
          <w:szCs w:val="22"/>
        </w:rPr>
        <w:t xml:space="preserve">. [online] Leeds.gov.uk. Available at: </w:t>
      </w:r>
      <w:hyperlink r:id="rId11">
        <w:r w:rsidRPr="00DB6E5F">
          <w:rPr>
            <w:rFonts w:ascii="Arial" w:hAnsi="Arial" w:cs="Arial"/>
            <w:color w:val="1155CC"/>
            <w:sz w:val="22"/>
            <w:szCs w:val="22"/>
            <w:u w:val="single"/>
          </w:rPr>
          <w:t>https://www.leeds.gov.uk/children-and-families</w:t>
        </w:r>
      </w:hyperlink>
      <w:r w:rsidRPr="00DB6E5F">
        <w:rPr>
          <w:rFonts w:ascii="Arial" w:hAnsi="Arial" w:cs="Arial"/>
          <w:sz w:val="22"/>
          <w:szCs w:val="22"/>
        </w:rPr>
        <w:t xml:space="preserve">  [Accessed 20 Nov. 2025].</w:t>
      </w:r>
    </w:p>
    <w:p w14:paraId="00000050"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Leeds City Council (2025). </w:t>
      </w:r>
      <w:r w:rsidRPr="00DB6E5F">
        <w:rPr>
          <w:rFonts w:ascii="Arial" w:hAnsi="Arial" w:cs="Arial"/>
          <w:i/>
          <w:iCs/>
          <w:sz w:val="22"/>
          <w:szCs w:val="22"/>
        </w:rPr>
        <w:t>One minute guide: Family Hubs and the Early Help front door team | Leeds.gov.uk</w:t>
      </w:r>
      <w:r w:rsidRPr="00DB6E5F">
        <w:rPr>
          <w:rFonts w:ascii="Arial" w:hAnsi="Arial" w:cs="Arial"/>
          <w:sz w:val="22"/>
          <w:szCs w:val="22"/>
        </w:rPr>
        <w:t xml:space="preserve">. [online] Leeds.gov.uk. Available at: </w:t>
      </w:r>
      <w:hyperlink r:id="rId12">
        <w:r w:rsidRPr="00DB6E5F">
          <w:rPr>
            <w:rFonts w:ascii="Arial" w:hAnsi="Arial" w:cs="Arial"/>
            <w:color w:val="1155CC"/>
            <w:sz w:val="22"/>
            <w:szCs w:val="22"/>
            <w:u w:val="single"/>
          </w:rPr>
          <w:t>https://www.leeds.gov.uk/one-minute-guides/family-hubs-and-early-help-front-door-team</w:t>
        </w:r>
      </w:hyperlink>
      <w:r w:rsidRPr="00DB6E5F">
        <w:rPr>
          <w:rFonts w:ascii="Arial" w:hAnsi="Arial" w:cs="Arial"/>
          <w:sz w:val="22"/>
          <w:szCs w:val="22"/>
        </w:rPr>
        <w:t xml:space="preserve">  [Accessed 20 Nov. 2025].</w:t>
      </w:r>
    </w:p>
    <w:p w14:paraId="00000051"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Mathews, F., Benham-Clarke, S., Ford, T.J., Hill, S., Sadler, K. and Tamsin Newlove-Delgado (2024). Experiences of help-seeking from professional services for a child or young person’s mental health concerns during the pandemic: A qualitative study. </w:t>
      </w:r>
      <w:proofErr w:type="spellStart"/>
      <w:r w:rsidRPr="00DB6E5F">
        <w:rPr>
          <w:rFonts w:ascii="Arial" w:hAnsi="Arial" w:cs="Arial"/>
          <w:i/>
          <w:iCs/>
          <w:sz w:val="22"/>
          <w:szCs w:val="22"/>
        </w:rPr>
        <w:t>PloS</w:t>
      </w:r>
      <w:proofErr w:type="spellEnd"/>
      <w:r w:rsidRPr="00DB6E5F">
        <w:rPr>
          <w:rFonts w:ascii="Arial" w:hAnsi="Arial" w:cs="Arial"/>
          <w:i/>
          <w:iCs/>
          <w:sz w:val="22"/>
          <w:szCs w:val="22"/>
        </w:rPr>
        <w:t xml:space="preserve"> one</w:t>
      </w:r>
      <w:r w:rsidRPr="00DB6E5F">
        <w:rPr>
          <w:rFonts w:ascii="Arial" w:hAnsi="Arial" w:cs="Arial"/>
          <w:sz w:val="22"/>
          <w:szCs w:val="22"/>
        </w:rPr>
        <w:t xml:space="preserve">, 19(4), </w:t>
      </w:r>
      <w:proofErr w:type="gramStart"/>
      <w:r w:rsidRPr="00DB6E5F">
        <w:rPr>
          <w:rFonts w:ascii="Arial" w:hAnsi="Arial" w:cs="Arial"/>
          <w:sz w:val="22"/>
          <w:szCs w:val="22"/>
        </w:rPr>
        <w:t>pp.e</w:t>
      </w:r>
      <w:proofErr w:type="gramEnd"/>
      <w:r w:rsidRPr="00DB6E5F">
        <w:rPr>
          <w:rFonts w:ascii="Arial" w:hAnsi="Arial" w:cs="Arial"/>
          <w:sz w:val="22"/>
          <w:szCs w:val="22"/>
        </w:rPr>
        <w:t xml:space="preserve">0297417–e0297417. </w:t>
      </w:r>
      <w:proofErr w:type="spellStart"/>
      <w:proofErr w:type="gramStart"/>
      <w:r w:rsidRPr="00DB6E5F">
        <w:rPr>
          <w:rFonts w:ascii="Arial" w:hAnsi="Arial" w:cs="Arial"/>
          <w:sz w:val="22"/>
          <w:szCs w:val="22"/>
        </w:rPr>
        <w:t>doi:https</w:t>
      </w:r>
      <w:proofErr w:type="spellEnd"/>
      <w:r w:rsidRPr="00DB6E5F">
        <w:rPr>
          <w:rFonts w:ascii="Arial" w:hAnsi="Arial" w:cs="Arial"/>
          <w:sz w:val="22"/>
          <w:szCs w:val="22"/>
        </w:rPr>
        <w:t>://doi.org/10.1371/journal.pone.0297417</w:t>
      </w:r>
      <w:proofErr w:type="gramEnd"/>
      <w:r w:rsidRPr="00DB6E5F">
        <w:rPr>
          <w:rFonts w:ascii="Arial" w:hAnsi="Arial" w:cs="Arial"/>
          <w:sz w:val="22"/>
          <w:szCs w:val="22"/>
        </w:rPr>
        <w:t>.</w:t>
      </w:r>
    </w:p>
    <w:p w14:paraId="00000052"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Norfolk County Council (2024). </w:t>
      </w:r>
      <w:r w:rsidRPr="00DB6E5F">
        <w:rPr>
          <w:rFonts w:ascii="Arial" w:hAnsi="Arial" w:cs="Arial"/>
          <w:i/>
          <w:iCs/>
          <w:sz w:val="22"/>
          <w:szCs w:val="22"/>
        </w:rPr>
        <w:t>Home - Norfolk County Council</w:t>
      </w:r>
      <w:r w:rsidRPr="00DB6E5F">
        <w:rPr>
          <w:rFonts w:ascii="Arial" w:hAnsi="Arial" w:cs="Arial"/>
          <w:sz w:val="22"/>
          <w:szCs w:val="22"/>
        </w:rPr>
        <w:t xml:space="preserve">. [online] www.norfolk.gov.uk. Available at: </w:t>
      </w:r>
      <w:hyperlink r:id="rId13">
        <w:r w:rsidRPr="00DB6E5F">
          <w:rPr>
            <w:rFonts w:ascii="Arial" w:hAnsi="Arial" w:cs="Arial"/>
            <w:color w:val="1155CC"/>
            <w:sz w:val="22"/>
            <w:szCs w:val="22"/>
            <w:u w:val="single"/>
          </w:rPr>
          <w:t>https://www.norfolk.gov.uk/</w:t>
        </w:r>
      </w:hyperlink>
      <w:r w:rsidRPr="00DB6E5F">
        <w:rPr>
          <w:rFonts w:ascii="Arial" w:hAnsi="Arial" w:cs="Arial"/>
          <w:sz w:val="22"/>
          <w:szCs w:val="22"/>
        </w:rPr>
        <w:t xml:space="preserve">  [Accessed 20 Nov. 2025].</w:t>
      </w:r>
    </w:p>
    <w:p w14:paraId="00000053" w14:textId="77777777" w:rsidR="002D2CA4" w:rsidRPr="00DB6E5F" w:rsidRDefault="00000000" w:rsidP="00DB6E5F">
      <w:pPr>
        <w:spacing w:line="276" w:lineRule="auto"/>
        <w:rPr>
          <w:rFonts w:ascii="Arial" w:hAnsi="Arial" w:cs="Arial"/>
          <w:sz w:val="22"/>
          <w:szCs w:val="22"/>
        </w:rPr>
      </w:pPr>
      <w:proofErr w:type="spellStart"/>
      <w:r w:rsidRPr="00DB6E5F">
        <w:rPr>
          <w:rFonts w:ascii="Arial" w:hAnsi="Arial" w:cs="Arial"/>
          <w:sz w:val="22"/>
          <w:szCs w:val="22"/>
        </w:rPr>
        <w:t>Sarangam</w:t>
      </w:r>
      <w:proofErr w:type="spellEnd"/>
      <w:r w:rsidRPr="00DB6E5F">
        <w:rPr>
          <w:rFonts w:ascii="Arial" w:hAnsi="Arial" w:cs="Arial"/>
          <w:sz w:val="22"/>
          <w:szCs w:val="22"/>
        </w:rPr>
        <w:t xml:space="preserve">, A. (2025). </w:t>
      </w:r>
      <w:r w:rsidRPr="00DB6E5F">
        <w:rPr>
          <w:rFonts w:ascii="Arial" w:hAnsi="Arial" w:cs="Arial"/>
          <w:i/>
          <w:iCs/>
          <w:sz w:val="22"/>
          <w:szCs w:val="22"/>
        </w:rPr>
        <w:t>Digital Accessibility in Government Sector Websites and Services</w:t>
      </w:r>
      <w:r w:rsidRPr="00DB6E5F">
        <w:rPr>
          <w:rFonts w:ascii="Arial" w:hAnsi="Arial" w:cs="Arial"/>
          <w:sz w:val="22"/>
          <w:szCs w:val="22"/>
        </w:rPr>
        <w:t xml:space="preserve">. [online] Zenodo.org. Available at: </w:t>
      </w:r>
      <w:hyperlink r:id="rId14">
        <w:r w:rsidRPr="00DB6E5F">
          <w:rPr>
            <w:rFonts w:ascii="Arial" w:hAnsi="Arial" w:cs="Arial"/>
            <w:color w:val="1155CC"/>
            <w:sz w:val="22"/>
            <w:szCs w:val="22"/>
            <w:u w:val="single"/>
          </w:rPr>
          <w:t>https://zenodo.org/records/14252247/files/Digital%20Accessibility%20in%20Government%20Sector%20Websites%20and%20Services.pdf?download=1</w:t>
        </w:r>
      </w:hyperlink>
      <w:r w:rsidRPr="00DB6E5F">
        <w:rPr>
          <w:rFonts w:ascii="Arial" w:hAnsi="Arial" w:cs="Arial"/>
          <w:sz w:val="22"/>
          <w:szCs w:val="22"/>
        </w:rPr>
        <w:t xml:space="preserve">  [Accessed 20 Nov. 2025].</w:t>
      </w:r>
    </w:p>
    <w:p w14:paraId="00000054"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Stanford, M. (2023). </w:t>
      </w:r>
      <w:r w:rsidRPr="00DB6E5F">
        <w:rPr>
          <w:rFonts w:ascii="Arial" w:hAnsi="Arial" w:cs="Arial"/>
          <w:i/>
          <w:iCs/>
          <w:sz w:val="22"/>
          <w:szCs w:val="22"/>
        </w:rPr>
        <w:t xml:space="preserve">The Supporting Families </w:t>
      </w:r>
      <w:proofErr w:type="spellStart"/>
      <w:proofErr w:type="gramStart"/>
      <w:r w:rsidRPr="00DB6E5F">
        <w:rPr>
          <w:rFonts w:ascii="Arial" w:hAnsi="Arial" w:cs="Arial"/>
          <w:i/>
          <w:iCs/>
          <w:sz w:val="22"/>
          <w:szCs w:val="22"/>
        </w:rPr>
        <w:t>Programme</w:t>
      </w:r>
      <w:proofErr w:type="spellEnd"/>
      <w:r w:rsidRPr="00DB6E5F">
        <w:rPr>
          <w:rFonts w:ascii="Arial" w:hAnsi="Arial" w:cs="Arial"/>
          <w:i/>
          <w:iCs/>
          <w:sz w:val="22"/>
          <w:szCs w:val="22"/>
        </w:rPr>
        <w:t>-</w:t>
      </w:r>
      <w:proofErr w:type="gramEnd"/>
      <w:r w:rsidRPr="00DB6E5F">
        <w:rPr>
          <w:rFonts w:ascii="Arial" w:hAnsi="Arial" w:cs="Arial"/>
          <w:i/>
          <w:iCs/>
          <w:sz w:val="22"/>
          <w:szCs w:val="22"/>
        </w:rPr>
        <w:t xml:space="preserve"> About What Works for Early Intervention and Children’s Social </w:t>
      </w:r>
      <w:proofErr w:type="gramStart"/>
      <w:r w:rsidRPr="00DB6E5F">
        <w:rPr>
          <w:rFonts w:ascii="Arial" w:hAnsi="Arial" w:cs="Arial"/>
          <w:i/>
          <w:iCs/>
          <w:sz w:val="22"/>
          <w:szCs w:val="22"/>
        </w:rPr>
        <w:t xml:space="preserve">Care </w:t>
      </w:r>
      <w:r w:rsidRPr="00DB6E5F">
        <w:rPr>
          <w:rFonts w:ascii="Arial" w:hAnsi="Arial" w:cs="Arial"/>
          <w:sz w:val="22"/>
          <w:szCs w:val="22"/>
        </w:rPr>
        <w:t>.</w:t>
      </w:r>
      <w:proofErr w:type="gramEnd"/>
      <w:r w:rsidRPr="00DB6E5F">
        <w:rPr>
          <w:rFonts w:ascii="Arial" w:hAnsi="Arial" w:cs="Arial"/>
          <w:sz w:val="22"/>
          <w:szCs w:val="22"/>
        </w:rPr>
        <w:t xml:space="preserve"> [online] Eif.org.uk. Available at: </w:t>
      </w:r>
      <w:hyperlink r:id="rId15">
        <w:r w:rsidRPr="00DB6E5F">
          <w:rPr>
            <w:rFonts w:ascii="Arial" w:hAnsi="Arial" w:cs="Arial"/>
            <w:color w:val="1155CC"/>
            <w:sz w:val="22"/>
            <w:szCs w:val="22"/>
            <w:u w:val="single"/>
          </w:rPr>
          <w:t>https://www.eif.org.uk/files/pdf/supporting-families-programme-rapid-evidence-review.pdf</w:t>
        </w:r>
      </w:hyperlink>
      <w:r w:rsidRPr="00DB6E5F">
        <w:rPr>
          <w:rFonts w:ascii="Arial" w:hAnsi="Arial" w:cs="Arial"/>
          <w:sz w:val="22"/>
          <w:szCs w:val="22"/>
        </w:rPr>
        <w:t xml:space="preserve">   [Accessed 20 Nov. 2025].</w:t>
      </w:r>
    </w:p>
    <w:p w14:paraId="00000055"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Terras, M.M., Jarrett, D. and McGregor, S.A. (2021). The Importance of Accessible Information in Promoting the Inclusion of People with an Intellectual Disability. </w:t>
      </w:r>
      <w:r w:rsidRPr="00DB6E5F">
        <w:rPr>
          <w:rFonts w:ascii="Arial" w:hAnsi="Arial" w:cs="Arial"/>
          <w:i/>
          <w:iCs/>
          <w:sz w:val="22"/>
          <w:szCs w:val="22"/>
        </w:rPr>
        <w:t>Disabilities</w:t>
      </w:r>
      <w:r w:rsidRPr="00DB6E5F">
        <w:rPr>
          <w:rFonts w:ascii="Arial" w:hAnsi="Arial" w:cs="Arial"/>
          <w:sz w:val="22"/>
          <w:szCs w:val="22"/>
        </w:rPr>
        <w:t xml:space="preserve">, [online] 1(3), pp.132–150. </w:t>
      </w:r>
      <w:proofErr w:type="spellStart"/>
      <w:proofErr w:type="gramStart"/>
      <w:r w:rsidRPr="00DB6E5F">
        <w:rPr>
          <w:rFonts w:ascii="Arial" w:hAnsi="Arial" w:cs="Arial"/>
          <w:sz w:val="22"/>
          <w:szCs w:val="22"/>
        </w:rPr>
        <w:t>doi:https</w:t>
      </w:r>
      <w:proofErr w:type="spellEnd"/>
      <w:r w:rsidRPr="00DB6E5F">
        <w:rPr>
          <w:rFonts w:ascii="Arial" w:hAnsi="Arial" w:cs="Arial"/>
          <w:sz w:val="22"/>
          <w:szCs w:val="22"/>
        </w:rPr>
        <w:t>://doi.org/10.3390/disabilities1030011</w:t>
      </w:r>
      <w:proofErr w:type="gramEnd"/>
      <w:r w:rsidRPr="00DB6E5F">
        <w:rPr>
          <w:rFonts w:ascii="Arial" w:hAnsi="Arial" w:cs="Arial"/>
          <w:sz w:val="22"/>
          <w:szCs w:val="22"/>
        </w:rPr>
        <w:t>.</w:t>
      </w:r>
    </w:p>
    <w:p w14:paraId="00000056"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Wallace, C. and Garthwaite, T. (2023). </w:t>
      </w:r>
      <w:r w:rsidRPr="00DB6E5F">
        <w:rPr>
          <w:rFonts w:ascii="Arial" w:hAnsi="Arial" w:cs="Arial"/>
          <w:i/>
          <w:iCs/>
          <w:sz w:val="22"/>
          <w:szCs w:val="22"/>
        </w:rPr>
        <w:t xml:space="preserve">Multi-agency </w:t>
      </w:r>
      <w:proofErr w:type="gramStart"/>
      <w:r w:rsidRPr="00DB6E5F">
        <w:rPr>
          <w:rFonts w:ascii="Arial" w:hAnsi="Arial" w:cs="Arial"/>
          <w:i/>
          <w:iCs/>
          <w:sz w:val="22"/>
          <w:szCs w:val="22"/>
        </w:rPr>
        <w:t>working</w:t>
      </w:r>
      <w:proofErr w:type="gramEnd"/>
      <w:r w:rsidRPr="00DB6E5F">
        <w:rPr>
          <w:rFonts w:ascii="Arial" w:hAnsi="Arial" w:cs="Arial"/>
          <w:sz w:val="22"/>
          <w:szCs w:val="22"/>
        </w:rPr>
        <w:t xml:space="preserve">. [online] Available at: </w:t>
      </w:r>
      <w:hyperlink r:id="rId16">
        <w:r w:rsidRPr="00DB6E5F">
          <w:rPr>
            <w:rFonts w:ascii="Arial" w:hAnsi="Arial" w:cs="Arial"/>
            <w:color w:val="1155CC"/>
            <w:sz w:val="22"/>
            <w:szCs w:val="22"/>
            <w:u w:val="single"/>
          </w:rPr>
          <w:t>https://www.gov.wales/multi-agency-working-research-support-final-report-evaluation-social-services-and-well-being-wales-act-2014</w:t>
        </w:r>
      </w:hyperlink>
      <w:r w:rsidRPr="00DB6E5F">
        <w:rPr>
          <w:rFonts w:ascii="Arial" w:hAnsi="Arial" w:cs="Arial"/>
          <w:sz w:val="22"/>
          <w:szCs w:val="22"/>
        </w:rPr>
        <w:t xml:space="preserve">  [Accessed 20 Nov. 2025].</w:t>
      </w:r>
    </w:p>
    <w:p w14:paraId="00000057"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WEBB, C. (2021). In </w:t>
      </w:r>
      <w:proofErr w:type="spellStart"/>
      <w:r w:rsidRPr="00DB6E5F">
        <w:rPr>
          <w:rFonts w:ascii="Arial" w:hAnsi="Arial" w:cs="Arial"/>
          <w:sz w:val="22"/>
          <w:szCs w:val="22"/>
        </w:rPr>
        <w:t>Defence</w:t>
      </w:r>
      <w:proofErr w:type="spellEnd"/>
      <w:r w:rsidRPr="00DB6E5F">
        <w:rPr>
          <w:rFonts w:ascii="Arial" w:hAnsi="Arial" w:cs="Arial"/>
          <w:sz w:val="22"/>
          <w:szCs w:val="22"/>
        </w:rPr>
        <w:t xml:space="preserve"> of Ordinary Help: Estimating the effect of Early Help/Family Support Spending on Children in Need Rates in England using ALT-SR. </w:t>
      </w:r>
      <w:r w:rsidRPr="00DB6E5F">
        <w:rPr>
          <w:rFonts w:ascii="Arial" w:hAnsi="Arial" w:cs="Arial"/>
          <w:i/>
          <w:iCs/>
          <w:sz w:val="22"/>
          <w:szCs w:val="22"/>
        </w:rPr>
        <w:t>Journal of Social Policy</w:t>
      </w:r>
      <w:r w:rsidRPr="00DB6E5F">
        <w:rPr>
          <w:rFonts w:ascii="Arial" w:hAnsi="Arial" w:cs="Arial"/>
          <w:sz w:val="22"/>
          <w:szCs w:val="22"/>
        </w:rPr>
        <w:t xml:space="preserve">, pp.1–28. </w:t>
      </w:r>
      <w:proofErr w:type="spellStart"/>
      <w:proofErr w:type="gramStart"/>
      <w:r w:rsidRPr="00DB6E5F">
        <w:rPr>
          <w:rFonts w:ascii="Arial" w:hAnsi="Arial" w:cs="Arial"/>
          <w:sz w:val="22"/>
          <w:szCs w:val="22"/>
        </w:rPr>
        <w:t>doi:https</w:t>
      </w:r>
      <w:proofErr w:type="spellEnd"/>
      <w:r w:rsidRPr="00DB6E5F">
        <w:rPr>
          <w:rFonts w:ascii="Arial" w:hAnsi="Arial" w:cs="Arial"/>
          <w:sz w:val="22"/>
          <w:szCs w:val="22"/>
        </w:rPr>
        <w:t>://doi.org/10.1017/s0047279421000696</w:t>
      </w:r>
      <w:proofErr w:type="gramEnd"/>
      <w:r w:rsidRPr="00DB6E5F">
        <w:rPr>
          <w:rFonts w:ascii="Arial" w:hAnsi="Arial" w:cs="Arial"/>
          <w:sz w:val="22"/>
          <w:szCs w:val="22"/>
        </w:rPr>
        <w:t>.</w:t>
      </w:r>
    </w:p>
    <w:p w14:paraId="00000058"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Zgambo, M., Anyango, E., </w:t>
      </w:r>
      <w:proofErr w:type="spellStart"/>
      <w:r w:rsidRPr="00DB6E5F">
        <w:rPr>
          <w:rFonts w:ascii="Arial" w:hAnsi="Arial" w:cs="Arial"/>
          <w:sz w:val="22"/>
          <w:szCs w:val="22"/>
        </w:rPr>
        <w:t>Arabiat</w:t>
      </w:r>
      <w:proofErr w:type="spellEnd"/>
      <w:r w:rsidRPr="00DB6E5F">
        <w:rPr>
          <w:rFonts w:ascii="Arial" w:hAnsi="Arial" w:cs="Arial"/>
          <w:sz w:val="22"/>
          <w:szCs w:val="22"/>
        </w:rPr>
        <w:t xml:space="preserve">, D.H., </w:t>
      </w:r>
      <w:proofErr w:type="spellStart"/>
      <w:r w:rsidRPr="00DB6E5F">
        <w:rPr>
          <w:rFonts w:ascii="Arial" w:hAnsi="Arial" w:cs="Arial"/>
          <w:sz w:val="22"/>
          <w:szCs w:val="22"/>
        </w:rPr>
        <w:t>Ngune</w:t>
      </w:r>
      <w:proofErr w:type="spellEnd"/>
      <w:r w:rsidRPr="00DB6E5F">
        <w:rPr>
          <w:rFonts w:ascii="Arial" w:hAnsi="Arial" w:cs="Arial"/>
          <w:sz w:val="22"/>
          <w:szCs w:val="22"/>
        </w:rPr>
        <w:t xml:space="preserve">, I., </w:t>
      </w:r>
      <w:proofErr w:type="spellStart"/>
      <w:r w:rsidRPr="00DB6E5F">
        <w:rPr>
          <w:rFonts w:ascii="Arial" w:hAnsi="Arial" w:cs="Arial"/>
          <w:sz w:val="22"/>
          <w:szCs w:val="22"/>
        </w:rPr>
        <w:t>Mörelius</w:t>
      </w:r>
      <w:proofErr w:type="spellEnd"/>
      <w:r w:rsidRPr="00DB6E5F">
        <w:rPr>
          <w:rFonts w:ascii="Arial" w:hAnsi="Arial" w:cs="Arial"/>
          <w:sz w:val="22"/>
          <w:szCs w:val="22"/>
        </w:rPr>
        <w:t xml:space="preserve">, E., Zhang, M. and Whitehead, L.C. (2025). Effect of Digital Safety Interventions on Parental Practices in Safeguarding Children’s Digital Activities: Systematic Review and Meta-Analysis. </w:t>
      </w:r>
      <w:r w:rsidRPr="00DB6E5F">
        <w:rPr>
          <w:rFonts w:ascii="Arial" w:hAnsi="Arial" w:cs="Arial"/>
          <w:i/>
          <w:iCs/>
          <w:sz w:val="22"/>
          <w:szCs w:val="22"/>
        </w:rPr>
        <w:t>JMIR Pediatrics and Parenting</w:t>
      </w:r>
      <w:r w:rsidRPr="00DB6E5F">
        <w:rPr>
          <w:rFonts w:ascii="Arial" w:hAnsi="Arial" w:cs="Arial"/>
          <w:sz w:val="22"/>
          <w:szCs w:val="22"/>
        </w:rPr>
        <w:t xml:space="preserve">, 8, p.e70745. </w:t>
      </w:r>
      <w:proofErr w:type="spellStart"/>
      <w:proofErr w:type="gramStart"/>
      <w:r w:rsidRPr="00DB6E5F">
        <w:rPr>
          <w:rFonts w:ascii="Arial" w:hAnsi="Arial" w:cs="Arial"/>
          <w:sz w:val="22"/>
          <w:szCs w:val="22"/>
        </w:rPr>
        <w:t>doi:https</w:t>
      </w:r>
      <w:proofErr w:type="spellEnd"/>
      <w:r w:rsidRPr="00DB6E5F">
        <w:rPr>
          <w:rFonts w:ascii="Arial" w:hAnsi="Arial" w:cs="Arial"/>
          <w:sz w:val="22"/>
          <w:szCs w:val="22"/>
        </w:rPr>
        <w:t>://doi.org/10.2196/70745</w:t>
      </w:r>
      <w:proofErr w:type="gramEnd"/>
      <w:r w:rsidRPr="00DB6E5F">
        <w:rPr>
          <w:rFonts w:ascii="Arial" w:hAnsi="Arial" w:cs="Arial"/>
          <w:sz w:val="22"/>
          <w:szCs w:val="22"/>
        </w:rPr>
        <w:t>.</w:t>
      </w:r>
    </w:p>
    <w:p w14:paraId="00000059"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Zhang, X., Jambon, M., Afifi, T.O., Atkinson, L., Bennett, T., Duku, E., Duncan, L., Joshi, D., Kimber, M., MacMillan, H.L. and Gonzalez, A. (2022). Mental Health Help-Seeking in Parents and Trajectories of Depressive and Anxiety Symptoms: Lessons Learned </w:t>
      </w:r>
      <w:proofErr w:type="gramStart"/>
      <w:r w:rsidRPr="00DB6E5F">
        <w:rPr>
          <w:rFonts w:ascii="Arial" w:hAnsi="Arial" w:cs="Arial"/>
          <w:sz w:val="22"/>
          <w:szCs w:val="22"/>
        </w:rPr>
        <w:t>From</w:t>
      </w:r>
      <w:proofErr w:type="gramEnd"/>
      <w:r w:rsidRPr="00DB6E5F">
        <w:rPr>
          <w:rFonts w:ascii="Arial" w:hAnsi="Arial" w:cs="Arial"/>
          <w:sz w:val="22"/>
          <w:szCs w:val="22"/>
        </w:rPr>
        <w:t xml:space="preserve"> the Ontario Parent Survey During the COVID-19 Pandemic. 13. </w:t>
      </w:r>
      <w:proofErr w:type="spellStart"/>
      <w:proofErr w:type="gramStart"/>
      <w:r w:rsidRPr="00DB6E5F">
        <w:rPr>
          <w:rFonts w:ascii="Arial" w:hAnsi="Arial" w:cs="Arial"/>
          <w:sz w:val="22"/>
          <w:szCs w:val="22"/>
        </w:rPr>
        <w:t>doi:https</w:t>
      </w:r>
      <w:proofErr w:type="spellEnd"/>
      <w:r w:rsidRPr="00DB6E5F">
        <w:rPr>
          <w:rFonts w:ascii="Arial" w:hAnsi="Arial" w:cs="Arial"/>
          <w:sz w:val="22"/>
          <w:szCs w:val="22"/>
        </w:rPr>
        <w:t>://doi.org/10.3389/fpsyg.2022.884591</w:t>
      </w:r>
      <w:proofErr w:type="gramEnd"/>
      <w:r w:rsidRPr="00DB6E5F">
        <w:rPr>
          <w:rFonts w:ascii="Arial" w:hAnsi="Arial" w:cs="Arial"/>
          <w:sz w:val="22"/>
          <w:szCs w:val="22"/>
        </w:rPr>
        <w:t>.</w:t>
      </w:r>
    </w:p>
    <w:p w14:paraId="0000005A" w14:textId="77777777" w:rsidR="002D2CA4" w:rsidRPr="00DB6E5F" w:rsidRDefault="00000000" w:rsidP="00DB6E5F">
      <w:pPr>
        <w:spacing w:line="276" w:lineRule="auto"/>
        <w:rPr>
          <w:rFonts w:ascii="Arial" w:hAnsi="Arial" w:cs="Arial"/>
          <w:sz w:val="22"/>
          <w:szCs w:val="22"/>
        </w:rPr>
      </w:pPr>
      <w:r w:rsidRPr="00DB6E5F">
        <w:rPr>
          <w:rFonts w:ascii="Arial" w:hAnsi="Arial" w:cs="Arial"/>
          <w:sz w:val="22"/>
          <w:szCs w:val="22"/>
        </w:rPr>
        <w:t xml:space="preserve">Zhao, X. and Basnyat, I. (2022). Online information and support seeking during COVID-19 lockdown in Wuhan: implications for health promotion. </w:t>
      </w:r>
      <w:r w:rsidRPr="00DB6E5F">
        <w:rPr>
          <w:rFonts w:ascii="Arial" w:hAnsi="Arial" w:cs="Arial"/>
          <w:i/>
          <w:iCs/>
          <w:sz w:val="22"/>
          <w:szCs w:val="22"/>
        </w:rPr>
        <w:t>Health Promotion International</w:t>
      </w:r>
      <w:r w:rsidRPr="00DB6E5F">
        <w:rPr>
          <w:rFonts w:ascii="Arial" w:hAnsi="Arial" w:cs="Arial"/>
          <w:sz w:val="22"/>
          <w:szCs w:val="22"/>
        </w:rPr>
        <w:t xml:space="preserve">, 37(3). </w:t>
      </w:r>
      <w:proofErr w:type="spellStart"/>
      <w:proofErr w:type="gramStart"/>
      <w:r w:rsidRPr="00DB6E5F">
        <w:rPr>
          <w:rFonts w:ascii="Arial" w:hAnsi="Arial" w:cs="Arial"/>
          <w:sz w:val="22"/>
          <w:szCs w:val="22"/>
        </w:rPr>
        <w:t>doi:https</w:t>
      </w:r>
      <w:proofErr w:type="spellEnd"/>
      <w:r w:rsidRPr="00DB6E5F">
        <w:rPr>
          <w:rFonts w:ascii="Arial" w:hAnsi="Arial" w:cs="Arial"/>
          <w:sz w:val="22"/>
          <w:szCs w:val="22"/>
        </w:rPr>
        <w:t>://doi.org/10.1093/</w:t>
      </w:r>
      <w:proofErr w:type="spellStart"/>
      <w:r w:rsidRPr="00DB6E5F">
        <w:rPr>
          <w:rFonts w:ascii="Arial" w:hAnsi="Arial" w:cs="Arial"/>
          <w:sz w:val="22"/>
          <w:szCs w:val="22"/>
        </w:rPr>
        <w:t>heapro</w:t>
      </w:r>
      <w:proofErr w:type="spellEnd"/>
      <w:r w:rsidRPr="00DB6E5F">
        <w:rPr>
          <w:rFonts w:ascii="Arial" w:hAnsi="Arial" w:cs="Arial"/>
          <w:sz w:val="22"/>
          <w:szCs w:val="22"/>
        </w:rPr>
        <w:t>/daac057</w:t>
      </w:r>
      <w:proofErr w:type="gramEnd"/>
      <w:r w:rsidRPr="00DB6E5F">
        <w:rPr>
          <w:rFonts w:ascii="Arial" w:hAnsi="Arial" w:cs="Arial"/>
          <w:sz w:val="22"/>
          <w:szCs w:val="22"/>
        </w:rPr>
        <w:t>.</w:t>
      </w:r>
    </w:p>
    <w:sectPr w:rsidR="002D2CA4" w:rsidRPr="00DB6E5F">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DF475B" w14:textId="77777777" w:rsidR="006E127A" w:rsidRDefault="006E127A">
      <w:pPr>
        <w:spacing w:line="240" w:lineRule="auto"/>
      </w:pPr>
      <w:r>
        <w:separator/>
      </w:r>
    </w:p>
  </w:endnote>
  <w:endnote w:type="continuationSeparator" w:id="0">
    <w:p w14:paraId="36D17AB6" w14:textId="77777777" w:rsidR="006E127A" w:rsidRDefault="006E12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D1E11EC4-5CF0-462A-B0E0-47B7DAFA87BE}"/>
  </w:font>
  <w:font w:name="Calibri">
    <w:panose1 w:val="020F0502020204030204"/>
    <w:charset w:val="00"/>
    <w:family w:val="swiss"/>
    <w:pitch w:val="variable"/>
    <w:sig w:usb0="E4002EFF" w:usb1="C200247B" w:usb2="00000009" w:usb3="00000000" w:csb0="000001FF" w:csb1="00000000"/>
    <w:embedRegular r:id="rId2" w:fontKey="{82E0E237-5D83-41B9-A72F-ED238CA4CE2D}"/>
  </w:font>
  <w:font w:name="Cambria">
    <w:panose1 w:val="02040503050406030204"/>
    <w:charset w:val="00"/>
    <w:family w:val="roman"/>
    <w:pitch w:val="variable"/>
    <w:sig w:usb0="E00006FF" w:usb1="420024FF" w:usb2="02000000" w:usb3="00000000" w:csb0="0000019F" w:csb1="00000000"/>
    <w:embedRegular r:id="rId3" w:fontKey="{2990FF2C-72BE-42AA-B3D1-D7FAD34B7D7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B" w14:textId="7676799C" w:rsidR="002D2CA4" w:rsidRDefault="00000000">
    <w:pPr>
      <w:jc w:val="right"/>
    </w:pPr>
    <w:r>
      <w:fldChar w:fldCharType="begin"/>
    </w:r>
    <w:r>
      <w:instrText>PAGE</w:instrText>
    </w:r>
    <w:r>
      <w:fldChar w:fldCharType="separate"/>
    </w:r>
    <w:r w:rsidR="00DB6E5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86B12" w14:textId="77777777" w:rsidR="006E127A" w:rsidRDefault="006E127A">
      <w:pPr>
        <w:spacing w:line="240" w:lineRule="auto"/>
      </w:pPr>
      <w:r>
        <w:separator/>
      </w:r>
    </w:p>
  </w:footnote>
  <w:footnote w:type="continuationSeparator" w:id="0">
    <w:p w14:paraId="0CD00604" w14:textId="77777777" w:rsidR="006E127A" w:rsidRDefault="006E127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CA4"/>
    <w:rsid w:val="002D2CA4"/>
    <w:rsid w:val="00445256"/>
    <w:rsid w:val="006E127A"/>
    <w:rsid w:val="00DB6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CE8F4"/>
  <w15:docId w15:val="{3B45FFF3-3EC1-41F2-A268-9C30D4722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240" w:after="60"/>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refworld.org/policy/opguidance/ukho/2023/en/147498" TargetMode="External"/><Relationship Id="rId13" Type="http://schemas.openxmlformats.org/officeDocument/2006/relationships/hyperlink" Target="https://www.norfolk.gov.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ottinghamshire.gov.uk/care/family-hub-networks/families?utm_source=chatgpt.com" TargetMode="External"/><Relationship Id="rId12" Type="http://schemas.openxmlformats.org/officeDocument/2006/relationships/hyperlink" Target="https://www.leeds.gov.uk/one-minute-guides/family-hubs-and-early-help-front-door-tea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v.wales/multi-agency-working-research-support-final-report-evaluation-social-services-and-well-being-wales-act-201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eds.gov.uk/children-and-families" TargetMode="External"/><Relationship Id="rId5" Type="http://schemas.openxmlformats.org/officeDocument/2006/relationships/footnotes" Target="footnotes.xml"/><Relationship Id="rId15" Type="http://schemas.openxmlformats.org/officeDocument/2006/relationships/hyperlink" Target="https://www.eif.org.uk/files/pdf/supporting-families-programme-rapid-evidence-review.pdf" TargetMode="External"/><Relationship Id="rId10" Type="http://schemas.openxmlformats.org/officeDocument/2006/relationships/hyperlink" Target="https://assets.publishing.service.gov.uk/media/6849a7b67cba25f610c7db3f/Working_together_to_safeguard_children_2023_-_statutory_guidance.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head.ie/journal/Implementing-Website-Accessibility-Standards-in-Higher-Education-Lessons-Learnt" TargetMode="External"/><Relationship Id="rId14" Type="http://schemas.openxmlformats.org/officeDocument/2006/relationships/hyperlink" Target="https://zenodo.org/records/14252247/files/Digital%20Accessibility%20in%20Government%20Sector%20Websites%20and%20Services.pdf?download=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NY9PLCwqPvzn3X2P9bSCwF6IuA==">CgMxLjAyDmguM3M3b2V2bmRpZ2JnMg5oLmZnOGxsOGRhYnFwbjIOaC5hNG0wbmRuMDg3bHYyDmguN3NmbnJzcDhqdG4zMg5oLmg1cGhjb281OWdiaTIOaC5iN2MwMjY0OXRiM3YyDmgubGNjbGV6dmVtbzIyMg5oLnNzbzRtdjQ1OHZ1czIOaC52Z2k2cGlvcmo1b3kyDmguNHl4cHRvc3l4emlzMg5oLms3dnJjNnZ3NGU1czINaC5tMXptdWFiM29zZzIOaC5reHBvZTJrN2RlNW4yDmguOG94MGNidTZzbnF3OAByITFYX0l2bDdFd3VxMVp3Mk5KaWN2WUUtLUhMNklEUmRmM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3514</Words>
  <Characters>20036</Characters>
  <Application>Microsoft Office Word</Application>
  <DocSecurity>0</DocSecurity>
  <Lines>166</Lines>
  <Paragraphs>47</Paragraphs>
  <ScaleCrop>false</ScaleCrop>
  <Company/>
  <LinksUpToDate>false</LinksUpToDate>
  <CharactersWithSpaces>23503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kasim mahmood</dc:creator>
  <cp:lastModifiedBy>kasim mahmood</cp:lastModifiedBy>
  <cp:revision>2</cp:revision>
  <dcterms:created xsi:type="dcterms:W3CDTF">2025-11-24T12:29:00Z</dcterms:created>
  <dcterms:modified xsi:type="dcterms:W3CDTF">2025-11-24T12:29:00Z</dcterms:modified>
</cp:coreProperties>
</file>