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B5116" w14:textId="49C9E38C" w:rsidR="00236D37" w:rsidRDefault="00236D37"/>
    <w:p w14:paraId="612B4122" w14:textId="536E95EF" w:rsidR="00830244" w:rsidRDefault="00830244"/>
    <w:p w14:paraId="547AD0D5" w14:textId="06AA6183" w:rsidR="00830244" w:rsidRDefault="00830244"/>
    <w:p w14:paraId="516B81CE" w14:textId="245FA3EA" w:rsidR="00830244" w:rsidRDefault="00830244"/>
    <w:p w14:paraId="042006F4" w14:textId="5BB761EE" w:rsidR="00830244" w:rsidRDefault="00830244"/>
    <w:p w14:paraId="2534D682" w14:textId="7715F40B" w:rsidR="00830244" w:rsidRDefault="00830244"/>
    <w:p w14:paraId="20403A64" w14:textId="6FB90ED8" w:rsidR="00830244" w:rsidRDefault="00A41088" w:rsidP="00A41088">
      <w:pPr>
        <w:jc w:val="center"/>
      </w:pPr>
      <w:r>
        <w:t>Children, Young People and Families</w:t>
      </w:r>
    </w:p>
    <w:p w14:paraId="297B67EF" w14:textId="304B57E4" w:rsidR="00A41088" w:rsidRDefault="00A41088" w:rsidP="00A41088">
      <w:pPr>
        <w:jc w:val="center"/>
      </w:pPr>
      <w:r>
        <w:t>BMHP5004</w:t>
      </w:r>
    </w:p>
    <w:p w14:paraId="161A2EFD" w14:textId="75096D2A" w:rsidR="00830244" w:rsidRDefault="00A41088" w:rsidP="00A41088">
      <w:pPr>
        <w:jc w:val="center"/>
      </w:pPr>
      <w:r>
        <w:t>Awla Semakula</w:t>
      </w:r>
    </w:p>
    <w:p w14:paraId="05ADE1EB" w14:textId="786AAFEC" w:rsidR="00A41088" w:rsidRDefault="00A41088" w:rsidP="00A41088">
      <w:pPr>
        <w:jc w:val="center"/>
      </w:pPr>
      <w:r>
        <w:t>1912740</w:t>
      </w:r>
    </w:p>
    <w:p w14:paraId="03F9E47B" w14:textId="24BEF4F6" w:rsidR="00830244" w:rsidRDefault="00830244" w:rsidP="00A41088">
      <w:pPr>
        <w:jc w:val="center"/>
      </w:pPr>
    </w:p>
    <w:p w14:paraId="4CC856A3" w14:textId="3CB079D1" w:rsidR="00830244" w:rsidRDefault="00830244"/>
    <w:p w14:paraId="593E0F28" w14:textId="3CD84F44" w:rsidR="00830244" w:rsidRDefault="00830244"/>
    <w:p w14:paraId="5165C675" w14:textId="487B5FC7" w:rsidR="00830244" w:rsidRDefault="00830244"/>
    <w:p w14:paraId="40163700" w14:textId="2F48CF72" w:rsidR="00830244" w:rsidRDefault="00830244"/>
    <w:p w14:paraId="174B1717" w14:textId="53F3405B" w:rsidR="00830244" w:rsidRPr="00830244" w:rsidRDefault="00830244" w:rsidP="00830244">
      <w:pPr>
        <w:jc w:val="center"/>
        <w:rPr>
          <w:b/>
          <w:bCs/>
        </w:rPr>
      </w:pPr>
      <w:r w:rsidRPr="00830244">
        <w:rPr>
          <w:b/>
          <w:bCs/>
        </w:rPr>
        <w:t>The Process of Intervention by</w:t>
      </w:r>
      <w:r>
        <w:rPr>
          <w:b/>
          <w:bCs/>
        </w:rPr>
        <w:t xml:space="preserve"> </w:t>
      </w:r>
      <w:r w:rsidRPr="00830244">
        <w:rPr>
          <w:b/>
          <w:bCs/>
        </w:rPr>
        <w:t>Relevant Health and Social Care Agencies within the Case Study</w:t>
      </w:r>
    </w:p>
    <w:p w14:paraId="3C9FCD33" w14:textId="599000A8" w:rsidR="00830244" w:rsidRDefault="00830244"/>
    <w:p w14:paraId="047612CA" w14:textId="40BB761F" w:rsidR="00830244" w:rsidRDefault="00830244"/>
    <w:p w14:paraId="72AF5994" w14:textId="4C0C6632" w:rsidR="00830244" w:rsidRDefault="00830244"/>
    <w:p w14:paraId="12B96781" w14:textId="13738646" w:rsidR="00830244" w:rsidRDefault="00830244"/>
    <w:p w14:paraId="51F2F396" w14:textId="64E6FFE6" w:rsidR="00E975DE" w:rsidRDefault="00E975DE"/>
    <w:p w14:paraId="54363265" w14:textId="77777777" w:rsidR="00E975DE" w:rsidRDefault="00E975DE">
      <w:pPr>
        <w:sectPr w:rsidR="00E975DE" w:rsidSect="00E975DE">
          <w:pgSz w:w="11906" w:h="16838"/>
          <w:pgMar w:top="1440" w:right="1440" w:bottom="1440" w:left="1440" w:header="720" w:footer="720" w:gutter="0"/>
          <w:cols w:space="720"/>
          <w:docGrid w:linePitch="360"/>
        </w:sectPr>
      </w:pPr>
    </w:p>
    <w:p w14:paraId="0CF41298" w14:textId="05FD9CE3" w:rsidR="00E975DE" w:rsidRDefault="00E975DE" w:rsidP="006A3730">
      <w:pPr>
        <w:pStyle w:val="Heading1"/>
      </w:pPr>
      <w:bookmarkStart w:id="0" w:name="_Toc143216470"/>
      <w:r>
        <w:lastRenderedPageBreak/>
        <w:t>Table of Contents</w:t>
      </w:r>
      <w:bookmarkEnd w:id="0"/>
    </w:p>
    <w:p w14:paraId="54557E7B" w14:textId="30F794E4" w:rsidR="00BA4298" w:rsidRPr="00BA4298" w:rsidRDefault="00BA4298"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r w:rsidRPr="00BA4298">
        <w:rPr>
          <w:rFonts w:ascii="Arial" w:hAnsi="Arial" w:cs="Arial"/>
          <w:b w:val="0"/>
          <w:bCs w:val="0"/>
          <w:caps w:val="0"/>
          <w:smallCaps/>
          <w:sz w:val="22"/>
          <w:szCs w:val="22"/>
        </w:rPr>
        <w:fldChar w:fldCharType="begin"/>
      </w:r>
      <w:r w:rsidRPr="00BA4298">
        <w:rPr>
          <w:rFonts w:ascii="Arial" w:hAnsi="Arial" w:cs="Arial"/>
          <w:b w:val="0"/>
          <w:bCs w:val="0"/>
          <w:caps w:val="0"/>
          <w:smallCaps/>
          <w:sz w:val="22"/>
          <w:szCs w:val="22"/>
        </w:rPr>
        <w:instrText xml:space="preserve"> TOC \o "1-3" \h \z \u </w:instrText>
      </w:r>
      <w:r w:rsidRPr="00BA4298">
        <w:rPr>
          <w:rFonts w:ascii="Arial" w:hAnsi="Arial" w:cs="Arial"/>
          <w:b w:val="0"/>
          <w:bCs w:val="0"/>
          <w:caps w:val="0"/>
          <w:smallCaps/>
          <w:sz w:val="22"/>
          <w:szCs w:val="22"/>
        </w:rPr>
        <w:fldChar w:fldCharType="separate"/>
      </w:r>
      <w:hyperlink w:anchor="_Toc143216471" w:history="1">
        <w:r w:rsidRPr="00BA4298">
          <w:rPr>
            <w:rStyle w:val="Hyperlink"/>
            <w:rFonts w:ascii="Arial" w:hAnsi="Arial" w:cs="Arial"/>
            <w:b w:val="0"/>
            <w:bCs w:val="0"/>
            <w:caps w:val="0"/>
            <w:smallCaps/>
            <w:noProof/>
            <w:sz w:val="22"/>
            <w:szCs w:val="22"/>
          </w:rPr>
          <w:t>1. Introduction</w:t>
        </w:r>
        <w:r w:rsidRPr="00BA4298">
          <w:rPr>
            <w:rFonts w:ascii="Arial" w:hAnsi="Arial" w:cs="Arial"/>
            <w:b w:val="0"/>
            <w:bCs w:val="0"/>
            <w:caps w:val="0"/>
            <w:smallCaps/>
            <w:noProof/>
            <w:webHidden/>
            <w:sz w:val="22"/>
            <w:szCs w:val="22"/>
          </w:rPr>
          <w:tab/>
        </w:r>
        <w:r w:rsidRPr="00BA4298">
          <w:rPr>
            <w:rFonts w:ascii="Arial" w:hAnsi="Arial" w:cs="Arial"/>
            <w:b w:val="0"/>
            <w:bCs w:val="0"/>
            <w:caps w:val="0"/>
            <w:smallCaps/>
            <w:noProof/>
            <w:webHidden/>
            <w:sz w:val="22"/>
            <w:szCs w:val="22"/>
          </w:rPr>
          <w:fldChar w:fldCharType="begin"/>
        </w:r>
        <w:r w:rsidRPr="00BA4298">
          <w:rPr>
            <w:rFonts w:ascii="Arial" w:hAnsi="Arial" w:cs="Arial"/>
            <w:b w:val="0"/>
            <w:bCs w:val="0"/>
            <w:caps w:val="0"/>
            <w:smallCaps/>
            <w:noProof/>
            <w:webHidden/>
            <w:sz w:val="22"/>
            <w:szCs w:val="22"/>
          </w:rPr>
          <w:instrText xml:space="preserve"> PAGEREF _Toc143216471 \h </w:instrText>
        </w:r>
        <w:r w:rsidRPr="00BA4298">
          <w:rPr>
            <w:rFonts w:ascii="Arial" w:hAnsi="Arial" w:cs="Arial"/>
            <w:b w:val="0"/>
            <w:bCs w:val="0"/>
            <w:caps w:val="0"/>
            <w:smallCaps/>
            <w:noProof/>
            <w:webHidden/>
            <w:sz w:val="22"/>
            <w:szCs w:val="22"/>
          </w:rPr>
        </w:r>
        <w:r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1</w:t>
        </w:r>
        <w:r w:rsidRPr="00BA4298">
          <w:rPr>
            <w:rFonts w:ascii="Arial" w:hAnsi="Arial" w:cs="Arial"/>
            <w:b w:val="0"/>
            <w:bCs w:val="0"/>
            <w:caps w:val="0"/>
            <w:smallCaps/>
            <w:noProof/>
            <w:webHidden/>
            <w:sz w:val="22"/>
            <w:szCs w:val="22"/>
          </w:rPr>
          <w:fldChar w:fldCharType="end"/>
        </w:r>
      </w:hyperlink>
    </w:p>
    <w:p w14:paraId="6EE20814" w14:textId="19975B08"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2" w:history="1">
        <w:r w:rsidR="00BA4298" w:rsidRPr="00BA4298">
          <w:rPr>
            <w:rStyle w:val="Hyperlink"/>
            <w:rFonts w:ascii="Arial" w:hAnsi="Arial" w:cs="Arial"/>
            <w:b w:val="0"/>
            <w:bCs w:val="0"/>
            <w:caps w:val="0"/>
            <w:smallCaps/>
            <w:noProof/>
            <w:sz w:val="22"/>
            <w:szCs w:val="22"/>
          </w:rPr>
          <w:t>2. Case Study</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_Toc143216472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1</w:t>
        </w:r>
        <w:r w:rsidR="00BA4298" w:rsidRPr="00BA4298">
          <w:rPr>
            <w:rFonts w:ascii="Arial" w:hAnsi="Arial" w:cs="Arial"/>
            <w:b w:val="0"/>
            <w:bCs w:val="0"/>
            <w:caps w:val="0"/>
            <w:smallCaps/>
            <w:noProof/>
            <w:webHidden/>
            <w:sz w:val="22"/>
            <w:szCs w:val="22"/>
          </w:rPr>
          <w:fldChar w:fldCharType="end"/>
        </w:r>
      </w:hyperlink>
    </w:p>
    <w:p w14:paraId="705CC779" w14:textId="3DBE3AD4"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3" w:history="1">
        <w:r w:rsidR="00BA4298" w:rsidRPr="00BA4298">
          <w:rPr>
            <w:rStyle w:val="Hyperlink"/>
            <w:rFonts w:ascii="Arial" w:hAnsi="Arial" w:cs="Arial"/>
            <w:b w:val="0"/>
            <w:bCs w:val="0"/>
            <w:caps w:val="0"/>
            <w:smallCaps/>
            <w:noProof/>
            <w:sz w:val="22"/>
            <w:szCs w:val="22"/>
          </w:rPr>
          <w:t>3. Factors of Vulnerability Within the Case Study</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_Toc143216473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1</w:t>
        </w:r>
        <w:r w:rsidR="00BA4298" w:rsidRPr="00BA4298">
          <w:rPr>
            <w:rFonts w:ascii="Arial" w:hAnsi="Arial" w:cs="Arial"/>
            <w:b w:val="0"/>
            <w:bCs w:val="0"/>
            <w:caps w:val="0"/>
            <w:smallCaps/>
            <w:noProof/>
            <w:webHidden/>
            <w:sz w:val="22"/>
            <w:szCs w:val="22"/>
          </w:rPr>
          <w:fldChar w:fldCharType="end"/>
        </w:r>
      </w:hyperlink>
    </w:p>
    <w:p w14:paraId="325D4F7D" w14:textId="4C4F245C"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4" w:history="1">
        <w:r w:rsidR="00BA4298" w:rsidRPr="00BA4298">
          <w:rPr>
            <w:rStyle w:val="Hyperlink"/>
            <w:rFonts w:ascii="Arial" w:hAnsi="Arial" w:cs="Arial"/>
            <w:b w:val="0"/>
            <w:bCs w:val="0"/>
            <w:caps w:val="0"/>
            <w:smallCaps/>
            <w:noProof/>
            <w:sz w:val="22"/>
            <w:szCs w:val="22"/>
          </w:rPr>
          <w:t>4. The Impact of These Factors on Children and Young People</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_Toc143216474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1</w:t>
        </w:r>
        <w:r w:rsidR="00BA4298" w:rsidRPr="00BA4298">
          <w:rPr>
            <w:rFonts w:ascii="Arial" w:hAnsi="Arial" w:cs="Arial"/>
            <w:b w:val="0"/>
            <w:bCs w:val="0"/>
            <w:caps w:val="0"/>
            <w:smallCaps/>
            <w:noProof/>
            <w:webHidden/>
            <w:sz w:val="22"/>
            <w:szCs w:val="22"/>
          </w:rPr>
          <w:fldChar w:fldCharType="end"/>
        </w:r>
      </w:hyperlink>
    </w:p>
    <w:p w14:paraId="40BF42DB" w14:textId="1993CF33"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5" w:history="1">
        <w:r w:rsidR="00BA4298" w:rsidRPr="00BA4298">
          <w:rPr>
            <w:rStyle w:val="Hyperlink"/>
            <w:rFonts w:ascii="Arial" w:hAnsi="Arial" w:cs="Arial"/>
            <w:b w:val="0"/>
            <w:bCs w:val="0"/>
            <w:caps w:val="0"/>
            <w:smallCaps/>
            <w:noProof/>
            <w:sz w:val="22"/>
            <w:szCs w:val="22"/>
          </w:rPr>
          <w:t>5. The Process of Intervention</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_Toc143216475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2</w:t>
        </w:r>
        <w:r w:rsidR="00BA4298" w:rsidRPr="00BA4298">
          <w:rPr>
            <w:rFonts w:ascii="Arial" w:hAnsi="Arial" w:cs="Arial"/>
            <w:b w:val="0"/>
            <w:bCs w:val="0"/>
            <w:caps w:val="0"/>
            <w:smallCaps/>
            <w:noProof/>
            <w:webHidden/>
            <w:sz w:val="22"/>
            <w:szCs w:val="22"/>
          </w:rPr>
          <w:fldChar w:fldCharType="end"/>
        </w:r>
      </w:hyperlink>
    </w:p>
    <w:p w14:paraId="04749A3D" w14:textId="1CD191FE"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6" w:history="1">
        <w:r w:rsidR="00BA4298" w:rsidRPr="00BA4298">
          <w:rPr>
            <w:rStyle w:val="Hyperlink"/>
            <w:rFonts w:ascii="Arial" w:hAnsi="Arial" w:cs="Arial"/>
            <w:b w:val="0"/>
            <w:bCs w:val="0"/>
            <w:caps w:val="0"/>
            <w:smallCaps/>
            <w:noProof/>
            <w:sz w:val="22"/>
            <w:szCs w:val="22"/>
          </w:rPr>
          <w:t>6. Actions of Social Services with the Family</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_Toc143216476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2</w:t>
        </w:r>
        <w:r w:rsidR="00BA4298" w:rsidRPr="00BA4298">
          <w:rPr>
            <w:rFonts w:ascii="Arial" w:hAnsi="Arial" w:cs="Arial"/>
            <w:b w:val="0"/>
            <w:bCs w:val="0"/>
            <w:caps w:val="0"/>
            <w:smallCaps/>
            <w:noProof/>
            <w:webHidden/>
            <w:sz w:val="22"/>
            <w:szCs w:val="22"/>
          </w:rPr>
          <w:fldChar w:fldCharType="end"/>
        </w:r>
      </w:hyperlink>
    </w:p>
    <w:p w14:paraId="084DBF00" w14:textId="11BBF288"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7" w:history="1">
        <w:r w:rsidR="00BA4298" w:rsidRPr="00BA4298">
          <w:rPr>
            <w:rStyle w:val="Hyperlink"/>
            <w:rFonts w:ascii="Arial" w:hAnsi="Arial" w:cs="Arial"/>
            <w:b w:val="0"/>
            <w:bCs w:val="0"/>
            <w:caps w:val="0"/>
            <w:smallCaps/>
            <w:noProof/>
            <w:sz w:val="22"/>
            <w:szCs w:val="22"/>
          </w:rPr>
          <w:t>7. Results and Outcomes</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_Toc143216477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2</w:t>
        </w:r>
        <w:r w:rsidR="00BA4298" w:rsidRPr="00BA4298">
          <w:rPr>
            <w:rFonts w:ascii="Arial" w:hAnsi="Arial" w:cs="Arial"/>
            <w:b w:val="0"/>
            <w:bCs w:val="0"/>
            <w:caps w:val="0"/>
            <w:smallCaps/>
            <w:noProof/>
            <w:webHidden/>
            <w:sz w:val="22"/>
            <w:szCs w:val="22"/>
          </w:rPr>
          <w:fldChar w:fldCharType="end"/>
        </w:r>
      </w:hyperlink>
    </w:p>
    <w:p w14:paraId="29A51641" w14:textId="1BB39249"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8" w:history="1">
        <w:r w:rsidR="00BA4298" w:rsidRPr="00BA4298">
          <w:rPr>
            <w:rStyle w:val="Hyperlink"/>
            <w:rFonts w:ascii="Arial" w:hAnsi="Arial" w:cs="Arial"/>
            <w:b w:val="0"/>
            <w:bCs w:val="0"/>
            <w:caps w:val="0"/>
            <w:smallCaps/>
            <w:noProof/>
            <w:sz w:val="22"/>
            <w:szCs w:val="22"/>
          </w:rPr>
          <w:t>8. Policy and Legislation Related to Safeguarding Children and Young People</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_Toc143216478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2</w:t>
        </w:r>
        <w:r w:rsidR="00BA4298" w:rsidRPr="00BA4298">
          <w:rPr>
            <w:rFonts w:ascii="Arial" w:hAnsi="Arial" w:cs="Arial"/>
            <w:b w:val="0"/>
            <w:bCs w:val="0"/>
            <w:caps w:val="0"/>
            <w:smallCaps/>
            <w:noProof/>
            <w:webHidden/>
            <w:sz w:val="22"/>
            <w:szCs w:val="22"/>
          </w:rPr>
          <w:fldChar w:fldCharType="end"/>
        </w:r>
      </w:hyperlink>
    </w:p>
    <w:p w14:paraId="3D537861" w14:textId="36471B5C"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79" w:history="1">
        <w:r w:rsidR="00BA4298" w:rsidRPr="00BA4298">
          <w:rPr>
            <w:rStyle w:val="Hyperlink"/>
            <w:rFonts w:ascii="Arial" w:hAnsi="Arial" w:cs="Arial"/>
            <w:b w:val="0"/>
            <w:bCs w:val="0"/>
            <w:caps w:val="0"/>
            <w:smallCaps/>
            <w:noProof/>
            <w:sz w:val="22"/>
            <w:szCs w:val="22"/>
          </w:rPr>
          <w:t>9. Relevant Theories for Guiding Interventions</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_Toc143216479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3</w:t>
        </w:r>
        <w:r w:rsidR="00BA4298" w:rsidRPr="00BA4298">
          <w:rPr>
            <w:rFonts w:ascii="Arial" w:hAnsi="Arial" w:cs="Arial"/>
            <w:b w:val="0"/>
            <w:bCs w:val="0"/>
            <w:caps w:val="0"/>
            <w:smallCaps/>
            <w:noProof/>
            <w:webHidden/>
            <w:sz w:val="22"/>
            <w:szCs w:val="22"/>
          </w:rPr>
          <w:fldChar w:fldCharType="end"/>
        </w:r>
      </w:hyperlink>
    </w:p>
    <w:p w14:paraId="463E06FE" w14:textId="29FE42E9"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80" w:history="1">
        <w:r w:rsidR="00BA4298" w:rsidRPr="00BA4298">
          <w:rPr>
            <w:rStyle w:val="Hyperlink"/>
            <w:rFonts w:ascii="Arial" w:hAnsi="Arial" w:cs="Arial"/>
            <w:b w:val="0"/>
            <w:bCs w:val="0"/>
            <w:caps w:val="0"/>
            <w:smallCaps/>
            <w:noProof/>
            <w:sz w:val="22"/>
            <w:szCs w:val="22"/>
          </w:rPr>
          <w:t>10. Conclusion and Recommendations</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_Toc143216480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3</w:t>
        </w:r>
        <w:r w:rsidR="00BA4298" w:rsidRPr="00BA4298">
          <w:rPr>
            <w:rFonts w:ascii="Arial" w:hAnsi="Arial" w:cs="Arial"/>
            <w:b w:val="0"/>
            <w:bCs w:val="0"/>
            <w:caps w:val="0"/>
            <w:smallCaps/>
            <w:noProof/>
            <w:webHidden/>
            <w:sz w:val="22"/>
            <w:szCs w:val="22"/>
          </w:rPr>
          <w:fldChar w:fldCharType="end"/>
        </w:r>
      </w:hyperlink>
    </w:p>
    <w:p w14:paraId="549F0B60" w14:textId="7C8953C6" w:rsidR="00BA4298" w:rsidRPr="00BA4298" w:rsidRDefault="00000000" w:rsidP="00BA4298">
      <w:pPr>
        <w:pStyle w:val="TOC1"/>
        <w:tabs>
          <w:tab w:val="right" w:leader="hyphen" w:pos="9016"/>
        </w:tabs>
        <w:spacing w:before="0" w:after="0"/>
        <w:rPr>
          <w:rFonts w:ascii="Arial" w:eastAsiaTheme="minorEastAsia" w:hAnsi="Arial" w:cs="Arial"/>
          <w:b w:val="0"/>
          <w:bCs w:val="0"/>
          <w:caps w:val="0"/>
          <w:smallCaps/>
          <w:noProof/>
          <w:sz w:val="22"/>
          <w:szCs w:val="22"/>
          <w:lang w:eastAsia="en-GB"/>
        </w:rPr>
      </w:pPr>
      <w:hyperlink w:anchor="_Toc143216481" w:history="1">
        <w:r w:rsidR="00BA4298" w:rsidRPr="00BA4298">
          <w:rPr>
            <w:rStyle w:val="Hyperlink"/>
            <w:rFonts w:ascii="Arial" w:hAnsi="Arial" w:cs="Arial"/>
            <w:b w:val="0"/>
            <w:bCs w:val="0"/>
            <w:caps w:val="0"/>
            <w:smallCaps/>
            <w:noProof/>
            <w:sz w:val="22"/>
            <w:szCs w:val="22"/>
          </w:rPr>
          <w:t>Bibliography</w:t>
        </w:r>
        <w:r w:rsidR="00BA4298" w:rsidRPr="00BA4298">
          <w:rPr>
            <w:rFonts w:ascii="Arial" w:hAnsi="Arial" w:cs="Arial"/>
            <w:b w:val="0"/>
            <w:bCs w:val="0"/>
            <w:caps w:val="0"/>
            <w:smallCaps/>
            <w:noProof/>
            <w:webHidden/>
            <w:sz w:val="22"/>
            <w:szCs w:val="22"/>
          </w:rPr>
          <w:tab/>
        </w:r>
        <w:r w:rsidR="00BA4298" w:rsidRPr="00BA4298">
          <w:rPr>
            <w:rFonts w:ascii="Arial" w:hAnsi="Arial" w:cs="Arial"/>
            <w:b w:val="0"/>
            <w:bCs w:val="0"/>
            <w:caps w:val="0"/>
            <w:smallCaps/>
            <w:noProof/>
            <w:webHidden/>
            <w:sz w:val="22"/>
            <w:szCs w:val="22"/>
          </w:rPr>
          <w:fldChar w:fldCharType="begin"/>
        </w:r>
        <w:r w:rsidR="00BA4298" w:rsidRPr="00BA4298">
          <w:rPr>
            <w:rFonts w:ascii="Arial" w:hAnsi="Arial" w:cs="Arial"/>
            <w:b w:val="0"/>
            <w:bCs w:val="0"/>
            <w:caps w:val="0"/>
            <w:smallCaps/>
            <w:noProof/>
            <w:webHidden/>
            <w:sz w:val="22"/>
            <w:szCs w:val="22"/>
          </w:rPr>
          <w:instrText xml:space="preserve"> PAGEREF _Toc143216481 \h </w:instrText>
        </w:r>
        <w:r w:rsidR="00BA4298" w:rsidRPr="00BA4298">
          <w:rPr>
            <w:rFonts w:ascii="Arial" w:hAnsi="Arial" w:cs="Arial"/>
            <w:b w:val="0"/>
            <w:bCs w:val="0"/>
            <w:caps w:val="0"/>
            <w:smallCaps/>
            <w:noProof/>
            <w:webHidden/>
            <w:sz w:val="22"/>
            <w:szCs w:val="22"/>
          </w:rPr>
        </w:r>
        <w:r w:rsidR="00BA4298" w:rsidRPr="00BA4298">
          <w:rPr>
            <w:rFonts w:ascii="Arial" w:hAnsi="Arial" w:cs="Arial"/>
            <w:b w:val="0"/>
            <w:bCs w:val="0"/>
            <w:caps w:val="0"/>
            <w:smallCaps/>
            <w:noProof/>
            <w:webHidden/>
            <w:sz w:val="22"/>
            <w:szCs w:val="22"/>
          </w:rPr>
          <w:fldChar w:fldCharType="separate"/>
        </w:r>
        <w:r w:rsidR="009D7085">
          <w:rPr>
            <w:rFonts w:ascii="Arial" w:hAnsi="Arial" w:cs="Arial"/>
            <w:b w:val="0"/>
            <w:bCs w:val="0"/>
            <w:caps w:val="0"/>
            <w:smallCaps/>
            <w:noProof/>
            <w:webHidden/>
            <w:sz w:val="22"/>
            <w:szCs w:val="22"/>
          </w:rPr>
          <w:t>4</w:t>
        </w:r>
        <w:r w:rsidR="00BA4298" w:rsidRPr="00BA4298">
          <w:rPr>
            <w:rFonts w:ascii="Arial" w:hAnsi="Arial" w:cs="Arial"/>
            <w:b w:val="0"/>
            <w:bCs w:val="0"/>
            <w:caps w:val="0"/>
            <w:smallCaps/>
            <w:noProof/>
            <w:webHidden/>
            <w:sz w:val="22"/>
            <w:szCs w:val="22"/>
          </w:rPr>
          <w:fldChar w:fldCharType="end"/>
        </w:r>
      </w:hyperlink>
    </w:p>
    <w:p w14:paraId="6D786DFB" w14:textId="74843831" w:rsidR="00E975DE" w:rsidRDefault="00BA4298" w:rsidP="00BA4298">
      <w:pPr>
        <w:spacing w:after="0"/>
      </w:pPr>
      <w:r w:rsidRPr="00BA4298">
        <w:rPr>
          <w:rFonts w:cs="Arial"/>
          <w:smallCaps/>
        </w:rPr>
        <w:fldChar w:fldCharType="end"/>
      </w:r>
    </w:p>
    <w:p w14:paraId="29CE5F72" w14:textId="6D30727A" w:rsidR="00E975DE" w:rsidRDefault="00E975DE"/>
    <w:p w14:paraId="6CA4027D" w14:textId="6B005BE9" w:rsidR="00E975DE" w:rsidRDefault="00E975DE"/>
    <w:p w14:paraId="07D2E612" w14:textId="40D0EDB9" w:rsidR="00E975DE" w:rsidRDefault="00E975DE"/>
    <w:p w14:paraId="1326CEA6" w14:textId="77777777" w:rsidR="00E975DE" w:rsidRDefault="00E975DE">
      <w:pPr>
        <w:sectPr w:rsidR="00E975DE" w:rsidSect="00E975DE">
          <w:pgSz w:w="11906" w:h="16838"/>
          <w:pgMar w:top="1440" w:right="1440" w:bottom="1440" w:left="1440" w:header="720" w:footer="720" w:gutter="0"/>
          <w:cols w:space="720"/>
          <w:docGrid w:linePitch="360"/>
        </w:sectPr>
      </w:pPr>
    </w:p>
    <w:p w14:paraId="63477CEF" w14:textId="24FC38F6" w:rsidR="00E5505F" w:rsidRPr="00E5505F" w:rsidRDefault="00E5505F" w:rsidP="005F5B22">
      <w:pPr>
        <w:pStyle w:val="Heading1"/>
      </w:pPr>
      <w:bookmarkStart w:id="1" w:name="_Toc143216471"/>
      <w:r w:rsidRPr="00E5505F">
        <w:lastRenderedPageBreak/>
        <w:t>1. Introduction</w:t>
      </w:r>
      <w:bookmarkEnd w:id="1"/>
    </w:p>
    <w:p w14:paraId="4890B863" w14:textId="39C8D0A1" w:rsidR="00E5505F" w:rsidRPr="00E5505F" w:rsidRDefault="006E2CD1" w:rsidP="00E5505F">
      <w:r>
        <w:t xml:space="preserve">Child protection and family support have been recurring issues of </w:t>
      </w:r>
      <w:r w:rsidR="00197307">
        <w:t xml:space="preserve">discussion </w:t>
      </w:r>
      <w:r>
        <w:t xml:space="preserve">within the spheres of social work and health care in the UK. The case of troubled families in Stockport underlines the multi-faceted issues health and social care organisations contend with in their quest to safeguard children and restore family functionality (MHCLG, 2014). With an intricate interaction of sociological, psychological, and environmental aspects, it becomes </w:t>
      </w:r>
      <w:r w:rsidR="00197307">
        <w:t>essential</w:t>
      </w:r>
      <w:r>
        <w:t xml:space="preserve"> for agencies to adopt a holistic approach founded in well-established theories and led by national policies (Bronfenbrenner, 1979).</w:t>
      </w:r>
    </w:p>
    <w:p w14:paraId="72FE91EB" w14:textId="41BD3FFB" w:rsidR="00E5505F" w:rsidRPr="00E5505F" w:rsidRDefault="00E5505F" w:rsidP="005F5B22">
      <w:pPr>
        <w:pStyle w:val="Heading1"/>
      </w:pPr>
      <w:bookmarkStart w:id="2" w:name="_Toc143216472"/>
      <w:r w:rsidRPr="00E5505F">
        <w:t>2. Case Study</w:t>
      </w:r>
      <w:bookmarkEnd w:id="2"/>
    </w:p>
    <w:p w14:paraId="2B30CA0D" w14:textId="6574FE9B" w:rsidR="00E5505F" w:rsidRPr="00E5505F" w:rsidRDefault="006E2CD1" w:rsidP="00E5505F">
      <w:r>
        <w:t>The case of Stockport centres on a single mother with two children</w:t>
      </w:r>
      <w:r w:rsidR="000F332C">
        <w:t xml:space="preserve"> </w:t>
      </w:r>
      <w:r w:rsidR="000F332C" w:rsidRPr="00E5505F">
        <w:t>(MHCLG, 2014</w:t>
      </w:r>
      <w:r w:rsidR="000F332C">
        <w:t>)</w:t>
      </w:r>
      <w:r>
        <w:t>. Her history is marred by alcoholism, an abusive childhood, and a previous relationship marked by severe domestic violence. The domestic setting, which was degraded by regular gatherings of intoxicated individuals, was characterised by antisocial behaviour, hence exacerbating concerns. The children</w:t>
      </w:r>
      <w:r w:rsidR="00C91F0C">
        <w:t>’</w:t>
      </w:r>
      <w:r>
        <w:t>s school attendance was irregular, and their disruptive behaviour was evident when they were present.</w:t>
      </w:r>
      <w:r w:rsidR="00E5505F" w:rsidRPr="00E5505F">
        <w:t xml:space="preserve"> The backdrop of their father</w:t>
      </w:r>
      <w:r w:rsidR="00C91F0C">
        <w:t>’</w:t>
      </w:r>
      <w:r w:rsidR="00E5505F" w:rsidRPr="00E5505F">
        <w:t>s recent demise from a drug overdose adds another layer to the family</w:t>
      </w:r>
      <w:r w:rsidR="00C91F0C">
        <w:t>’</w:t>
      </w:r>
      <w:r w:rsidR="00E5505F" w:rsidRPr="00E5505F">
        <w:t>s predicament</w:t>
      </w:r>
      <w:r w:rsidR="00ED322A">
        <w:t>.</w:t>
      </w:r>
      <w:r w:rsidR="00ED322A" w:rsidRPr="00E5505F">
        <w:t xml:space="preserve"> </w:t>
      </w:r>
    </w:p>
    <w:p w14:paraId="09C41AEF" w14:textId="144C4B90" w:rsidR="00E5505F" w:rsidRPr="00E5505F" w:rsidRDefault="00E5505F" w:rsidP="005F5B22">
      <w:pPr>
        <w:pStyle w:val="Heading1"/>
      </w:pPr>
      <w:bookmarkStart w:id="3" w:name="_Toc143216473"/>
      <w:r w:rsidRPr="00E5505F">
        <w:t>3. Factors of Vulnerability Within the Case Study</w:t>
      </w:r>
      <w:bookmarkEnd w:id="3"/>
    </w:p>
    <w:p w14:paraId="4349FDDE" w14:textId="253F7A2A" w:rsidR="00E5505F" w:rsidRPr="00E5505F" w:rsidRDefault="00E5505F" w:rsidP="00E5505F">
      <w:r w:rsidRPr="00E5505F">
        <w:t>Several factors contribute to the vulnerability of the children and the family in this case. The mother</w:t>
      </w:r>
      <w:r w:rsidR="00C91F0C">
        <w:t>’</w:t>
      </w:r>
      <w:r w:rsidRPr="00E5505F">
        <w:t xml:space="preserve">s history of domestic abuse and her struggles with alcoholism played significant roles. </w:t>
      </w:r>
      <w:r w:rsidR="00C91F0C">
        <w:t>The children’s exposure to antisocial elements, compounded by the mother’s social circle of drinkers, also</w:t>
      </w:r>
      <w:r w:rsidRPr="00E5505F">
        <w:t xml:space="preserve"> created an unstable home environment. An amalgamation of past trauma, substance abuse, and bereavement (</w:t>
      </w:r>
      <w:r w:rsidRPr="00E5505F">
        <w:rPr>
          <w:i/>
          <w:iCs/>
        </w:rPr>
        <w:t>following the father</w:t>
      </w:r>
      <w:r w:rsidR="00C91F0C" w:rsidRPr="00DC48B9">
        <w:rPr>
          <w:i/>
          <w:iCs/>
        </w:rPr>
        <w:t>’</w:t>
      </w:r>
      <w:r w:rsidRPr="00E5505F">
        <w:rPr>
          <w:i/>
          <w:iCs/>
        </w:rPr>
        <w:t>s demise</w:t>
      </w:r>
      <w:r w:rsidRPr="00E5505F">
        <w:t>) exacerbate</w:t>
      </w:r>
      <w:r w:rsidR="006B044E">
        <w:t>d</w:t>
      </w:r>
      <w:r w:rsidRPr="00E5505F">
        <w:t xml:space="preserve"> the family</w:t>
      </w:r>
      <w:r w:rsidR="00C91F0C">
        <w:t>’</w:t>
      </w:r>
      <w:r w:rsidRPr="00E5505F">
        <w:t>s precarious situation (Healy, 2014).</w:t>
      </w:r>
    </w:p>
    <w:p w14:paraId="089D0C96" w14:textId="79D06BAE" w:rsidR="00E5505F" w:rsidRPr="00E5505F" w:rsidRDefault="00E5505F" w:rsidP="005F5B22">
      <w:pPr>
        <w:pStyle w:val="Heading1"/>
      </w:pPr>
      <w:bookmarkStart w:id="4" w:name="_Toc143216474"/>
      <w:r w:rsidRPr="00E5505F">
        <w:t>4. The Impact of These Factors on Children and Young People</w:t>
      </w:r>
      <w:bookmarkEnd w:id="4"/>
    </w:p>
    <w:p w14:paraId="0BF88F4B" w14:textId="74FFF5D8" w:rsidR="00E5505F" w:rsidRPr="00E5505F" w:rsidRDefault="00E5505F" w:rsidP="00E5505F">
      <w:r w:rsidRPr="00E5505F">
        <w:t xml:space="preserve">The </w:t>
      </w:r>
      <w:r w:rsidR="00C91F0C">
        <w:t>vulnerabilities mentioned above</w:t>
      </w:r>
      <w:r w:rsidRPr="00E5505F">
        <w:t xml:space="preserve"> manifest in myriad ways. </w:t>
      </w:r>
      <w:r w:rsidR="00C91F0C">
        <w:t>The children’s sporadic school attendance and disruptive behaviour primarily</w:t>
      </w:r>
      <w:r w:rsidRPr="00E5505F">
        <w:t xml:space="preserve"> reflect emotional and psychological turmoil. The absence of a structured home environment, combined with exposure to antisocial behaviours, can impede developmental milestones, disrupt cognitive functioning, and </w:t>
      </w:r>
      <w:r w:rsidR="00655A6A">
        <w:t>provoke</w:t>
      </w:r>
      <w:r w:rsidR="00655A6A" w:rsidRPr="00E5505F">
        <w:t xml:space="preserve"> </w:t>
      </w:r>
      <w:r w:rsidRPr="00E5505F">
        <w:t xml:space="preserve">feelings of insecurity. Such adversities during formative years can leave </w:t>
      </w:r>
      <w:r w:rsidR="00655A6A">
        <w:t>lasting</w:t>
      </w:r>
      <w:r w:rsidR="00655A6A" w:rsidRPr="00E5505F">
        <w:t xml:space="preserve"> </w:t>
      </w:r>
      <w:r w:rsidRPr="00E5505F">
        <w:t>imprints on children</w:t>
      </w:r>
      <w:r w:rsidR="00C91F0C">
        <w:t>’</w:t>
      </w:r>
      <w:r w:rsidRPr="00E5505F">
        <w:t xml:space="preserve">s psychosocial well-being, </w:t>
      </w:r>
      <w:r w:rsidR="00655A6A">
        <w:t>affecting</w:t>
      </w:r>
      <w:r w:rsidRPr="00E5505F">
        <w:t xml:space="preserve"> their academic performance, social interactions, and overall mental health (Bronfenbrenner, 1979).</w:t>
      </w:r>
    </w:p>
    <w:p w14:paraId="2C700092" w14:textId="4DFBA2D0" w:rsidR="00E5505F" w:rsidRPr="00E5505F" w:rsidRDefault="00E5505F" w:rsidP="005F5B22">
      <w:pPr>
        <w:pStyle w:val="Heading1"/>
      </w:pPr>
      <w:bookmarkStart w:id="5" w:name="_Toc143216475"/>
      <w:r w:rsidRPr="00E5505F">
        <w:lastRenderedPageBreak/>
        <w:t>5. The Process of Intervention</w:t>
      </w:r>
      <w:bookmarkEnd w:id="5"/>
    </w:p>
    <w:p w14:paraId="5FD29B2F" w14:textId="289D9228" w:rsidR="00E5505F" w:rsidRPr="00E5505F" w:rsidRDefault="00E5505F" w:rsidP="00E5505F">
      <w:r w:rsidRPr="00E5505F">
        <w:t xml:space="preserve">The initiation of the intervention process </w:t>
      </w:r>
      <w:r w:rsidR="00C91F0C">
        <w:t>largely depends</w:t>
      </w:r>
      <w:r w:rsidRPr="00E5505F">
        <w:t xml:space="preserve"> on the severity and complexity of the familial situation. </w:t>
      </w:r>
      <w:r w:rsidR="00C91F0C">
        <w:t>The family’s predicament was immediately evident in the Stockport case</w:t>
      </w:r>
      <w:r w:rsidRPr="00E5505F">
        <w:t>, prompting swift action. An intensive assessment was conducted, which underpins a cornerstone principle in health and social care practices to understand the depth of the issues faced</w:t>
      </w:r>
      <w:r w:rsidR="00590ECB">
        <w:t xml:space="preserve"> (Healy, 2014)</w:t>
      </w:r>
      <w:r w:rsidRPr="00E5505F">
        <w:t xml:space="preserve">. </w:t>
      </w:r>
      <w:r w:rsidR="00A0411F">
        <w:t>After the evaluation, the family worker promptly addressed the pressing issue of the mother</w:t>
      </w:r>
      <w:r w:rsidR="00C91F0C">
        <w:t>’</w:t>
      </w:r>
      <w:r w:rsidR="00A0411F">
        <w:t>s alcoholism by having her enrolled in a detox programme </w:t>
      </w:r>
      <w:r w:rsidR="00590ECB">
        <w:t>(MHCLG, 2014)</w:t>
      </w:r>
      <w:r w:rsidR="00A0411F">
        <w:t>.</w:t>
      </w:r>
    </w:p>
    <w:p w14:paraId="2D98321E" w14:textId="4473B3A4" w:rsidR="00E5505F" w:rsidRPr="00E5505F" w:rsidRDefault="00E5505F" w:rsidP="005F5B22">
      <w:pPr>
        <w:pStyle w:val="Heading1"/>
      </w:pPr>
      <w:bookmarkStart w:id="6" w:name="_Toc143216476"/>
      <w:r w:rsidRPr="00E5505F">
        <w:t>6. Actions of Social Services with the Family</w:t>
      </w:r>
      <w:bookmarkEnd w:id="6"/>
    </w:p>
    <w:p w14:paraId="42C76CC9" w14:textId="1A909D03" w:rsidR="00E5505F" w:rsidRPr="00E5505F" w:rsidRDefault="00A0411F" w:rsidP="00E5505F">
      <w:r>
        <w:t>The social services demonstrated the use of a multi</w:t>
      </w:r>
      <w:r w:rsidR="00197307">
        <w:t>-</w:t>
      </w:r>
      <w:r>
        <w:t>faceted approach. They helped the mother get through detox and encouraged her into counselling so that she could comprehend what was driving her drinking</w:t>
      </w:r>
      <w:r w:rsidR="00BD4C0C">
        <w:t xml:space="preserve"> habit</w:t>
      </w:r>
      <w:r>
        <w:t>. In order to effectively challenge the mother</w:t>
      </w:r>
      <w:r w:rsidR="00C91F0C">
        <w:t>’</w:t>
      </w:r>
      <w:r>
        <w:t xml:space="preserve">s parenting behaviours, the family worker needed to </w:t>
      </w:r>
      <w:r w:rsidR="00C91F0C">
        <w:t>engage with her persistently</w:t>
      </w:r>
      <w:r>
        <w:t>. The school was made aware of the family</w:t>
      </w:r>
      <w:r w:rsidR="00C91F0C">
        <w:t>’</w:t>
      </w:r>
      <w:r>
        <w:t>s circumstances through open lines of communication, and together they devised a plan to meet the children</w:t>
      </w:r>
      <w:r w:rsidR="00C91F0C">
        <w:t>’</w:t>
      </w:r>
      <w:r>
        <w:t>s educational needs. The mother</w:t>
      </w:r>
      <w:r w:rsidR="00C91F0C">
        <w:t>’</w:t>
      </w:r>
      <w:r>
        <w:t>s role as a parent was bolstered by the additional help she received when she established routines and boundaries for her children (MHCLG, 2014).</w:t>
      </w:r>
    </w:p>
    <w:p w14:paraId="77A52439" w14:textId="3B3B718E" w:rsidR="00E5505F" w:rsidRPr="00E5505F" w:rsidRDefault="00E5505F" w:rsidP="005F5B22">
      <w:pPr>
        <w:pStyle w:val="Heading1"/>
      </w:pPr>
      <w:bookmarkStart w:id="7" w:name="_Toc143216477"/>
      <w:r w:rsidRPr="00E5505F">
        <w:t>7. Results and Outcomes</w:t>
      </w:r>
      <w:bookmarkEnd w:id="7"/>
    </w:p>
    <w:p w14:paraId="156B8A4F" w14:textId="1D2A3D93" w:rsidR="00E5505F" w:rsidRDefault="00A0411F" w:rsidP="00E5505F">
      <w:r>
        <w:t>There were noticeable enhancements after the intervention. The mother</w:t>
      </w:r>
      <w:r w:rsidR="00C91F0C">
        <w:t>’</w:t>
      </w:r>
      <w:r>
        <w:t>s ability to care for her children and respond to their needs improved when she quit drinking. Improvements in children</w:t>
      </w:r>
      <w:r w:rsidR="00C91F0C">
        <w:t>’</w:t>
      </w:r>
      <w:r>
        <w:t xml:space="preserve">s behaviour and </w:t>
      </w:r>
      <w:r w:rsidR="00C91F0C">
        <w:t>school attendance were noted when routines were implemented</w:t>
      </w:r>
      <w:r>
        <w:t>.</w:t>
      </w:r>
      <w:r w:rsidR="00E5505F" w:rsidRPr="00E5505F">
        <w:t xml:space="preserve"> Further, the mother</w:t>
      </w:r>
      <w:r w:rsidR="00C91F0C">
        <w:t>’</w:t>
      </w:r>
      <w:r w:rsidR="00E5505F" w:rsidRPr="00E5505F">
        <w:t>s progress facilitated her engagement with a specialist Troubled Families Job Centre Plus worker, setting her on a path towards employment. The culmination of these efforts transformed the home environment into a calmer space, free from the chaos of external antisocial elements, thus resonating with the holistic ethos of health and social care interventions (Bronfenbrenner, 1979).</w:t>
      </w:r>
    </w:p>
    <w:p w14:paraId="6ABCF6AD" w14:textId="7931FD8A" w:rsidR="00E5505F" w:rsidRPr="00E5505F" w:rsidRDefault="00E5505F" w:rsidP="005F5B22">
      <w:pPr>
        <w:pStyle w:val="Heading1"/>
      </w:pPr>
      <w:bookmarkStart w:id="8" w:name="_Toc143216478"/>
      <w:r w:rsidRPr="00E5505F">
        <w:t>8. Policy and Legislation Related to Safeguarding Children and Young People</w:t>
      </w:r>
      <w:bookmarkEnd w:id="8"/>
    </w:p>
    <w:p w14:paraId="6E504235" w14:textId="69479C57" w:rsidR="00E5505F" w:rsidRPr="00E5505F" w:rsidRDefault="00E5505F" w:rsidP="00E5505F">
      <w:r w:rsidRPr="00E5505F">
        <w:t>The UK</w:t>
      </w:r>
      <w:r w:rsidR="00C91F0C">
        <w:t>’</w:t>
      </w:r>
      <w:r w:rsidRPr="00E5505F">
        <w:t>s commitment to safeguarding children and young individuals is enshrined within a robust legislative framework. The Children Act 1989 places children</w:t>
      </w:r>
      <w:r w:rsidR="00C91F0C">
        <w:t>’</w:t>
      </w:r>
      <w:r w:rsidRPr="00E5505F">
        <w:t xml:space="preserve">s welfare at the forefront, marking a shift in </w:t>
      </w:r>
      <w:r w:rsidR="00C91F0C">
        <w:t>understanding</w:t>
      </w:r>
      <w:r w:rsidRPr="00E5505F">
        <w:t xml:space="preserve"> children</w:t>
      </w:r>
      <w:r w:rsidR="00C91F0C">
        <w:t>’</w:t>
      </w:r>
      <w:r w:rsidRPr="00E5505F">
        <w:t>s rights and needs</w:t>
      </w:r>
      <w:r w:rsidR="00A11E59">
        <w:t xml:space="preserve"> </w:t>
      </w:r>
      <w:r w:rsidR="00A11E59" w:rsidRPr="00A11E59">
        <w:t>(DFE, 2021)</w:t>
      </w:r>
      <w:r w:rsidRPr="00E5505F">
        <w:t xml:space="preserve">. Following this, the Children Act 2004 was established to further tighten the protective measures, introducing local safeguarding children boards and </w:t>
      </w:r>
      <w:r w:rsidR="00C91F0C">
        <w:t>emphasising</w:t>
      </w:r>
      <w:r w:rsidRPr="00E5505F">
        <w:t xml:space="preserve"> inter-agency cooperation</w:t>
      </w:r>
      <w:r w:rsidR="00A11E59">
        <w:t xml:space="preserve"> </w:t>
      </w:r>
      <w:r w:rsidR="00A11E59" w:rsidRPr="00A11E59">
        <w:t>(HM Government, 2018)</w:t>
      </w:r>
      <w:r w:rsidRPr="00E5505F">
        <w:t>. The Working Together to Safeguard Children 2018 directive</w:t>
      </w:r>
      <w:r w:rsidR="00A11E59">
        <w:t xml:space="preserve"> </w:t>
      </w:r>
      <w:r w:rsidRPr="00E5505F">
        <w:t xml:space="preserve">is instrumental in guiding how organisations and professionals should cooperate to safeguard children. Moreover, the </w:t>
      </w:r>
      <w:r w:rsidRPr="00E5505F">
        <w:lastRenderedPageBreak/>
        <w:t>Safeguarding Vulnerable Groups Act 2006 emphasises the necessity of barring unsuitable individuals from working with children and vulnerable adults</w:t>
      </w:r>
      <w:r w:rsidR="00A11E59">
        <w:t xml:space="preserve"> </w:t>
      </w:r>
      <w:r w:rsidR="00A11E59" w:rsidRPr="00A11E59">
        <w:t xml:space="preserve">(Griffith and </w:t>
      </w:r>
      <w:proofErr w:type="spellStart"/>
      <w:r w:rsidR="00A11E59" w:rsidRPr="00A11E59">
        <w:t>Tengnah</w:t>
      </w:r>
      <w:proofErr w:type="spellEnd"/>
      <w:r w:rsidR="00A11E59" w:rsidRPr="00A11E59">
        <w:t>, 2009)</w:t>
      </w:r>
      <w:r w:rsidRPr="00E5505F">
        <w:t>.</w:t>
      </w:r>
    </w:p>
    <w:p w14:paraId="1808D2A8" w14:textId="6055CD1D" w:rsidR="00E5505F" w:rsidRPr="00E5505F" w:rsidRDefault="00E5505F" w:rsidP="006A3730">
      <w:pPr>
        <w:pStyle w:val="Heading1"/>
      </w:pPr>
      <w:bookmarkStart w:id="9" w:name="_Toc143216479"/>
      <w:r w:rsidRPr="00E5505F">
        <w:t xml:space="preserve">9. </w:t>
      </w:r>
      <w:r w:rsidR="005F5B22">
        <w:t xml:space="preserve">Relevant </w:t>
      </w:r>
      <w:r w:rsidRPr="00E5505F">
        <w:t xml:space="preserve">Theories </w:t>
      </w:r>
      <w:r w:rsidR="005F5B22">
        <w:t xml:space="preserve">for </w:t>
      </w:r>
      <w:r w:rsidRPr="00E5505F">
        <w:t>Guiding Interventions</w:t>
      </w:r>
      <w:bookmarkEnd w:id="9"/>
    </w:p>
    <w:p w14:paraId="258643FC" w14:textId="06DD12FD" w:rsidR="00E5505F" w:rsidRPr="00E5505F" w:rsidRDefault="00E5505F" w:rsidP="00E5505F">
      <w:r w:rsidRPr="00E5505F">
        <w:t xml:space="preserve">Bronfenbrenner’s </w:t>
      </w:r>
      <w:r w:rsidR="005F279D" w:rsidRPr="00E5505F">
        <w:t>(1979)</w:t>
      </w:r>
      <w:r w:rsidR="005F279D">
        <w:t xml:space="preserve"> </w:t>
      </w:r>
      <w:r w:rsidRPr="00E5505F">
        <w:t>Ecological Systems Theory offers a profound understanding of how environmental systems influence individual development. Such a perspective drives the importance of a holistic approach to safeguarding. Healy</w:t>
      </w:r>
      <w:r w:rsidR="00C91F0C">
        <w:t>’</w:t>
      </w:r>
      <w:r w:rsidRPr="00E5505F">
        <w:t xml:space="preserve">s (2014) strengths-based approach further complements this, urging professionals to harness the strengths within families and communities to address challenges. A complementary theory in safeguarding children is Attachment Theory, proposed by </w:t>
      </w:r>
      <w:r w:rsidR="00595817" w:rsidRPr="00595817">
        <w:t>Bowlby (1969)</w:t>
      </w:r>
      <w:r w:rsidRPr="00E5505F">
        <w:t>, which highlights the importance of early relationships and their impact on a child</w:t>
      </w:r>
      <w:r w:rsidR="00C91F0C">
        <w:t>’</w:t>
      </w:r>
      <w:r w:rsidRPr="00E5505F">
        <w:t>s emotional and social development. This theory emphasises the significance of forming secure attachments, thereby guiding social service interventions to promote stable familial environments.</w:t>
      </w:r>
    </w:p>
    <w:p w14:paraId="2AEAE2EE" w14:textId="27F779A7" w:rsidR="00E5505F" w:rsidRPr="00E5505F" w:rsidRDefault="00E5505F" w:rsidP="006A3730">
      <w:pPr>
        <w:pStyle w:val="Heading1"/>
      </w:pPr>
      <w:bookmarkStart w:id="10" w:name="_Toc143216480"/>
      <w:r w:rsidRPr="00E5505F">
        <w:t>10. Conclusion and Recommendations</w:t>
      </w:r>
      <w:bookmarkEnd w:id="10"/>
    </w:p>
    <w:p w14:paraId="292BB54B" w14:textId="37FB8A4F" w:rsidR="00830244" w:rsidRDefault="00E5505F" w:rsidP="00B67448">
      <w:r w:rsidRPr="00E5505F">
        <w:t xml:space="preserve">The Stockport case exemplifies the paramount importance of multi-layered interventions in safeguarding endeavours. Recommendations include refining professional training modules to </w:t>
      </w:r>
      <w:r w:rsidR="00C91F0C">
        <w:t>recognise early warning signs better</w:t>
      </w:r>
      <w:r w:rsidRPr="00E5505F">
        <w:t>, ensuring fluid inter-agency cooperation, and anchoring children</w:t>
      </w:r>
      <w:r w:rsidR="00C91F0C">
        <w:t>’</w:t>
      </w:r>
      <w:r w:rsidRPr="00E5505F">
        <w:t>s voices in intervention strategies. The significance of research and theories, such as Attachment Theory, in shaping these interventions cannot be overstated. The combined efforts of legislative actions and theory-driven practice will undeniably lead to improved outcomes for vulnerable children and families</w:t>
      </w:r>
      <w:r w:rsidR="005F3FAE">
        <w:t xml:space="preserve"> </w:t>
      </w:r>
      <w:r w:rsidR="005F3FAE" w:rsidRPr="005F3FAE">
        <w:t>(Munro, 2011)</w:t>
      </w:r>
      <w:r w:rsidRPr="00E5505F">
        <w:t>.</w:t>
      </w:r>
    </w:p>
    <w:p w14:paraId="28A85B9D" w14:textId="5DCF6D2D" w:rsidR="00830244" w:rsidRDefault="00830244"/>
    <w:p w14:paraId="799C3AB3" w14:textId="7984DFAF" w:rsidR="00830244" w:rsidRDefault="00830244"/>
    <w:p w14:paraId="798623BF" w14:textId="2A165B3C" w:rsidR="00830244" w:rsidRDefault="00830244"/>
    <w:p w14:paraId="36B6E896" w14:textId="22058987" w:rsidR="00830244" w:rsidRDefault="00830244"/>
    <w:p w14:paraId="044A7368" w14:textId="77777777" w:rsidR="00B67448" w:rsidRDefault="00B67448">
      <w:pPr>
        <w:sectPr w:rsidR="00B67448" w:rsidSect="006E2CD1">
          <w:footerReference w:type="default" r:id="rId8"/>
          <w:pgSz w:w="11906" w:h="16838"/>
          <w:pgMar w:top="1440" w:right="1440" w:bottom="1440" w:left="1440" w:header="720" w:footer="720" w:gutter="0"/>
          <w:pgNumType w:start="1"/>
          <w:cols w:space="720"/>
          <w:docGrid w:linePitch="360"/>
        </w:sectPr>
      </w:pPr>
    </w:p>
    <w:p w14:paraId="4979BB03" w14:textId="381E93AC" w:rsidR="00830244" w:rsidRDefault="00B67448" w:rsidP="00122880">
      <w:pPr>
        <w:pStyle w:val="Heading1"/>
      </w:pPr>
      <w:bookmarkStart w:id="11" w:name="_Toc143216481"/>
      <w:r>
        <w:lastRenderedPageBreak/>
        <w:t>Bibliography</w:t>
      </w:r>
      <w:bookmarkEnd w:id="11"/>
    </w:p>
    <w:p w14:paraId="7D49294C" w14:textId="77777777" w:rsidR="0095037A" w:rsidRPr="0095037A" w:rsidRDefault="0095037A" w:rsidP="0095037A">
      <w:pPr>
        <w:ind w:left="720" w:hanging="720"/>
        <w:jc w:val="left"/>
      </w:pPr>
      <w:r w:rsidRPr="0095037A">
        <w:t xml:space="preserve">Bowlby, J. (1969). </w:t>
      </w:r>
      <w:r w:rsidRPr="0095037A">
        <w:rPr>
          <w:i/>
          <w:iCs/>
        </w:rPr>
        <w:t>Attachment and Loss, Vol. 1: Attachment</w:t>
      </w:r>
      <w:r w:rsidRPr="0095037A">
        <w:t>. New York, NY: Basic Books.</w:t>
      </w:r>
    </w:p>
    <w:p w14:paraId="7AC23D7F" w14:textId="77777777" w:rsidR="0095037A" w:rsidRPr="0095037A" w:rsidRDefault="0095037A" w:rsidP="0095037A">
      <w:pPr>
        <w:ind w:left="720" w:hanging="720"/>
        <w:jc w:val="left"/>
      </w:pPr>
      <w:r w:rsidRPr="0095037A">
        <w:t xml:space="preserve">Bronfenbrenner, U. (1979). </w:t>
      </w:r>
      <w:r w:rsidRPr="0095037A">
        <w:rPr>
          <w:i/>
          <w:iCs/>
        </w:rPr>
        <w:t>Ecology of Human Development: Experiments by Nature and Design</w:t>
      </w:r>
      <w:r w:rsidRPr="0095037A">
        <w:t>. Boston, MA: Harvard University Press.</w:t>
      </w:r>
    </w:p>
    <w:p w14:paraId="08BE18C4" w14:textId="77777777" w:rsidR="0095037A" w:rsidRPr="0095037A" w:rsidRDefault="0095037A" w:rsidP="0095037A">
      <w:pPr>
        <w:ind w:left="720" w:hanging="720"/>
        <w:jc w:val="left"/>
      </w:pPr>
      <w:r w:rsidRPr="0095037A">
        <w:t xml:space="preserve">DFE (2021). </w:t>
      </w:r>
      <w:r w:rsidRPr="0095037A">
        <w:rPr>
          <w:i/>
          <w:iCs/>
        </w:rPr>
        <w:t>The Children Act 1989 Guidance and Regulations - Volume 2: Care Planning, Placement and Case Review</w:t>
      </w:r>
      <w:r w:rsidRPr="0095037A">
        <w:t xml:space="preserve">. [online] </w:t>
      </w:r>
      <w:r w:rsidRPr="0095037A">
        <w:rPr>
          <w:i/>
          <w:iCs/>
        </w:rPr>
        <w:t>Department for Education</w:t>
      </w:r>
      <w:r w:rsidRPr="0095037A">
        <w:t>. Available at: https://assets.publishing.service.gov.uk/government/uploads/system/uploads/attachment_data/file/1000549/The_Children_Act_1989_guidance_and_regulations_Volume_2_care_planning__placement_and_case_review.pdf [Accessed 15 Aug. 2023].</w:t>
      </w:r>
    </w:p>
    <w:p w14:paraId="7FC8D2C4" w14:textId="77777777" w:rsidR="0095037A" w:rsidRPr="0095037A" w:rsidRDefault="0095037A" w:rsidP="0095037A">
      <w:pPr>
        <w:ind w:left="720" w:hanging="720"/>
        <w:jc w:val="left"/>
      </w:pPr>
      <w:r w:rsidRPr="0095037A">
        <w:t xml:space="preserve">Griffith, R. and </w:t>
      </w:r>
      <w:proofErr w:type="spellStart"/>
      <w:r w:rsidRPr="0095037A">
        <w:t>Tengnah</w:t>
      </w:r>
      <w:proofErr w:type="spellEnd"/>
      <w:r w:rsidRPr="0095037A">
        <w:t xml:space="preserve">, C. (2009). Understanding the Safeguarding Vulnerable Groups Act 2006. </w:t>
      </w:r>
      <w:r w:rsidRPr="0095037A">
        <w:rPr>
          <w:i/>
          <w:iCs/>
        </w:rPr>
        <w:t>British Journal of Community Nursing</w:t>
      </w:r>
      <w:r w:rsidRPr="0095037A">
        <w:t>, 14(7), pp.309–313.</w:t>
      </w:r>
    </w:p>
    <w:p w14:paraId="564AB8EA" w14:textId="77777777" w:rsidR="0095037A" w:rsidRPr="0095037A" w:rsidRDefault="0095037A" w:rsidP="0095037A">
      <w:pPr>
        <w:ind w:left="720" w:hanging="720"/>
        <w:jc w:val="left"/>
      </w:pPr>
      <w:r w:rsidRPr="0095037A">
        <w:t xml:space="preserve">Healy, K. (2014). </w:t>
      </w:r>
      <w:r w:rsidRPr="0095037A">
        <w:rPr>
          <w:i/>
          <w:iCs/>
        </w:rPr>
        <w:t>Social Work Theories in Context: Creating Frameworks for Practice</w:t>
      </w:r>
      <w:r w:rsidRPr="0095037A">
        <w:t>. 2nd ed. New York, NY: Palgrave Macmillan.</w:t>
      </w:r>
    </w:p>
    <w:p w14:paraId="0BA4D1D6" w14:textId="77777777" w:rsidR="0095037A" w:rsidRPr="0095037A" w:rsidRDefault="0095037A" w:rsidP="0095037A">
      <w:pPr>
        <w:ind w:left="720" w:hanging="720"/>
        <w:jc w:val="left"/>
      </w:pPr>
      <w:r w:rsidRPr="0095037A">
        <w:t xml:space="preserve">HM Government (2018). </w:t>
      </w:r>
      <w:r w:rsidRPr="0095037A">
        <w:rPr>
          <w:i/>
          <w:iCs/>
        </w:rPr>
        <w:t>Working Together to Safeguard Children</w:t>
      </w:r>
      <w:r w:rsidRPr="0095037A">
        <w:t>. [online] Available at: https://assets.publishing.service.gov.uk/government/uploads/system/uploads/attachment_data/file/942455/Working_together_to_safeguard_children_Statutory_framework_legislation_relevant_to_safeguarding_and_promoting_the_welfare_of_children.pdf [Accessed 18 Aug. 2023].</w:t>
      </w:r>
    </w:p>
    <w:p w14:paraId="4D12B6A3" w14:textId="77777777" w:rsidR="0095037A" w:rsidRPr="0095037A" w:rsidRDefault="0095037A" w:rsidP="0095037A">
      <w:pPr>
        <w:ind w:left="720" w:hanging="720"/>
        <w:jc w:val="left"/>
      </w:pPr>
      <w:r w:rsidRPr="0095037A">
        <w:t xml:space="preserve">MHCLG (2014). </w:t>
      </w:r>
      <w:r w:rsidRPr="0095037A">
        <w:rPr>
          <w:i/>
          <w:iCs/>
        </w:rPr>
        <w:t>Case Study - Troubled Families: Stockport</w:t>
      </w:r>
      <w:r w:rsidRPr="0095037A">
        <w:t>. [online] Ministry of Housing, Communities &amp; Local Government. Available at: https://www.gov.uk/government/case-studies/troubled-families-stockport [Accessed 28 Jul. 2023].</w:t>
      </w:r>
    </w:p>
    <w:p w14:paraId="61F57862" w14:textId="77777777" w:rsidR="0095037A" w:rsidRPr="0095037A" w:rsidRDefault="0095037A" w:rsidP="0095037A">
      <w:pPr>
        <w:ind w:left="720" w:hanging="720"/>
        <w:jc w:val="left"/>
      </w:pPr>
      <w:r w:rsidRPr="0095037A">
        <w:t xml:space="preserve">Munro, E. (2011). </w:t>
      </w:r>
      <w:r w:rsidRPr="0095037A">
        <w:rPr>
          <w:i/>
          <w:iCs/>
        </w:rPr>
        <w:t>The Munro Review of Child Protection: Final Report</w:t>
      </w:r>
      <w:r w:rsidRPr="0095037A">
        <w:t xml:space="preserve">. [online] </w:t>
      </w:r>
      <w:r w:rsidRPr="0095037A">
        <w:rPr>
          <w:i/>
          <w:iCs/>
        </w:rPr>
        <w:t>Department for Education</w:t>
      </w:r>
      <w:r w:rsidRPr="0095037A">
        <w:t>. Available at: https://assets.publishing.service.gov.uk/government/uploads/system/uploads/attachment_data/file/175391/Munro-Review.pdf [Accessed 15 Aug. 2023].</w:t>
      </w:r>
    </w:p>
    <w:p w14:paraId="7CA80E5D" w14:textId="563BF979" w:rsidR="00830244" w:rsidRDefault="00830244" w:rsidP="0095037A">
      <w:pPr>
        <w:ind w:left="720" w:hanging="720"/>
        <w:jc w:val="left"/>
      </w:pPr>
    </w:p>
    <w:p w14:paraId="55DE822E" w14:textId="5434F5C7" w:rsidR="00830244" w:rsidRDefault="00830244" w:rsidP="0095037A">
      <w:pPr>
        <w:ind w:left="720" w:hanging="720"/>
        <w:jc w:val="left"/>
      </w:pPr>
    </w:p>
    <w:p w14:paraId="5E1065FD" w14:textId="77777777" w:rsidR="00830244" w:rsidRDefault="00830244" w:rsidP="0095037A">
      <w:pPr>
        <w:ind w:left="720" w:hanging="720"/>
        <w:jc w:val="left"/>
      </w:pPr>
    </w:p>
    <w:sectPr w:rsidR="00830244" w:rsidSect="00E975D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96E16B" w14:textId="77777777" w:rsidR="00CA39B3" w:rsidRDefault="00CA39B3" w:rsidP="006E2CD1">
      <w:pPr>
        <w:spacing w:after="0" w:line="240" w:lineRule="auto"/>
      </w:pPr>
      <w:r>
        <w:separator/>
      </w:r>
    </w:p>
  </w:endnote>
  <w:endnote w:type="continuationSeparator" w:id="0">
    <w:p w14:paraId="5B3F4365" w14:textId="77777777" w:rsidR="00CA39B3" w:rsidRDefault="00CA39B3" w:rsidP="006E2C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8806510"/>
      <w:docPartObj>
        <w:docPartGallery w:val="Page Numbers (Bottom of Page)"/>
        <w:docPartUnique/>
      </w:docPartObj>
    </w:sdtPr>
    <w:sdtContent>
      <w:p w14:paraId="5D4FA986" w14:textId="0836D364" w:rsidR="006E2CD1" w:rsidRDefault="006E2CD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FC341C9" w14:textId="77777777" w:rsidR="006E2CD1" w:rsidRDefault="006E2C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0F743" w14:textId="77777777" w:rsidR="00CA39B3" w:rsidRDefault="00CA39B3" w:rsidP="006E2CD1">
      <w:pPr>
        <w:spacing w:after="0" w:line="240" w:lineRule="auto"/>
      </w:pPr>
      <w:r>
        <w:separator/>
      </w:r>
    </w:p>
  </w:footnote>
  <w:footnote w:type="continuationSeparator" w:id="0">
    <w:p w14:paraId="10133D44" w14:textId="77777777" w:rsidR="00CA39B3" w:rsidRDefault="00CA39B3" w:rsidP="006E2C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75ED2"/>
    <w:multiLevelType w:val="multilevel"/>
    <w:tmpl w:val="DB54A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016CD1"/>
    <w:multiLevelType w:val="multilevel"/>
    <w:tmpl w:val="C776A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42725A"/>
    <w:multiLevelType w:val="multilevel"/>
    <w:tmpl w:val="5D924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00845509">
    <w:abstractNumId w:val="2"/>
  </w:num>
  <w:num w:numId="2" w16cid:durableId="2124375515">
    <w:abstractNumId w:val="1"/>
  </w:num>
  <w:num w:numId="3" w16cid:durableId="20553474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3M7U0MTazNDQ0NDZR0lEKTi0uzszPAykwrAUAD6IDviwAAAA="/>
  </w:docVars>
  <w:rsids>
    <w:rsidRoot w:val="00320782"/>
    <w:rsid w:val="000048AE"/>
    <w:rsid w:val="000F332C"/>
    <w:rsid w:val="001036DF"/>
    <w:rsid w:val="00122880"/>
    <w:rsid w:val="00197307"/>
    <w:rsid w:val="001D6B0E"/>
    <w:rsid w:val="00236D37"/>
    <w:rsid w:val="0026186E"/>
    <w:rsid w:val="00320782"/>
    <w:rsid w:val="003C07BD"/>
    <w:rsid w:val="004A5553"/>
    <w:rsid w:val="004E5919"/>
    <w:rsid w:val="00546310"/>
    <w:rsid w:val="00590ECB"/>
    <w:rsid w:val="005936A1"/>
    <w:rsid w:val="00595817"/>
    <w:rsid w:val="005D77DF"/>
    <w:rsid w:val="005F279D"/>
    <w:rsid w:val="005F3FAE"/>
    <w:rsid w:val="005F5B22"/>
    <w:rsid w:val="00655A6A"/>
    <w:rsid w:val="00663AA6"/>
    <w:rsid w:val="00687B0A"/>
    <w:rsid w:val="006A3730"/>
    <w:rsid w:val="006B044E"/>
    <w:rsid w:val="006E2CD1"/>
    <w:rsid w:val="006F3882"/>
    <w:rsid w:val="007233EA"/>
    <w:rsid w:val="007377AD"/>
    <w:rsid w:val="00830244"/>
    <w:rsid w:val="00900A4B"/>
    <w:rsid w:val="009038CE"/>
    <w:rsid w:val="00924F42"/>
    <w:rsid w:val="0095037A"/>
    <w:rsid w:val="009D1C43"/>
    <w:rsid w:val="009D7085"/>
    <w:rsid w:val="009E6CCF"/>
    <w:rsid w:val="00A0411F"/>
    <w:rsid w:val="00A11E59"/>
    <w:rsid w:val="00A41088"/>
    <w:rsid w:val="00A44C4F"/>
    <w:rsid w:val="00A459F5"/>
    <w:rsid w:val="00AA0010"/>
    <w:rsid w:val="00AA38C1"/>
    <w:rsid w:val="00AD55C2"/>
    <w:rsid w:val="00B67448"/>
    <w:rsid w:val="00BA4298"/>
    <w:rsid w:val="00BD4C0C"/>
    <w:rsid w:val="00C91F0C"/>
    <w:rsid w:val="00CA39B3"/>
    <w:rsid w:val="00CB5E44"/>
    <w:rsid w:val="00CF35DB"/>
    <w:rsid w:val="00D25233"/>
    <w:rsid w:val="00D94275"/>
    <w:rsid w:val="00DC48B9"/>
    <w:rsid w:val="00DE0657"/>
    <w:rsid w:val="00E5505F"/>
    <w:rsid w:val="00E55BFC"/>
    <w:rsid w:val="00E975DE"/>
    <w:rsid w:val="00ED322A"/>
    <w:rsid w:val="00F75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226D5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0244"/>
    <w:pPr>
      <w:spacing w:after="120" w:line="360" w:lineRule="auto"/>
      <w:jc w:val="both"/>
    </w:pPr>
    <w:rPr>
      <w:rFonts w:ascii="Arial" w:hAnsi="Arial"/>
    </w:rPr>
  </w:style>
  <w:style w:type="paragraph" w:styleId="Heading1">
    <w:name w:val="heading 1"/>
    <w:basedOn w:val="Normal"/>
    <w:next w:val="Normal"/>
    <w:link w:val="Heading1Char"/>
    <w:uiPriority w:val="9"/>
    <w:qFormat/>
    <w:rsid w:val="005F5B22"/>
    <w:pPr>
      <w:keepNext/>
      <w:keepLines/>
      <w:outlineLvl w:val="0"/>
    </w:pPr>
    <w:rPr>
      <w:rFonts w:ascii="Trebuchet MS" w:eastAsiaTheme="majorEastAsia" w:hAnsi="Trebuchet MS" w:cstheme="majorBidi"/>
      <w:b/>
      <w:color w:val="2E74B5" w:themeColor="accent5" w:themeShade="BF"/>
      <w:sz w:val="24"/>
      <w:szCs w:val="32"/>
    </w:rPr>
  </w:style>
  <w:style w:type="paragraph" w:styleId="Heading2">
    <w:name w:val="heading 2"/>
    <w:basedOn w:val="Normal"/>
    <w:next w:val="Normal"/>
    <w:link w:val="Heading2Char"/>
    <w:uiPriority w:val="9"/>
    <w:unhideWhenUsed/>
    <w:qFormat/>
    <w:rsid w:val="00A44C4F"/>
    <w:pPr>
      <w:keepNext/>
      <w:keepLines/>
      <w:outlineLvl w:val="1"/>
    </w:pPr>
    <w:rPr>
      <w:rFonts w:ascii="Trebuchet MS" w:eastAsiaTheme="majorEastAsia" w:hAnsi="Trebuchet MS" w:cstheme="majorBidi"/>
      <w:b/>
      <w:color w:val="538135" w:themeColor="accent6" w:themeShade="BF"/>
      <w:sz w:val="28"/>
      <w:szCs w:val="26"/>
    </w:rPr>
  </w:style>
  <w:style w:type="paragraph" w:styleId="Heading3">
    <w:name w:val="heading 3"/>
    <w:basedOn w:val="Normal"/>
    <w:next w:val="Normal"/>
    <w:link w:val="Heading3Char"/>
    <w:uiPriority w:val="9"/>
    <w:unhideWhenUsed/>
    <w:qFormat/>
    <w:rsid w:val="00A44C4F"/>
    <w:pPr>
      <w:keepNext/>
      <w:keepLines/>
      <w:outlineLvl w:val="2"/>
    </w:pPr>
    <w:rPr>
      <w:rFonts w:ascii="Trebuchet MS" w:eastAsiaTheme="majorEastAsia" w:hAnsi="Trebuchet MS" w:cstheme="majorBidi"/>
      <w:b/>
      <w:color w:val="7030A0"/>
      <w:szCs w:val="24"/>
    </w:rPr>
  </w:style>
  <w:style w:type="paragraph" w:styleId="Heading4">
    <w:name w:val="heading 4"/>
    <w:basedOn w:val="Normal"/>
    <w:next w:val="Normal"/>
    <w:link w:val="Heading4Char"/>
    <w:uiPriority w:val="9"/>
    <w:semiHidden/>
    <w:unhideWhenUsed/>
    <w:qFormat/>
    <w:rsid w:val="00663AA6"/>
    <w:pPr>
      <w:keepNext/>
      <w:keepLines/>
      <w:outlineLvl w:val="3"/>
    </w:pPr>
    <w:rPr>
      <w:rFonts w:ascii="Trebuchet MS" w:eastAsiaTheme="majorEastAsia" w:hAnsi="Trebuchet MS"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5B22"/>
    <w:rPr>
      <w:rFonts w:ascii="Trebuchet MS" w:eastAsiaTheme="majorEastAsia" w:hAnsi="Trebuchet MS" w:cstheme="majorBidi"/>
      <w:b/>
      <w:color w:val="2E74B5" w:themeColor="accent5" w:themeShade="BF"/>
      <w:sz w:val="24"/>
      <w:szCs w:val="32"/>
    </w:rPr>
  </w:style>
  <w:style w:type="character" w:customStyle="1" w:styleId="Heading2Char">
    <w:name w:val="Heading 2 Char"/>
    <w:basedOn w:val="DefaultParagraphFont"/>
    <w:link w:val="Heading2"/>
    <w:uiPriority w:val="9"/>
    <w:rsid w:val="00A44C4F"/>
    <w:rPr>
      <w:rFonts w:ascii="Trebuchet MS" w:eastAsiaTheme="majorEastAsia" w:hAnsi="Trebuchet MS" w:cstheme="majorBidi"/>
      <w:b/>
      <w:color w:val="538135" w:themeColor="accent6" w:themeShade="BF"/>
      <w:sz w:val="28"/>
      <w:szCs w:val="26"/>
    </w:rPr>
  </w:style>
  <w:style w:type="character" w:customStyle="1" w:styleId="Heading3Char">
    <w:name w:val="Heading 3 Char"/>
    <w:basedOn w:val="DefaultParagraphFont"/>
    <w:link w:val="Heading3"/>
    <w:uiPriority w:val="9"/>
    <w:rsid w:val="00A44C4F"/>
    <w:rPr>
      <w:rFonts w:ascii="Trebuchet MS" w:eastAsiaTheme="majorEastAsia" w:hAnsi="Trebuchet MS" w:cstheme="majorBidi"/>
      <w:b/>
      <w:color w:val="7030A0"/>
      <w:sz w:val="24"/>
      <w:szCs w:val="24"/>
    </w:rPr>
  </w:style>
  <w:style w:type="character" w:customStyle="1" w:styleId="Heading4Char">
    <w:name w:val="Heading 4 Char"/>
    <w:basedOn w:val="DefaultParagraphFont"/>
    <w:link w:val="Heading4"/>
    <w:uiPriority w:val="9"/>
    <w:semiHidden/>
    <w:rsid w:val="00663AA6"/>
    <w:rPr>
      <w:rFonts w:ascii="Trebuchet MS" w:eastAsiaTheme="majorEastAsia" w:hAnsi="Trebuchet MS" w:cstheme="majorBidi"/>
      <w:i/>
      <w:iCs/>
      <w:sz w:val="24"/>
    </w:rPr>
  </w:style>
  <w:style w:type="character" w:styleId="Hyperlink">
    <w:name w:val="Hyperlink"/>
    <w:basedOn w:val="DefaultParagraphFont"/>
    <w:uiPriority w:val="99"/>
    <w:unhideWhenUsed/>
    <w:rsid w:val="00830244"/>
    <w:rPr>
      <w:color w:val="0563C1" w:themeColor="hyperlink"/>
      <w:u w:val="single"/>
    </w:rPr>
  </w:style>
  <w:style w:type="character" w:styleId="UnresolvedMention">
    <w:name w:val="Unresolved Mention"/>
    <w:basedOn w:val="DefaultParagraphFont"/>
    <w:uiPriority w:val="99"/>
    <w:semiHidden/>
    <w:unhideWhenUsed/>
    <w:rsid w:val="00830244"/>
    <w:rPr>
      <w:color w:val="605E5C"/>
      <w:shd w:val="clear" w:color="auto" w:fill="E1DFDD"/>
    </w:rPr>
  </w:style>
  <w:style w:type="character" w:styleId="LineNumber">
    <w:name w:val="line number"/>
    <w:basedOn w:val="DefaultParagraphFont"/>
    <w:uiPriority w:val="99"/>
    <w:semiHidden/>
    <w:unhideWhenUsed/>
    <w:rsid w:val="00830244"/>
  </w:style>
  <w:style w:type="paragraph" w:styleId="Header">
    <w:name w:val="header"/>
    <w:basedOn w:val="Normal"/>
    <w:link w:val="HeaderChar"/>
    <w:uiPriority w:val="99"/>
    <w:unhideWhenUsed/>
    <w:rsid w:val="006E2C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CD1"/>
    <w:rPr>
      <w:rFonts w:ascii="Arial" w:hAnsi="Arial"/>
    </w:rPr>
  </w:style>
  <w:style w:type="paragraph" w:styleId="Footer">
    <w:name w:val="footer"/>
    <w:basedOn w:val="Normal"/>
    <w:link w:val="FooterChar"/>
    <w:uiPriority w:val="99"/>
    <w:unhideWhenUsed/>
    <w:rsid w:val="006E2C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CD1"/>
    <w:rPr>
      <w:rFonts w:ascii="Arial" w:hAnsi="Arial"/>
    </w:rPr>
  </w:style>
  <w:style w:type="paragraph" w:styleId="TOC1">
    <w:name w:val="toc 1"/>
    <w:basedOn w:val="Normal"/>
    <w:next w:val="Normal"/>
    <w:autoRedefine/>
    <w:uiPriority w:val="39"/>
    <w:unhideWhenUsed/>
    <w:rsid w:val="00BA4298"/>
    <w:pPr>
      <w:spacing w:before="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A4298"/>
    <w:pPr>
      <w:spacing w:after="0"/>
      <w:ind w:left="22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BA4298"/>
    <w:pPr>
      <w:spacing w:after="0"/>
      <w:ind w:left="44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BA4298"/>
    <w:pPr>
      <w:spacing w:after="0"/>
      <w:ind w:left="66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BA4298"/>
    <w:pPr>
      <w:spacing w:after="0"/>
      <w:ind w:left="88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BA4298"/>
    <w:pPr>
      <w:spacing w:after="0"/>
      <w:ind w:left="11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BA4298"/>
    <w:pPr>
      <w:spacing w:after="0"/>
      <w:ind w:left="132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BA4298"/>
    <w:pPr>
      <w:spacing w:after="0"/>
      <w:ind w:left="154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BA4298"/>
    <w:pPr>
      <w:spacing w:after="0"/>
      <w:ind w:left="176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980096">
      <w:bodyDiv w:val="1"/>
      <w:marLeft w:val="0"/>
      <w:marRight w:val="0"/>
      <w:marTop w:val="0"/>
      <w:marBottom w:val="0"/>
      <w:divBdr>
        <w:top w:val="none" w:sz="0" w:space="0" w:color="auto"/>
        <w:left w:val="none" w:sz="0" w:space="0" w:color="auto"/>
        <w:bottom w:val="none" w:sz="0" w:space="0" w:color="auto"/>
        <w:right w:val="none" w:sz="0" w:space="0" w:color="auto"/>
      </w:divBdr>
    </w:div>
    <w:div w:id="535584157">
      <w:bodyDiv w:val="1"/>
      <w:marLeft w:val="0"/>
      <w:marRight w:val="0"/>
      <w:marTop w:val="0"/>
      <w:marBottom w:val="0"/>
      <w:divBdr>
        <w:top w:val="none" w:sz="0" w:space="0" w:color="auto"/>
        <w:left w:val="none" w:sz="0" w:space="0" w:color="auto"/>
        <w:bottom w:val="none" w:sz="0" w:space="0" w:color="auto"/>
        <w:right w:val="none" w:sz="0" w:space="0" w:color="auto"/>
      </w:divBdr>
      <w:divsChild>
        <w:div w:id="8607047">
          <w:marLeft w:val="0"/>
          <w:marRight w:val="0"/>
          <w:marTop w:val="0"/>
          <w:marBottom w:val="0"/>
          <w:divBdr>
            <w:top w:val="none" w:sz="0" w:space="0" w:color="auto"/>
            <w:left w:val="none" w:sz="0" w:space="0" w:color="auto"/>
            <w:bottom w:val="none" w:sz="0" w:space="0" w:color="auto"/>
            <w:right w:val="none" w:sz="0" w:space="0" w:color="auto"/>
          </w:divBdr>
        </w:div>
      </w:divsChild>
    </w:div>
    <w:div w:id="772282009">
      <w:bodyDiv w:val="1"/>
      <w:marLeft w:val="0"/>
      <w:marRight w:val="0"/>
      <w:marTop w:val="0"/>
      <w:marBottom w:val="0"/>
      <w:divBdr>
        <w:top w:val="none" w:sz="0" w:space="0" w:color="auto"/>
        <w:left w:val="none" w:sz="0" w:space="0" w:color="auto"/>
        <w:bottom w:val="none" w:sz="0" w:space="0" w:color="auto"/>
        <w:right w:val="none" w:sz="0" w:space="0" w:color="auto"/>
      </w:divBdr>
    </w:div>
    <w:div w:id="1400054434">
      <w:bodyDiv w:val="1"/>
      <w:marLeft w:val="0"/>
      <w:marRight w:val="0"/>
      <w:marTop w:val="0"/>
      <w:marBottom w:val="0"/>
      <w:divBdr>
        <w:top w:val="none" w:sz="0" w:space="0" w:color="auto"/>
        <w:left w:val="none" w:sz="0" w:space="0" w:color="auto"/>
        <w:bottom w:val="none" w:sz="0" w:space="0" w:color="auto"/>
        <w:right w:val="none" w:sz="0" w:space="0" w:color="auto"/>
      </w:divBdr>
    </w:div>
    <w:div w:id="1526940302">
      <w:bodyDiv w:val="1"/>
      <w:marLeft w:val="0"/>
      <w:marRight w:val="0"/>
      <w:marTop w:val="0"/>
      <w:marBottom w:val="0"/>
      <w:divBdr>
        <w:top w:val="none" w:sz="0" w:space="0" w:color="auto"/>
        <w:left w:val="none" w:sz="0" w:space="0" w:color="auto"/>
        <w:bottom w:val="none" w:sz="0" w:space="0" w:color="auto"/>
        <w:right w:val="none" w:sz="0" w:space="0" w:color="auto"/>
      </w:divBdr>
    </w:div>
    <w:div w:id="202350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26"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BB9E380-C9C9-4D83-820A-173766F2BF63}">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F2E5E-367D-4AE1-A6C4-5D84000D3D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1473</Words>
  <Characters>8399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2023-08-21T21:36:00Z</dcterms:created>
  <dcterms:modified xsi:type="dcterms:W3CDTF">2023-08-21T21:36:00Z</dcterms:modified>
  <cp:contentStatus/>
</cp:coreProperties>
</file>