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06AF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AAFA7B6" w14:textId="17912E98" w:rsidR="00B06AFE" w:rsidRDefault="00B06AFE" w:rsidP="00B06AFE">
      <w:pPr>
        <w:ind w:right="107"/>
        <w:jc w:val="both"/>
        <w:rPr>
          <w:sz w:val="24"/>
          <w:szCs w:val="24"/>
        </w:rPr>
      </w:pPr>
      <w:r w:rsidRPr="00B06AFE">
        <w:rPr>
          <w:sz w:val="24"/>
          <w:szCs w:val="24"/>
        </w:rPr>
        <w:t>In this essay I will be discussing my initial six months of learning and since being attested as a police constable, I will discuss how I have used several different coping strategies to help me develop my resilience and minimise stress during this period. During my initial six months of training, I frequently went to the gym and socialised with friends and family to help me develop my perseverance and minimise stress that I dealt with during this time. I will be using Borton’s Development framework to aid me in the structure of my work, using this theory it will allow me to reflect on the coping strategies I have used during my training to help me develop resilience and minimise stress (Borton, 1970). Borton’s theory comprises of only three questions what? This will aid me in discusses what issues were at play, the second question is so what? This will allow me to consider what I did next to cope and the third and final question is now what? This will allow me to reflect on what strategies work best for me (Borton, 1970).</w:t>
      </w:r>
    </w:p>
    <w:p w14:paraId="37B53976" w14:textId="77777777" w:rsidR="00B06AFE" w:rsidRPr="00B06AFE" w:rsidRDefault="00B06AFE" w:rsidP="00B06AFE">
      <w:pPr>
        <w:ind w:right="107"/>
        <w:jc w:val="both"/>
        <w:rPr>
          <w:sz w:val="24"/>
          <w:szCs w:val="24"/>
        </w:rPr>
      </w:pPr>
    </w:p>
    <w:p w14:paraId="5FC1BB4B" w14:textId="77777777" w:rsidR="00B06AFE" w:rsidRPr="00B06AFE" w:rsidRDefault="00B06AFE" w:rsidP="00B06AFE">
      <w:pPr>
        <w:ind w:right="107"/>
        <w:jc w:val="both"/>
        <w:rPr>
          <w:sz w:val="24"/>
          <w:szCs w:val="24"/>
        </w:rPr>
      </w:pPr>
      <w:r w:rsidRPr="00B06AFE">
        <w:rPr>
          <w:sz w:val="24"/>
          <w:szCs w:val="24"/>
        </w:rPr>
        <w:t>Using Borton’s first question is what? I must first explain what resilience and stress are. Stress often refers to pressure or strain, stress can affect a person emotionally, physically or psychologically (McEwen &amp; Sapolsky, 2006). During my initial six months of training the stress I experienced was mainly psychological as I was having to balance revising for exams which required good time management as well as performing practical work to be able to be competent and complete my training. Once completing training, I was aware that this stress was not going to minimise as I went out on response and would have to deal with emergency calls as well as workload, so I needed to be able to develop my resilience to cope stress.</w:t>
      </w:r>
    </w:p>
    <w:p w14:paraId="263B25B5" w14:textId="0E997120" w:rsidR="00B06AFE" w:rsidRDefault="00B06AFE" w:rsidP="00B06AFE">
      <w:pPr>
        <w:ind w:right="107"/>
        <w:jc w:val="both"/>
        <w:rPr>
          <w:sz w:val="24"/>
          <w:szCs w:val="24"/>
        </w:rPr>
      </w:pPr>
      <w:r w:rsidRPr="00B06AFE">
        <w:rPr>
          <w:sz w:val="24"/>
          <w:szCs w:val="24"/>
        </w:rPr>
        <w:t xml:space="preserve">The process of successfully navigating, adapting to, or managing substantial causes of stress or trauma is referred to as resilience. This ability to adapt and "bounce back" in the face of hardship is facilitated by resources and assets found within the individual, their life, and their environment (Windle, 2010). Therefore, resilience is imperative in being able to deal with the stress that I endured whilst in training and what I will experience once out on shift. Davydov et al. (2010) explains by developing your resilience it can result in a positive impact on mental health, and that many people who experience stress do not develop mental health issues so resilience could be described as a possible ‘immunity’ to many health conditions such as depression or anxiety some people develop due to stress. </w:t>
      </w:r>
    </w:p>
    <w:p w14:paraId="2F958EB9" w14:textId="77777777" w:rsidR="00B06AFE" w:rsidRPr="00B06AFE" w:rsidRDefault="00B06AFE" w:rsidP="00B06AFE">
      <w:pPr>
        <w:ind w:right="107"/>
        <w:jc w:val="both"/>
        <w:rPr>
          <w:sz w:val="24"/>
          <w:szCs w:val="24"/>
        </w:rPr>
      </w:pPr>
    </w:p>
    <w:p w14:paraId="46225517" w14:textId="75990298" w:rsidR="00B06AFE" w:rsidRDefault="00B06AFE" w:rsidP="00B06AFE">
      <w:pPr>
        <w:ind w:right="107"/>
        <w:jc w:val="both"/>
        <w:rPr>
          <w:sz w:val="24"/>
          <w:szCs w:val="24"/>
        </w:rPr>
      </w:pPr>
      <w:r w:rsidRPr="00B06AFE">
        <w:rPr>
          <w:sz w:val="24"/>
          <w:szCs w:val="24"/>
        </w:rPr>
        <w:t xml:space="preserve">In this next stage of the essay, I will be discussing the so what? section of Borton’s theory such as which different strategies I used to help me build resilience against the stress I dealt with in my initial six months of training. The first strategy I used was exercise, I have been </w:t>
      </w:r>
      <w:r w:rsidRPr="00B06AFE">
        <w:rPr>
          <w:sz w:val="24"/>
          <w:szCs w:val="24"/>
        </w:rPr>
        <w:lastRenderedPageBreak/>
        <w:t xml:space="preserve">going to the gym consistently for around two years before I started training for health purposes mainly focusing on weightlifting. However, once I started training, I realised that I began using the gym to help me deal with the stress and gradually started to incorporate more cardiovascular exercise. I found that whilst at the gym I was able to properly think about what tasks I need to complete whether this be what topics I needed to revise for the exams or what legislation I need to go over before I took part in practical’s. Then after I completed a workout, I felt my head was cleared and I was able to fully focus on the tasks I had set myself. Ekkekakis, (2013) shows support for this effect I felt after exercise as there is evidence that fitness training increases connectivity between regions suggesting that information can be more easily transmitted throughout the brain, resulting in potential benefits and efficient communications. </w:t>
      </w:r>
    </w:p>
    <w:p w14:paraId="0A057656" w14:textId="77777777" w:rsidR="00B06AFE" w:rsidRPr="00B06AFE" w:rsidRDefault="00B06AFE" w:rsidP="00B06AFE">
      <w:pPr>
        <w:ind w:right="107"/>
        <w:jc w:val="both"/>
        <w:rPr>
          <w:sz w:val="24"/>
          <w:szCs w:val="24"/>
        </w:rPr>
      </w:pPr>
    </w:p>
    <w:p w14:paraId="2E272002" w14:textId="0EE50EAD" w:rsidR="00B06AFE" w:rsidRDefault="00B06AFE" w:rsidP="00B06AFE">
      <w:pPr>
        <w:ind w:right="107"/>
        <w:jc w:val="both"/>
        <w:rPr>
          <w:sz w:val="24"/>
          <w:szCs w:val="24"/>
        </w:rPr>
      </w:pPr>
      <w:r w:rsidRPr="00B06AFE">
        <w:rPr>
          <w:sz w:val="24"/>
          <w:szCs w:val="24"/>
        </w:rPr>
        <w:t xml:space="preserve">Another way in which I dealt with the stresses of training was by socialising with friends and family, whilst at the gym I felt like the whole time I was focusing on tasks I needed to complete however socialising with friends and family I was able to take my mind off these stresses completely allowing me to relax properly. A study by Camfield et al, (2007) demonstrates that partnerships are closely connected with subjective well-being. The analysis of their findings confirm that people enjoy interacting with others, which satisfies a need for affiliation, identity, and recreation. As a result, relationships have intrinsic and experiential value. I felt that socialising with friends and family greatly helped with reducing stress and this is supported by findings that concluded whilst socialising with people our brain releases more serotonin which lowers stress level and heightens confidence in our ability to deal with stress (Chaouloff, 2000). By socialising I was able to reach out to others, which temporarily diverted my attention from my own issues and stress levels, I believe this greatly improved my ability to deal with the stress. </w:t>
      </w:r>
    </w:p>
    <w:p w14:paraId="0470C743" w14:textId="77777777" w:rsidR="00B06AFE" w:rsidRPr="00B06AFE" w:rsidRDefault="00B06AFE" w:rsidP="00B06AFE">
      <w:pPr>
        <w:ind w:right="107"/>
        <w:jc w:val="both"/>
        <w:rPr>
          <w:sz w:val="24"/>
          <w:szCs w:val="24"/>
        </w:rPr>
      </w:pPr>
    </w:p>
    <w:p w14:paraId="2E03BF99" w14:textId="77777777" w:rsidR="00B06AFE" w:rsidRPr="00B06AFE" w:rsidRDefault="00B06AFE" w:rsidP="00B06AFE">
      <w:pPr>
        <w:ind w:right="107"/>
        <w:jc w:val="both"/>
        <w:rPr>
          <w:sz w:val="24"/>
          <w:szCs w:val="24"/>
        </w:rPr>
      </w:pPr>
      <w:r w:rsidRPr="00B06AFE">
        <w:rPr>
          <w:sz w:val="24"/>
          <w:szCs w:val="24"/>
        </w:rPr>
        <w:t xml:space="preserve">In conclusion to the essay title, I believe that I was able to develop resilience and minimise stress due to using coping strategies such as exercising and socialising with friends and family. Exercising was crucial in allowing me to properly focus and mentally organise what tasks I need to complete during set time frames which I found greatly useful, and I was able to come out the gym with a clear picture in my head of what I needed to do. However, I believe that whilst exercising was useful, I couldn’t fully detach myself from the stress and relax whilst exercising, this is where socialising massively aided me in being able to rely on close friends and family to help boost my mood and relieve stress by allowing me to take my mind off training. I will continue to exercise and socialise whilst out on response as I believe these coping strategies will be totally transferable and continue to aid me in building resilience and reducing stress. </w:t>
      </w:r>
    </w:p>
    <w:p w14:paraId="17442DE4" w14:textId="77777777" w:rsidR="00B06AFE" w:rsidRDefault="00B06AFE" w:rsidP="00B06AFE">
      <w:pPr>
        <w:ind w:right="107"/>
        <w:jc w:val="both"/>
        <w:rPr>
          <w:sz w:val="24"/>
          <w:szCs w:val="24"/>
        </w:rPr>
      </w:pPr>
    </w:p>
    <w:p w14:paraId="60DA2660" w14:textId="436F134C" w:rsidR="00B06AFE" w:rsidRPr="00B06AFE" w:rsidRDefault="00B06AFE" w:rsidP="00B06AFE">
      <w:pPr>
        <w:ind w:right="107"/>
        <w:jc w:val="both"/>
        <w:rPr>
          <w:sz w:val="24"/>
          <w:szCs w:val="24"/>
        </w:rPr>
      </w:pPr>
      <w:r w:rsidRPr="00B06AFE">
        <w:rPr>
          <w:sz w:val="24"/>
          <w:szCs w:val="24"/>
        </w:rPr>
        <w:t xml:space="preserve">Word count 1006 </w:t>
      </w:r>
    </w:p>
    <w:p w14:paraId="2BFF09E4" w14:textId="77777777" w:rsidR="00B06AFE" w:rsidRPr="00B06AFE" w:rsidRDefault="00B06AFE" w:rsidP="00B06AFE">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554E7A3" w14:textId="72F233E5" w:rsidR="00B06AFE" w:rsidRDefault="00B06AFE" w:rsidP="00B06AFE">
      <w:pPr>
        <w:ind w:right="107"/>
        <w:jc w:val="both"/>
        <w:rPr>
          <w:sz w:val="24"/>
          <w:szCs w:val="24"/>
        </w:rPr>
      </w:pPr>
      <w:r w:rsidRPr="00B06AFE">
        <w:rPr>
          <w:sz w:val="24"/>
          <w:szCs w:val="24"/>
        </w:rPr>
        <w:t xml:space="preserve">Within this essay I will be discussing a policing incident involving conflict where I played a significant role with the subject. I will reflect on the actions I took during the incident looking into social and legislative contexts and any relevant issues. Due to the role of a police officer conflict is a constant prevalent issue that is dealt with whilst carrying out the role. This conflict can be caused by emotions of the service users as they experience the worst moments of their life and even the presence of police can antagonise some members of the public due to previous negative experiences. Whilst discussing the incident involving conflict, I will consider legislation I deem relevant and any social factors that play a role in the decision making at the incident. I will also touch on the use of force in this incident and models such as the national decision-making model and JPLANE and will also use Betaris box to assist me critically evaluate the incident and divulge into the underpinning causes of conflict within police interventions. </w:t>
      </w:r>
    </w:p>
    <w:p w14:paraId="50BDDE03" w14:textId="77777777" w:rsidR="00B06AFE" w:rsidRPr="00B06AFE" w:rsidRDefault="00B06AFE" w:rsidP="00B06AFE">
      <w:pPr>
        <w:ind w:right="107"/>
        <w:jc w:val="both"/>
        <w:rPr>
          <w:sz w:val="24"/>
          <w:szCs w:val="24"/>
        </w:rPr>
      </w:pPr>
    </w:p>
    <w:p w14:paraId="65473D11" w14:textId="1C3A553D" w:rsidR="00B06AFE" w:rsidRDefault="00B06AFE" w:rsidP="00B06AFE">
      <w:pPr>
        <w:ind w:right="107"/>
        <w:jc w:val="both"/>
        <w:rPr>
          <w:sz w:val="24"/>
          <w:szCs w:val="24"/>
        </w:rPr>
      </w:pPr>
      <w:r w:rsidRPr="00B06AFE">
        <w:rPr>
          <w:sz w:val="24"/>
          <w:szCs w:val="24"/>
        </w:rPr>
        <w:t xml:space="preserve">To begin I will describe the incident, there was a call for a missing person as she was released from Llandough hospital due to staying in the mental health ward due to a previous section 136. However, the staff released her and did not contact family for four hours after and by this time she should have been home. My tutor and I went to her family address to talk to the family and get possible locations where their daughter could have gone. However, on arrival the father told us that his daughter had just turned up at the house, however she could not stay there due to previous incidents that have happened between the family members. We went into the house to speak with the girl to ask if she could stay somewhere else, she was visibly upset and expressed that she didn’t understand why she had been released as she attempted to hang herself this morning and the staff at Llandough were aware of this. I went across the air and requested the control room to get the inhouse mental health team to ring me back. Whilst waiting for the mental health team to ring me back myself and my tutor spoke to the girl in the kitchen and explained that Llandough must have </w:t>
      </w:r>
      <w:r w:rsidRPr="00B06AFE">
        <w:rPr>
          <w:sz w:val="24"/>
          <w:szCs w:val="24"/>
        </w:rPr>
        <w:lastRenderedPageBreak/>
        <w:t xml:space="preserve">believed she was well enough to be released. Whilst speaking to her she began hitting herself multiple times in the head with closed fists, I had to grab her hands to stop her from doing this. Although it wasn’t preferred, I explained that if she didn’t stop we would have to cuff her to the back to prevent her from harming herself further. The girl then agreed to stop hitting herself and began to calm down I explained that we were doing everything we could to help her. The mental health team then rang me and advised me to ring Llandough and speak to her mental health team that were looking after her whilst she was there. My colleague then took over the phone and went outside to speak with the staff at Llandough, I was sat with the girl in the kitchen talking with her and asked if she had any siblings or friends she could possibly stayed with. Suddenly, she shot up from her seat and ran over to where the knives were. She grabbed the kitchen knife and attempted to cut her wrists. I ran after her and managed to grab the knife off her and push her away from where the other knives were stored. Luckily due to my fast reaction she only suffered a superficial cut to her wrist with minimal bleeding. We then removed the knives from kitchen and the female calmed down again. We spoke to her mental health team in Llandough, and they were adamant that there was no need for her to come back to Llandough. One of the key issues the girl was talking to us about was that she has </w:t>
      </w:r>
      <w:r w:rsidRPr="00B06AFE">
        <w:rPr>
          <w:sz w:val="24"/>
          <w:szCs w:val="24"/>
        </w:rPr>
        <w:t>nowhere</w:t>
      </w:r>
      <w:r w:rsidRPr="00B06AFE">
        <w:rPr>
          <w:sz w:val="24"/>
          <w:szCs w:val="24"/>
        </w:rPr>
        <w:t xml:space="preserve"> to live, we spoke with family who said they couldn’t have her stay at their houses due to previous issues. However, her sister agreed to pay for a hotel for the night and would meet up with the girl the next morning to go to women’s aid and arrange for possible accommodation to her. Once we establish this plan the girl seemed a lot happier. We took her to a close by hotel and escorted her into a room, I spoke with staff in the hotel and asked them to keep an eye on her which they agreed. </w:t>
      </w:r>
    </w:p>
    <w:p w14:paraId="1EA7CAB8" w14:textId="77777777" w:rsidR="00B06AFE" w:rsidRPr="00B06AFE" w:rsidRDefault="00B06AFE" w:rsidP="00B06AFE">
      <w:pPr>
        <w:ind w:right="107"/>
        <w:jc w:val="both"/>
        <w:rPr>
          <w:sz w:val="24"/>
          <w:szCs w:val="24"/>
        </w:rPr>
      </w:pPr>
    </w:p>
    <w:p w14:paraId="78FEA1BE" w14:textId="04E4BF3C" w:rsidR="00B06AFE" w:rsidRDefault="00B06AFE" w:rsidP="00B06AFE">
      <w:pPr>
        <w:ind w:right="107"/>
        <w:jc w:val="both"/>
        <w:rPr>
          <w:sz w:val="24"/>
          <w:szCs w:val="24"/>
        </w:rPr>
      </w:pPr>
      <w:r w:rsidRPr="00B06AFE">
        <w:rPr>
          <w:sz w:val="24"/>
          <w:szCs w:val="24"/>
        </w:rPr>
        <w:t xml:space="preserve">This incident demonstrated a significant social issue that is mental health which has been argued to on the rise as health services such as the NHS are under strain. This incident did not include any ethnic or language issues. The issue of mental health is a growing problem that police are called to, these people are in the worst moments of their lives, and they believe without help from us and the NHS the result will be fatal. The increase in mental health related calls that police receive has increased with notable effect, especially after the COVID 19 pandemic, where globally there was a 22% increase in call regarding persons with perceived mental illness (Koziarski, 2021). Although attending mental health calls for police is a common occurrence for police we are not professionally trained to deal with these emergencies, we do however have the powers and authority to protect individuals for their own safety and welfare (Lamb et al., 2002). </w:t>
      </w:r>
    </w:p>
    <w:p w14:paraId="56890B81" w14:textId="77777777" w:rsidR="00B06AFE" w:rsidRPr="00B06AFE" w:rsidRDefault="00B06AFE" w:rsidP="00B06AFE">
      <w:pPr>
        <w:ind w:right="107"/>
        <w:jc w:val="both"/>
        <w:rPr>
          <w:sz w:val="24"/>
          <w:szCs w:val="24"/>
        </w:rPr>
      </w:pPr>
    </w:p>
    <w:p w14:paraId="5B8FFDCB" w14:textId="77777777" w:rsidR="00B06AFE" w:rsidRPr="00B06AFE" w:rsidRDefault="00B06AFE" w:rsidP="00B06AFE">
      <w:pPr>
        <w:ind w:right="107"/>
        <w:jc w:val="both"/>
        <w:rPr>
          <w:sz w:val="24"/>
          <w:szCs w:val="24"/>
        </w:rPr>
      </w:pPr>
      <w:r w:rsidRPr="00B06AFE">
        <w:rPr>
          <w:sz w:val="24"/>
          <w:szCs w:val="24"/>
        </w:rPr>
        <w:t>As highlighted previously when police are dealing with individuals how present a danger to themselves due to their mental health, officers have a power to section them using section 136. This allows officers to remove individuals to a place of safety to protect themselves or others, by using this section on individuals it can result in them being treated and given aids in order to help them be seen by medical professional. Although this is not preferred method sometimes detaining a individual through the use of section 136 is the only tool officers have (Lancet, 2013). In relation to the incident I described, I did not believe that using section 136 would be useful for the female I dealt with as she had been previously sectioned, and she didn’t come out of it any better. In this instance it became apparent that she was lashing out on herself due to lack of certainty as to where she was going to stay and the lack of support she had from friends and family. She massively calmed down and seemed very hopeful after her sister agreed to help her with accommodation and once this was in place, she did not want to go back to Llandough. (B. Menkes &amp; A. Bendelow, 2014)</w:t>
      </w:r>
    </w:p>
    <w:p w14:paraId="3E0833AE" w14:textId="628B423B" w:rsidR="00B06AFE" w:rsidRDefault="00B06AFE" w:rsidP="00B06AFE">
      <w:pPr>
        <w:ind w:right="107"/>
        <w:jc w:val="both"/>
        <w:rPr>
          <w:sz w:val="24"/>
          <w:szCs w:val="24"/>
        </w:rPr>
      </w:pPr>
      <w:r w:rsidRPr="00B06AFE">
        <w:rPr>
          <w:sz w:val="24"/>
          <w:szCs w:val="24"/>
        </w:rPr>
        <w:lastRenderedPageBreak/>
        <w:t>During the incident I had describe that I had to use my discretion with the female in whether it was necessary to apply use of force to her. All the force I used against the female was in relation to protecting her from self-harm. During the incident I had to give the female a precise warning that if she didn’t stop hurting herself, we would have to cuff her to the back for her own safety but due to the mental health aspect of the call I did not want to do this, and it would have been a last resort to protect her. Reference cuffing for safety of the subject. Self-harm is a prevalent issue that some people with mental health issues use against themselves, studies have shown that the majority of individuals who suffer from mental health issues and also self-harmed believe that self-harm can be used as a coping mechanism and a means of maintaining control, as well as a way to express emotional pain and anger (Warm et al., 2003). Due to the vulnerability of the female, I was constantly assessing the situation and assessing whether it was necessary to use handcuffs and what level of use of force was necessary, I used the National Decision Making Model (NDM) in order to do this. The NDM is key to all policing decisions with the code of ethics at the centre of the model, the model was highlighted significantly during my training, and I have found this valuable since moving onto response (College of Policing, 2014). Although I was using the NDM in the incident I was also considering JPLANE which is a pneumonic that sets out that all officers actions must be justified, proportionate, legal, accountable, necessary, and ethical (College of Policing, 2014). By considering both the NDM and JPLANE I feel that I did all the right things whilst at this call. I did not handcuff the female and she was clearly vulnerable and at one of the mentally lowest points in her life and I did not believe that handcuffing her would make her any better, however I did have to use some use of force to prevent her from harming herself by holding onto her wrists and ushing her away from the knife she had hold of.</w:t>
      </w:r>
    </w:p>
    <w:p w14:paraId="1378C0A1" w14:textId="77777777" w:rsidR="00B06AFE" w:rsidRPr="00B06AFE" w:rsidRDefault="00B06AFE" w:rsidP="00B06AFE">
      <w:pPr>
        <w:ind w:right="107"/>
        <w:jc w:val="both"/>
        <w:rPr>
          <w:sz w:val="24"/>
          <w:szCs w:val="24"/>
        </w:rPr>
      </w:pPr>
    </w:p>
    <w:p w14:paraId="5BB3795E" w14:textId="1A82A93F" w:rsidR="00B06AFE" w:rsidRDefault="00B06AFE" w:rsidP="00B06AFE">
      <w:pPr>
        <w:ind w:right="107"/>
        <w:jc w:val="both"/>
        <w:rPr>
          <w:sz w:val="24"/>
          <w:szCs w:val="24"/>
        </w:rPr>
      </w:pPr>
      <w:r w:rsidRPr="00B06AFE">
        <w:rPr>
          <w:sz w:val="24"/>
          <w:szCs w:val="24"/>
        </w:rPr>
        <w:t xml:space="preserve">During the incident I knew it was important to build a rapport with the female, by asking her what had happened previously and why she had been in Llandough in the first place and as she was quite worked up, she wanted the family dog with her. I spoke with the parents who had the dog in a separate room and asked if we could have the dog in the kitchen with the girl however, they declined, I explain that if the dog could calm her down and comfort her during this time it could be a great help to us as well as their daughter. The parents eventually agreed, and the dog seemed to help massively in calming the female (González Ramírez &amp; Landero Hernández, 2014). Taking actions like this showed the female that we were on her side and were trying to support her as much as possible which I think helped her open to us and be more open with the potential options that were available to her. Assisting with her agreeing to stay in a hotel as Llandough would not allow her back on the ward.  </w:t>
      </w:r>
    </w:p>
    <w:p w14:paraId="21A397AD" w14:textId="77777777" w:rsidR="00B06AFE" w:rsidRPr="00B06AFE" w:rsidRDefault="00B06AFE" w:rsidP="00B06AFE">
      <w:pPr>
        <w:ind w:right="107"/>
        <w:jc w:val="both"/>
        <w:rPr>
          <w:sz w:val="24"/>
          <w:szCs w:val="24"/>
        </w:rPr>
      </w:pPr>
    </w:p>
    <w:p w14:paraId="0F43FF37" w14:textId="1BFE8DC2" w:rsidR="00B06AFE" w:rsidRDefault="00B06AFE" w:rsidP="00B06AFE">
      <w:pPr>
        <w:ind w:right="107"/>
        <w:jc w:val="both"/>
        <w:rPr>
          <w:sz w:val="24"/>
          <w:szCs w:val="24"/>
        </w:rPr>
      </w:pPr>
      <w:r w:rsidRPr="00B06AFE">
        <w:rPr>
          <w:sz w:val="24"/>
          <w:szCs w:val="24"/>
        </w:rPr>
        <w:t xml:space="preserve">I will now highlight Betari Box which demonstrates how your own behaviour greatly impact the behaviours of others around you. Throughout the incident I attempted to stay calm even during the time she grabbed a knife. As she was using it the knife on her herself and didn’t direct it at me, I felt comfortable enough to take it out of her hand without fearing she would use it on me. Although the knife wasn’t directed at myself, I still needed to be cautious that this could change rapidly, especially since knife crime has risen in the UK (Allen &amp; Burton, 2023). Having a rapport with the female may have reduced the risk of her using the knife on me. The rapport I built helped us speak about different topics after the knife incident that calmed the female down, speaking about her dog and what help is there to support her with accommodation. This tactic can be supported by Betari Box Model as this model demonstrates that our attitudes and behaviours have an impact on the attitudes and behaviours of the people around, in this instance this was the female (College of Policing, 2020). I believe that by remaining calm and reassuring the female she was also able to calm </w:t>
      </w:r>
      <w:r w:rsidRPr="00B06AFE">
        <w:rPr>
          <w:sz w:val="24"/>
          <w:szCs w:val="24"/>
        </w:rPr>
        <w:lastRenderedPageBreak/>
        <w:t>down easily even after attempting to use a knife to harm herself and if I was scared or panicking, I could have possibly escalated the situation which could have resulted in a more negative outcome.</w:t>
      </w:r>
    </w:p>
    <w:p w14:paraId="0F911103" w14:textId="77777777" w:rsidR="00B06AFE" w:rsidRPr="00B06AFE" w:rsidRDefault="00B06AFE" w:rsidP="00B06AFE">
      <w:pPr>
        <w:ind w:right="107"/>
        <w:jc w:val="both"/>
        <w:rPr>
          <w:sz w:val="24"/>
          <w:szCs w:val="24"/>
        </w:rPr>
      </w:pPr>
    </w:p>
    <w:p w14:paraId="3EA2A251" w14:textId="22335FD5" w:rsidR="00B06AFE" w:rsidRDefault="00B06AFE" w:rsidP="00B06AFE">
      <w:pPr>
        <w:ind w:right="107"/>
        <w:jc w:val="both"/>
        <w:rPr>
          <w:sz w:val="24"/>
          <w:szCs w:val="24"/>
        </w:rPr>
      </w:pPr>
      <w:r w:rsidRPr="00B06AFE">
        <w:rPr>
          <w:sz w:val="24"/>
          <w:szCs w:val="24"/>
        </w:rPr>
        <w:t xml:space="preserve">In conclusion I am happy in the way I dealt with the incident and used minimal use of force on the female to protect her from herself physically. By analysing the </w:t>
      </w:r>
      <w:r w:rsidRPr="00B06AFE">
        <w:rPr>
          <w:sz w:val="24"/>
          <w:szCs w:val="24"/>
        </w:rPr>
        <w:t>incident,</w:t>
      </w:r>
      <w:r w:rsidRPr="00B06AFE">
        <w:rPr>
          <w:sz w:val="24"/>
          <w:szCs w:val="24"/>
        </w:rPr>
        <w:t xml:space="preserve"> I would change that we were in the kitchen so the female would not have knives accessible, however this was where her parents put her when we arrived and her parents were sat in the only other downstairs room in the property. I believe that building a rapport with he female aided me greatly in being able to calm her down and the use of the NDM and JPLANE allowed to me justify what force I used and what legislation was available to me.</w:t>
      </w:r>
    </w:p>
    <w:p w14:paraId="27F02959" w14:textId="77777777" w:rsidR="00B06AFE" w:rsidRPr="00B06AFE" w:rsidRDefault="00B06AFE" w:rsidP="00B06AFE">
      <w:pPr>
        <w:ind w:right="107"/>
        <w:jc w:val="both"/>
        <w:rPr>
          <w:sz w:val="24"/>
          <w:szCs w:val="24"/>
        </w:rPr>
      </w:pPr>
    </w:p>
    <w:p w14:paraId="0039E641" w14:textId="77777777" w:rsidR="00B06AFE" w:rsidRPr="00B06AFE" w:rsidRDefault="00B06AFE" w:rsidP="00B06AFE">
      <w:pPr>
        <w:ind w:right="107"/>
        <w:jc w:val="both"/>
        <w:rPr>
          <w:sz w:val="24"/>
          <w:szCs w:val="24"/>
        </w:rPr>
      </w:pPr>
      <w:r w:rsidRPr="00B06AFE">
        <w:rPr>
          <w:sz w:val="24"/>
          <w:szCs w:val="24"/>
        </w:rPr>
        <w:t>Word count 2079</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5AD36D" w14:textId="77777777" w:rsidR="00B06AFE" w:rsidRPr="00B06AFE" w:rsidRDefault="00B06AFE" w:rsidP="00B06AFE">
      <w:pPr>
        <w:overflowPunct/>
        <w:autoSpaceDE/>
        <w:autoSpaceDN/>
        <w:adjustRightInd/>
        <w:ind w:right="107"/>
        <w:textAlignment w:val="auto"/>
        <w:rPr>
          <w:b/>
          <w:sz w:val="24"/>
          <w:szCs w:val="24"/>
        </w:rPr>
      </w:pPr>
      <w:r w:rsidRPr="00B06AFE">
        <w:rPr>
          <w:b/>
          <w:sz w:val="24"/>
          <w:szCs w:val="24"/>
        </w:rPr>
        <w:t>Borton, T. (1970) “Reach Touch and Teach. New York: McGraw-Hill Paperbacks</w:t>
      </w:r>
    </w:p>
    <w:p w14:paraId="5D73E86A" w14:textId="77777777" w:rsidR="00B06AFE" w:rsidRDefault="00B06AFE" w:rsidP="00B06AFE">
      <w:pPr>
        <w:overflowPunct/>
        <w:autoSpaceDE/>
        <w:autoSpaceDN/>
        <w:adjustRightInd/>
        <w:ind w:right="107"/>
        <w:textAlignment w:val="auto"/>
        <w:rPr>
          <w:b/>
          <w:sz w:val="24"/>
          <w:szCs w:val="24"/>
        </w:rPr>
      </w:pPr>
    </w:p>
    <w:p w14:paraId="286DCC79" w14:textId="5BDD8CEB"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Camfield, L., Choudhury, K. and Devine, J. (2007) “Well-being, happiness and why relationships matter: Evidence from Bangladesh,” </w:t>
      </w:r>
      <w:r w:rsidRPr="00B06AFE">
        <w:rPr>
          <w:b/>
          <w:i/>
          <w:iCs/>
          <w:sz w:val="24"/>
          <w:szCs w:val="24"/>
        </w:rPr>
        <w:t>Journal of Happiness Studies</w:t>
      </w:r>
      <w:r w:rsidRPr="00B06AFE">
        <w:rPr>
          <w:b/>
          <w:sz w:val="24"/>
          <w:szCs w:val="24"/>
        </w:rPr>
        <w:t xml:space="preserve">, 10(1), pp. 71–91. Available at: https://doi.org/10.1007/s10902-007-9062-5. </w:t>
      </w:r>
    </w:p>
    <w:p w14:paraId="43AA3145" w14:textId="77777777" w:rsidR="00B06AFE" w:rsidRDefault="00B06AFE" w:rsidP="00B06AFE">
      <w:pPr>
        <w:overflowPunct/>
        <w:autoSpaceDE/>
        <w:autoSpaceDN/>
        <w:adjustRightInd/>
        <w:ind w:right="107"/>
        <w:textAlignment w:val="auto"/>
        <w:rPr>
          <w:b/>
          <w:sz w:val="24"/>
          <w:szCs w:val="24"/>
        </w:rPr>
      </w:pPr>
    </w:p>
    <w:p w14:paraId="174A0990" w14:textId="42A80A91"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Chaouloff, F. (2000) “Serotonin, stress and corticoids,” </w:t>
      </w:r>
      <w:r w:rsidRPr="00B06AFE">
        <w:rPr>
          <w:b/>
          <w:i/>
          <w:iCs/>
          <w:sz w:val="24"/>
          <w:szCs w:val="24"/>
        </w:rPr>
        <w:t>Journal of Psychopharmacology</w:t>
      </w:r>
      <w:r w:rsidRPr="00B06AFE">
        <w:rPr>
          <w:b/>
          <w:sz w:val="24"/>
          <w:szCs w:val="24"/>
        </w:rPr>
        <w:t xml:space="preserve">, 14(2), pp. 139–151. Available at: https://doi.org/10.1177/026988110001400203. </w:t>
      </w:r>
    </w:p>
    <w:p w14:paraId="39F3DA2B" w14:textId="77777777" w:rsidR="00B06AFE" w:rsidRDefault="00B06AFE" w:rsidP="00B06AFE">
      <w:pPr>
        <w:overflowPunct/>
        <w:autoSpaceDE/>
        <w:autoSpaceDN/>
        <w:adjustRightInd/>
        <w:ind w:right="107"/>
        <w:textAlignment w:val="auto"/>
        <w:rPr>
          <w:b/>
          <w:sz w:val="24"/>
          <w:szCs w:val="24"/>
        </w:rPr>
      </w:pPr>
    </w:p>
    <w:p w14:paraId="0E5D975B" w14:textId="733100AD"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Davydov, D.M. </w:t>
      </w:r>
      <w:r w:rsidRPr="00B06AFE">
        <w:rPr>
          <w:b/>
          <w:i/>
          <w:iCs/>
          <w:sz w:val="24"/>
          <w:szCs w:val="24"/>
        </w:rPr>
        <w:t>et al.</w:t>
      </w:r>
      <w:r w:rsidRPr="00B06AFE">
        <w:rPr>
          <w:b/>
          <w:sz w:val="24"/>
          <w:szCs w:val="24"/>
        </w:rPr>
        <w:t xml:space="preserve"> (2010) “Resilience and Mental Health,” </w:t>
      </w:r>
      <w:r w:rsidRPr="00B06AFE">
        <w:rPr>
          <w:b/>
          <w:i/>
          <w:iCs/>
          <w:sz w:val="24"/>
          <w:szCs w:val="24"/>
        </w:rPr>
        <w:t>Clinical Psychology Review</w:t>
      </w:r>
      <w:r w:rsidRPr="00B06AFE">
        <w:rPr>
          <w:b/>
          <w:sz w:val="24"/>
          <w:szCs w:val="24"/>
        </w:rPr>
        <w:t xml:space="preserve">, 30(5), pp. 479–495. Available at: https://doi.org/10.1016/j.cpr.2010.03.003. </w:t>
      </w:r>
    </w:p>
    <w:p w14:paraId="7CC1E880" w14:textId="77777777" w:rsidR="00B06AFE" w:rsidRDefault="00B06AFE" w:rsidP="00B06AFE">
      <w:pPr>
        <w:overflowPunct/>
        <w:autoSpaceDE/>
        <w:autoSpaceDN/>
        <w:adjustRightInd/>
        <w:ind w:right="107"/>
        <w:textAlignment w:val="auto"/>
        <w:rPr>
          <w:b/>
          <w:sz w:val="24"/>
          <w:szCs w:val="24"/>
        </w:rPr>
      </w:pPr>
    </w:p>
    <w:p w14:paraId="378440D2" w14:textId="5B057E0F"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Ekkekakis, P. (2013) </w:t>
      </w:r>
      <w:r w:rsidRPr="00B06AFE">
        <w:rPr>
          <w:b/>
          <w:i/>
          <w:iCs/>
          <w:sz w:val="24"/>
          <w:szCs w:val="24"/>
        </w:rPr>
        <w:t>Routledge Handbook of Physical Activity and Mental Health</w:t>
      </w:r>
      <w:r w:rsidRPr="00B06AFE">
        <w:rPr>
          <w:b/>
          <w:sz w:val="24"/>
          <w:szCs w:val="24"/>
        </w:rPr>
        <w:t xml:space="preserve">. Abingdon: Routledge. </w:t>
      </w:r>
    </w:p>
    <w:p w14:paraId="71F16099" w14:textId="77777777" w:rsidR="00B06AFE" w:rsidRDefault="00B06AFE" w:rsidP="00B06AFE">
      <w:pPr>
        <w:overflowPunct/>
        <w:autoSpaceDE/>
        <w:autoSpaceDN/>
        <w:adjustRightInd/>
        <w:ind w:right="107"/>
        <w:textAlignment w:val="auto"/>
        <w:rPr>
          <w:b/>
          <w:sz w:val="24"/>
          <w:szCs w:val="24"/>
        </w:rPr>
      </w:pPr>
    </w:p>
    <w:p w14:paraId="67B78C0F" w14:textId="36017BA6"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McEwen, B. and Sapolsky, R. (2006) “Endocrinology &amp; metabolism news, February 2006,” </w:t>
      </w:r>
      <w:r w:rsidRPr="00B06AFE">
        <w:rPr>
          <w:b/>
          <w:i/>
          <w:iCs/>
          <w:sz w:val="24"/>
          <w:szCs w:val="24"/>
        </w:rPr>
        <w:t>The Journal of Clinical Endocrinology &amp; Metabolism</w:t>
      </w:r>
      <w:r w:rsidRPr="00B06AFE">
        <w:rPr>
          <w:b/>
          <w:sz w:val="24"/>
          <w:szCs w:val="24"/>
        </w:rPr>
        <w:t xml:space="preserve">, 91(2). Available at: https://doi.org/10.1210/jcem.91.2.9992. </w:t>
      </w:r>
    </w:p>
    <w:p w14:paraId="17404464" w14:textId="77777777" w:rsidR="00B06AFE" w:rsidRDefault="00B06AFE" w:rsidP="00B06AFE">
      <w:pPr>
        <w:overflowPunct/>
        <w:autoSpaceDE/>
        <w:autoSpaceDN/>
        <w:adjustRightInd/>
        <w:ind w:right="107"/>
        <w:textAlignment w:val="auto"/>
        <w:rPr>
          <w:b/>
          <w:sz w:val="24"/>
          <w:szCs w:val="24"/>
        </w:rPr>
      </w:pPr>
    </w:p>
    <w:p w14:paraId="0784F824" w14:textId="5413D0DB"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Windle, G. (2010) “What is resilience? A review and concept analysis,” </w:t>
      </w:r>
      <w:r w:rsidRPr="00B06AFE">
        <w:rPr>
          <w:b/>
          <w:i/>
          <w:iCs/>
          <w:sz w:val="24"/>
          <w:szCs w:val="24"/>
        </w:rPr>
        <w:t>Reviews in Clinical Gerontology</w:t>
      </w:r>
      <w:r w:rsidRPr="00B06AFE">
        <w:rPr>
          <w:b/>
          <w:sz w:val="24"/>
          <w:szCs w:val="24"/>
        </w:rPr>
        <w:t xml:space="preserve">, 21(2), pp. 152–169. Available at: </w:t>
      </w:r>
      <w:hyperlink r:id="rId20" w:history="1">
        <w:r w:rsidRPr="00B06AFE">
          <w:rPr>
            <w:rStyle w:val="Hyperlink"/>
            <w:b/>
            <w:sz w:val="24"/>
            <w:szCs w:val="24"/>
          </w:rPr>
          <w:t>https://doi.org/10.1017/s0959259810000420</w:t>
        </w:r>
      </w:hyperlink>
      <w:r w:rsidRPr="00B06AFE">
        <w:rPr>
          <w:b/>
          <w:sz w:val="24"/>
          <w:szCs w:val="24"/>
        </w:rPr>
        <w:t xml:space="preserve">. </w:t>
      </w:r>
    </w:p>
    <w:p w14:paraId="0FD78887" w14:textId="77777777" w:rsidR="00B06AFE" w:rsidRDefault="00B06AFE" w:rsidP="00E6298B">
      <w:pPr>
        <w:overflowPunct/>
        <w:autoSpaceDE/>
        <w:autoSpaceDN/>
        <w:adjustRightInd/>
        <w:ind w:right="107"/>
        <w:textAlignment w:val="auto"/>
        <w:rPr>
          <w:b/>
          <w:sz w:val="24"/>
          <w:szCs w:val="24"/>
        </w:rPr>
      </w:pPr>
    </w:p>
    <w:p w14:paraId="6B361AB0" w14:textId="77777777"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Allen, G. and Burton, M. (2023) </w:t>
      </w:r>
      <w:r w:rsidRPr="00B06AFE">
        <w:rPr>
          <w:b/>
          <w:i/>
          <w:iCs/>
          <w:sz w:val="24"/>
          <w:szCs w:val="24"/>
        </w:rPr>
        <w:t>Knife Crime Statistics - House of Commons Library</w:t>
      </w:r>
      <w:r w:rsidRPr="00B06AFE">
        <w:rPr>
          <w:b/>
          <w:sz w:val="24"/>
          <w:szCs w:val="24"/>
        </w:rPr>
        <w:t xml:space="preserve">, </w:t>
      </w:r>
      <w:r w:rsidRPr="00B06AFE">
        <w:rPr>
          <w:b/>
          <w:i/>
          <w:iCs/>
          <w:sz w:val="24"/>
          <w:szCs w:val="24"/>
        </w:rPr>
        <w:t>UK Parliament</w:t>
      </w:r>
      <w:r w:rsidRPr="00B06AFE">
        <w:rPr>
          <w:b/>
          <w:sz w:val="24"/>
          <w:szCs w:val="24"/>
        </w:rPr>
        <w:t xml:space="preserve">. Available at: https://commonslibrary.parliament.uk/research-briefings/sn04304/ (Accessed: March 23, 2023). </w:t>
      </w:r>
    </w:p>
    <w:p w14:paraId="4C5E5B42" w14:textId="77777777" w:rsidR="00B06AFE" w:rsidRDefault="00B06AFE" w:rsidP="00B06AFE">
      <w:pPr>
        <w:overflowPunct/>
        <w:autoSpaceDE/>
        <w:autoSpaceDN/>
        <w:adjustRightInd/>
        <w:ind w:right="107"/>
        <w:textAlignment w:val="auto"/>
        <w:rPr>
          <w:b/>
          <w:sz w:val="24"/>
          <w:szCs w:val="24"/>
        </w:rPr>
      </w:pPr>
    </w:p>
    <w:p w14:paraId="5853AD7E" w14:textId="77777777" w:rsidR="00B06AFE" w:rsidRDefault="00B06AFE" w:rsidP="00B06AFE">
      <w:pPr>
        <w:overflowPunct/>
        <w:autoSpaceDE/>
        <w:autoSpaceDN/>
        <w:adjustRightInd/>
        <w:ind w:right="107"/>
        <w:textAlignment w:val="auto"/>
        <w:rPr>
          <w:b/>
          <w:i/>
          <w:iCs/>
          <w:sz w:val="24"/>
          <w:szCs w:val="24"/>
        </w:rPr>
      </w:pPr>
      <w:r w:rsidRPr="00B06AFE">
        <w:rPr>
          <w:b/>
          <w:sz w:val="24"/>
          <w:szCs w:val="24"/>
        </w:rPr>
        <w:t xml:space="preserve">B. Menkes, D. and A. Bendelow, G. (2014) “Diagnosing vulnerability and ‘dangerousness’: Police use of section 136 in England and Wales,” </w:t>
      </w:r>
      <w:r w:rsidRPr="00B06AFE">
        <w:rPr>
          <w:b/>
          <w:i/>
          <w:iCs/>
          <w:sz w:val="24"/>
          <w:szCs w:val="24"/>
        </w:rPr>
        <w:t xml:space="preserve">Journal of </w:t>
      </w:r>
    </w:p>
    <w:p w14:paraId="15AAC867" w14:textId="5ADFD74E" w:rsidR="00B06AFE" w:rsidRPr="00B06AFE" w:rsidRDefault="00B06AFE" w:rsidP="00B06AFE">
      <w:pPr>
        <w:overflowPunct/>
        <w:autoSpaceDE/>
        <w:autoSpaceDN/>
        <w:adjustRightInd/>
        <w:ind w:right="107"/>
        <w:textAlignment w:val="auto"/>
        <w:rPr>
          <w:b/>
          <w:sz w:val="24"/>
          <w:szCs w:val="24"/>
        </w:rPr>
      </w:pPr>
      <w:r w:rsidRPr="00B06AFE">
        <w:rPr>
          <w:b/>
          <w:i/>
          <w:iCs/>
          <w:sz w:val="24"/>
          <w:szCs w:val="24"/>
        </w:rPr>
        <w:t>Public Mental Health</w:t>
      </w:r>
      <w:r w:rsidRPr="00B06AFE">
        <w:rPr>
          <w:b/>
          <w:sz w:val="24"/>
          <w:szCs w:val="24"/>
        </w:rPr>
        <w:t xml:space="preserve">, 13(2), pp. 70–82. Available at: </w:t>
      </w:r>
      <w:hyperlink r:id="rId21" w:history="1">
        <w:r w:rsidRPr="00B06AFE">
          <w:rPr>
            <w:rStyle w:val="Hyperlink"/>
            <w:b/>
            <w:sz w:val="24"/>
            <w:szCs w:val="24"/>
          </w:rPr>
          <w:t>https://doi.org/10.1108/jpmh-09-2012-0001</w:t>
        </w:r>
      </w:hyperlink>
      <w:r w:rsidRPr="00B06AFE">
        <w:rPr>
          <w:b/>
          <w:sz w:val="24"/>
          <w:szCs w:val="24"/>
        </w:rPr>
        <w:t xml:space="preserve">. </w:t>
      </w:r>
    </w:p>
    <w:p w14:paraId="5E8E6011" w14:textId="77777777" w:rsidR="00B06AFE" w:rsidRDefault="00B06AFE" w:rsidP="00B06AFE">
      <w:pPr>
        <w:overflowPunct/>
        <w:autoSpaceDE/>
        <w:autoSpaceDN/>
        <w:adjustRightInd/>
        <w:ind w:right="107"/>
        <w:textAlignment w:val="auto"/>
        <w:rPr>
          <w:b/>
          <w:sz w:val="24"/>
          <w:szCs w:val="24"/>
        </w:rPr>
      </w:pPr>
    </w:p>
    <w:p w14:paraId="53D6D1A3" w14:textId="1D3392AB"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College of Policing (2020) </w:t>
      </w:r>
      <w:r w:rsidRPr="00B06AFE">
        <w:rPr>
          <w:b/>
          <w:i/>
          <w:iCs/>
          <w:sz w:val="24"/>
          <w:szCs w:val="24"/>
        </w:rPr>
        <w:t>Conflict management skills</w:t>
      </w:r>
      <w:r w:rsidRPr="00B06AFE">
        <w:rPr>
          <w:b/>
          <w:sz w:val="24"/>
          <w:szCs w:val="24"/>
        </w:rPr>
        <w:t xml:space="preserve">. Available at: https://www.college.police.uk/guidance/conflict-management/conflict-management-skills (Accessed: March 23, 2023). </w:t>
      </w:r>
    </w:p>
    <w:p w14:paraId="37F0A565" w14:textId="77777777" w:rsidR="00B06AFE" w:rsidRDefault="00B06AFE" w:rsidP="00B06AFE">
      <w:pPr>
        <w:overflowPunct/>
        <w:autoSpaceDE/>
        <w:autoSpaceDN/>
        <w:adjustRightInd/>
        <w:ind w:right="107"/>
        <w:textAlignment w:val="auto"/>
        <w:rPr>
          <w:b/>
          <w:i/>
          <w:iCs/>
          <w:sz w:val="24"/>
          <w:szCs w:val="24"/>
        </w:rPr>
      </w:pPr>
    </w:p>
    <w:p w14:paraId="73353939" w14:textId="170863FD" w:rsidR="00B06AFE" w:rsidRPr="00B06AFE" w:rsidRDefault="00B06AFE" w:rsidP="00B06AFE">
      <w:pPr>
        <w:overflowPunct/>
        <w:autoSpaceDE/>
        <w:autoSpaceDN/>
        <w:adjustRightInd/>
        <w:ind w:right="107"/>
        <w:textAlignment w:val="auto"/>
        <w:rPr>
          <w:b/>
          <w:sz w:val="24"/>
          <w:szCs w:val="24"/>
        </w:rPr>
      </w:pPr>
      <w:r w:rsidRPr="00B06AFE">
        <w:rPr>
          <w:b/>
          <w:i/>
          <w:iCs/>
          <w:sz w:val="24"/>
          <w:szCs w:val="24"/>
        </w:rPr>
        <w:t>College of Policing (2014) National decision model</w:t>
      </w:r>
      <w:r w:rsidRPr="00B06AFE">
        <w:rPr>
          <w:b/>
          <w:sz w:val="24"/>
          <w:szCs w:val="24"/>
        </w:rPr>
        <w:t xml:space="preserve">. Available at: https://www.college.police.uk/app/national-decision-model/national-decision-model (Accessed: March 23, 2023). </w:t>
      </w:r>
    </w:p>
    <w:p w14:paraId="4C930AC9" w14:textId="77777777" w:rsidR="00B06AFE" w:rsidRDefault="00B06AFE" w:rsidP="00B06AFE">
      <w:pPr>
        <w:overflowPunct/>
        <w:autoSpaceDE/>
        <w:autoSpaceDN/>
        <w:adjustRightInd/>
        <w:ind w:right="107"/>
        <w:textAlignment w:val="auto"/>
        <w:rPr>
          <w:b/>
          <w:sz w:val="24"/>
          <w:szCs w:val="24"/>
        </w:rPr>
      </w:pPr>
    </w:p>
    <w:p w14:paraId="5BE125D5" w14:textId="2605EE48"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González Ramírez, M.T. and Landero Hernández, R. (2014) “Benefits of dog ownership: Comparative study of equivalent samples,” </w:t>
      </w:r>
      <w:r w:rsidRPr="00B06AFE">
        <w:rPr>
          <w:b/>
          <w:i/>
          <w:iCs/>
          <w:sz w:val="24"/>
          <w:szCs w:val="24"/>
        </w:rPr>
        <w:t>Journal of Veterinary Behavior</w:t>
      </w:r>
      <w:r w:rsidRPr="00B06AFE">
        <w:rPr>
          <w:b/>
          <w:sz w:val="24"/>
          <w:szCs w:val="24"/>
        </w:rPr>
        <w:t xml:space="preserve">, 9(6), pp. 311–315. Available at: https://doi.org/10.1016/j.jveb.2014.08.002. </w:t>
      </w:r>
    </w:p>
    <w:p w14:paraId="7DF04148" w14:textId="77777777" w:rsidR="00B06AFE" w:rsidRDefault="00B06AFE" w:rsidP="00B06AFE">
      <w:pPr>
        <w:overflowPunct/>
        <w:autoSpaceDE/>
        <w:autoSpaceDN/>
        <w:adjustRightInd/>
        <w:ind w:right="107"/>
        <w:textAlignment w:val="auto"/>
        <w:rPr>
          <w:b/>
          <w:sz w:val="24"/>
          <w:szCs w:val="24"/>
        </w:rPr>
      </w:pPr>
    </w:p>
    <w:p w14:paraId="39B7590D" w14:textId="77777777" w:rsidR="00B06AFE" w:rsidRDefault="00B06AFE" w:rsidP="00B06AFE">
      <w:pPr>
        <w:overflowPunct/>
        <w:autoSpaceDE/>
        <w:autoSpaceDN/>
        <w:adjustRightInd/>
        <w:ind w:right="107"/>
        <w:textAlignment w:val="auto"/>
        <w:rPr>
          <w:b/>
          <w:sz w:val="24"/>
          <w:szCs w:val="24"/>
        </w:rPr>
      </w:pPr>
    </w:p>
    <w:p w14:paraId="67754C65" w14:textId="05055C6C"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Koziarski, J. (2021) “The effect of the COVID-19 pandemic on Mental Health calls for Police Service,” </w:t>
      </w:r>
      <w:r w:rsidRPr="00B06AFE">
        <w:rPr>
          <w:b/>
          <w:i/>
          <w:iCs/>
          <w:sz w:val="24"/>
          <w:szCs w:val="24"/>
        </w:rPr>
        <w:t>Crime Science</w:t>
      </w:r>
      <w:r w:rsidRPr="00B06AFE">
        <w:rPr>
          <w:b/>
          <w:sz w:val="24"/>
          <w:szCs w:val="24"/>
        </w:rPr>
        <w:t xml:space="preserve">, 10(1). Available at: https://doi.org/10.1186/s40163-021-00157-6. </w:t>
      </w:r>
    </w:p>
    <w:p w14:paraId="359CCCAF" w14:textId="77777777" w:rsidR="00B06AFE" w:rsidRDefault="00B06AFE" w:rsidP="00B06AFE">
      <w:pPr>
        <w:overflowPunct/>
        <w:autoSpaceDE/>
        <w:autoSpaceDN/>
        <w:adjustRightInd/>
        <w:ind w:right="107"/>
        <w:textAlignment w:val="auto"/>
        <w:rPr>
          <w:b/>
          <w:sz w:val="24"/>
          <w:szCs w:val="24"/>
        </w:rPr>
      </w:pPr>
    </w:p>
    <w:p w14:paraId="1A00ADBD" w14:textId="49E01BF1"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Lamb, H.R., Weinberger, L.E. and DeCuir, W.J. (2002) “The police and mental health,” </w:t>
      </w:r>
      <w:r w:rsidRPr="00B06AFE">
        <w:rPr>
          <w:b/>
          <w:i/>
          <w:iCs/>
          <w:sz w:val="24"/>
          <w:szCs w:val="24"/>
        </w:rPr>
        <w:t>Psychiatric Services</w:t>
      </w:r>
      <w:r w:rsidRPr="00B06AFE">
        <w:rPr>
          <w:b/>
          <w:sz w:val="24"/>
          <w:szCs w:val="24"/>
        </w:rPr>
        <w:t xml:space="preserve">, 53(10), pp. 1266–1271. Available at: https://doi.org/10.1176/appi.ps.53.10.1266. </w:t>
      </w:r>
    </w:p>
    <w:p w14:paraId="541AE434" w14:textId="77777777" w:rsidR="00B06AFE" w:rsidRDefault="00B06AFE" w:rsidP="00B06AFE">
      <w:pPr>
        <w:overflowPunct/>
        <w:autoSpaceDE/>
        <w:autoSpaceDN/>
        <w:adjustRightInd/>
        <w:ind w:right="107"/>
        <w:textAlignment w:val="auto"/>
        <w:rPr>
          <w:b/>
          <w:sz w:val="24"/>
          <w:szCs w:val="24"/>
        </w:rPr>
      </w:pPr>
    </w:p>
    <w:p w14:paraId="2715E67B" w14:textId="5B653123" w:rsidR="00B06AFE" w:rsidRPr="00B06AFE" w:rsidRDefault="00B06AFE" w:rsidP="00B06AFE">
      <w:pPr>
        <w:overflowPunct/>
        <w:autoSpaceDE/>
        <w:autoSpaceDN/>
        <w:adjustRightInd/>
        <w:ind w:right="107"/>
        <w:textAlignment w:val="auto"/>
        <w:rPr>
          <w:b/>
          <w:sz w:val="24"/>
          <w:szCs w:val="24"/>
        </w:rPr>
      </w:pPr>
      <w:r w:rsidRPr="00B06AFE">
        <w:rPr>
          <w:b/>
          <w:sz w:val="24"/>
          <w:szCs w:val="24"/>
        </w:rPr>
        <w:t>Lancet. (2013). Section 136 and police custody—an unacceptable situation. </w:t>
      </w:r>
      <w:r w:rsidRPr="00B06AFE">
        <w:rPr>
          <w:b/>
          <w:i/>
          <w:iCs/>
          <w:sz w:val="24"/>
          <w:szCs w:val="24"/>
        </w:rPr>
        <w:t>The Lancet (British Edition)</w:t>
      </w:r>
      <w:r w:rsidRPr="00B06AFE">
        <w:rPr>
          <w:b/>
          <w:sz w:val="24"/>
          <w:szCs w:val="24"/>
        </w:rPr>
        <w:t>, </w:t>
      </w:r>
      <w:r w:rsidRPr="00B06AFE">
        <w:rPr>
          <w:b/>
          <w:i/>
          <w:iCs/>
          <w:sz w:val="24"/>
          <w:szCs w:val="24"/>
        </w:rPr>
        <w:t>381</w:t>
      </w:r>
      <w:r w:rsidRPr="00B06AFE">
        <w:rPr>
          <w:b/>
          <w:sz w:val="24"/>
          <w:szCs w:val="24"/>
        </w:rPr>
        <w:t xml:space="preserve">(9885), 2224–2224. </w:t>
      </w:r>
      <w:hyperlink r:id="rId22" w:history="1">
        <w:r w:rsidRPr="00B06AFE">
          <w:rPr>
            <w:rStyle w:val="Hyperlink"/>
            <w:b/>
            <w:sz w:val="24"/>
            <w:szCs w:val="24"/>
          </w:rPr>
          <w:t>https://doi.org/10.1016/S0140-6736(13)61467-1</w:t>
        </w:r>
      </w:hyperlink>
    </w:p>
    <w:p w14:paraId="046B2D57" w14:textId="77777777" w:rsidR="00B06AFE" w:rsidRDefault="00B06AFE" w:rsidP="00B06AFE">
      <w:pPr>
        <w:overflowPunct/>
        <w:autoSpaceDE/>
        <w:autoSpaceDN/>
        <w:adjustRightInd/>
        <w:ind w:right="107"/>
        <w:textAlignment w:val="auto"/>
        <w:rPr>
          <w:b/>
          <w:sz w:val="24"/>
          <w:szCs w:val="24"/>
        </w:rPr>
      </w:pPr>
    </w:p>
    <w:p w14:paraId="0E37C6B7" w14:textId="26B18C96" w:rsidR="00B06AFE" w:rsidRPr="00B06AFE" w:rsidRDefault="00B06AFE" w:rsidP="00B06AFE">
      <w:pPr>
        <w:overflowPunct/>
        <w:autoSpaceDE/>
        <w:autoSpaceDN/>
        <w:adjustRightInd/>
        <w:ind w:right="107"/>
        <w:textAlignment w:val="auto"/>
        <w:rPr>
          <w:b/>
          <w:sz w:val="24"/>
          <w:szCs w:val="24"/>
        </w:rPr>
      </w:pPr>
      <w:r w:rsidRPr="00B06AFE">
        <w:rPr>
          <w:b/>
          <w:sz w:val="24"/>
          <w:szCs w:val="24"/>
        </w:rPr>
        <w:t xml:space="preserve">Warm, A., Murray, C. and Fox, J. (2003) “Why do people self-harm?,” </w:t>
      </w:r>
      <w:r w:rsidRPr="00B06AFE">
        <w:rPr>
          <w:b/>
          <w:i/>
          <w:iCs/>
          <w:sz w:val="24"/>
          <w:szCs w:val="24"/>
        </w:rPr>
        <w:t>Psychology, Health &amp; Medicine</w:t>
      </w:r>
      <w:r w:rsidRPr="00B06AFE">
        <w:rPr>
          <w:b/>
          <w:sz w:val="24"/>
          <w:szCs w:val="24"/>
        </w:rPr>
        <w:t xml:space="preserve">, 8(1), pp. 72–79. Available at: https://doi.org/10.1080/1354850021000059278. </w:t>
      </w:r>
    </w:p>
    <w:p w14:paraId="0CCF1FA5" w14:textId="77777777" w:rsidR="00B06AFE" w:rsidRPr="00B06AFE" w:rsidRDefault="00B06AFE" w:rsidP="00B06AFE">
      <w:pPr>
        <w:overflowPunct/>
        <w:autoSpaceDE/>
        <w:autoSpaceDN/>
        <w:adjustRightInd/>
        <w:ind w:right="107"/>
        <w:textAlignment w:val="auto"/>
        <w:rPr>
          <w:b/>
          <w:sz w:val="24"/>
          <w:szCs w:val="24"/>
        </w:rPr>
      </w:pPr>
    </w:p>
    <w:p w14:paraId="00FDA329" w14:textId="77777777" w:rsidR="00B06AFE" w:rsidRPr="00B06AFE" w:rsidRDefault="00B06AFE" w:rsidP="00B06AFE">
      <w:pPr>
        <w:overflowPunct/>
        <w:autoSpaceDE/>
        <w:autoSpaceDN/>
        <w:adjustRightInd/>
        <w:ind w:right="107"/>
        <w:textAlignment w:val="auto"/>
        <w:rPr>
          <w:b/>
          <w:sz w:val="24"/>
          <w:szCs w:val="24"/>
        </w:rPr>
      </w:pPr>
    </w:p>
    <w:p w14:paraId="250CF227" w14:textId="06629AC1"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5B9315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B06AFE">
        <w:rPr>
          <w:rFonts w:eastAsia="Arial"/>
          <w:color w:val="000000" w:themeColor="text1"/>
          <w:sz w:val="24"/>
          <w:szCs w:val="24"/>
          <w:highlight w:val="yellow"/>
        </w:rPr>
        <w:t>A. Evans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28AE761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B06AFE">
        <w:rPr>
          <w:rFonts w:eastAsia="Arial"/>
          <w:color w:val="000000" w:themeColor="text1"/>
          <w:sz w:val="24"/>
          <w:szCs w:val="24"/>
          <w:highlight w:val="yellow"/>
        </w:rPr>
        <w:t>24/03/2023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0588559">
    <w:abstractNumId w:val="38"/>
  </w:num>
  <w:num w:numId="2" w16cid:durableId="1198733810">
    <w:abstractNumId w:val="31"/>
  </w:num>
  <w:num w:numId="3" w16cid:durableId="1471245628">
    <w:abstractNumId w:val="23"/>
  </w:num>
  <w:num w:numId="4" w16cid:durableId="1098870376">
    <w:abstractNumId w:val="1"/>
    <w:lvlOverride w:ilvl="0">
      <w:lvl w:ilvl="0">
        <w:start w:val="1"/>
        <w:numFmt w:val="bullet"/>
        <w:lvlText w:val=""/>
        <w:lvlJc w:val="left"/>
        <w:pPr>
          <w:ind w:left="720" w:hanging="360"/>
        </w:pPr>
        <w:rPr>
          <w:rFonts w:ascii="Symbol" w:hAnsi="Symbol" w:hint="default"/>
        </w:rPr>
      </w:lvl>
    </w:lvlOverride>
  </w:num>
  <w:num w:numId="5" w16cid:durableId="1831797337">
    <w:abstractNumId w:val="21"/>
  </w:num>
  <w:num w:numId="6" w16cid:durableId="296420834">
    <w:abstractNumId w:val="45"/>
  </w:num>
  <w:num w:numId="7" w16cid:durableId="163209251">
    <w:abstractNumId w:val="47"/>
  </w:num>
  <w:num w:numId="8" w16cid:durableId="702174811">
    <w:abstractNumId w:val="34"/>
  </w:num>
  <w:num w:numId="9" w16cid:durableId="271867733">
    <w:abstractNumId w:val="32"/>
  </w:num>
  <w:num w:numId="10" w16cid:durableId="2014723773">
    <w:abstractNumId w:val="28"/>
  </w:num>
  <w:num w:numId="11" w16cid:durableId="1073046652">
    <w:abstractNumId w:val="29"/>
  </w:num>
  <w:num w:numId="12" w16cid:durableId="1586452687">
    <w:abstractNumId w:val="9"/>
  </w:num>
  <w:num w:numId="13" w16cid:durableId="1691446919">
    <w:abstractNumId w:val="33"/>
  </w:num>
  <w:num w:numId="14" w16cid:durableId="544175292">
    <w:abstractNumId w:val="16"/>
  </w:num>
  <w:num w:numId="15" w16cid:durableId="468137389">
    <w:abstractNumId w:val="15"/>
  </w:num>
  <w:num w:numId="16" w16cid:durableId="1908421036">
    <w:abstractNumId w:val="26"/>
  </w:num>
  <w:num w:numId="17" w16cid:durableId="1751346825">
    <w:abstractNumId w:val="7"/>
  </w:num>
  <w:num w:numId="18" w16cid:durableId="901059762">
    <w:abstractNumId w:val="25"/>
  </w:num>
  <w:num w:numId="19" w16cid:durableId="2081587118">
    <w:abstractNumId w:val="14"/>
  </w:num>
  <w:num w:numId="20" w16cid:durableId="627052633">
    <w:abstractNumId w:val="12"/>
  </w:num>
  <w:num w:numId="21" w16cid:durableId="63059245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799940">
    <w:abstractNumId w:val="22"/>
  </w:num>
  <w:num w:numId="23" w16cid:durableId="1806652626">
    <w:abstractNumId w:val="17"/>
  </w:num>
  <w:num w:numId="24" w16cid:durableId="888224117">
    <w:abstractNumId w:val="13"/>
  </w:num>
  <w:num w:numId="25" w16cid:durableId="2084258310">
    <w:abstractNumId w:val="10"/>
  </w:num>
  <w:num w:numId="26" w16cid:durableId="1165589500">
    <w:abstractNumId w:val="27"/>
  </w:num>
  <w:num w:numId="27" w16cid:durableId="306010639">
    <w:abstractNumId w:val="18"/>
  </w:num>
  <w:num w:numId="28" w16cid:durableId="789520579">
    <w:abstractNumId w:val="41"/>
  </w:num>
  <w:num w:numId="29" w16cid:durableId="920145408">
    <w:abstractNumId w:val="35"/>
  </w:num>
  <w:num w:numId="30" w16cid:durableId="488374984">
    <w:abstractNumId w:val="40"/>
  </w:num>
  <w:num w:numId="31" w16cid:durableId="1709451219">
    <w:abstractNumId w:val="19"/>
  </w:num>
  <w:num w:numId="32" w16cid:durableId="1741444294">
    <w:abstractNumId w:val="43"/>
  </w:num>
  <w:num w:numId="33" w16cid:durableId="1906447409">
    <w:abstractNumId w:val="30"/>
  </w:num>
  <w:num w:numId="34" w16cid:durableId="1435400565">
    <w:abstractNumId w:val="11"/>
  </w:num>
  <w:num w:numId="35" w16cid:durableId="76098315">
    <w:abstractNumId w:val="44"/>
  </w:num>
  <w:num w:numId="36" w16cid:durableId="41760617">
    <w:abstractNumId w:val="39"/>
  </w:num>
  <w:num w:numId="37" w16cid:durableId="574045979">
    <w:abstractNumId w:val="4"/>
  </w:num>
  <w:num w:numId="38" w16cid:durableId="1841197894">
    <w:abstractNumId w:val="46"/>
  </w:num>
  <w:num w:numId="39" w16cid:durableId="2079403597">
    <w:abstractNumId w:val="42"/>
  </w:num>
  <w:num w:numId="40" w16cid:durableId="597760430">
    <w:abstractNumId w:val="36"/>
  </w:num>
  <w:num w:numId="41" w16cid:durableId="2035299297">
    <w:abstractNumId w:val="37"/>
  </w:num>
  <w:num w:numId="42" w16cid:durableId="696271029">
    <w:abstractNumId w:val="3"/>
  </w:num>
  <w:num w:numId="43" w16cid:durableId="50464717">
    <w:abstractNumId w:val="5"/>
  </w:num>
  <w:num w:numId="44" w16cid:durableId="728455207">
    <w:abstractNumId w:val="24"/>
  </w:num>
  <w:num w:numId="45" w16cid:durableId="737942772">
    <w:abstractNumId w:val="6"/>
  </w:num>
  <w:num w:numId="46" w16cid:durableId="1796869397">
    <w:abstractNumId w:val="2"/>
  </w:num>
  <w:num w:numId="47" w16cid:durableId="2055881813">
    <w:abstractNumId w:val="0"/>
  </w:num>
  <w:num w:numId="48" w16cid:durableId="1304041423">
    <w:abstractNumId w:val="20"/>
  </w:num>
  <w:num w:numId="49" w16cid:durableId="88633738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6AFE"/>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06A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1108/jpmh-09-2012-000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17/s09592598100004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1016/S0140-6736(13)6146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4871</Words>
  <Characters>26334</Characters>
  <Application>Microsoft Office Word</Application>
  <DocSecurity>0</DocSecurity>
  <Lines>219</Lines>
  <Paragraphs>62</Paragraphs>
  <ScaleCrop>false</ScaleCrop>
  <Company>Powys County Council</Company>
  <LinksUpToDate>false</LinksUpToDate>
  <CharactersWithSpaces>31143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Abbie Evans (2134488)</cp:lastModifiedBy>
  <cp:revision>2</cp:revision>
  <cp:lastPrinted>2019-08-13T11:47:00Z</cp:lastPrinted>
  <dcterms:created xsi:type="dcterms:W3CDTF">2023-03-24T19:50:00Z</dcterms:created>
  <dcterms:modified xsi:type="dcterms:W3CDTF">2023-03-24T19:50:00Z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2023-03-24T19:50:33Z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b134417e-23be-4a16-b007-647eee9505b1</vt:lpwstr>
  </property>
  <property fmtid="{D5CDD505-2E9C-101B-9397-08002B2CF9AE}" pid="9" name="MSIP_Label_66cf8fe5-b7b7-4df7-b38d-1c61ac2f6639_ContentBits">
    <vt:lpwstr>0</vt:lpwstr>
  </property>
</Properties>
</file>