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Roland Mihai Baba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spacing w:after="0" w:before="0"/>
              <w:jc w:val="center"/>
              <w:rPr>
                <w:rFonts w:ascii="Arial" w:hAnsi="Arial" w:cs="Arial"/>
                <w:sz w:val="22"/>
                <w:szCs w:val="22"/>
              </w:rPr>
            </w:pPr>
            <w:r>
              <w:rPr>
                <w:rFonts w:ascii="Calibri" w:hAnsi="Calibri" w:eastAsia="Calibri"/>
                <w:b w:val="0"/>
                <w:i w:val="0"/>
                <w:color w:val="000000"/>
                <w:sz w:val="20"/>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spacing w:after="0" w:before="0"/>
              <w:jc w:val="center"/>
              <w:rPr>
                <w:rFonts w:ascii="Arial" w:hAnsi="Arial" w:cs="Arial"/>
                <w:sz w:val="22"/>
                <w:szCs w:val="22"/>
              </w:rPr>
            </w:pPr>
            <w:r>
              <w:rPr>
                <w:rFonts w:ascii="Calibri" w:hAnsi="Calibri" w:eastAsia="Calibri"/>
                <w:b w:val="0"/>
                <w:i w:val="0"/>
                <w:color w:val="000000"/>
                <w:sz w:val="20"/>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spacing w:after="0" w:before="0"/>
              <w:rPr>
                <w:rFonts w:ascii="Arial" w:hAnsi="Arial" w:cs="Arial"/>
                <w:sz w:val="22"/>
                <w:szCs w:val="22"/>
              </w:rPr>
            </w:pPr>
            <w:r>
              <w:rPr>
                <w:rFonts w:ascii="Calibri" w:hAnsi="Calibri" w:eastAsia="Calibri"/>
                <w:b w:val="0"/>
                <w:i w:val="0"/>
                <w:color w:val="000000"/>
                <w:sz w:val="18"/>
              </w:rPr>
              <w:t>Undergraduate Student ☐</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spacing w:after="0" w:before="0"/>
              <w:rPr>
                <w:rFonts w:ascii="Arial" w:hAnsi="Arial" w:cs="Arial"/>
                <w:sz w:val="22"/>
                <w:szCs w:val="22"/>
              </w:rPr>
            </w:pPr>
            <w:r>
              <w:rPr>
                <w:rFonts w:ascii="Calibri" w:hAnsi="Calibri" w:eastAsia="Calibri"/>
                <w:b w:val="0"/>
                <w:i w:val="0"/>
                <w:color w:val="000000"/>
                <w:sz w:val="18"/>
              </w:rPr>
              <w:t>Taught Postgraduate Student ☒</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spacing w:after="0" w:before="0"/>
              <w:rPr>
                <w:rFonts w:ascii="Arial" w:hAnsi="Arial" w:cs="Arial"/>
                <w:sz w:val="22"/>
                <w:szCs w:val="22"/>
              </w:rPr>
            </w:pPr>
            <w:r>
              <w:rPr>
                <w:rFonts w:ascii="Calibri" w:hAnsi="Calibri" w:eastAsia="Calibri"/>
                <w:b w:val="0"/>
                <w:i w:val="0"/>
                <w:color w:val="000000"/>
                <w:sz w:val="18"/>
              </w:rPr>
              <w:t>Postgraduate Research Student ☐</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Business and Management / International Business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UWTSD (campus not specified)</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2216968@student.uwtsd.ac.uk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Not provided</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spacing w:after="0" w:before="0"/>
              <w:rPr>
                <w:rFonts w:ascii="Arial" w:hAnsi="Arial" w:cs="Arial"/>
                <w:color w:val="4EA72E" w:themeColor="accent6"/>
                <w:sz w:val="22"/>
                <w:szCs w:val="22"/>
              </w:rPr>
            </w:pPr>
            <w:r>
              <w:rPr>
                <w:rFonts w:ascii="Calibri" w:hAnsi="Calibri" w:eastAsia="Calibri"/>
                <w:b w:val="0"/>
                <w:i w:val="0"/>
                <w:color w:val="000000"/>
                <w:sz w:val="18"/>
              </w:rPr>
              <w:t>Evaluating Supply Chain Resilience Strategies Adopted by European Automotive Manufacturing Firms in Response to Global Supply Chain Disruptions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spacing w:after="0" w:before="0"/>
              <w:rPr>
                <w:rFonts w:ascii="Arial" w:hAnsi="Arial" w:cs="Arial"/>
                <w:sz w:val="22"/>
                <w:szCs w:val="22"/>
              </w:rPr>
            </w:pPr>
            <w:r>
              <w:rPr>
                <w:rFonts w:ascii="Calibri" w:hAnsi="Calibri" w:eastAsia="Calibri"/>
                <w:b w:val="0"/>
                <w:i w:val="0"/>
                <w:color w:val="000000"/>
                <w:sz w:val="18"/>
              </w:rPr>
              <w:t>To be confirmed</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spacing w:after="0" w:before="0"/>
              <w:rPr>
                <w:rFonts w:ascii="Arial" w:hAnsi="Arial" w:cs="Arial"/>
                <w:sz w:val="22"/>
                <w:szCs w:val="22"/>
              </w:rPr>
            </w:pPr>
            <w:r>
              <w:rPr>
                <w:rFonts w:ascii="Calibri" w:hAnsi="Calibri" w:eastAsia="Calibri"/>
                <w:b w:val="0"/>
                <w:i w:val="0"/>
                <w:color w:val="000000"/>
                <w:sz w:val="18"/>
              </w:rPr>
              <w:t>To be confirmed</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2216968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International Business / Business Management (taught postgraduate)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spacing w:after="0" w:before="0"/>
              <w:rPr>
                <w:rFonts w:ascii="Arial" w:hAnsi="Arial" w:cs="Arial"/>
                <w:sz w:val="22"/>
                <w:szCs w:val="22"/>
              </w:rPr>
            </w:pPr>
            <w:r>
              <w:rPr>
                <w:rFonts w:ascii="Calibri" w:hAnsi="Calibri" w:eastAsia="Calibri"/>
                <w:b w:val="0"/>
                <w:i w:val="0"/>
                <w:color w:val="000000"/>
                <w:sz w:val="18"/>
              </w:rPr>
              <w:t>Aso Abdullah (a.abdullah@uwtsd.ac.uk)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spacing w:after="0" w:before="0"/>
              <w:rPr>
                <w:rFonts w:ascii="Arial" w:hAnsi="Arial" w:cs="Arial"/>
                <w:b/>
                <w:bCs/>
                <w:sz w:val="22"/>
                <w:szCs w:val="22"/>
              </w:rPr>
            </w:pPr>
            <w:r w:rsidRPr="003C7DED">
              <w:rPr>
                <w:rFonts w:ascii="Arial" w:hAnsi="Arial" w:cs="Arial"/>
                <w:b/>
                <w:bCs/>
                <w:sz w:val="16"/>
                <w:szCs w:val="22"/>
              </w:rPr>
              <w:t>Ethical Guidance Documents</w:t>
            </w:r>
          </w:p>
          <w:p w14:paraId="06C85B37" w14:textId="5EBBB3D8"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16"/>
                <w:szCs w:val="22"/>
              </w:rPr>
              <w:t>and also</w:t>
            </w:r>
            <w:proofErr w:type="gramEnd"/>
            <w:r w:rsidRPr="003C7DED">
              <w:rPr>
                <w:rFonts w:ascii="Arial" w:hAnsi="Arial" w:cs="Arial"/>
                <w:sz w:val="16"/>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1</w:t>
            </w:r>
          </w:p>
        </w:tc>
        <w:tc>
          <w:tcPr>
            <w:tcW w:w="8784" w:type="dxa"/>
            <w:vAlign w:val="center"/>
          </w:tcPr>
          <w:p w14:paraId="1922B4CD" w14:textId="77777777" w:rsidR="00F150A6" w:rsidRPr="003C7DED" w:rsidRDefault="00F150A6" w:rsidP="008C14E9">
            <w:pPr>
              <w:autoSpaceDE w:val="0"/>
              <w:autoSpaceDN w:val="0"/>
              <w:adjustRightInd w:val="0"/>
              <w:spacing w:after="0" w:before="0"/>
              <w:rPr>
                <w:rFonts w:ascii="Arial" w:hAnsi="Arial" w:cs="Arial"/>
                <w:sz w:val="22"/>
                <w:szCs w:val="22"/>
              </w:rPr>
            </w:pPr>
            <w:r>
              <w:rPr>
                <w:rFonts w:ascii="Calibri" w:hAnsi="Calibri" w:eastAsia="Calibri"/>
                <w:b w:val="0"/>
                <w:color w:val="000000"/>
                <w:sz w:val="16"/>
              </w:rPr>
              <w:t>UWTSD Research Ethics &amp; Integrity Policy    ☒</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2</w:t>
            </w:r>
          </w:p>
        </w:tc>
        <w:tc>
          <w:tcPr>
            <w:tcW w:w="8784" w:type="dxa"/>
            <w:vAlign w:val="center"/>
          </w:tcPr>
          <w:p w14:paraId="6F161F58" w14:textId="77777777" w:rsidR="00F150A6" w:rsidRPr="003C7DED" w:rsidRDefault="00F150A6" w:rsidP="008C14E9">
            <w:pPr>
              <w:autoSpaceDE w:val="0"/>
              <w:autoSpaceDN w:val="0"/>
              <w:adjustRightInd w:val="0"/>
              <w:spacing w:after="0" w:before="0"/>
              <w:rPr>
                <w:rFonts w:ascii="Arial" w:hAnsi="Arial" w:cs="Arial"/>
                <w:color w:val="FF0000"/>
                <w:sz w:val="22"/>
                <w:szCs w:val="22"/>
              </w:rPr>
            </w:pPr>
            <w:r>
              <w:rPr>
                <w:rFonts w:ascii="Calibri" w:hAnsi="Calibri" w:eastAsia="Calibri"/>
                <w:b w:val="0"/>
                <w:color w:val="000000"/>
                <w:sz w:val="16"/>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color w:val="000000"/>
                <w:sz w:val="16"/>
              </w:rPr>
              <w:t>☒</w:t>
            </w:r>
          </w:p>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3</w:t>
            </w:r>
          </w:p>
        </w:tc>
        <w:tc>
          <w:tcPr>
            <w:tcW w:w="8784" w:type="dxa"/>
            <w:vAlign w:val="center"/>
          </w:tcPr>
          <w:p w14:paraId="1BDF87C0" w14:textId="77777777" w:rsidR="00F150A6" w:rsidRPr="003C7DED" w:rsidRDefault="00F150A6" w:rsidP="008C14E9">
            <w:pPr>
              <w:autoSpaceDE w:val="0"/>
              <w:autoSpaceDN w:val="0"/>
              <w:adjustRightInd w:val="0"/>
              <w:spacing w:after="0" w:before="0"/>
              <w:rPr>
                <w:rFonts w:ascii="Arial" w:hAnsi="Arial" w:cs="Arial"/>
                <w:sz w:val="22"/>
                <w:szCs w:val="22"/>
              </w:rPr>
            </w:pPr>
            <w:r>
              <w:rPr>
                <w:rFonts w:ascii="Calibri" w:hAnsi="Calibri" w:eastAsia="Calibri"/>
                <w:b w:val="0"/>
                <w:color w:val="000000"/>
                <w:sz w:val="16"/>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color w:val="000000"/>
                <w:sz w:val="16"/>
              </w:rPr>
              <w:t>☒</w:t>
            </w:r>
          </w:p>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4</w:t>
            </w:r>
          </w:p>
        </w:tc>
        <w:tc>
          <w:tcPr>
            <w:tcW w:w="8784" w:type="dxa"/>
            <w:vAlign w:val="center"/>
          </w:tcPr>
          <w:p w14:paraId="79434495" w14:textId="77777777" w:rsidR="007A7191" w:rsidRPr="003C7DED" w:rsidRDefault="00F150A6" w:rsidP="008C14E9">
            <w:pPr>
              <w:autoSpaceDE w:val="0"/>
              <w:autoSpaceDN w:val="0"/>
              <w:adjustRightInd w:val="0"/>
              <w:spacing w:after="0" w:before="0"/>
              <w:rPr>
                <w:rFonts w:ascii="Arial" w:hAnsi="Arial" w:cs="Arial"/>
                <w:sz w:val="22"/>
                <w:szCs w:val="22"/>
              </w:rPr>
            </w:pPr>
            <w:r>
              <w:rPr>
                <w:rFonts w:ascii="Calibri" w:hAnsi="Calibri" w:eastAsia="Calibri"/>
                <w:color w:val="000000"/>
                <w:sz w:val="16"/>
              </w:rPr>
              <w:t>UWTSD Export Control Policy (N/A - Appendix 8 not 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spacing w:after="0" w:before="0"/>
              <w:rPr>
                <w:rFonts w:ascii="Arial" w:hAnsi="Arial" w:cs="Arial"/>
                <w:sz w:val="22"/>
                <w:szCs w:val="22"/>
              </w:rPr>
            </w:pPr>
            <w:r>
              <w:rPr>
                <w:rFonts w:ascii="Calibri" w:hAnsi="Calibri" w:eastAsia="Calibri"/>
                <w:color w:val="000000"/>
                <w:sz w:val="16"/>
              </w:rPr>
              <w:t>UWTSD Trusted Research and Innovation Policy (N/A - UK desk-based research)</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color w:val="000000"/>
                <w:sz w:val="16"/>
              </w:rPr>
            </w:r>
          </w:p>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spacing w:after="0" w:before="0"/>
              <w:rPr>
                <w:rFonts w:ascii="Arial" w:hAnsi="Arial" w:cs="Arial"/>
                <w:sz w:val="22"/>
                <w:szCs w:val="22"/>
              </w:rPr>
            </w:pPr>
            <w:r w:rsidRPr="003C7DED">
              <w:rPr>
                <w:rFonts w:ascii="Arial" w:hAnsi="Arial" w:cs="Arial"/>
                <w:sz w:val="16"/>
                <w:szCs w:val="22"/>
              </w:rPr>
              <w:t>6</w:t>
            </w:r>
          </w:p>
        </w:tc>
        <w:tc>
          <w:tcPr>
            <w:tcW w:w="8784" w:type="dxa"/>
            <w:vAlign w:val="center"/>
          </w:tcPr>
          <w:p w14:paraId="33EEF06F" w14:textId="77777777" w:rsidR="00F150A6" w:rsidRPr="003C7DED" w:rsidRDefault="00F150A6" w:rsidP="008C14E9">
            <w:pPr>
              <w:autoSpaceDE w:val="0"/>
              <w:autoSpaceDN w:val="0"/>
              <w:adjustRightInd w:val="0"/>
              <w:spacing w:after="0" w:before="0"/>
              <w:rPr>
                <w:rFonts w:ascii="Arial" w:hAnsi="Arial" w:cs="Arial"/>
                <w:b/>
                <w:bCs/>
                <w:sz w:val="22"/>
                <w:szCs w:val="22"/>
              </w:rPr>
            </w:pPr>
            <w:r>
              <w:rPr>
                <w:rFonts w:ascii="Calibri" w:hAnsi="Calibri" w:eastAsia="Calibri"/>
                <w:color w:val="000000"/>
                <w:sz w:val="16"/>
              </w:rPr>
              <w:t>No additional discipline-specific documents identified.</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pPr>
              <w:spacing w:after="0" w:before="0"/>
            </w:pPr>
            <w:r>
              <w:rPr>
                <w:rFonts w:ascii="Calibri" w:hAnsi="Calibri" w:eastAsia="Calibri"/>
                <w:color w:val="000000"/>
                <w:sz w:val="16"/>
              </w:rPr>
            </w: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spacing w:after="0" w:before="0"/>
              <w:rPr>
                <w:rFonts w:ascii="Arial" w:hAnsi="Arial" w:cs="Arial"/>
                <w:color w:val="4EA72E" w:themeColor="accent6"/>
                <w:sz w:val="22"/>
                <w:szCs w:val="22"/>
              </w:rPr>
            </w:pPr>
            <w:r>
              <w:rPr>
                <w:rFonts w:ascii="Calibri" w:hAnsi="Calibri" w:eastAsia="Calibri"/>
                <w:b w:val="0"/>
                <w:i w:val="0"/>
                <w:color w:val="000000"/>
                <w:sz w:val="18"/>
              </w:rPr>
              <w:t>Aim: To evaluate supply chain resilience strategies adopted by European automotive manufacturing firms in response to global supply chain disruptions.</w:t>
            </w:r>
            <w:r>
              <w:br/>
            </w:r>
            <w:r>
              <w:rPr>
                <w:rFonts w:ascii="Calibri" w:hAnsi="Calibri" w:eastAsia="Calibri"/>
                <w:b w:val="0"/>
                <w:i w:val="0"/>
                <w:color w:val="000000"/>
                <w:sz w:val="18"/>
              </w:rPr>
              <w:t>Objectives: (1) identify major supply chain disruptions affecting European automotive manufacturers; (2) examine resilience strategies adopted by selected firms; and (3) evaluate the effectiveness of these strategies for international business operations.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spacing w:after="0" w:before="0"/>
              <w:rPr>
                <w:rFonts w:ascii="Arial" w:hAnsi="Arial" w:cs="Arial"/>
                <w:color w:val="4EA72E" w:themeColor="accent6"/>
                <w:sz w:val="22"/>
                <w:szCs w:val="22"/>
              </w:rPr>
            </w:pPr>
            <w:r>
              <w:rPr>
                <w:rFonts w:ascii="Calibri" w:hAnsi="Calibri" w:eastAsia="Calibri"/>
                <w:b w:val="0"/>
                <w:i w:val="0"/>
                <w:color w:val="000000"/>
                <w:sz w:val="18"/>
              </w:rPr>
              <w:t>The study is important to International Business because disruption in one region can affect production, competitiveness and sustainability across multiple markets. It addresses a timely issue following COVID-19, semiconductor shortages, geopolitical pressures and trade restrictions. By comparing European automotive firms, the research will add insight into how supplier diversification, nearshoring, digitalisation and partnerships support supply chain resilience and operational continuity.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spacing w:after="0" w:before="0"/>
              <w:rPr>
                <w:rFonts w:ascii="Arial" w:hAnsi="Arial" w:cs="Arial"/>
                <w:color w:val="4EA72E" w:themeColor="accent6"/>
                <w:sz w:val="22"/>
                <w:szCs w:val="22"/>
              </w:rPr>
            </w:pPr>
            <w:r>
              <w:rPr>
                <w:rFonts w:ascii="Calibri" w:hAnsi="Calibri" w:eastAsia="Calibri"/>
                <w:b w:val="0"/>
                <w:i w:val="0"/>
                <w:color w:val="000000"/>
                <w:sz w:val="18"/>
              </w:rPr>
              <w:t>The study will use a qualitative comparative case study design based on secondary data. Volkswagen, BMW and Stellantis will be selected purposively because they are major European automotive manufacturers with international supply chains. Data will be gathered from academic literature, company reports, industry reports and organisational publications. Thematic analysis will be used to identify patterns relating to disruptions, resilience strategies and perceived effectiveness. Risks to delivery will be managed through clear search criteria, accurate referencing and transparent reporting.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spacing w:after="0" w:before="0"/>
              <w:rPr>
                <w:rFonts w:ascii="Arial" w:hAnsi="Arial" w:cs="Arial"/>
                <w:color w:val="4EA72E" w:themeColor="accent6"/>
                <w:sz w:val="22"/>
                <w:szCs w:val="22"/>
              </w:rPr>
            </w:pPr>
            <w:r>
              <w:rPr>
                <w:rFonts w:ascii="Calibri" w:hAnsi="Calibri" w:eastAsia="Calibri"/>
                <w:b w:val="0"/>
                <w:i w:val="0"/>
                <w:color w:val="000000"/>
                <w:sz w:val="18"/>
              </w:rPr>
              <w:t>Desk-based research undertaken in the UK using publicly available secondary sources. No fieldwork or overseas data collection will be conducted.</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spacing w:after="0" w:before="0"/>
              <w:rPr>
                <w:rFonts w:ascii="Arial" w:hAnsi="Arial" w:cs="Arial"/>
                <w:sz w:val="22"/>
                <w:szCs w:val="22"/>
              </w:rPr>
            </w:pPr>
            <w:r>
              <w:rPr>
                <w:rFonts w:ascii="Calibri" w:hAnsi="Calibri" w:eastAsia="Calibri"/>
                <w:b w:val="0"/>
                <w:i w:val="0"/>
                <w:color w:val="000000"/>
                <w:sz w:val="18"/>
              </w:rPr>
              <w:t>N/A - the study uses secondary data only (academic journals, company reports, industry reports and organisational publications).</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spacing w:after="0" w:before="0"/>
              <w:rPr>
                <w:rFonts w:ascii="Arial" w:hAnsi="Arial" w:cs="Arial"/>
                <w:bCs/>
                <w:sz w:val="24"/>
                <w:szCs w:val="24"/>
              </w:rPr>
            </w:pPr>
            <w:r>
              <w:rPr>
                <w:rFonts w:ascii="Calibri" w:hAnsi="Calibri" w:eastAsia="Calibri"/>
                <w:b/>
                <w:i w:val="0"/>
                <w:color w:val="000000"/>
                <w:sz w:val="18"/>
              </w:rPr>
              <w:t>NO ☒</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 participants will be recruited. The research is based entirely on secondary data from publicly available academic, company and industry sources.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Not applicable - there are no research participants.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Not applicable - no participants will be identified or contacted.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Not applicable - no participants are being recruited. The sample consists of selected case companies (Volkswagen, BMW and Stellantis) as secondary-data cases.</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 deception will be used.</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spacing w:after="0" w:before="0"/>
              <w:rPr>
                <w:rFonts w:ascii="Arial" w:hAnsi="Arial" w:cs="Arial"/>
                <w:sz w:val="22"/>
                <w:szCs w:val="22"/>
              </w:rPr>
            </w:pPr>
            <w:r>
              <w:rPr>
                <w:rFonts w:ascii="Calibri" w:hAnsi="Calibri" w:eastAsia="Calibri"/>
                <w:b w:val="0"/>
                <w:i w:val="0"/>
                <w:color w:val="000000"/>
                <w:sz w:val="16"/>
              </w:rPr>
              <w:t>Not applicable because there are no participants and no participant data.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spacing w:after="0" w:before="0"/>
              <w:rPr>
                <w:rFonts w:ascii="Arial" w:hAnsi="Arial" w:cs="Arial"/>
                <w:i/>
                <w:color w:val="808080"/>
                <w:sz w:val="18"/>
                <w:szCs w:val="18"/>
              </w:rPr>
            </w:pPr>
            <w:r>
              <w:rPr>
                <w:rFonts w:ascii="Calibri" w:hAnsi="Calibri" w:eastAsia="Calibri"/>
                <w:b w:val="0"/>
                <w:i w:val="0"/>
                <w:color w:val="000000"/>
                <w:sz w:val="16"/>
              </w:rPr>
              <w:t>Not applicable.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spacing w:after="0" w:before="0"/>
              <w:rPr>
                <w:rFonts w:ascii="Arial" w:hAnsi="Arial" w:cs="Arial"/>
                <w:i/>
                <w:color w:val="808080"/>
                <w:sz w:val="18"/>
                <w:szCs w:val="18"/>
              </w:rPr>
            </w:pPr>
            <w:r>
              <w:rPr>
                <w:rFonts w:ascii="Calibri" w:hAnsi="Calibri" w:eastAsia="Calibri"/>
                <w:b w:val="0"/>
                <w:i w:val="0"/>
                <w:color w:val="000000"/>
                <w:sz w:val="16"/>
              </w:rPr>
              <w:t>Not applicable; no participants with communication needs will be recruited.</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spacing w:after="0" w:before="0"/>
              <w:jc w:val="center"/>
              <w:rPr>
                <w:rFonts w:ascii="Arial" w:eastAsia="MS Gothic" w:hAnsi="Arial" w:cs="Arial"/>
                <w:sz w:val="22"/>
                <w:szCs w:val="22"/>
              </w:rPr>
            </w:pPr>
            <w:r>
              <w:rPr>
                <w:rFonts w:ascii="Calibri" w:hAnsi="Calibri" w:eastAsia="Calibri"/>
                <w:b w:val="0"/>
                <w:i w:val="0"/>
                <w:color w:val="000000"/>
                <w:sz w:val="20"/>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spacing w:after="0" w:before="0"/>
              <w:jc w:val="center"/>
              <w:rPr>
                <w:rFonts w:ascii="Arial" w:eastAsia="MS Gothic" w:hAnsi="Arial" w:cs="Arial"/>
                <w:sz w:val="22"/>
                <w:szCs w:val="22"/>
              </w:rPr>
            </w:pPr>
            <w:r>
              <w:rPr>
                <w:rFonts w:ascii="Calibri" w:hAnsi="Calibri" w:eastAsia="Calibri"/>
                <w:b w:val="0"/>
                <w:i w:val="0"/>
                <w:color w:val="000000"/>
                <w:sz w:val="20"/>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spacing w:after="0" w:before="0"/>
              <w:rPr>
                <w:rFonts w:ascii="Arial" w:hAnsi="Arial" w:cs="Arial"/>
                <w:sz w:val="22"/>
                <w:szCs w:val="22"/>
              </w:rPr>
            </w:pPr>
            <w:r>
              <w:rPr>
                <w:rFonts w:ascii="Calibri" w:hAnsi="Calibri" w:eastAsia="Calibri"/>
                <w:b w:val="0"/>
                <w:i w:val="0"/>
                <w:color w:val="000000"/>
                <w:sz w:val="16"/>
              </w:rPr>
              <w:t>No personal data will be collected. The research uses published secondary sources only and will not collect names, contact details, interview data, recordings or other identifiable data from individuals.</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spacing w:after="0" w:before="0"/>
              <w:rPr>
                <w:rFonts w:ascii="Arial" w:hAnsi="Arial" w:cs="Arial"/>
                <w:color w:val="4EA72E" w:themeColor="accent6"/>
                <w:sz w:val="22"/>
                <w:szCs w:val="22"/>
              </w:rPr>
            </w:pPr>
            <w:r>
              <w:rPr>
                <w:rFonts w:ascii="Calibri" w:hAnsi="Calibri" w:eastAsia="Calibri"/>
                <w:b w:val="0"/>
                <w:i w:val="0"/>
                <w:color w:val="000000"/>
                <w:sz w:val="16"/>
              </w:rPr>
              <w:t>N/A - no special category data will be collected or processed.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spacing w:after="0" w:before="0"/>
              <w:rPr>
                <w:rFonts w:ascii="Arial" w:hAnsi="Arial" w:cs="Arial"/>
                <w:sz w:val="22"/>
                <w:szCs w:val="22"/>
              </w:rPr>
            </w:pPr>
            <w:r>
              <w:rPr>
                <w:rFonts w:ascii="Calibri" w:hAnsi="Calibri" w:eastAsia="Calibri"/>
                <w:b w:val="0"/>
                <w:i w:val="0"/>
                <w:color w:val="000000"/>
                <w:sz w:val="16"/>
              </w:rPr>
              <w:t>The project has been designed to avoid collecting personal data. It will analyse public secondary documents relating to companies and supply chain strategies. No primary data, participant data, names, contact details, audio/video recordings or confidential data will be collected.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spacing w:after="0" w:before="0"/>
              <w:rPr>
                <w:rFonts w:ascii="Arial" w:hAnsi="Arial" w:cs="Arial"/>
                <w:sz w:val="22"/>
                <w:szCs w:val="22"/>
              </w:rPr>
            </w:pPr>
            <w:r>
              <w:rPr>
                <w:rFonts w:ascii="Calibri" w:hAnsi="Calibri" w:eastAsia="Calibri"/>
                <w:b w:val="0"/>
                <w:i w:val="0"/>
                <w:color w:val="000000"/>
                <w:sz w:val="16"/>
              </w:rPr>
              <w:t>Processing is not expected to cause damage or distress because no personal or sensitive data will be collected. The analysis will focus on organisations and published materials, and reporting will be accurate, referenced and non-defamatory.</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spacing w:after="0" w:before="0"/>
              <w:rPr>
                <w:rFonts w:ascii="Arial" w:hAnsi="Arial" w:cs="Arial"/>
                <w:sz w:val="22"/>
                <w:szCs w:val="22"/>
              </w:rPr>
            </w:pPr>
            <w:r>
              <w:rPr>
                <w:rFonts w:ascii="Calibri" w:hAnsi="Calibri" w:eastAsia="Calibri"/>
                <w:b w:val="0"/>
                <w:i w:val="0"/>
                <w:color w:val="000000"/>
                <w:sz w:val="16"/>
              </w:rPr>
              <w:t>The research will not be used to take action or make decisions about any individual. It is an academic study of organisational supply chain resilience strategies using secondary sources.</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spacing w:after="0" w:before="0"/>
              <w:rPr>
                <w:rFonts w:ascii="Arial" w:hAnsi="Arial" w:cs="Arial"/>
                <w:sz w:val="22"/>
                <w:szCs w:val="22"/>
              </w:rPr>
            </w:pPr>
            <w:r>
              <w:rPr>
                <w:rFonts w:ascii="Calibri" w:hAnsi="Calibri" w:eastAsia="Calibri"/>
                <w:b w:val="0"/>
                <w:i w:val="0"/>
                <w:color w:val="000000"/>
                <w:sz w:val="16"/>
              </w:rPr>
              <w:t>No personal data will be collected. Any published material will be referenced appropriately. Where individuals appear in public documents, their personal details will not be extracted or analysed.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pPr>
              <w:spacing w:after="0" w:before="0"/>
            </w:pPr>
            <w:r>
              <w:rPr>
                <w:rFonts w:ascii="Calibri" w:hAnsi="Calibri" w:eastAsia="Calibri"/>
                <w:b w:val="0"/>
                <w:i w:val="0"/>
                <w:color w:val="000000"/>
                <w:sz w:val="20"/>
              </w:rPr>
              <w:t>☐</w:t>
            </w:r>
          </w:p>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spacing w:after="0" w:before="0"/>
              <w:rPr>
                <w:rFonts w:ascii="Arial" w:hAnsi="Arial" w:cs="Arial"/>
                <w:sz w:val="22"/>
                <w:szCs w:val="22"/>
              </w:rPr>
            </w:pPr>
            <w:r>
              <w:rPr>
                <w:rFonts w:ascii="Calibri" w:hAnsi="Calibri" w:eastAsia="Calibri"/>
                <w:b w:val="0"/>
                <w:i w:val="0"/>
                <w:color w:val="000000"/>
                <w:sz w:val="16"/>
              </w:rPr>
              <w:t>N/A - the project uses secondary data only and does not involve research participants. Therefore participant consent, information sheets and privacy notices are not required.</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spacing w:after="0" w:before="0"/>
              <w:rPr>
                <w:rFonts w:ascii="Arial" w:hAnsi="Arial" w:cs="Arial"/>
                <w:color w:val="4EA72E" w:themeColor="accent6"/>
                <w:sz w:val="22"/>
                <w:szCs w:val="22"/>
              </w:rPr>
            </w:pPr>
            <w:r>
              <w:rPr>
                <w:rFonts w:ascii="Calibri" w:hAnsi="Calibri" w:eastAsia="Calibri"/>
                <w:b w:val="0"/>
                <w:i w:val="0"/>
                <w:color w:val="000000"/>
                <w:sz w:val="16"/>
              </w:rPr>
              <w:t>No non-UK/EU data collection platform will be used to collect participant data. The study will use desk-based review of secondary sources.</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spacing w:after="0" w:before="0"/>
              <w:rPr>
                <w:rFonts w:ascii="Arial" w:hAnsi="Arial" w:cs="Arial"/>
                <w:sz w:val="22"/>
                <w:szCs w:val="22"/>
              </w:rPr>
            </w:pPr>
            <w:r>
              <w:rPr>
                <w:rFonts w:ascii="Calibri" w:hAnsi="Calibri" w:eastAsia="Calibri"/>
                <w:b w:val="0"/>
                <w:i w:val="0"/>
                <w:color w:val="000000"/>
                <w:sz w:val="16"/>
              </w:rPr>
              <w:t>No confidential participant information will be collected. Research notes and extracted data from public sources will be stored securely on password-protected UWTSD/student storage and used only for this dissertation. Sources will be cited accurately.</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spacing w:after="0" w:before="0"/>
              <w:rPr>
                <w:rFonts w:ascii="Arial" w:hAnsi="Arial" w:cs="Arial"/>
                <w:sz w:val="22"/>
                <w:szCs w:val="22"/>
              </w:rPr>
            </w:pPr>
            <w:r>
              <w:rPr>
                <w:rFonts w:ascii="Calibri" w:hAnsi="Calibri" w:eastAsia="Calibri"/>
                <w:b w:val="0"/>
                <w:i w:val="0"/>
                <w:color w:val="000000"/>
                <w:sz w:val="16"/>
              </w:rPr>
              <w:t>N/A - no participant information sheet or consent form is required because no participants are involved.</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spacing w:after="0" w:before="0"/>
              <w:rPr>
                <w:rFonts w:ascii="Arial" w:hAnsi="Arial" w:cs="Arial"/>
                <w:sz w:val="22"/>
                <w:szCs w:val="22"/>
              </w:rPr>
            </w:pPr>
            <w:r>
              <w:rPr>
                <w:rFonts w:ascii="Calibri" w:hAnsi="Calibri" w:eastAsia="Calibri"/>
                <w:b w:val="0"/>
                <w:i w:val="0"/>
                <w:color w:val="000000"/>
                <w:sz w:val="20"/>
              </w:rPr>
              <w:t>☐</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spacing w:after="0" w:before="0"/>
              <w:jc w:val="center"/>
              <w:rPr>
                <w:rFonts w:ascii="Arial" w:hAnsi="Arial" w:cs="Arial"/>
                <w:b/>
                <w:bCs/>
                <w:sz w:val="22"/>
                <w:szCs w:val="22"/>
              </w:rPr>
            </w:pPr>
            <w:r>
              <w:rPr>
                <w:rFonts w:ascii="Calibri" w:hAnsi="Calibri" w:eastAsia="Calibri"/>
                <w:b w:val="0"/>
                <w:i w:val="0"/>
                <w:color w:val="000000"/>
                <w:sz w:val="20"/>
              </w:rPr>
              <w:t>☐</w:t>
            </w:r>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spacing w:after="0" w:before="0"/>
              <w:jc w:val="center"/>
              <w:rPr>
                <w:rFonts w:ascii="Arial" w:hAnsi="Arial" w:cs="Arial"/>
                <w:b/>
                <w:bCs/>
                <w:sz w:val="22"/>
                <w:szCs w:val="22"/>
              </w:rPr>
            </w:pPr>
            <w:r>
              <w:rPr>
                <w:rFonts w:ascii="Calibri" w:hAnsi="Calibri" w:eastAsia="Calibri"/>
                <w:b w:val="0"/>
                <w:i w:val="0"/>
                <w:color w:val="000000"/>
                <w:sz w:val="20"/>
              </w:rPr>
              <w:t>☒</w:t>
            </w:r>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spacing w:after="0" w:before="0"/>
              <w:jc w:val="center"/>
              <w:rPr>
                <w:rFonts w:ascii="Arial" w:hAnsi="Arial" w:cs="Arial"/>
                <w:b/>
                <w:sz w:val="22"/>
                <w:szCs w:val="22"/>
              </w:rPr>
            </w:pPr>
            <w:r>
              <w:rPr>
                <w:rFonts w:ascii="Calibri" w:hAnsi="Calibri" w:eastAsia="Calibri"/>
                <w:b/>
                <w:i w:val="0"/>
                <w:color w:val="000000"/>
                <w:sz w:val="18"/>
              </w:rPr>
              <w:t>NO ☒</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spacing w:after="0" w:before="0"/>
              <w:jc w:val="center"/>
              <w:rPr>
                <w:rFonts w:ascii="Arial" w:eastAsia="MS Gothic" w:hAnsi="Arial" w:cs="Arial"/>
                <w:b/>
                <w:sz w:val="22"/>
                <w:szCs w:val="22"/>
              </w:rPr>
            </w:pPr>
            <w:r>
              <w:rPr>
                <w:rFonts w:ascii="Calibri" w:hAnsi="Calibri" w:eastAsia="Calibri"/>
                <w:b w:val="0"/>
                <w:i w:val="0"/>
                <w:color w:val="000000"/>
                <w:sz w:val="20"/>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spacing w:after="0" w:before="0"/>
              <w:jc w:val="center"/>
              <w:rPr>
                <w:rFonts w:ascii="Arial" w:hAnsi="Arial" w:cs="Arial"/>
                <w:b/>
                <w:sz w:val="22"/>
                <w:szCs w:val="22"/>
              </w:rPr>
            </w:pPr>
            <w:r>
              <w:rPr>
                <w:rFonts w:ascii="Calibri" w:hAnsi="Calibri" w:eastAsia="Calibri"/>
                <w:b w:val="0"/>
                <w:i w:val="0"/>
                <w:color w:val="000000"/>
                <w:sz w:val="20"/>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pPr>
              <w:spacing w:after="0" w:before="0"/>
            </w:pPr>
            <w:r>
              <w:rPr>
                <w:rFonts w:ascii="Calibri" w:hAnsi="Calibri" w:eastAsia="Calibri"/>
                <w:b w:val="0"/>
                <w:i w:val="0"/>
                <w:color w:val="000000"/>
                <w:sz w:val="20"/>
              </w:rPr>
              <w:t>☐</w:t>
            </w:r>
          </w:p>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spacing w:after="0" w:before="0"/>
              <w:rPr>
                <w:rFonts w:ascii="Arial" w:hAnsi="Arial" w:cs="Arial"/>
                <w:color w:val="4EA72E" w:themeColor="accent6"/>
                <w:sz w:val="22"/>
                <w:szCs w:val="22"/>
              </w:rPr>
            </w:pPr>
            <w:r>
              <w:rPr>
                <w:rFonts w:ascii="Calibri" w:hAnsi="Calibri" w:eastAsia="Calibri"/>
                <w:b w:val="0"/>
                <w:i w:val="0"/>
                <w:color w:val="000000"/>
                <w:sz w:val="16"/>
              </w:rPr>
              <w:t>No AI tool is proposed as part of the research methodology for capturing, generating, classifying or analysing research data. Standard word processing and referencing tools may be used for drafting and formatting only, in line with UWTSD academic integrity requirements.</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spacing w:after="0" w:before="0"/>
              <w:rPr>
                <w:rFonts w:ascii="Arial" w:hAnsi="Arial" w:cs="Arial"/>
                <w:b/>
                <w:color w:val="4EA72E" w:themeColor="accent6"/>
                <w:sz w:val="22"/>
                <w:szCs w:val="22"/>
              </w:rPr>
            </w:pPr>
            <w:r>
              <w:rPr>
                <w:rFonts w:ascii="Calibri" w:hAnsi="Calibri" w:eastAsia="Calibri"/>
                <w:b w:val="0"/>
                <w:i w:val="0"/>
                <w:color w:val="000000"/>
                <w:sz w:val="16"/>
              </w:rPr>
              <w:t>The research will access and create secondary qualitative data, including notes and extracts from academic journal articles, company annual/sustainability reports, industry reports and organisational publications relating to supply chain disruptions and resilience strategies in European automotive manufacturing.</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spacing w:after="0" w:before="0"/>
              <w:rPr>
                <w:rFonts w:ascii="Arial" w:hAnsi="Arial" w:cs="Arial"/>
                <w:color w:val="4EA72E" w:themeColor="accent6"/>
                <w:sz w:val="22"/>
                <w:szCs w:val="22"/>
              </w:rPr>
            </w:pPr>
            <w:r>
              <w:rPr>
                <w:rFonts w:ascii="Calibri" w:hAnsi="Calibri" w:eastAsia="Calibri"/>
                <w:b w:val="0"/>
                <w:i w:val="0"/>
                <w:color w:val="000000"/>
                <w:sz w:val="16"/>
              </w:rPr>
              <w:t>The student researcher, Roland Mihai Baba, will be responsible for day-to-day data management under the supervision of Aso Abdullah. There are no partner institutions. The researcher will ensure secure storage, clear file naming, accurate referencing and compliance with UWTSD research data management requirements.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spacing w:after="0" w:before="0"/>
              <w:rPr>
                <w:rFonts w:ascii="Arial" w:hAnsi="Arial" w:cs="Arial"/>
                <w:b/>
                <w:bCs/>
                <w:color w:val="4EA72E" w:themeColor="accent6"/>
                <w:sz w:val="22"/>
                <w:szCs w:val="22"/>
              </w:rPr>
            </w:pPr>
            <w:r>
              <w:rPr>
                <w:rFonts w:ascii="Calibri" w:hAnsi="Calibri" w:eastAsia="Calibri"/>
                <w:b w:val="0"/>
                <w:i w:val="0"/>
                <w:color w:val="000000"/>
                <w:sz w:val="16"/>
              </w:rPr>
              <w:t>Existing sources will include peer-reviewed literature, public company reports from Volkswagen, BMW and Stellantis, industry reports and relevant organisational publications. The gap addressed is the limited comparative academic focus on resilience strategies adopted by European automotive manufacturers after recent disruptions.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spacing w:after="0" w:before="0"/>
              <w:rPr>
                <w:rFonts w:ascii="Arial" w:hAnsi="Arial" w:cs="Arial"/>
                <w:bCs/>
                <w:color w:val="4EA72E" w:themeColor="accent6"/>
                <w:sz w:val="22"/>
                <w:szCs w:val="22"/>
              </w:rPr>
            </w:pPr>
            <w:r>
              <w:rPr>
                <w:rFonts w:ascii="Calibri" w:hAnsi="Calibri" w:eastAsia="Calibri"/>
                <w:b w:val="0"/>
                <w:i w:val="0"/>
                <w:color w:val="000000"/>
                <w:sz w:val="16"/>
              </w:rPr>
              <w:t>Data will be organised in clearly named folders by source type and case company. A spreadsheet or document matrix will record source details, bibliographic information, themes, notes and relevance to each research objective. All sources will be cited using the required academic referencing style.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spacing w:after="0" w:before="0"/>
              <w:rPr>
                <w:rFonts w:ascii="Arial" w:hAnsi="Arial" w:cs="Arial"/>
                <w:b/>
                <w:bCs/>
                <w:color w:val="4EA72E" w:themeColor="accent6"/>
                <w:sz w:val="22"/>
                <w:szCs w:val="22"/>
              </w:rPr>
            </w:pPr>
            <w:r>
              <w:rPr>
                <w:rFonts w:ascii="Calibri" w:hAnsi="Calibri" w:eastAsia="Calibri"/>
                <w:b w:val="0"/>
                <w:i w:val="0"/>
                <w:color w:val="000000"/>
                <w:sz w:val="16"/>
              </w:rPr>
              <w:t>Quality assurance will include using reputable sources, checking publication dates and authorship, keeping an audit trail of searches and selected sources, comparing findings across multiple sources, and reviewing themes against the research aim and objectives. Notes and quotations will be checked against original sources to reduce interpretation errors.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spacing w:after="0" w:before="0"/>
              <w:rPr>
                <w:rFonts w:ascii="Arial" w:hAnsi="Arial" w:cs="Arial"/>
                <w:b/>
                <w:bCs/>
                <w:color w:val="4EA72E" w:themeColor="accent6"/>
                <w:sz w:val="22"/>
                <w:szCs w:val="22"/>
              </w:rPr>
            </w:pPr>
            <w:r>
              <w:rPr>
                <w:rFonts w:ascii="Calibri" w:hAnsi="Calibri" w:eastAsia="Calibri"/>
                <w:b w:val="0"/>
                <w:i w:val="0"/>
                <w:color w:val="000000"/>
                <w:sz w:val="16"/>
              </w:rPr>
              <w:t>During the project, data will be stored on password-protected student/UWTSD storage with backup copies. Files will be organised using version control and clear naming conventions. No personal or confidential participant data will be stored.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spacing w:after="0" w:before="0"/>
              <w:rPr>
                <w:rFonts w:ascii="Arial" w:hAnsi="Arial" w:cs="Arial"/>
                <w:bCs/>
                <w:color w:val="4EA72E" w:themeColor="accent6"/>
                <w:sz w:val="22"/>
                <w:szCs w:val="22"/>
              </w:rPr>
            </w:pPr>
            <w:r>
              <w:rPr>
                <w:rFonts w:ascii="Calibri" w:hAnsi="Calibri" w:eastAsia="Calibri"/>
                <w:b w:val="0"/>
                <w:i w:val="0"/>
                <w:color w:val="000000"/>
                <w:sz w:val="16"/>
              </w:rPr>
              <w:t>The final dissertation, anonymised notes and bibliographic records may be retained in line with UWTSD requirements. No personal data will be retained. Working files will be stored securely and deleted when no longer required, subject to University retention requirements for assessed work.</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spacing w:after="0" w:before="0"/>
              <w:rPr>
                <w:rFonts w:ascii="Arial" w:hAnsi="Arial" w:cs="Arial"/>
                <w:bCs/>
                <w:color w:val="4EA72E" w:themeColor="accent6"/>
                <w:sz w:val="22"/>
                <w:szCs w:val="22"/>
              </w:rPr>
            </w:pPr>
            <w:r>
              <w:rPr>
                <w:rFonts w:ascii="Calibri" w:hAnsi="Calibri" w:eastAsia="Calibri"/>
                <w:b w:val="0"/>
                <w:i w:val="0"/>
                <w:color w:val="000000"/>
                <w:sz w:val="16"/>
              </w:rPr>
              <w:t>Documentation will include a source log, search terms, inclusion/exclusion notes, case-company data matrix, thematic coding notes and reference list. These records will provide context for how evidence was selected, analysed and reported.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spacing w:after="0" w:before="0"/>
              <w:rPr>
                <w:rFonts w:ascii="Arial" w:hAnsi="Arial" w:cs="Arial"/>
                <w:bCs/>
                <w:color w:val="4EA72E" w:themeColor="accent6"/>
                <w:sz w:val="22"/>
                <w:szCs w:val="22"/>
              </w:rPr>
            </w:pPr>
            <w:r>
              <w:rPr>
                <w:rFonts w:ascii="Calibri" w:hAnsi="Calibri" w:eastAsia="Calibri"/>
                <w:b w:val="0"/>
                <w:i w:val="0"/>
                <w:color w:val="000000"/>
                <w:sz w:val="16"/>
              </w:rPr>
              <w:t>Raw research notes will not be openly shared because they are working materials for a taught dissertation and may include copyrighted extracts from published sources. The final dissertation may be made available in accordance with UWTSD rules. Findings will be reported in summarised and properly referenced form.</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spacing w:after="0" w:before="0"/>
              <w:rPr>
                <w:rFonts w:ascii="Arial" w:hAnsi="Arial" w:cs="Arial"/>
                <w:bCs/>
                <w:color w:val="4EA72E" w:themeColor="accent6"/>
                <w:sz w:val="22"/>
                <w:szCs w:val="22"/>
              </w:rPr>
            </w:pPr>
            <w:r>
              <w:rPr>
                <w:rFonts w:ascii="Calibri" w:hAnsi="Calibri" w:eastAsia="Calibri"/>
                <w:b w:val="0"/>
                <w:i w:val="0"/>
                <w:color w:val="000000"/>
                <w:sz w:val="16"/>
              </w:rPr>
              <w:t>Copyright and intellectual property in the dissertation will belong to the student and/or UWTSD according to University regulations. Copyright in source materials remains with the original authors, companies and publishers; these materials will be quoted or paraphrased only with appropriate citation.</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spacing w:after="0" w:before="0"/>
              <w:rPr>
                <w:rFonts w:ascii="Arial" w:hAnsi="Arial" w:cs="Arial"/>
                <w:color w:val="4EA72E" w:themeColor="accent6"/>
                <w:sz w:val="22"/>
                <w:szCs w:val="22"/>
              </w:rPr>
            </w:pPr>
            <w:r>
              <w:rPr>
                <w:rFonts w:ascii="Calibri" w:hAnsi="Calibri" w:eastAsia="Calibri"/>
                <w:b w:val="0"/>
                <w:i w:val="0"/>
                <w:color w:val="000000"/>
                <w:sz w:val="16"/>
              </w:rPr>
              <w:t>No specialist resources are required beyond access to UWTSD library databases, publicly available company/industry reports, word processing software and secure digital storage. Storage costs are expected to be minimal and met through standard student/University systems.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A73BCD" w:rsidP="00CC617C">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5F549C95" w14:textId="0F2235DF" w:rsidR="00417CBF" w:rsidRPr="003C7DED" w:rsidRDefault="00A73BCD" w:rsidP="00CC617C">
            <w:pPr>
              <w:spacing w:after="0" w:before="0"/>
              <w:jc w:val="center"/>
              <w:rPr>
                <w:rFonts w:ascii="Arial" w:hAnsi="Arial" w:cs="Arial"/>
                <w:b/>
                <w:bCs/>
              </w:rPr>
            </w:pPr>
            <w:r>
              <w:rPr>
                <w:rFonts w:ascii="Calibri" w:hAnsi="Calibri" w:eastAsia="Calibri"/>
                <w:b w:val="0"/>
                <w:i w:val="0"/>
                <w:color w:val="000000"/>
                <w:sz w:val="20"/>
              </w:rPr>
              <w:t>☒</w:t>
            </w:r>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A73BCD" w:rsidP="00CC617C">
            <w:pPr>
              <w:spacing w:after="0" w:before="0"/>
              <w:jc w:val="center"/>
              <w:rPr>
                <w:rFonts w:ascii="Arial" w:hAnsi="Arial" w:cs="Arial"/>
                <w:i/>
                <w:iCs/>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41C61E0B" w14:textId="5E4FBD4B" w:rsidR="00CC617C" w:rsidRPr="003C7DED" w:rsidRDefault="00A73BCD" w:rsidP="00CC617C">
            <w:pPr>
              <w:spacing w:after="0" w:before="0"/>
              <w:jc w:val="center"/>
              <w:rPr>
                <w:rFonts w:ascii="Arial" w:hAnsi="Arial" w:cs="Arial"/>
                <w:i/>
                <w:iCs/>
                <w:sz w:val="22"/>
                <w:szCs w:val="22"/>
              </w:rPr>
            </w:pPr>
            <w:r>
              <w:rPr>
                <w:rFonts w:ascii="Calibri" w:hAnsi="Calibri" w:eastAsia="Calibri"/>
                <w:b w:val="0"/>
                <w:i w:val="0"/>
                <w:color w:val="000000"/>
                <w:sz w:val="20"/>
              </w:rPr>
              <w:t>☒</w:t>
            </w:r>
          </w:p>
        </w:tc>
      </w:tr>
      <w:tr w:rsidR="00CD54AD" w:rsidRPr="003C7DED" w14:paraId="6E6131A3" w14:textId="77777777" w:rsidTr="00127E89">
        <w:tc>
          <w:tcPr>
            <w:tcW w:w="4838" w:type="dxa"/>
            <w:gridSpan w:val="2"/>
            <w:vAlign w:val="center"/>
          </w:tcPr>
          <w:p w14:paraId="4B01A93A" w14:textId="7F5EAA8A" w:rsidR="00CD54A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social risks are anticipated because there are no participants and no confidential or identifiable data will be collected.</w:t>
            </w:r>
          </w:p>
        </w:tc>
        <w:tc>
          <w:tcPr>
            <w:tcW w:w="5536" w:type="dxa"/>
            <w:gridSpan w:val="3"/>
          </w:tcPr>
          <w:p w14:paraId="18FECAA3" w14:textId="610E5145" w:rsidR="00CD54AD" w:rsidRPr="003C7DED" w:rsidRDefault="00CD54AD" w:rsidP="00CC617C">
            <w:pPr>
              <w:spacing w:after="0" w:before="0"/>
              <w:rPr>
                <w:rFonts w:ascii="Arial" w:hAnsi="Arial" w:cs="Arial"/>
                <w:i/>
                <w:sz w:val="22"/>
                <w:szCs w:val="22"/>
              </w:rPr>
            </w:pPr>
            <w:r>
              <w:rPr>
                <w:rFonts w:ascii="Calibri" w:hAnsi="Calibri" w:eastAsia="Calibri"/>
                <w:b w:val="0"/>
                <w:i w:val="0"/>
                <w:color w:val="000000"/>
                <w:sz w:val="16"/>
              </w:rPr>
              <w:t>How risks will be addressed: The study will use public secondary sources only. Findings will be reported objectively, accurately and with appropriate citations.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A73BCD" w:rsidP="00CC617C">
            <w:pPr>
              <w:spacing w:after="0" w:before="0"/>
              <w:jc w:val="center"/>
              <w:rPr>
                <w:rFonts w:ascii="Arial" w:hAnsi="Arial" w:cs="Arial"/>
                <w:i/>
                <w:color w:val="808080"/>
                <w:sz w:val="18"/>
                <w:szCs w:val="18"/>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5C290226" w14:textId="16F64A44" w:rsidR="00CC617C" w:rsidRPr="003C7DED" w:rsidRDefault="00A73BCD" w:rsidP="00CC617C">
            <w:pPr>
              <w:spacing w:after="0" w:before="0"/>
              <w:jc w:val="center"/>
              <w:rPr>
                <w:rFonts w:ascii="Arial" w:hAnsi="Arial" w:cs="Arial"/>
                <w:i/>
                <w:color w:val="808080"/>
                <w:sz w:val="18"/>
                <w:szCs w:val="18"/>
              </w:rPr>
            </w:pPr>
            <w:r>
              <w:rPr>
                <w:rFonts w:ascii="Calibri" w:hAnsi="Calibri" w:eastAsia="Calibri"/>
                <w:b w:val="0"/>
                <w:i w:val="0"/>
                <w:color w:val="000000"/>
                <w:sz w:val="20"/>
              </w:rPr>
              <w:t>☒</w:t>
            </w:r>
          </w:p>
        </w:tc>
      </w:tr>
      <w:tr w:rsidR="00CD54AD" w:rsidRPr="003C7DED" w14:paraId="75743102" w14:textId="77777777" w:rsidTr="00C73748">
        <w:tc>
          <w:tcPr>
            <w:tcW w:w="4838" w:type="dxa"/>
            <w:gridSpan w:val="2"/>
            <w:vAlign w:val="center"/>
          </w:tcPr>
          <w:p w14:paraId="617D43F1" w14:textId="220CA279" w:rsidR="00CD54A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legal risks are anticipated beyond normal academic obligations relating to copyright, data protection and accurate reporting.</w:t>
            </w:r>
          </w:p>
        </w:tc>
        <w:tc>
          <w:tcPr>
            <w:tcW w:w="5536" w:type="dxa"/>
            <w:gridSpan w:val="3"/>
          </w:tcPr>
          <w:p w14:paraId="3AB3C820"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The researcher will use legitimate sources, avoid collecting personal/confidential data, cite sources correctly and comply with UWTSD policies.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A73BCD" w:rsidP="00CC617C">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2AA933B2" w14:textId="08E6C878" w:rsidR="00417CBF" w:rsidRPr="003C7DED" w:rsidRDefault="00A73BCD" w:rsidP="00CC617C">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45C7BFD7" w14:textId="77777777" w:rsidTr="00FE173D">
        <w:tc>
          <w:tcPr>
            <w:tcW w:w="4838" w:type="dxa"/>
            <w:gridSpan w:val="2"/>
            <w:vAlign w:val="center"/>
          </w:tcPr>
          <w:p w14:paraId="524FF47A" w14:textId="69466416" w:rsidR="00CD54A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economic harm is anticipated. No participants or businesses will be asked to give time, money or confidential information.</w:t>
            </w:r>
          </w:p>
        </w:tc>
        <w:tc>
          <w:tcPr>
            <w:tcW w:w="5536" w:type="dxa"/>
            <w:gridSpan w:val="3"/>
          </w:tcPr>
          <w:p w14:paraId="1E1137D0" w14:textId="77777777" w:rsidR="00C70845"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The research is desk-based and uses public secondary sources only.</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75D9E2F6" w14:textId="022FF452"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Low reputational risk only: inaccurate interpretation or misrepresentation of companies could affect academic credibility.</w:t>
            </w:r>
          </w:p>
        </w:tc>
        <w:tc>
          <w:tcPr>
            <w:tcW w:w="5536" w:type="dxa"/>
            <w:gridSpan w:val="3"/>
          </w:tcPr>
          <w:p w14:paraId="0BD55292" w14:textId="24F72C54" w:rsidR="00CD54AD" w:rsidRPr="003C7DED" w:rsidRDefault="00C70845" w:rsidP="00CC617C">
            <w:pPr>
              <w:spacing w:after="0" w:before="0"/>
              <w:rPr>
                <w:rFonts w:ascii="Arial" w:hAnsi="Arial" w:cs="Arial"/>
                <w:i/>
                <w:sz w:val="22"/>
                <w:szCs w:val="22"/>
              </w:rPr>
            </w:pPr>
            <w:r>
              <w:rPr>
                <w:rFonts w:ascii="Calibri" w:hAnsi="Calibri" w:eastAsia="Calibri"/>
                <w:b w:val="0"/>
                <w:i w:val="0"/>
                <w:color w:val="000000"/>
                <w:sz w:val="16"/>
              </w:rPr>
              <w:t>How risks will be addressed: Analysis will be evidence-based, carefully referenced and written in a balanced academic tone. Claims will be checked against sources.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7D5DA792" w14:textId="5B2E2395"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safeguarding risks are anticipated because the study does not involve children, vulnerable adults or direct participant contact.</w:t>
            </w:r>
          </w:p>
        </w:tc>
        <w:tc>
          <w:tcPr>
            <w:tcW w:w="5536" w:type="dxa"/>
            <w:gridSpan w:val="3"/>
          </w:tcPr>
          <w:p w14:paraId="0AB48837"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No participant contact will occur.</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773826B5" w14:textId="312C0A96"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spacing w:after="0" w:before="0"/>
              <w:rPr>
                <w:rFonts w:ascii="Arial" w:hAnsi="Arial" w:cs="Arial"/>
                <w:color w:val="0070C0"/>
              </w:rPr>
            </w:pPr>
            <w:r>
              <w:rPr>
                <w:rFonts w:ascii="Calibri" w:hAnsi="Calibri" w:eastAsia="Calibri"/>
                <w:b w:val="0"/>
                <w:i w:val="0"/>
                <w:color w:val="000000"/>
                <w:sz w:val="16"/>
              </w:rPr>
              <w:t>How risks will be addressed: No participant-facing sensitive questions will be asked. Published sources will be used responsibly.</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284C6E3B" w14:textId="49D1DB99"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location hazards are anticipated because the research is desk-based and conducted in normal study environments.</w:t>
            </w:r>
          </w:p>
        </w:tc>
        <w:tc>
          <w:tcPr>
            <w:tcW w:w="5536" w:type="dxa"/>
            <w:gridSpan w:val="3"/>
          </w:tcPr>
          <w:p w14:paraId="4ADA5C3A"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The researcher will follow normal safe study practices.</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7EDF549B" w14:textId="225E8667"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activity hazards are anticipated. The work involves reading, note-taking and writing.</w:t>
            </w:r>
          </w:p>
        </w:tc>
        <w:tc>
          <w:tcPr>
            <w:tcW w:w="5536" w:type="dxa"/>
            <w:gridSpan w:val="3"/>
          </w:tcPr>
          <w:p w14:paraId="36110A64"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The researcher will manage workload and take regular breaks from screen-based work.</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600AEBCE" w14:textId="4FBF2E56"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machinery or equipment hazards are anticipated beyond standard computer use.</w:t>
            </w:r>
          </w:p>
        </w:tc>
        <w:tc>
          <w:tcPr>
            <w:tcW w:w="5536" w:type="dxa"/>
            <w:gridSpan w:val="3"/>
          </w:tcPr>
          <w:p w14:paraId="46C878B1"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The researcher will use standard ergonomic practices and secure password-protected devices.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02BD7638" w14:textId="66B9C58A"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chemicals or hazardous substances will be used.</w:t>
            </w:r>
          </w:p>
        </w:tc>
        <w:tc>
          <w:tcPr>
            <w:tcW w:w="5536" w:type="dxa"/>
            <w:gridSpan w:val="3"/>
          </w:tcPr>
          <w:p w14:paraId="13CAFA64"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Not applicable.</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1E257E51" w14:textId="598AFFE7" w:rsidR="00395AF2"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spacing w:after="0" w:before="0"/>
              <w:rPr>
                <w:rFonts w:ascii="Arial" w:hAnsi="Arial" w:cs="Arial"/>
                <w:i/>
                <w:iCs/>
                <w:sz w:val="22"/>
                <w:szCs w:val="22"/>
              </w:rPr>
            </w:pPr>
            <w:r>
              <w:rPr>
                <w:rFonts w:ascii="Calibri" w:hAnsi="Calibri" w:eastAsia="Calibri"/>
                <w:b w:val="0"/>
                <w:i w:val="0"/>
                <w:color w:val="000000"/>
                <w:sz w:val="16"/>
              </w:rPr>
              <w:t>Risk: No physical agents such as radiation, lasers, excessive noise or vibration will be involved.</w:t>
            </w:r>
          </w:p>
        </w:tc>
        <w:tc>
          <w:tcPr>
            <w:tcW w:w="5536" w:type="dxa"/>
            <w:gridSpan w:val="3"/>
          </w:tcPr>
          <w:p w14:paraId="6CF48ADE"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Not applicable.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c>
          <w:tcPr>
            <w:tcW w:w="686" w:type="dxa"/>
            <w:shd w:val="clear" w:color="auto" w:fill="D9D9D9" w:themeFill="background1" w:themeFillShade="D9"/>
            <w:vAlign w:val="center"/>
          </w:tcPr>
          <w:p w14:paraId="4CB30650" w14:textId="3CA6A5CC" w:rsidR="00CD54AD" w:rsidRPr="003C7DED" w:rsidRDefault="00A73BCD" w:rsidP="00395AF2">
            <w:pPr>
              <w:autoSpaceDE w:val="0"/>
              <w:autoSpaceDN w:val="0"/>
              <w:adjustRightInd w:val="0"/>
              <w:spacing w:after="0" w:before="0"/>
              <w:jc w:val="center"/>
              <w:rPr>
                <w:rFonts w:ascii="Arial" w:hAnsi="Arial" w:cs="Arial"/>
                <w:sz w:val="22"/>
                <w:szCs w:val="22"/>
              </w:rPr>
            </w:pPr>
            <w:r>
              <w:rPr>
                <w:rFonts w:ascii="Calibri" w:hAnsi="Calibri" w:eastAsia="Calibri"/>
                <w:b w:val="0"/>
                <w:i w:val="0"/>
                <w:color w:val="000000"/>
                <w:sz w:val="20"/>
              </w:rPr>
              <w:t>☒</w:t>
            </w:r>
          </w:p>
        </w:tc>
      </w:tr>
      <w:tr w:rsidR="00CD54AD" w:rsidRPr="003C7DED" w14:paraId="4701B85E" w14:textId="77777777" w:rsidTr="00F73FD5">
        <w:tc>
          <w:tcPr>
            <w:tcW w:w="4838" w:type="dxa"/>
            <w:gridSpan w:val="2"/>
            <w:vAlign w:val="center"/>
          </w:tcPr>
          <w:p w14:paraId="5AE41BAA" w14:textId="629EB20F" w:rsidR="00CD54AD" w:rsidRDefault="00CD54AD" w:rsidP="003A3C4A">
            <w:pPr>
              <w:spacing w:after="0" w:before="0"/>
              <w:rPr>
                <w:rFonts w:ascii="Arial" w:hAnsi="Arial" w:cs="Arial"/>
                <w:i/>
                <w:iCs/>
                <w:sz w:val="22"/>
                <w:szCs w:val="22"/>
              </w:rPr>
            </w:pPr>
            <w:r>
              <w:rPr>
                <w:rFonts w:ascii="Calibri" w:hAnsi="Calibri" w:eastAsia="Calibri"/>
                <w:b w:val="0"/>
                <w:i w:val="0"/>
                <w:color w:val="000000"/>
                <w:sz w:val="16"/>
              </w:rPr>
              <w:t>Risk: No environmental risks are anticipated because the study is desk-based and uses digital/public sources.</w:t>
            </w:r>
          </w:p>
        </w:tc>
        <w:tc>
          <w:tcPr>
            <w:tcW w:w="5536" w:type="dxa"/>
            <w:gridSpan w:val="3"/>
          </w:tcPr>
          <w:p w14:paraId="7C805DDB" w14:textId="77777777" w:rsidR="00C70845" w:rsidRPr="003C7DED" w:rsidRDefault="00C70845" w:rsidP="00C70845">
            <w:pPr>
              <w:spacing w:after="0" w:before="0"/>
              <w:rPr>
                <w:rFonts w:ascii="Arial" w:hAnsi="Arial" w:cs="Arial"/>
                <w:i/>
                <w:sz w:val="22"/>
                <w:szCs w:val="22"/>
              </w:rPr>
            </w:pPr>
            <w:r>
              <w:rPr>
                <w:rFonts w:ascii="Calibri" w:hAnsi="Calibri" w:eastAsia="Calibri"/>
                <w:b w:val="0"/>
                <w:i w:val="0"/>
                <w:color w:val="000000"/>
                <w:sz w:val="16"/>
              </w:rPr>
              <w:t>How risks will be addressed: Not applicable.</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73BCD" w:rsidP="004135AB">
            <w:pPr>
              <w:autoSpaceDE w:val="0"/>
              <w:autoSpaceDN w:val="0"/>
              <w:adjustRightInd w:val="0"/>
              <w:spacing w:after="0" w:before="0"/>
              <w:jc w:val="center"/>
              <w:rPr>
                <w:rFonts w:ascii="Arial" w:hAnsi="Arial" w:cs="Arial"/>
                <w:sz w:val="16"/>
                <w:szCs w:val="16"/>
              </w:rPr>
            </w:pPr>
            <w:r>
              <w:rPr>
                <w:rFonts w:ascii="Calibri" w:hAnsi="Calibri" w:eastAsia="Calibri"/>
                <w:b w:val="0"/>
                <w:i w:val="0"/>
                <w:color w:val="000000"/>
                <w:sz w:val="20"/>
              </w:rPr>
              <w:t>☐</w:t>
            </w:r>
          </w:p>
        </w:tc>
        <w:tc>
          <w:tcPr>
            <w:tcW w:w="1081" w:type="dxa"/>
            <w:shd w:val="clear" w:color="auto" w:fill="D9D9D9" w:themeFill="background1" w:themeFillShade="D9"/>
            <w:vAlign w:val="center"/>
          </w:tcPr>
          <w:p w14:paraId="58E2A2EF" w14:textId="77777777" w:rsidR="00395AF2" w:rsidRPr="003C7DED" w:rsidRDefault="00A73BCD" w:rsidP="004135AB">
            <w:pPr>
              <w:autoSpaceDE w:val="0"/>
              <w:autoSpaceDN w:val="0"/>
              <w:adjustRightInd w:val="0"/>
              <w:spacing w:after="0" w:before="0"/>
              <w:jc w:val="center"/>
              <w:rPr>
                <w:rFonts w:ascii="Arial" w:hAnsi="Arial" w:cs="Arial"/>
                <w:sz w:val="16"/>
                <w:szCs w:val="16"/>
              </w:rPr>
            </w:pPr>
            <w:r>
              <w:rPr>
                <w:rFonts w:ascii="Calibri" w:hAnsi="Calibri" w:eastAsia="Calibri"/>
                <w:b w:val="0"/>
                <w:i w:val="0"/>
                <w:color w:val="000000"/>
                <w:sz w:val="20"/>
              </w:rPr>
              <w:t>☐</w:t>
            </w:r>
          </w:p>
        </w:tc>
        <w:tc>
          <w:tcPr>
            <w:tcW w:w="989" w:type="dxa"/>
            <w:shd w:val="clear" w:color="auto" w:fill="D9D9D9" w:themeFill="background1" w:themeFillShade="D9"/>
            <w:vAlign w:val="center"/>
          </w:tcPr>
          <w:p w14:paraId="0991A1E4" w14:textId="77777777" w:rsidR="00395AF2" w:rsidRPr="003C7DED" w:rsidRDefault="00A73BCD" w:rsidP="004135AB">
            <w:pPr>
              <w:autoSpaceDE w:val="0"/>
              <w:autoSpaceDN w:val="0"/>
              <w:adjustRightInd w:val="0"/>
              <w:spacing w:after="0" w:before="0"/>
              <w:jc w:val="center"/>
              <w:rPr>
                <w:rFonts w:ascii="Arial" w:hAnsi="Arial" w:cs="Arial"/>
                <w:sz w:val="16"/>
                <w:szCs w:val="16"/>
              </w:rPr>
            </w:pPr>
            <w:r>
              <w:rPr>
                <w:rFonts w:ascii="Calibri" w:hAnsi="Calibri" w:eastAsia="Calibri"/>
                <w:b w:val="0"/>
                <w:i w:val="0"/>
                <w:color w:val="000000"/>
                <w:sz w:val="20"/>
              </w:rPr>
              <w:t>☒</w:t>
            </w:r>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spacing w:after="0" w:before="0"/>
              <w:jc w:val="center"/>
              <w:rPr>
                <w:rFonts w:ascii="Arial" w:hAnsi="Arial" w:cs="Arial"/>
                <w:b/>
                <w:bCs/>
                <w:sz w:val="22"/>
                <w:szCs w:val="22"/>
              </w:rPr>
            </w:pPr>
            <w:r>
              <w:rPr>
                <w:rFonts w:ascii="Calibri" w:hAnsi="Calibri" w:eastAsia="Calibri"/>
                <w:b w:val="0"/>
                <w:i w:val="0"/>
                <w:color w:val="000000"/>
                <w:sz w:val="18"/>
              </w:rPr>
              <w:t>N/A</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spacing w:after="0" w:before="0"/>
              <w:rPr>
                <w:rFonts w:ascii="Arial" w:hAnsi="Arial" w:cs="Arial"/>
                <w:sz w:val="22"/>
                <w:szCs w:val="22"/>
              </w:rPr>
            </w:pPr>
            <w:r>
              <w:rPr>
                <w:rFonts w:ascii="Calibri" w:hAnsi="Calibri" w:eastAsia="Calibri"/>
                <w:b w:val="0"/>
                <w:i w:val="0"/>
                <w:color w:val="000000"/>
                <w:sz w:val="18"/>
              </w:rPr>
              <w:t>Roland Mihai Baba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spacing w:after="0" w:before="0"/>
              <w:rPr>
                <w:rFonts w:ascii="Arial" w:hAnsi="Arial" w:cs="Arial"/>
                <w:b/>
                <w:bCs/>
                <w:sz w:val="22"/>
                <w:szCs w:val="22"/>
              </w:rPr>
            </w:pPr>
            <w:r>
              <w:rPr>
                <w:rFonts w:ascii="Calibri" w:hAnsi="Calibri" w:eastAsia="Calibri"/>
                <w:b w:val="0"/>
                <w:i w:val="0"/>
                <w:color w:val="000000"/>
                <w:sz w:val="18"/>
              </w:rPr>
              <w:t>Roland Mihai Baba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spacing w:after="0" w:before="0"/>
              <w:rPr>
                <w:rFonts w:ascii="Arial" w:hAnsi="Arial" w:cs="Arial"/>
                <w:b/>
                <w:bCs/>
                <w:sz w:val="22"/>
                <w:szCs w:val="22"/>
              </w:rPr>
            </w:pPr>
            <w:r>
              <w:rPr>
                <w:rFonts w:ascii="Calibri" w:hAnsi="Calibri" w:eastAsia="Calibri"/>
                <w:b w:val="0"/>
                <w:i w:val="0"/>
                <w:color w:val="000000"/>
                <w:sz w:val="18"/>
              </w:rPr>
              <w:t>21 June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spacing w:after="0" w:before="0"/>
              <w:rPr>
                <w:rFonts w:ascii="Arial" w:hAnsi="Arial" w:cs="Arial"/>
                <w:b/>
                <w:bCs/>
                <w:sz w:val="22"/>
                <w:szCs w:val="22"/>
              </w:rPr>
            </w:pPr>
            <w:r>
              <w:rPr>
                <w:rFonts w:ascii="Calibri" w:hAnsi="Calibri" w:eastAsia="Calibri"/>
                <w:b w:val="0"/>
                <w:i w:val="0"/>
                <w:color w:val="000000"/>
                <w:sz w:val="18"/>
              </w:rPr>
              <w:t>Aso Abdullah</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spacing w:after="0" w:before="0"/>
              <w:rPr>
                <w:rFonts w:ascii="Arial" w:hAnsi="Arial" w:cs="Arial"/>
                <w:b/>
                <w:bCs/>
                <w:sz w:val="22"/>
                <w:szCs w:val="22"/>
              </w:rPr>
            </w:pPr>
            <w:r>
              <w:rPr>
                <w:rFonts w:ascii="Calibri" w:hAnsi="Calibri" w:eastAsia="Calibri"/>
                <w:b w:val="0"/>
                <w:i w:val="0"/>
                <w:color w:val="000000"/>
                <w:sz w:val="18"/>
              </w:rPr>
              <w:t>Aso Abdullah</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spacing w:after="0" w:before="0"/>
              <w:rPr>
                <w:rFonts w:ascii="Arial" w:hAnsi="Arial" w:cs="Arial"/>
                <w:b/>
                <w:bCs/>
                <w:sz w:val="22"/>
                <w:szCs w:val="22"/>
              </w:rPr>
            </w:pPr>
            <w:r>
              <w:rPr>
                <w:rFonts w:ascii="Calibri" w:hAnsi="Calibri" w:eastAsia="Calibri"/>
                <w:b w:val="0"/>
                <w:i w:val="0"/>
                <w:color w:val="000000"/>
                <w:sz w:val="18"/>
              </w:rPr>
              <w:t>21 June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16"/>
              </w:rPr>
              <w:t>N/A</w:t>
            </w:r>
          </w:p>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16"/>
              </w:rPr>
              <w:t>N/A</w:t>
            </w:r>
          </w:p>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16"/>
              </w:rPr>
              <w:t>N/A</w:t>
            </w:r>
          </w:p>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p>
            <w:pPr>
              <w:spacing w:after="0" w:before="0"/>
            </w:pPr>
            <w:r>
              <w:rPr>
                <w:rFonts w:ascii="Calibri" w:hAnsi="Calibri" w:eastAsia="Calibri"/>
                <w:b w:val="0"/>
                <w:i w:val="0"/>
                <w:color w:val="000000"/>
                <w:sz w:val="20"/>
              </w:rPr>
              <w:t>☒</w:t>
            </w:r>
          </w:p>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16"/>
              </w:rPr>
              <w:t>N/A</w:t>
            </w:r>
          </w:p>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p>
            <w:pPr>
              <w:spacing w:after="0" w:before="0"/>
            </w:pPr>
            <w:r>
              <w:rPr>
                <w:rFonts w:ascii="Calibri" w:hAnsi="Calibri" w:eastAsia="Calibri"/>
                <w:b w:val="0"/>
                <w:i w:val="0"/>
                <w:color w:val="000000"/>
                <w:sz w:val="20"/>
              </w:rPr>
              <w:t>☒</w:t>
            </w:r>
          </w:p>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pPr>
              <w:spacing w:after="0" w:before="0"/>
            </w:pPr>
            <w:r>
              <w:rPr>
                <w:rFonts w:ascii="Calibri" w:hAnsi="Calibri" w:eastAsia="Calibri"/>
                <w:b w:val="0"/>
                <w:i w:val="0"/>
                <w:color w:val="000000"/>
                <w:sz w:val="16"/>
              </w:rPr>
              <w:t>N/A</w:t>
            </w:r>
          </w:p>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p>
            <w:pPr>
              <w:spacing w:after="0" w:before="0"/>
            </w:pPr>
            <w:r>
              <w:rPr>
                <w:rFonts w:ascii="Calibri" w:hAnsi="Calibri" w:eastAsia="Calibri"/>
                <w:b w:val="0"/>
                <w:i w:val="0"/>
                <w:color w:val="000000"/>
                <w:sz w:val="16"/>
              </w:rPr>
              <w:t>N/A</w:t>
            </w:r>
          </w:p>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p>
            <w:pPr>
              <w:spacing w:after="0" w:before="0"/>
            </w:pPr>
            <w:r>
              <w:rPr>
                <w:rFonts w:ascii="Calibri" w:hAnsi="Calibri" w:eastAsia="Calibri"/>
                <w:b w:val="0"/>
                <w:i w:val="0"/>
                <w:color w:val="000000"/>
                <w:sz w:val="16"/>
              </w:rPr>
              <w:t>N/A</w:t>
            </w:r>
          </w:p>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A73BC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A73BC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73BC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A73BC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73BC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r>
            <w:proofErr w:type="gramStart"/>
            <w:r>
              <w:rPr>
                <w:rFonts w:ascii="Arial" w:hAnsi="Arial" w:cs="Arial"/>
                <w:color w:val="4EA72E" w:themeColor="accent6"/>
                <w:sz w:val="22"/>
                <w:szCs w:val="22"/>
              </w:rPr>
            </w:r>
            <w:proofErr w:type="gramEnd"/>
            <w:r>
              <w:rPr>
                <w:rFonts w:ascii="Arial" w:hAnsi="Arial" w:cs="Arial"/>
                <w:color w:val="4EA72E" w:themeColor="accent6"/>
                <w:sz w:val="22"/>
                <w:szCs w:val="22"/>
              </w:rPr>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73BC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73BC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CA1BE" w14:textId="77777777" w:rsidR="004F06DA" w:rsidRDefault="004F06DA" w:rsidP="00E12CE5">
      <w:r>
        <w:separator/>
      </w:r>
    </w:p>
  </w:endnote>
  <w:endnote w:type="continuationSeparator" w:id="0">
    <w:p w14:paraId="0A05B74E" w14:textId="77777777" w:rsidR="004F06DA" w:rsidRDefault="004F06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55D36" w14:textId="77777777" w:rsidR="004F06DA" w:rsidRDefault="004F06DA" w:rsidP="00E12CE5">
      <w:r>
        <w:separator/>
      </w:r>
    </w:p>
  </w:footnote>
  <w:footnote w:type="continuationSeparator" w:id="0">
    <w:p w14:paraId="635F6EB4" w14:textId="77777777" w:rsidR="004F06DA" w:rsidRDefault="004F06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10138</Words>
  <Characters>57788</Characters>
  <Application>Microsoft Office Word</Application>
  <DocSecurity>0</DocSecurity>
  <Lines>481</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Completed PG2 Ethics Form</dc:title>
  <dc:subject>Evaluating Supply Chain Resilience Strategies Adopted by European Automotive Manufacturing Firms in Response to Global Supply Chain Disruptions</dc:subject>
  <dc:creator>Roland Mihai Baba</dc:creator>
  <cp:keywords/>
  <dc:description/>
  <cp:lastModifiedBy>OpenAI</cp:lastModifiedBy>
  <cp:revision>2</cp:revision>
  <dcterms:created xsi:type="dcterms:W3CDTF">2026-01-21T09:48:00Z</dcterms:created>
  <dcterms:modified xsi:type="dcterms:W3CDTF">2026-01-21T09:48:00Z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