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3.  Discuss the interest in a structured contrast of points of view within John Milton’s companion lyric poems ‘L’Allegro’ and ‘Il Penseroso’, and within at least one more work that you have studied on the course.</w:t>
      </w:r>
      <w:r w:rsidDel="00000000" w:rsidR="00000000" w:rsidRPr="00000000">
        <w:rPr>
          <w:rtl w:val="0"/>
        </w:rPr>
      </w:r>
    </w:p>
    <w:p w:rsidR="00000000" w:rsidDel="00000000" w:rsidP="00000000" w:rsidRDefault="00000000" w:rsidRPr="00000000" w14:paraId="00000002">
      <w:pPr>
        <w:spacing w:after="240" w:before="240" w:line="360" w:lineRule="auto"/>
        <w:ind w:left="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answer the question above, this essay will also be using Milton’s famed work </w:t>
      </w:r>
      <w:r w:rsidDel="00000000" w:rsidR="00000000" w:rsidRPr="00000000">
        <w:rPr>
          <w:rFonts w:ascii="Times New Roman" w:cs="Times New Roman" w:eastAsia="Times New Roman" w:hAnsi="Times New Roman"/>
          <w:i w:val="1"/>
          <w:rtl w:val="0"/>
        </w:rPr>
        <w:t xml:space="preserve">Paradise Lost</w:t>
      </w:r>
      <w:r w:rsidDel="00000000" w:rsidR="00000000" w:rsidRPr="00000000">
        <w:rPr>
          <w:rFonts w:ascii="Times New Roman" w:cs="Times New Roman" w:eastAsia="Times New Roman" w:hAnsi="Times New Roman"/>
          <w:rtl w:val="0"/>
        </w:rPr>
        <w:t xml:space="preserve">. The reason for choosing </w:t>
      </w:r>
      <w:r w:rsidDel="00000000" w:rsidR="00000000" w:rsidRPr="00000000">
        <w:rPr>
          <w:rFonts w:ascii="Times New Roman" w:cs="Times New Roman" w:eastAsia="Times New Roman" w:hAnsi="Times New Roman"/>
          <w:i w:val="1"/>
          <w:rtl w:val="0"/>
        </w:rPr>
        <w:t xml:space="preserve">Paradise Lost</w:t>
      </w:r>
      <w:r w:rsidDel="00000000" w:rsidR="00000000" w:rsidRPr="00000000">
        <w:rPr>
          <w:rFonts w:ascii="Times New Roman" w:cs="Times New Roman" w:eastAsia="Times New Roman" w:hAnsi="Times New Roman"/>
          <w:rtl w:val="0"/>
        </w:rPr>
        <w:t xml:space="preserve"> as another piece to be discussed in the interest of a structured contrast of points of view is that firstly it is done by the same author, Milton, so its easier to compare and contrast, and secondly while </w:t>
      </w:r>
      <w:r w:rsidDel="00000000" w:rsidR="00000000" w:rsidRPr="00000000">
        <w:rPr>
          <w:rFonts w:ascii="Times New Roman" w:cs="Times New Roman" w:eastAsia="Times New Roman" w:hAnsi="Times New Roman"/>
          <w:i w:val="1"/>
          <w:rtl w:val="0"/>
        </w:rPr>
        <w:t xml:space="preserve">L’Allegro</w:t>
      </w:r>
      <w:r w:rsidDel="00000000" w:rsidR="00000000" w:rsidRPr="00000000">
        <w:rPr>
          <w:rFonts w:ascii="Times New Roman" w:cs="Times New Roman" w:eastAsia="Times New Roman" w:hAnsi="Times New Roman"/>
          <w:rtl w:val="0"/>
        </w:rPr>
        <w:t xml:space="preserve"> and </w:t>
      </w:r>
      <w:r w:rsidDel="00000000" w:rsidR="00000000" w:rsidRPr="00000000">
        <w:rPr>
          <w:rFonts w:ascii="Times New Roman" w:cs="Times New Roman" w:eastAsia="Times New Roman" w:hAnsi="Times New Roman"/>
          <w:i w:val="1"/>
          <w:rtl w:val="0"/>
        </w:rPr>
        <w:t xml:space="preserve">Il Penseroso</w:t>
      </w:r>
      <w:r w:rsidDel="00000000" w:rsidR="00000000" w:rsidRPr="00000000">
        <w:rPr>
          <w:rFonts w:ascii="Times New Roman" w:cs="Times New Roman" w:eastAsia="Times New Roman" w:hAnsi="Times New Roman"/>
          <w:rtl w:val="0"/>
        </w:rPr>
        <w:t xml:space="preserve"> are, to an extent, parallels of each other, as is seen throughout with depictions of Melancholy and Mirth, the two works are, to put simply, different points of views of the same thing, this being the life and the human experience. However </w:t>
      </w:r>
      <w:r w:rsidDel="00000000" w:rsidR="00000000" w:rsidRPr="00000000">
        <w:rPr>
          <w:rFonts w:ascii="Times New Roman" w:cs="Times New Roman" w:eastAsia="Times New Roman" w:hAnsi="Times New Roman"/>
          <w:i w:val="1"/>
          <w:rtl w:val="0"/>
        </w:rPr>
        <w:t xml:space="preserve">Paradise Lost</w:t>
      </w:r>
      <w:r w:rsidDel="00000000" w:rsidR="00000000" w:rsidRPr="00000000">
        <w:rPr>
          <w:rFonts w:ascii="Times New Roman" w:cs="Times New Roman" w:eastAsia="Times New Roman" w:hAnsi="Times New Roman"/>
          <w:rtl w:val="0"/>
        </w:rPr>
        <w:t xml:space="preserve"> is completely different in almost every aspect, the manner in which it was composed, the length, and the themes. While </w:t>
      </w:r>
      <w:r w:rsidDel="00000000" w:rsidR="00000000" w:rsidRPr="00000000">
        <w:rPr>
          <w:rFonts w:ascii="Times New Roman" w:cs="Times New Roman" w:eastAsia="Times New Roman" w:hAnsi="Times New Roman"/>
          <w:i w:val="1"/>
          <w:rtl w:val="0"/>
        </w:rPr>
        <w:t xml:space="preserve">L’Allegro</w:t>
      </w:r>
      <w:r w:rsidDel="00000000" w:rsidR="00000000" w:rsidRPr="00000000">
        <w:rPr>
          <w:rFonts w:ascii="Times New Roman" w:cs="Times New Roman" w:eastAsia="Times New Roman" w:hAnsi="Times New Roman"/>
          <w:rtl w:val="0"/>
        </w:rPr>
        <w:t xml:space="preserve"> and </w:t>
      </w:r>
      <w:r w:rsidDel="00000000" w:rsidR="00000000" w:rsidRPr="00000000">
        <w:rPr>
          <w:rFonts w:ascii="Times New Roman" w:cs="Times New Roman" w:eastAsia="Times New Roman" w:hAnsi="Times New Roman"/>
          <w:i w:val="1"/>
          <w:rtl w:val="0"/>
        </w:rPr>
        <w:t xml:space="preserve">Il Penseroso</w:t>
      </w:r>
      <w:r w:rsidDel="00000000" w:rsidR="00000000" w:rsidRPr="00000000">
        <w:rPr>
          <w:rFonts w:ascii="Times New Roman" w:cs="Times New Roman" w:eastAsia="Times New Roman" w:hAnsi="Times New Roman"/>
          <w:rtl w:val="0"/>
        </w:rPr>
        <w:t xml:space="preserve"> are of the human experience, </w:t>
      </w:r>
      <w:r w:rsidDel="00000000" w:rsidR="00000000" w:rsidRPr="00000000">
        <w:rPr>
          <w:rFonts w:ascii="Times New Roman" w:cs="Times New Roman" w:eastAsia="Times New Roman" w:hAnsi="Times New Roman"/>
          <w:i w:val="1"/>
          <w:rtl w:val="0"/>
        </w:rPr>
        <w:t xml:space="preserve">Paradise Lost</w:t>
      </w:r>
      <w:r w:rsidDel="00000000" w:rsidR="00000000" w:rsidRPr="00000000">
        <w:rPr>
          <w:rFonts w:ascii="Times New Roman" w:cs="Times New Roman" w:eastAsia="Times New Roman" w:hAnsi="Times New Roman"/>
          <w:rtl w:val="0"/>
        </w:rPr>
        <w:t xml:space="preserve"> takes a biblical perspective into the fall of mankind, with themes of sin, temptations, and redemption being central to the work. However despite all of this, </w:t>
      </w:r>
      <w:r w:rsidDel="00000000" w:rsidR="00000000" w:rsidRPr="00000000">
        <w:rPr>
          <w:rFonts w:ascii="Times New Roman" w:cs="Times New Roman" w:eastAsia="Times New Roman" w:hAnsi="Times New Roman"/>
          <w:i w:val="1"/>
          <w:rtl w:val="0"/>
        </w:rPr>
        <w:t xml:space="preserve">Paradise Lost</w:t>
      </w:r>
      <w:r w:rsidDel="00000000" w:rsidR="00000000" w:rsidRPr="00000000">
        <w:rPr>
          <w:rFonts w:ascii="Times New Roman" w:cs="Times New Roman" w:eastAsia="Times New Roman" w:hAnsi="Times New Roman"/>
          <w:rtl w:val="0"/>
        </w:rPr>
        <w:t xml:space="preserve"> is still a suitable choice to discuss the contrast of points of view, as when looking at the works as a representation of Milton and how the historical events of the mid-seventeenth century had shaped him, then </w:t>
      </w:r>
      <w:r w:rsidDel="00000000" w:rsidR="00000000" w:rsidRPr="00000000">
        <w:rPr>
          <w:rFonts w:ascii="Times New Roman" w:cs="Times New Roman" w:eastAsia="Times New Roman" w:hAnsi="Times New Roman"/>
          <w:i w:val="1"/>
          <w:rtl w:val="0"/>
        </w:rPr>
        <w:t xml:space="preserve">L’Allegro</w:t>
      </w:r>
      <w:r w:rsidDel="00000000" w:rsidR="00000000" w:rsidRPr="00000000">
        <w:rPr>
          <w:rFonts w:ascii="Times New Roman" w:cs="Times New Roman" w:eastAsia="Times New Roman" w:hAnsi="Times New Roman"/>
          <w:rtl w:val="0"/>
        </w:rPr>
        <w:t xml:space="preserve"> and </w:t>
      </w:r>
      <w:r w:rsidDel="00000000" w:rsidR="00000000" w:rsidRPr="00000000">
        <w:rPr>
          <w:rFonts w:ascii="Times New Roman" w:cs="Times New Roman" w:eastAsia="Times New Roman" w:hAnsi="Times New Roman"/>
          <w:i w:val="1"/>
          <w:rtl w:val="0"/>
        </w:rPr>
        <w:t xml:space="preserve">Il Penseroso</w:t>
      </w:r>
      <w:r w:rsidDel="00000000" w:rsidR="00000000" w:rsidRPr="00000000">
        <w:rPr>
          <w:rFonts w:ascii="Times New Roman" w:cs="Times New Roman" w:eastAsia="Times New Roman" w:hAnsi="Times New Roman"/>
          <w:rtl w:val="0"/>
        </w:rPr>
        <w:t xml:space="preserve"> become one joint point of view, Milton, prior to the major political changes that will occur and </w:t>
      </w:r>
      <w:r w:rsidDel="00000000" w:rsidR="00000000" w:rsidRPr="00000000">
        <w:rPr>
          <w:rFonts w:ascii="Times New Roman" w:cs="Times New Roman" w:eastAsia="Times New Roman" w:hAnsi="Times New Roman"/>
          <w:i w:val="1"/>
          <w:rtl w:val="0"/>
        </w:rPr>
        <w:t xml:space="preserve">Paradise Lost</w:t>
      </w:r>
      <w:r w:rsidDel="00000000" w:rsidR="00000000" w:rsidRPr="00000000">
        <w:rPr>
          <w:rFonts w:ascii="Times New Roman" w:cs="Times New Roman" w:eastAsia="Times New Roman" w:hAnsi="Times New Roman"/>
          <w:rtl w:val="0"/>
        </w:rPr>
        <w:t xml:space="preserve"> is the point of view of after.</w:t>
      </w:r>
    </w:p>
    <w:p w:rsidR="00000000" w:rsidDel="00000000" w:rsidP="00000000" w:rsidRDefault="00000000" w:rsidRPr="00000000" w14:paraId="00000003">
      <w:pPr>
        <w:spacing w:after="240" w:before="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Before discussing </w:t>
      </w:r>
      <w:r w:rsidDel="00000000" w:rsidR="00000000" w:rsidRPr="00000000">
        <w:rPr>
          <w:rFonts w:ascii="Times New Roman" w:cs="Times New Roman" w:eastAsia="Times New Roman" w:hAnsi="Times New Roman"/>
          <w:i w:val="1"/>
          <w:rtl w:val="0"/>
        </w:rPr>
        <w:t xml:space="preserve">Paradise Lost</w:t>
      </w:r>
      <w:r w:rsidDel="00000000" w:rsidR="00000000" w:rsidRPr="00000000">
        <w:rPr>
          <w:rFonts w:ascii="Times New Roman" w:cs="Times New Roman" w:eastAsia="Times New Roman" w:hAnsi="Times New Roman"/>
          <w:rtl w:val="0"/>
        </w:rPr>
        <w:t xml:space="preserve">, it is important to discuss </w:t>
      </w:r>
      <w:r w:rsidDel="00000000" w:rsidR="00000000" w:rsidRPr="00000000">
        <w:rPr>
          <w:rFonts w:ascii="Times New Roman" w:cs="Times New Roman" w:eastAsia="Times New Roman" w:hAnsi="Times New Roman"/>
          <w:i w:val="1"/>
          <w:rtl w:val="0"/>
        </w:rPr>
        <w:t xml:space="preserve">L’Allegro</w:t>
      </w:r>
      <w:r w:rsidDel="00000000" w:rsidR="00000000" w:rsidRPr="00000000">
        <w:rPr>
          <w:rFonts w:ascii="Times New Roman" w:cs="Times New Roman" w:eastAsia="Times New Roman" w:hAnsi="Times New Roman"/>
          <w:rtl w:val="0"/>
        </w:rPr>
        <w:t xml:space="preserve"> and </w:t>
      </w:r>
      <w:r w:rsidDel="00000000" w:rsidR="00000000" w:rsidRPr="00000000">
        <w:rPr>
          <w:rFonts w:ascii="Times New Roman" w:cs="Times New Roman" w:eastAsia="Times New Roman" w:hAnsi="Times New Roman"/>
          <w:i w:val="1"/>
          <w:rtl w:val="0"/>
        </w:rPr>
        <w:t xml:space="preserve">Il Penseroso</w:t>
      </w:r>
      <w:r w:rsidDel="00000000" w:rsidR="00000000" w:rsidRPr="00000000">
        <w:rPr>
          <w:rFonts w:ascii="Times New Roman" w:cs="Times New Roman" w:eastAsia="Times New Roman" w:hAnsi="Times New Roman"/>
          <w:rtl w:val="0"/>
        </w:rPr>
        <w:t xml:space="preserve">, their contrasting points of view, and what themes run through them. </w:t>
      </w:r>
      <w:r w:rsidDel="00000000" w:rsidR="00000000" w:rsidRPr="00000000">
        <w:rPr>
          <w:rFonts w:ascii="Times New Roman" w:cs="Times New Roman" w:eastAsia="Times New Roman" w:hAnsi="Times New Roman"/>
          <w:i w:val="1"/>
          <w:rtl w:val="0"/>
        </w:rPr>
        <w:t xml:space="preserve">L’Allegro</w:t>
      </w:r>
      <w:r w:rsidDel="00000000" w:rsidR="00000000" w:rsidRPr="00000000">
        <w:rPr>
          <w:rFonts w:ascii="Times New Roman" w:cs="Times New Roman" w:eastAsia="Times New Roman" w:hAnsi="Times New Roman"/>
          <w:rtl w:val="0"/>
        </w:rPr>
        <w:t xml:space="preserve"> and </w:t>
      </w:r>
      <w:r w:rsidDel="00000000" w:rsidR="00000000" w:rsidRPr="00000000">
        <w:rPr>
          <w:rFonts w:ascii="Times New Roman" w:cs="Times New Roman" w:eastAsia="Times New Roman" w:hAnsi="Times New Roman"/>
          <w:i w:val="1"/>
          <w:rtl w:val="0"/>
        </w:rPr>
        <w:t xml:space="preserve">Il Penseroso</w:t>
      </w:r>
      <w:r w:rsidDel="00000000" w:rsidR="00000000" w:rsidRPr="00000000">
        <w:rPr>
          <w:rFonts w:ascii="Times New Roman" w:cs="Times New Roman" w:eastAsia="Times New Roman" w:hAnsi="Times New Roman"/>
          <w:rtl w:val="0"/>
        </w:rPr>
        <w:t xml:space="preserve"> are companion pieces designed to be read together, they were written together some point between 1629 and 1632, although Colin Burrow claims </w:t>
      </w:r>
      <w:r w:rsidDel="00000000" w:rsidR="00000000" w:rsidRPr="00000000">
        <w:rPr>
          <w:rFonts w:ascii="Times New Roman" w:cs="Times New Roman" w:eastAsia="Times New Roman" w:hAnsi="Times New Roman"/>
          <w:i w:val="1"/>
          <w:rtl w:val="0"/>
        </w:rPr>
        <w:t xml:space="preserve">Il Penseroso</w:t>
      </w:r>
      <w:r w:rsidDel="00000000" w:rsidR="00000000" w:rsidRPr="00000000">
        <w:rPr>
          <w:rFonts w:ascii="Times New Roman" w:cs="Times New Roman" w:eastAsia="Times New Roman" w:hAnsi="Times New Roman"/>
          <w:rtl w:val="0"/>
        </w:rPr>
        <w:t xml:space="preserve"> was released second.</w:t>
      </w:r>
      <w:r w:rsidDel="00000000" w:rsidR="00000000" w:rsidRPr="00000000">
        <w:rPr>
          <w:rFonts w:ascii="Times New Roman" w:cs="Times New Roman" w:eastAsia="Times New Roman" w:hAnsi="Times New Roman"/>
          <w:vertAlign w:val="superscript"/>
        </w:rPr>
        <w:footnoteReference w:customMarkFollows="0" w:id="0"/>
      </w:r>
      <w:r w:rsidDel="00000000" w:rsidR="00000000" w:rsidRPr="00000000">
        <w:rPr>
          <w:rFonts w:ascii="Times New Roman" w:cs="Times New Roman" w:eastAsia="Times New Roman" w:hAnsi="Times New Roman"/>
          <w:rtl w:val="0"/>
        </w:rPr>
        <w:t xml:space="preserve"> These poems would not be published until 1645/1646 when a collection of Milton’s poetry was released. Many scholars frame the two works as </w:t>
      </w:r>
      <w:r w:rsidDel="00000000" w:rsidR="00000000" w:rsidRPr="00000000">
        <w:rPr>
          <w:rFonts w:ascii="Times New Roman" w:cs="Times New Roman" w:eastAsia="Times New Roman" w:hAnsi="Times New Roman"/>
          <w:i w:val="1"/>
          <w:rtl w:val="0"/>
        </w:rPr>
        <w:t xml:space="preserve">L’Allegro</w:t>
      </w:r>
      <w:r w:rsidDel="00000000" w:rsidR="00000000" w:rsidRPr="00000000">
        <w:rPr>
          <w:rFonts w:ascii="Times New Roman" w:cs="Times New Roman" w:eastAsia="Times New Roman" w:hAnsi="Times New Roman"/>
          <w:rtl w:val="0"/>
        </w:rPr>
        <w:t xml:space="preserve"> being a youthful view on life, with many of the images the poem portrays being that of someone who is experiencing things for the first time and is still new to life, Gary Stringer’s interpretation is that </w:t>
      </w:r>
      <w:r w:rsidDel="00000000" w:rsidR="00000000" w:rsidRPr="00000000">
        <w:rPr>
          <w:rFonts w:ascii="Times New Roman" w:cs="Times New Roman" w:eastAsia="Times New Roman" w:hAnsi="Times New Roman"/>
          <w:i w:val="1"/>
          <w:rtl w:val="0"/>
        </w:rPr>
        <w:t xml:space="preserve">l’Allegro</w:t>
      </w:r>
      <w:r w:rsidDel="00000000" w:rsidR="00000000" w:rsidRPr="00000000">
        <w:rPr>
          <w:rFonts w:ascii="Times New Roman" w:cs="Times New Roman" w:eastAsia="Times New Roman" w:hAnsi="Times New Roman"/>
          <w:rtl w:val="0"/>
        </w:rPr>
        <w:t xml:space="preserve"> portrays a young man in love with Mirth.</w:t>
      </w:r>
      <w:r w:rsidDel="00000000" w:rsidR="00000000" w:rsidRPr="00000000">
        <w:rPr>
          <w:rFonts w:ascii="Times New Roman" w:cs="Times New Roman" w:eastAsia="Times New Roman" w:hAnsi="Times New Roman"/>
          <w:vertAlign w:val="superscript"/>
        </w:rPr>
        <w:footnoteReference w:customMarkFollows="0" w:id="1"/>
      </w:r>
      <w:r w:rsidDel="00000000" w:rsidR="00000000" w:rsidRPr="00000000">
        <w:rPr>
          <w:rFonts w:ascii="Times New Roman" w:cs="Times New Roman" w:eastAsia="Times New Roman" w:hAnsi="Times New Roman"/>
          <w:rtl w:val="0"/>
        </w:rPr>
        <w:t xml:space="preserve"> Whereas </w:t>
      </w:r>
      <w:r w:rsidDel="00000000" w:rsidR="00000000" w:rsidRPr="00000000">
        <w:rPr>
          <w:rFonts w:ascii="Times New Roman" w:cs="Times New Roman" w:eastAsia="Times New Roman" w:hAnsi="Times New Roman"/>
          <w:i w:val="1"/>
          <w:rtl w:val="0"/>
        </w:rPr>
        <w:t xml:space="preserve">Il Penseroso</w:t>
      </w:r>
      <w:r w:rsidDel="00000000" w:rsidR="00000000" w:rsidRPr="00000000">
        <w:rPr>
          <w:rFonts w:ascii="Times New Roman" w:cs="Times New Roman" w:eastAsia="Times New Roman" w:hAnsi="Times New Roman"/>
          <w:rtl w:val="0"/>
        </w:rPr>
        <w:t xml:space="preserve">, while often interpreted as a sorrowful and negative view, can be seen as a more thoughtful and experienced look at life.</w:t>
      </w:r>
      <w:r w:rsidDel="00000000" w:rsidR="00000000" w:rsidRPr="00000000">
        <w:rPr>
          <w:rFonts w:ascii="Times New Roman" w:cs="Times New Roman" w:eastAsia="Times New Roman" w:hAnsi="Times New Roman"/>
          <w:vertAlign w:val="superscript"/>
        </w:rPr>
        <w:footnoteReference w:customMarkFollows="0" w:id="2"/>
      </w:r>
      <w:r w:rsidDel="00000000" w:rsidR="00000000" w:rsidRPr="00000000">
        <w:rPr>
          <w:rtl w:val="0"/>
        </w:rPr>
      </w:r>
    </w:p>
    <w:p w:rsidR="00000000" w:rsidDel="00000000" w:rsidP="00000000" w:rsidRDefault="00000000" w:rsidRPr="00000000" w14:paraId="00000004">
      <w:pPr>
        <w:spacing w:after="240" w:before="24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5">
      <w:pPr>
        <w:spacing w:after="240" w:before="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contrasting element of the two poems allows for many scholars to interpret them very differently, and at times take this nature of the duality of the works too far. One such example is that of Thomas Embry, who describes the content of the two poems as being the dichotomy of sensuality and chastity.</w:t>
      </w:r>
      <w:r w:rsidDel="00000000" w:rsidR="00000000" w:rsidRPr="00000000">
        <w:rPr>
          <w:rFonts w:ascii="Times New Roman" w:cs="Times New Roman" w:eastAsia="Times New Roman" w:hAnsi="Times New Roman"/>
          <w:vertAlign w:val="superscript"/>
        </w:rPr>
        <w:footnoteReference w:customMarkFollows="0" w:id="3"/>
      </w:r>
      <w:r w:rsidDel="00000000" w:rsidR="00000000" w:rsidRPr="00000000">
        <w:rPr>
          <w:rFonts w:ascii="Times New Roman" w:cs="Times New Roman" w:eastAsia="Times New Roman" w:hAnsi="Times New Roman"/>
          <w:rtl w:val="0"/>
        </w:rPr>
        <w:t xml:space="preserve"> The focus on the differences between sensuality and chastity that Embry places on the two works is perhaps, at times, misguided. He uses Milton's description of the two goddesses' birth as the ‘most immediate indication’ of this theme. Mirth’s conception as described by Milton can easily be put into the category of sensuality, with such passages as: </w:t>
      </w:r>
    </w:p>
    <w:p w:rsidR="00000000" w:rsidDel="00000000" w:rsidP="00000000" w:rsidRDefault="00000000" w:rsidRPr="00000000" w14:paraId="00000006">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7">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 he met her once a-Maying,</w:t>
      </w:r>
    </w:p>
    <w:p w:rsidR="00000000" w:rsidDel="00000000" w:rsidP="00000000" w:rsidRDefault="00000000" w:rsidRPr="00000000" w14:paraId="00000008">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on beds of violets blue,</w:t>
      </w:r>
    </w:p>
    <w:p w:rsidR="00000000" w:rsidDel="00000000" w:rsidP="00000000" w:rsidRDefault="00000000" w:rsidRPr="00000000" w14:paraId="00000009">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And fresh-blown roses wash'd in dew,</w:t>
      </w:r>
    </w:p>
    <w:p w:rsidR="00000000" w:rsidDel="00000000" w:rsidP="00000000" w:rsidRDefault="00000000" w:rsidRPr="00000000" w14:paraId="0000000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Fill'd her with thee, a daughter fair,’</w:t>
      </w:r>
      <w:r w:rsidDel="00000000" w:rsidR="00000000" w:rsidRPr="00000000">
        <w:rPr>
          <w:rFonts w:ascii="Times New Roman" w:cs="Times New Roman" w:eastAsia="Times New Roman" w:hAnsi="Times New Roman"/>
          <w:vertAlign w:val="superscript"/>
        </w:rPr>
        <w:footnoteReference w:customMarkFollows="0" w:id="4"/>
      </w:r>
      <w:r w:rsidDel="00000000" w:rsidR="00000000" w:rsidRPr="00000000">
        <w:rPr>
          <w:rtl w:val="0"/>
        </w:rPr>
      </w:r>
    </w:p>
    <w:p w:rsidR="00000000" w:rsidDel="00000000" w:rsidP="00000000" w:rsidRDefault="00000000" w:rsidRPr="00000000" w14:paraId="0000000B">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However Melancholy’s birth does not illicit themes of chastity, in fact, while Vesta is known as the virgin-goddess, the fact that she conceived this child with her own father, an act of incest, goes against the idea of chastity. While Milton throws in the line ‘in Saturn's reign, Such mixture was not held a stain’ this does by no means diminish the fact of incest between the two but simply tells the reader to accept it.</w:t>
      </w:r>
      <w:r w:rsidDel="00000000" w:rsidR="00000000" w:rsidRPr="00000000">
        <w:rPr>
          <w:rFonts w:ascii="Times New Roman" w:cs="Times New Roman" w:eastAsia="Times New Roman" w:hAnsi="Times New Roman"/>
          <w:vertAlign w:val="superscript"/>
        </w:rPr>
        <w:footnoteReference w:customMarkFollows="0" w:id="5"/>
      </w:r>
      <w:r w:rsidDel="00000000" w:rsidR="00000000" w:rsidRPr="00000000">
        <w:rPr>
          <w:rFonts w:ascii="Times New Roman" w:cs="Times New Roman" w:eastAsia="Times New Roman" w:hAnsi="Times New Roman"/>
          <w:rtl w:val="0"/>
        </w:rPr>
        <w:t xml:space="preserve"> This relationship between Vesta and Saturn is no less sensual than that of Venus and Bacchus, albeit in a very different way. In fact, the following lines ‘He met her, and in secret shades Of woody Ida's inmost grove,’ are that which describe the tale of two forbidden lovers, not the story of two dedicated to chastity.</w:t>
      </w:r>
      <w:r w:rsidDel="00000000" w:rsidR="00000000" w:rsidRPr="00000000">
        <w:rPr>
          <w:rFonts w:ascii="Times New Roman" w:cs="Times New Roman" w:eastAsia="Times New Roman" w:hAnsi="Times New Roman"/>
          <w:vertAlign w:val="superscript"/>
        </w:rPr>
        <w:footnoteReference w:customMarkFollows="0" w:id="6"/>
      </w:r>
      <w:r w:rsidDel="00000000" w:rsidR="00000000" w:rsidRPr="00000000">
        <w:rPr>
          <w:rtl w:val="0"/>
        </w:rPr>
      </w:r>
    </w:p>
    <w:p w:rsidR="00000000" w:rsidDel="00000000" w:rsidP="00000000" w:rsidRDefault="00000000" w:rsidRPr="00000000" w14:paraId="0000000D">
      <w:pPr>
        <w:spacing w:after="240" w:before="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While it is clear that many different interpretations can be made due to the fact that these two poems have contrasting points of view, this can, as Kathleen Swaim states, actually distort and misshape the imagery and poetry itself.</w:t>
      </w:r>
      <w:r w:rsidDel="00000000" w:rsidR="00000000" w:rsidRPr="00000000">
        <w:rPr>
          <w:rFonts w:ascii="Times New Roman" w:cs="Times New Roman" w:eastAsia="Times New Roman" w:hAnsi="Times New Roman"/>
          <w:vertAlign w:val="superscript"/>
        </w:rPr>
        <w:footnoteReference w:customMarkFollows="0" w:id="7"/>
      </w:r>
      <w:r w:rsidDel="00000000" w:rsidR="00000000" w:rsidRPr="00000000">
        <w:rPr>
          <w:rFonts w:ascii="Times New Roman" w:cs="Times New Roman" w:eastAsia="Times New Roman" w:hAnsi="Times New Roman"/>
          <w:rtl w:val="0"/>
        </w:rPr>
        <w:t xml:space="preserve"> However despite this fact, Swaim goes on to share their interpretation of the two poems, which is that if </w:t>
      </w:r>
      <w:r w:rsidDel="00000000" w:rsidR="00000000" w:rsidRPr="00000000">
        <w:rPr>
          <w:rFonts w:ascii="Times New Roman" w:cs="Times New Roman" w:eastAsia="Times New Roman" w:hAnsi="Times New Roman"/>
          <w:i w:val="1"/>
          <w:rtl w:val="0"/>
        </w:rPr>
        <w:t xml:space="preserve">L’Allegro</w:t>
      </w:r>
      <w:r w:rsidDel="00000000" w:rsidR="00000000" w:rsidRPr="00000000">
        <w:rPr>
          <w:rFonts w:ascii="Times New Roman" w:cs="Times New Roman" w:eastAsia="Times New Roman" w:hAnsi="Times New Roman"/>
          <w:rtl w:val="0"/>
        </w:rPr>
        <w:t xml:space="preserve"> and </w:t>
      </w:r>
      <w:r w:rsidDel="00000000" w:rsidR="00000000" w:rsidRPr="00000000">
        <w:rPr>
          <w:rFonts w:ascii="Times New Roman" w:cs="Times New Roman" w:eastAsia="Times New Roman" w:hAnsi="Times New Roman"/>
          <w:i w:val="1"/>
          <w:rtl w:val="0"/>
        </w:rPr>
        <w:t xml:space="preserve">Il Penseroso</w:t>
      </w:r>
      <w:r w:rsidDel="00000000" w:rsidR="00000000" w:rsidRPr="00000000">
        <w:rPr>
          <w:rFonts w:ascii="Times New Roman" w:cs="Times New Roman" w:eastAsia="Times New Roman" w:hAnsi="Times New Roman"/>
          <w:rtl w:val="0"/>
        </w:rPr>
        <w:t xml:space="preserve"> were to be combined then Milton would have portrayed a complete 24-hour day-night cycle.</w:t>
      </w:r>
      <w:r w:rsidDel="00000000" w:rsidR="00000000" w:rsidRPr="00000000">
        <w:rPr>
          <w:rFonts w:ascii="Times New Roman" w:cs="Times New Roman" w:eastAsia="Times New Roman" w:hAnsi="Times New Roman"/>
          <w:vertAlign w:val="superscript"/>
        </w:rPr>
        <w:footnoteReference w:customMarkFollows="0" w:id="8"/>
      </w:r>
      <w:r w:rsidDel="00000000" w:rsidR="00000000" w:rsidRPr="00000000">
        <w:rPr>
          <w:rFonts w:ascii="Times New Roman" w:cs="Times New Roman" w:eastAsia="Times New Roman" w:hAnsi="Times New Roman"/>
          <w:rtl w:val="0"/>
        </w:rPr>
        <w:t xml:space="preserve"> In a similar way that </w:t>
      </w:r>
      <w:r w:rsidDel="00000000" w:rsidR="00000000" w:rsidRPr="00000000">
        <w:rPr>
          <w:rFonts w:ascii="Times New Roman" w:cs="Times New Roman" w:eastAsia="Times New Roman" w:hAnsi="Times New Roman"/>
          <w:i w:val="1"/>
          <w:rtl w:val="0"/>
        </w:rPr>
        <w:t xml:space="preserve">Il Penseroso</w:t>
      </w:r>
      <w:r w:rsidDel="00000000" w:rsidR="00000000" w:rsidRPr="00000000">
        <w:rPr>
          <w:rFonts w:ascii="Times New Roman" w:cs="Times New Roman" w:eastAsia="Times New Roman" w:hAnsi="Times New Roman"/>
          <w:rtl w:val="0"/>
        </w:rPr>
        <w:t xml:space="preserve"> was the young person's view, it is the start of a new day with all the energy that carries, and </w:t>
      </w:r>
      <w:r w:rsidDel="00000000" w:rsidR="00000000" w:rsidRPr="00000000">
        <w:rPr>
          <w:rFonts w:ascii="Times New Roman" w:cs="Times New Roman" w:eastAsia="Times New Roman" w:hAnsi="Times New Roman"/>
          <w:i w:val="1"/>
          <w:rtl w:val="0"/>
        </w:rPr>
        <w:t xml:space="preserve">L’Allegro</w:t>
      </w:r>
      <w:r w:rsidDel="00000000" w:rsidR="00000000" w:rsidRPr="00000000">
        <w:rPr>
          <w:rFonts w:ascii="Times New Roman" w:cs="Times New Roman" w:eastAsia="Times New Roman" w:hAnsi="Times New Roman"/>
          <w:rtl w:val="0"/>
        </w:rPr>
        <w:t xml:space="preserve"> is the portion of the day when the sun has set and night has begun.</w:t>
      </w:r>
      <w:r w:rsidDel="00000000" w:rsidR="00000000" w:rsidRPr="00000000">
        <w:rPr>
          <w:rFonts w:ascii="Times New Roman" w:cs="Times New Roman" w:eastAsia="Times New Roman" w:hAnsi="Times New Roman"/>
          <w:vertAlign w:val="superscript"/>
        </w:rPr>
        <w:footnoteReference w:customMarkFollows="0" w:id="9"/>
      </w:r>
      <w:r w:rsidDel="00000000" w:rsidR="00000000" w:rsidRPr="00000000">
        <w:rPr>
          <w:rtl w:val="0"/>
        </w:rPr>
      </w:r>
    </w:p>
    <w:p w:rsidR="00000000" w:rsidDel="00000000" w:rsidP="00000000" w:rsidRDefault="00000000" w:rsidRPr="00000000" w14:paraId="0000000E">
      <w:pPr>
        <w:spacing w:after="240" w:before="24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F">
      <w:pPr>
        <w:spacing w:after="240" w:before="240" w:line="360" w:lineRule="auto"/>
        <w:ind w:left="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 is the case for many authors, Milton’s works reflect both himself and the society he found himself. It is perhaps not surprising then that </w:t>
      </w:r>
      <w:r w:rsidDel="00000000" w:rsidR="00000000" w:rsidRPr="00000000">
        <w:rPr>
          <w:rFonts w:ascii="Times New Roman" w:cs="Times New Roman" w:eastAsia="Times New Roman" w:hAnsi="Times New Roman"/>
          <w:i w:val="1"/>
          <w:rtl w:val="0"/>
        </w:rPr>
        <w:t xml:space="preserve">Paradise Lost</w:t>
      </w:r>
      <w:r w:rsidDel="00000000" w:rsidR="00000000" w:rsidRPr="00000000">
        <w:rPr>
          <w:rFonts w:ascii="Times New Roman" w:cs="Times New Roman" w:eastAsia="Times New Roman" w:hAnsi="Times New Roman"/>
          <w:rtl w:val="0"/>
        </w:rPr>
        <w:t xml:space="preserve">, finished in 1667, which involves the fall of mankind and the resultant forms of monarchy and tyranny that came with the fall, was written in a period of the recently restored monarchy.</w:t>
      </w:r>
      <w:r w:rsidDel="00000000" w:rsidR="00000000" w:rsidRPr="00000000">
        <w:rPr>
          <w:rFonts w:ascii="Times New Roman" w:cs="Times New Roman" w:eastAsia="Times New Roman" w:hAnsi="Times New Roman"/>
          <w:vertAlign w:val="superscript"/>
        </w:rPr>
        <w:footnoteReference w:customMarkFollows="0" w:id="10"/>
      </w:r>
      <w:r w:rsidDel="00000000" w:rsidR="00000000" w:rsidRPr="00000000">
        <w:rPr>
          <w:rFonts w:ascii="Times New Roman" w:cs="Times New Roman" w:eastAsia="Times New Roman" w:hAnsi="Times New Roman"/>
          <w:rtl w:val="0"/>
        </w:rPr>
        <w:t xml:space="preserve"> For anyone alive in England from 1639 with the start of the Bishop’s War to the restoration of the monarchy in 1660 it would be hard to imagine that the events in this period were not at the front of everyone's thoughts. This period saw religious troubles, war tearing through the whole country, the execution of the monarch, and the revolutionary shift away from the feudal system that had been in place in Britain in some form for over a thousand years at that point, into the unknown that was the commonwealth, and then for the monarchy to be restored in 1660.</w:t>
      </w:r>
    </w:p>
    <w:p w:rsidR="00000000" w:rsidDel="00000000" w:rsidP="00000000" w:rsidRDefault="00000000" w:rsidRPr="00000000" w14:paraId="00000010">
      <w:pPr>
        <w:spacing w:after="240" w:before="240" w:line="360" w:lineRule="auto"/>
        <w:ind w:left="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Milton perhaps may have been bitter by the time it came to writing </w:t>
      </w:r>
      <w:r w:rsidDel="00000000" w:rsidR="00000000" w:rsidRPr="00000000">
        <w:rPr>
          <w:rFonts w:ascii="Times New Roman" w:cs="Times New Roman" w:eastAsia="Times New Roman" w:hAnsi="Times New Roman"/>
          <w:i w:val="1"/>
          <w:rtl w:val="0"/>
        </w:rPr>
        <w:t xml:space="preserve">Paradise Lost</w:t>
      </w:r>
      <w:r w:rsidDel="00000000" w:rsidR="00000000" w:rsidRPr="00000000">
        <w:rPr>
          <w:rFonts w:ascii="Times New Roman" w:cs="Times New Roman" w:eastAsia="Times New Roman" w:hAnsi="Times New Roman"/>
          <w:rtl w:val="0"/>
        </w:rPr>
        <w:t xml:space="preserve">, while he was careful with publicising his political during the start of the English Civil War, he did not publish anything from its outbreak to 1642, and when he finally did it was about the issue of episcopacy, something which was had been largely pushed aside and not at the forefront of political discourse.</w:t>
      </w:r>
      <w:r w:rsidDel="00000000" w:rsidR="00000000" w:rsidRPr="00000000">
        <w:rPr>
          <w:rFonts w:ascii="Times New Roman" w:cs="Times New Roman" w:eastAsia="Times New Roman" w:hAnsi="Times New Roman"/>
          <w:vertAlign w:val="superscript"/>
        </w:rPr>
        <w:footnoteReference w:customMarkFollows="0" w:id="11"/>
      </w:r>
      <w:r w:rsidDel="00000000" w:rsidR="00000000" w:rsidRPr="00000000">
        <w:rPr>
          <w:rFonts w:ascii="Times New Roman" w:cs="Times New Roman" w:eastAsia="Times New Roman" w:hAnsi="Times New Roman"/>
          <w:rtl w:val="0"/>
        </w:rPr>
        <w:t xml:space="preserve"> While not being the most vocal supporter of the conflict, he did support the parliamentarian forces as can be seen in 1645 when he spoke of his ‘addicted fidelity’ to the Long Parliament.</w:t>
      </w:r>
      <w:r w:rsidDel="00000000" w:rsidR="00000000" w:rsidRPr="00000000">
        <w:rPr>
          <w:rFonts w:ascii="Times New Roman" w:cs="Times New Roman" w:eastAsia="Times New Roman" w:hAnsi="Times New Roman"/>
          <w:vertAlign w:val="superscript"/>
        </w:rPr>
        <w:footnoteReference w:customMarkFollows="0" w:id="12"/>
      </w:r>
      <w:r w:rsidDel="00000000" w:rsidR="00000000" w:rsidRPr="00000000">
        <w:rPr>
          <w:rFonts w:ascii="Times New Roman" w:cs="Times New Roman" w:eastAsia="Times New Roman" w:hAnsi="Times New Roman"/>
          <w:rtl w:val="0"/>
        </w:rPr>
        <w:t xml:space="preserve"> By February 1649, less than a month after the execution of Charles I, Milton published </w:t>
      </w:r>
      <w:r w:rsidDel="00000000" w:rsidR="00000000" w:rsidRPr="00000000">
        <w:rPr>
          <w:rFonts w:ascii="Times New Roman" w:cs="Times New Roman" w:eastAsia="Times New Roman" w:hAnsi="Times New Roman"/>
          <w:i w:val="1"/>
          <w:rtl w:val="0"/>
        </w:rPr>
        <w:t xml:space="preserve">The Tenure of Kings and Magistrates</w:t>
      </w:r>
      <w:r w:rsidDel="00000000" w:rsidR="00000000" w:rsidRPr="00000000">
        <w:rPr>
          <w:rFonts w:ascii="Times New Roman" w:cs="Times New Roman" w:eastAsia="Times New Roman" w:hAnsi="Times New Roman"/>
          <w:rtl w:val="0"/>
        </w:rPr>
        <w:t xml:space="preserve">, a work that criticises the role of a monarch and even called those who supported living in a system run by a monarch as slaves.</w:t>
      </w:r>
      <w:r w:rsidDel="00000000" w:rsidR="00000000" w:rsidRPr="00000000">
        <w:rPr>
          <w:rFonts w:ascii="Times New Roman" w:cs="Times New Roman" w:eastAsia="Times New Roman" w:hAnsi="Times New Roman"/>
          <w:vertAlign w:val="superscript"/>
        </w:rPr>
        <w:footnoteReference w:customMarkFollows="0" w:id="13"/>
      </w:r>
      <w:r w:rsidDel="00000000" w:rsidR="00000000" w:rsidRPr="00000000">
        <w:rPr>
          <w:rFonts w:ascii="Times New Roman" w:cs="Times New Roman" w:eastAsia="Times New Roman" w:hAnsi="Times New Roman"/>
          <w:rtl w:val="0"/>
        </w:rPr>
        <w:t xml:space="preserve"> Milton’s views can be seen on the title page of this work, which states;</w:t>
      </w:r>
    </w:p>
    <w:p w:rsidR="00000000" w:rsidDel="00000000" w:rsidP="00000000" w:rsidRDefault="00000000" w:rsidRPr="00000000" w14:paraId="00000011">
      <w:pPr>
        <w:spacing w:after="240" w:before="240" w:line="360" w:lineRule="auto"/>
        <w:ind w:left="36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2">
      <w:pPr>
        <w:spacing w:after="240" w:before="240" w:line="360" w:lineRule="auto"/>
        <w:ind w:left="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Tenure of Kings and Magistrates: Proving, that it is Lawful, and hath been held so through all Ages, for any who have the power, to call to account a Tyrant, or wicked KING, and after due conviction, to depose and put him to death’</w:t>
      </w:r>
      <w:r w:rsidDel="00000000" w:rsidR="00000000" w:rsidRPr="00000000">
        <w:rPr>
          <w:rFonts w:ascii="Times New Roman" w:cs="Times New Roman" w:eastAsia="Times New Roman" w:hAnsi="Times New Roman"/>
          <w:vertAlign w:val="superscript"/>
        </w:rPr>
        <w:footnoteReference w:customMarkFollows="0" w:id="14"/>
      </w: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13">
      <w:pPr>
        <w:spacing w:after="240" w:before="240" w:line="360" w:lineRule="auto"/>
        <w:ind w:left="36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4">
      <w:pPr>
        <w:spacing w:after="240" w:before="240" w:line="360" w:lineRule="auto"/>
        <w:ind w:left="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Someone who saw the faults with the British monarchy and who clearly believed that Charles I was, without doubt, a tyrant, would likely have not supported the Stuart restoration in 1660 and the crowning of the tyrant's son, Charles II. Milton was also blind by the time </w:t>
      </w:r>
      <w:r w:rsidDel="00000000" w:rsidR="00000000" w:rsidRPr="00000000">
        <w:rPr>
          <w:rFonts w:ascii="Times New Roman" w:cs="Times New Roman" w:eastAsia="Times New Roman" w:hAnsi="Times New Roman"/>
          <w:i w:val="1"/>
          <w:rtl w:val="0"/>
        </w:rPr>
        <w:t xml:space="preserve">Paradise Lost</w:t>
      </w:r>
      <w:r w:rsidDel="00000000" w:rsidR="00000000" w:rsidRPr="00000000">
        <w:rPr>
          <w:rFonts w:ascii="Times New Roman" w:cs="Times New Roman" w:eastAsia="Times New Roman" w:hAnsi="Times New Roman"/>
          <w:rtl w:val="0"/>
        </w:rPr>
        <w:t xml:space="preserve"> was published, with his left eye losing sight in the late 1640s and the right going in 1652, only a few months before the birth of his son, John, was born.</w:t>
      </w:r>
      <w:r w:rsidDel="00000000" w:rsidR="00000000" w:rsidRPr="00000000">
        <w:rPr>
          <w:rFonts w:ascii="Times New Roman" w:cs="Times New Roman" w:eastAsia="Times New Roman" w:hAnsi="Times New Roman"/>
          <w:vertAlign w:val="superscript"/>
        </w:rPr>
        <w:footnoteReference w:customMarkFollows="0" w:id="15"/>
      </w:r>
      <w:r w:rsidDel="00000000" w:rsidR="00000000" w:rsidRPr="00000000">
        <w:rPr>
          <w:rFonts w:ascii="Times New Roman" w:cs="Times New Roman" w:eastAsia="Times New Roman" w:hAnsi="Times New Roman"/>
          <w:rtl w:val="0"/>
        </w:rPr>
        <w:t xml:space="preserve"> He saw the collapse of the commonwealth, something he tried every effort to maintain with him dictating a number of works in support of this style of government, and briefly had to go into hiding when the monarch was restored and was also briefly arrested for his support in both the death of Charles I and the government that caused it.</w:t>
      </w:r>
      <w:r w:rsidDel="00000000" w:rsidR="00000000" w:rsidRPr="00000000">
        <w:rPr>
          <w:rFonts w:ascii="Times New Roman" w:cs="Times New Roman" w:eastAsia="Times New Roman" w:hAnsi="Times New Roman"/>
          <w:vertAlign w:val="superscript"/>
        </w:rPr>
        <w:footnoteReference w:customMarkFollows="0" w:id="16"/>
      </w:r>
      <w:r w:rsidDel="00000000" w:rsidR="00000000" w:rsidRPr="00000000">
        <w:rPr>
          <w:rFonts w:ascii="Times New Roman" w:cs="Times New Roman" w:eastAsia="Times New Roman" w:hAnsi="Times New Roman"/>
          <w:rtl w:val="0"/>
        </w:rPr>
        <w:t xml:space="preserve"> The person who wrote </w:t>
      </w:r>
      <w:r w:rsidDel="00000000" w:rsidR="00000000" w:rsidRPr="00000000">
        <w:rPr>
          <w:rFonts w:ascii="Times New Roman" w:cs="Times New Roman" w:eastAsia="Times New Roman" w:hAnsi="Times New Roman"/>
          <w:i w:val="1"/>
          <w:rtl w:val="0"/>
        </w:rPr>
        <w:t xml:space="preserve">Paradise Lost</w:t>
      </w:r>
      <w:r w:rsidDel="00000000" w:rsidR="00000000" w:rsidRPr="00000000">
        <w:rPr>
          <w:rFonts w:ascii="Times New Roman" w:cs="Times New Roman" w:eastAsia="Times New Roman" w:hAnsi="Times New Roman"/>
          <w:rtl w:val="0"/>
        </w:rPr>
        <w:t xml:space="preserve"> was not the same as who wrote </w:t>
      </w:r>
      <w:r w:rsidDel="00000000" w:rsidR="00000000" w:rsidRPr="00000000">
        <w:rPr>
          <w:rFonts w:ascii="Times New Roman" w:cs="Times New Roman" w:eastAsia="Times New Roman" w:hAnsi="Times New Roman"/>
          <w:i w:val="1"/>
          <w:rtl w:val="0"/>
        </w:rPr>
        <w:t xml:space="preserve">L’Allegro and Il Penseroso</w:t>
      </w:r>
      <w:r w:rsidDel="00000000" w:rsidR="00000000" w:rsidRPr="00000000">
        <w:rPr>
          <w:rFonts w:ascii="Times New Roman" w:cs="Times New Roman" w:eastAsia="Times New Roman" w:hAnsi="Times New Roman"/>
          <w:rtl w:val="0"/>
        </w:rPr>
        <w:t xml:space="preserve"> over 30 years prior. Milton had lost two children and two wives, saw the country descend into civil war only for any major change to be reverted to the status quo, lost his ability to see, and had his popularity and success drastically decrease. This bitterness over the course of his life can be seen throughout </w:t>
      </w:r>
      <w:r w:rsidDel="00000000" w:rsidR="00000000" w:rsidRPr="00000000">
        <w:rPr>
          <w:rFonts w:ascii="Times New Roman" w:cs="Times New Roman" w:eastAsia="Times New Roman" w:hAnsi="Times New Roman"/>
          <w:i w:val="1"/>
          <w:rtl w:val="0"/>
        </w:rPr>
        <w:t xml:space="preserve">Paradise Lost</w:t>
      </w:r>
      <w:r w:rsidDel="00000000" w:rsidR="00000000" w:rsidRPr="00000000">
        <w:rPr>
          <w:rFonts w:ascii="Times New Roman" w:cs="Times New Roman" w:eastAsia="Times New Roman" w:hAnsi="Times New Roman"/>
          <w:rtl w:val="0"/>
        </w:rPr>
        <w:t xml:space="preserve"> with its theme of civil war. The war between Satan and God can be compared to the English Civil War, with Satan and his followers being the parliamentarians as although they secured a victory, such as causing the fall of man, they still lose overall due to becoming snakes and the fact that mankind will later be redeemed through the ‘King Messiah’, which was Jesus Christ.</w:t>
      </w:r>
      <w:r w:rsidDel="00000000" w:rsidR="00000000" w:rsidRPr="00000000">
        <w:rPr>
          <w:rFonts w:ascii="Times New Roman" w:cs="Times New Roman" w:eastAsia="Times New Roman" w:hAnsi="Times New Roman"/>
          <w:vertAlign w:val="superscript"/>
        </w:rPr>
        <w:footnoteReference w:customMarkFollows="0" w:id="17"/>
      </w:r>
      <w:r w:rsidDel="00000000" w:rsidR="00000000" w:rsidRPr="00000000">
        <w:rPr>
          <w:rtl w:val="0"/>
        </w:rPr>
      </w:r>
    </w:p>
    <w:p w:rsidR="00000000" w:rsidDel="00000000" w:rsidP="00000000" w:rsidRDefault="00000000" w:rsidRPr="00000000" w14:paraId="00000015">
      <w:pPr>
        <w:spacing w:after="240" w:before="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It is clear that the actions that occurred during the English Civil War and the subsequent Commonwealth period were still at the forefront of many peoples thoughts over a decade after the Stuart restoration. After his death in 1674 Milton’s life and contribution to the literary world seemed significant enough that in less than sixty years after his death, eight biographies were written about him.</w:t>
      </w:r>
      <w:r w:rsidDel="00000000" w:rsidR="00000000" w:rsidRPr="00000000">
        <w:rPr>
          <w:rFonts w:ascii="Times New Roman" w:cs="Times New Roman" w:eastAsia="Times New Roman" w:hAnsi="Times New Roman"/>
          <w:vertAlign w:val="superscript"/>
        </w:rPr>
        <w:footnoteReference w:customMarkFollows="0" w:id="18"/>
      </w:r>
      <w:r w:rsidDel="00000000" w:rsidR="00000000" w:rsidRPr="00000000">
        <w:rPr>
          <w:rFonts w:ascii="Times New Roman" w:cs="Times New Roman" w:eastAsia="Times New Roman" w:hAnsi="Times New Roman"/>
          <w:rtl w:val="0"/>
        </w:rPr>
        <w:t xml:space="preserve"> However not everyone at the time regarded him highly, for his anti-monarchist sentiments and pro-republican stance, some like William Winstanley labeled Milton a traitor for his work and his supposed slander towards Charles I.</w:t>
      </w:r>
      <w:r w:rsidDel="00000000" w:rsidR="00000000" w:rsidRPr="00000000">
        <w:rPr>
          <w:rFonts w:ascii="Times New Roman" w:cs="Times New Roman" w:eastAsia="Times New Roman" w:hAnsi="Times New Roman"/>
          <w:vertAlign w:val="superscript"/>
        </w:rPr>
        <w:footnoteReference w:customMarkFollows="0" w:id="19"/>
      </w:r>
      <w:r w:rsidDel="00000000" w:rsidR="00000000" w:rsidRPr="00000000">
        <w:rPr>
          <w:rtl w:val="0"/>
        </w:rPr>
      </w:r>
    </w:p>
    <w:p w:rsidR="00000000" w:rsidDel="00000000" w:rsidP="00000000" w:rsidRDefault="00000000" w:rsidRPr="00000000" w14:paraId="00000016">
      <w:pPr>
        <w:spacing w:after="240" w:before="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Compared to the experiences Milton had gone through that led to the creation of </w:t>
      </w:r>
      <w:r w:rsidDel="00000000" w:rsidR="00000000" w:rsidRPr="00000000">
        <w:rPr>
          <w:rFonts w:ascii="Times New Roman" w:cs="Times New Roman" w:eastAsia="Times New Roman" w:hAnsi="Times New Roman"/>
          <w:i w:val="1"/>
          <w:rtl w:val="0"/>
        </w:rPr>
        <w:t xml:space="preserve">Paradise Lost</w:t>
      </w:r>
      <w:r w:rsidDel="00000000" w:rsidR="00000000" w:rsidRPr="00000000">
        <w:rPr>
          <w:rFonts w:ascii="Times New Roman" w:cs="Times New Roman" w:eastAsia="Times New Roman" w:hAnsi="Times New Roman"/>
          <w:rtl w:val="0"/>
        </w:rPr>
        <w:t xml:space="preserve"> the 21-23-year-old life that led to the writing of </w:t>
      </w:r>
      <w:r w:rsidDel="00000000" w:rsidR="00000000" w:rsidRPr="00000000">
        <w:rPr>
          <w:rFonts w:ascii="Times New Roman" w:cs="Times New Roman" w:eastAsia="Times New Roman" w:hAnsi="Times New Roman"/>
          <w:i w:val="1"/>
          <w:rtl w:val="0"/>
        </w:rPr>
        <w:t xml:space="preserve">L’Allegro and Il Penseroso</w:t>
      </w:r>
      <w:r w:rsidDel="00000000" w:rsidR="00000000" w:rsidRPr="00000000">
        <w:rPr>
          <w:rFonts w:ascii="Times New Roman" w:cs="Times New Roman" w:eastAsia="Times New Roman" w:hAnsi="Times New Roman"/>
          <w:rtl w:val="0"/>
        </w:rPr>
        <w:t xml:space="preserve"> was very different. This Milton had spent four years of his life in Cambridge obtaining a BA and graduated in 1629, only to return to Cambridge later in the same year to start the process of becoming an Anglican priest, something in which a Master of Arts degree was needed and he received it on 1632.</w:t>
      </w:r>
      <w:r w:rsidDel="00000000" w:rsidR="00000000" w:rsidRPr="00000000">
        <w:rPr>
          <w:rFonts w:ascii="Times New Roman" w:cs="Times New Roman" w:eastAsia="Times New Roman" w:hAnsi="Times New Roman"/>
          <w:vertAlign w:val="superscript"/>
        </w:rPr>
        <w:footnoteReference w:customMarkFollows="0" w:id="20"/>
      </w:r>
      <w:r w:rsidDel="00000000" w:rsidR="00000000" w:rsidRPr="00000000">
        <w:rPr>
          <w:rFonts w:ascii="Times New Roman" w:cs="Times New Roman" w:eastAsia="Times New Roman" w:hAnsi="Times New Roman"/>
          <w:rtl w:val="0"/>
        </w:rPr>
        <w:t xml:space="preserve"> So it is somewhere between Milton finishing his BA and obtaining his MA that he conceived and wrote </w:t>
      </w:r>
      <w:r w:rsidDel="00000000" w:rsidR="00000000" w:rsidRPr="00000000">
        <w:rPr>
          <w:rFonts w:ascii="Times New Roman" w:cs="Times New Roman" w:eastAsia="Times New Roman" w:hAnsi="Times New Roman"/>
          <w:i w:val="1"/>
          <w:rtl w:val="0"/>
        </w:rPr>
        <w:t xml:space="preserve">L’Allegro and Il Penseroso</w:t>
      </w:r>
      <w:r w:rsidDel="00000000" w:rsidR="00000000" w:rsidRPr="00000000">
        <w:rPr>
          <w:rFonts w:ascii="Times New Roman" w:cs="Times New Roman" w:eastAsia="Times New Roman" w:hAnsi="Times New Roman"/>
          <w:rtl w:val="0"/>
        </w:rPr>
        <w:t xml:space="preserve">. While Milton would have by this point experienced the increasing anti-Charles I sentiment that came with the issues of tonnage and poundage as well as the dissolution of the 1629 parliament and arresting of notable people such as Sir John Eliot, he may not have had such strong feelings as he would later in life as these two poems contain no anger towards tyrannical acts that so frequented his works in the 1640s.</w:t>
      </w:r>
    </w:p>
    <w:p w:rsidR="00000000" w:rsidDel="00000000" w:rsidP="00000000" w:rsidRDefault="00000000" w:rsidRPr="00000000" w14:paraId="00000017">
      <w:pPr>
        <w:spacing w:after="240" w:before="24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spacing w:after="240" w:before="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structured contrast of points of view can have its merits when portraying art, and clearly was and is a popular way to present poetry as </w:t>
      </w:r>
      <w:r w:rsidDel="00000000" w:rsidR="00000000" w:rsidRPr="00000000">
        <w:rPr>
          <w:rFonts w:ascii="Times New Roman" w:cs="Times New Roman" w:eastAsia="Times New Roman" w:hAnsi="Times New Roman"/>
          <w:i w:val="1"/>
          <w:rtl w:val="0"/>
        </w:rPr>
        <w:t xml:space="preserve">L’Allegro and Il Penseroso</w:t>
      </w:r>
      <w:r w:rsidDel="00000000" w:rsidR="00000000" w:rsidRPr="00000000">
        <w:rPr>
          <w:rFonts w:ascii="Times New Roman" w:cs="Times New Roman" w:eastAsia="Times New Roman" w:hAnsi="Times New Roman"/>
          <w:rtl w:val="0"/>
        </w:rPr>
        <w:t xml:space="preserve"> are still being discussed today. However as discussed earlier, having such distinct contrasting points of view allows the poems to be analyzed in many different ways and, at least to this author, as a result of scholars attempting to force particular narratives or perspectives onto the work, lose the true essence of the poems. However, this essay has hoped to convey the idea that a better way to portray a contrast of points of view is not by having two poems written at the same time on the same topic but rather by using an author's work from across their literary career to examine. The points of view of the author in both the messages they want to send out as well as in their life and to compare these to obtain contrasting points of view that tell a human narrative.</w:t>
      </w:r>
    </w:p>
    <w:p w:rsidR="00000000" w:rsidDel="00000000" w:rsidP="00000000" w:rsidRDefault="00000000" w:rsidRPr="00000000" w14:paraId="00000019">
      <w:pPr>
        <w:spacing w:after="240" w:before="24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A">
      <w:pPr>
        <w:spacing w:after="240" w:before="24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B">
      <w:pPr>
        <w:spacing w:after="240" w:before="24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C">
      <w:pPr>
        <w:spacing w:after="240" w:before="24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D">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E">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u w:val="single"/>
          <w:rtl w:val="0"/>
        </w:rPr>
        <w:t xml:space="preserve">Bibliography</w:t>
      </w: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1F">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Primary Sources</w:t>
      </w:r>
      <w:r w:rsidDel="00000000" w:rsidR="00000000" w:rsidRPr="00000000">
        <w:rPr>
          <w:rtl w:val="0"/>
        </w:rPr>
      </w:r>
    </w:p>
    <w:p w:rsidR="00000000" w:rsidDel="00000000" w:rsidP="00000000" w:rsidRDefault="00000000" w:rsidRPr="00000000" w14:paraId="00000020">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1">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Milton, John, </w:t>
      </w:r>
      <w:r w:rsidDel="00000000" w:rsidR="00000000" w:rsidRPr="00000000">
        <w:rPr>
          <w:rFonts w:ascii="Times New Roman" w:cs="Times New Roman" w:eastAsia="Times New Roman" w:hAnsi="Times New Roman"/>
          <w:i w:val="1"/>
          <w:rtl w:val="0"/>
        </w:rPr>
        <w:t xml:space="preserve">Il Penseroso</w:t>
      </w:r>
      <w:r w:rsidDel="00000000" w:rsidR="00000000" w:rsidRPr="00000000">
        <w:rPr>
          <w:rFonts w:ascii="Times New Roman" w:cs="Times New Roman" w:eastAsia="Times New Roman" w:hAnsi="Times New Roman"/>
          <w:rtl w:val="0"/>
        </w:rPr>
        <w:t xml:space="preserve"> (London: 1645)</w:t>
      </w:r>
    </w:p>
    <w:p w:rsidR="00000000" w:rsidDel="00000000" w:rsidP="00000000" w:rsidRDefault="00000000" w:rsidRPr="00000000" w14:paraId="00000022">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3">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Milton, John, </w:t>
      </w:r>
      <w:r w:rsidDel="00000000" w:rsidR="00000000" w:rsidRPr="00000000">
        <w:rPr>
          <w:rFonts w:ascii="Times New Roman" w:cs="Times New Roman" w:eastAsia="Times New Roman" w:hAnsi="Times New Roman"/>
          <w:i w:val="1"/>
          <w:rtl w:val="0"/>
        </w:rPr>
        <w:t xml:space="preserve">L'Allegro</w:t>
      </w:r>
      <w:r w:rsidDel="00000000" w:rsidR="00000000" w:rsidRPr="00000000">
        <w:rPr>
          <w:rFonts w:ascii="Times New Roman" w:cs="Times New Roman" w:eastAsia="Times New Roman" w:hAnsi="Times New Roman"/>
          <w:rtl w:val="0"/>
        </w:rPr>
        <w:t xml:space="preserve"> (London: 1645)</w:t>
      </w:r>
    </w:p>
    <w:p w:rsidR="00000000" w:rsidDel="00000000" w:rsidP="00000000" w:rsidRDefault="00000000" w:rsidRPr="00000000" w14:paraId="00000024">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Milton, John, </w:t>
      </w:r>
      <w:r w:rsidDel="00000000" w:rsidR="00000000" w:rsidRPr="00000000">
        <w:rPr>
          <w:rFonts w:ascii="Times New Roman" w:cs="Times New Roman" w:eastAsia="Times New Roman" w:hAnsi="Times New Roman"/>
          <w:i w:val="1"/>
          <w:rtl w:val="0"/>
        </w:rPr>
        <w:t xml:space="preserve">The Tenure of Kings and Magistrates</w:t>
      </w:r>
      <w:r w:rsidDel="00000000" w:rsidR="00000000" w:rsidRPr="00000000">
        <w:rPr>
          <w:rFonts w:ascii="Times New Roman" w:cs="Times New Roman" w:eastAsia="Times New Roman" w:hAnsi="Times New Roman"/>
          <w:rtl w:val="0"/>
        </w:rPr>
        <w:t xml:space="preserve"> (New York: Henry Holt and Company, 1911)</w:t>
      </w:r>
    </w:p>
    <w:p w:rsidR="00000000" w:rsidDel="00000000" w:rsidP="00000000" w:rsidRDefault="00000000" w:rsidRPr="00000000" w14:paraId="00000026">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7">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Secondary Sources</w:t>
      </w:r>
      <w:r w:rsidDel="00000000" w:rsidR="00000000" w:rsidRPr="00000000">
        <w:rPr>
          <w:rtl w:val="0"/>
        </w:rPr>
      </w:r>
    </w:p>
    <w:p w:rsidR="00000000" w:rsidDel="00000000" w:rsidP="00000000" w:rsidRDefault="00000000" w:rsidRPr="00000000" w14:paraId="00000028">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9">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Campbell, Gordon, ‘Milton John’ </w:t>
      </w:r>
      <w:r w:rsidDel="00000000" w:rsidR="00000000" w:rsidRPr="00000000">
        <w:rPr>
          <w:rFonts w:ascii="Times New Roman" w:cs="Times New Roman" w:eastAsia="Times New Roman" w:hAnsi="Times New Roman"/>
          <w:i w:val="1"/>
          <w:rtl w:val="0"/>
        </w:rPr>
        <w:t xml:space="preserve">Oxford Dictionary of National Biography</w:t>
      </w:r>
      <w:r w:rsidDel="00000000" w:rsidR="00000000" w:rsidRPr="00000000">
        <w:rPr>
          <w:rFonts w:ascii="Times New Roman" w:cs="Times New Roman" w:eastAsia="Times New Roman" w:hAnsi="Times New Roman"/>
          <w:rtl w:val="0"/>
        </w:rPr>
        <w:t xml:space="preserve"> &lt;</w:t>
      </w:r>
      <w:hyperlink r:id="rId7">
        <w:r w:rsidDel="00000000" w:rsidR="00000000" w:rsidRPr="00000000">
          <w:rPr>
            <w:rFonts w:ascii="Times New Roman" w:cs="Times New Roman" w:eastAsia="Times New Roman" w:hAnsi="Times New Roman"/>
            <w:color w:val="1155cc"/>
            <w:u w:val="single"/>
            <w:rtl w:val="0"/>
          </w:rPr>
          <w:t xml:space="preserve">https://www.oxforddnb.com/display/10.1093/ref:odnb/9780198614128.001.0001/odnb-9780198614128-e-18800?rskey=ESk4Ov&amp;result=4</w:t>
        </w:r>
      </w:hyperlink>
      <w:r w:rsidDel="00000000" w:rsidR="00000000" w:rsidRPr="00000000">
        <w:rPr>
          <w:rFonts w:ascii="Times New Roman" w:cs="Times New Roman" w:eastAsia="Times New Roman" w:hAnsi="Times New Roman"/>
          <w:rtl w:val="0"/>
        </w:rPr>
        <w:t xml:space="preserve"> &gt; [accessed 20/03/23]</w:t>
      </w:r>
    </w:p>
    <w:p w:rsidR="00000000" w:rsidDel="00000000" w:rsidP="00000000" w:rsidRDefault="00000000" w:rsidRPr="00000000" w14:paraId="0000002A">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B">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Corns, Thomas, </w:t>
      </w:r>
      <w:r w:rsidDel="00000000" w:rsidR="00000000" w:rsidRPr="00000000">
        <w:rPr>
          <w:rFonts w:ascii="Times New Roman" w:cs="Times New Roman" w:eastAsia="Times New Roman" w:hAnsi="Times New Roman"/>
          <w:i w:val="1"/>
          <w:rtl w:val="0"/>
        </w:rPr>
        <w:t xml:space="preserve">A Companion to Milton</w:t>
      </w:r>
      <w:r w:rsidDel="00000000" w:rsidR="00000000" w:rsidRPr="00000000">
        <w:rPr>
          <w:rFonts w:ascii="Times New Roman" w:cs="Times New Roman" w:eastAsia="Times New Roman" w:hAnsi="Times New Roman"/>
          <w:rtl w:val="0"/>
        </w:rPr>
        <w:t xml:space="preserve"> (Oxford: Blackwell Publishing, 2003)</w:t>
      </w:r>
    </w:p>
    <w:p w:rsidR="00000000" w:rsidDel="00000000" w:rsidP="00000000" w:rsidRDefault="00000000" w:rsidRPr="00000000" w14:paraId="0000002C">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D">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Danielson, Dennis, </w:t>
      </w:r>
      <w:r w:rsidDel="00000000" w:rsidR="00000000" w:rsidRPr="00000000">
        <w:rPr>
          <w:rFonts w:ascii="Times New Roman" w:cs="Times New Roman" w:eastAsia="Times New Roman" w:hAnsi="Times New Roman"/>
          <w:i w:val="1"/>
          <w:rtl w:val="0"/>
        </w:rPr>
        <w:t xml:space="preserve">The Cambridge Companion to Milton</w:t>
      </w:r>
      <w:r w:rsidDel="00000000" w:rsidR="00000000" w:rsidRPr="00000000">
        <w:rPr>
          <w:rFonts w:ascii="Times New Roman" w:cs="Times New Roman" w:eastAsia="Times New Roman" w:hAnsi="Times New Roman"/>
          <w:rtl w:val="0"/>
        </w:rPr>
        <w:t xml:space="preserve"> (Cambridge: Cambridge University Press, 2004)</w:t>
      </w:r>
    </w:p>
    <w:p w:rsidR="00000000" w:rsidDel="00000000" w:rsidP="00000000" w:rsidRDefault="00000000" w:rsidRPr="00000000" w14:paraId="0000002E">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F">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Embry, Thomas, ‘Sensuality and Chastity in “:’Allergo” and “Il Penseroso” </w:t>
      </w:r>
      <w:r w:rsidDel="00000000" w:rsidR="00000000" w:rsidRPr="00000000">
        <w:rPr>
          <w:rFonts w:ascii="Times New Roman" w:cs="Times New Roman" w:eastAsia="Times New Roman" w:hAnsi="Times New Roman"/>
          <w:i w:val="1"/>
          <w:rtl w:val="0"/>
        </w:rPr>
        <w:t xml:space="preserve">The Journal of English and Germanic Philology</w:t>
      </w:r>
      <w:r w:rsidDel="00000000" w:rsidR="00000000" w:rsidRPr="00000000">
        <w:rPr>
          <w:rFonts w:ascii="Times New Roman" w:cs="Times New Roman" w:eastAsia="Times New Roman" w:hAnsi="Times New Roman"/>
          <w:rtl w:val="0"/>
        </w:rPr>
        <w:t xml:space="preserve">, 77 (1978), 504-529 &lt; </w:t>
      </w:r>
      <w:hyperlink r:id="rId8">
        <w:r w:rsidDel="00000000" w:rsidR="00000000" w:rsidRPr="00000000">
          <w:rPr>
            <w:rFonts w:ascii="Times New Roman" w:cs="Times New Roman" w:eastAsia="Times New Roman" w:hAnsi="Times New Roman"/>
            <w:color w:val="1155cc"/>
            <w:u w:val="single"/>
            <w:rtl w:val="0"/>
          </w:rPr>
          <w:t xml:space="preserve">https://www.jstor.org/stable/pdf/27708401.pdf?refreqid=fastly-default%3A9a44f3434be5e3333d27022789d01d25&amp;ab_segments=0%2Fbasic_search_gsv2%2Fcontrol&amp;origin=&amp;initiator=search-results</w:t>
        </w:r>
      </w:hyperlink>
      <w:r w:rsidDel="00000000" w:rsidR="00000000" w:rsidRPr="00000000">
        <w:rPr>
          <w:rFonts w:ascii="Times New Roman" w:cs="Times New Roman" w:eastAsia="Times New Roman" w:hAnsi="Times New Roman"/>
          <w:rtl w:val="0"/>
        </w:rPr>
        <w:t xml:space="preserve"> p. 504.</w:t>
      </w:r>
    </w:p>
    <w:p w:rsidR="00000000" w:rsidDel="00000000" w:rsidP="00000000" w:rsidRDefault="00000000" w:rsidRPr="00000000" w14:paraId="00000030">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&gt; [accessed 20/03/23]</w:t>
      </w:r>
    </w:p>
    <w:p w:rsidR="00000000" w:rsidDel="00000000" w:rsidP="00000000" w:rsidRDefault="00000000" w:rsidRPr="00000000" w14:paraId="00000031">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2">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Hewitt, Alden, ‘L’Allegro and Il Penseroso’ </w:t>
      </w:r>
      <w:r w:rsidDel="00000000" w:rsidR="00000000" w:rsidRPr="00000000">
        <w:rPr>
          <w:rFonts w:ascii="Times New Roman" w:cs="Times New Roman" w:eastAsia="Times New Roman" w:hAnsi="Times New Roman"/>
          <w:i w:val="1"/>
          <w:rtl w:val="0"/>
        </w:rPr>
        <w:t xml:space="preserve">The Journal of Education</w:t>
      </w:r>
      <w:r w:rsidDel="00000000" w:rsidR="00000000" w:rsidRPr="00000000">
        <w:rPr>
          <w:rFonts w:ascii="Times New Roman" w:cs="Times New Roman" w:eastAsia="Times New Roman" w:hAnsi="Times New Roman"/>
          <w:rtl w:val="0"/>
        </w:rPr>
        <w:t xml:space="preserve"> 80 (1914), 667 &lt;</w:t>
      </w:r>
      <w:hyperlink r:id="rId9">
        <w:r w:rsidDel="00000000" w:rsidR="00000000" w:rsidRPr="00000000">
          <w:rPr>
            <w:rFonts w:ascii="Times New Roman" w:cs="Times New Roman" w:eastAsia="Times New Roman" w:hAnsi="Times New Roman"/>
            <w:color w:val="1155cc"/>
            <w:u w:val="single"/>
            <w:rtl w:val="0"/>
          </w:rPr>
          <w:t xml:space="preserve">https://www.jstor.org/stable/pdf/42768179.pdf?refreqid=fastly-default%3A2f94509100a69089d7095c203d</w:t>
        </w:r>
      </w:hyperlink>
      <w:r w:rsidDel="00000000" w:rsidR="00000000" w:rsidRPr="00000000">
        <w:rPr>
          <w:rFonts w:ascii="Times New Roman" w:cs="Times New Roman" w:eastAsia="Times New Roman" w:hAnsi="Times New Roman"/>
          <w:rtl w:val="0"/>
        </w:rPr>
        <w:t xml:space="preserve">&gt; [accessed 19/03/23]</w:t>
      </w:r>
    </w:p>
    <w:p w:rsidR="00000000" w:rsidDel="00000000" w:rsidP="00000000" w:rsidRDefault="00000000" w:rsidRPr="00000000" w14:paraId="00000033">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4">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Revard Stella, ‘“L’Allegro” and “Il Penseroso”: Classical Tradition and Renaissance Mythography’ </w:t>
      </w:r>
      <w:r w:rsidDel="00000000" w:rsidR="00000000" w:rsidRPr="00000000">
        <w:rPr>
          <w:rFonts w:ascii="Times New Roman" w:cs="Times New Roman" w:eastAsia="Times New Roman" w:hAnsi="Times New Roman"/>
          <w:i w:val="1"/>
          <w:rtl w:val="0"/>
        </w:rPr>
        <w:t xml:space="preserve">PMLA</w:t>
      </w:r>
      <w:r w:rsidDel="00000000" w:rsidR="00000000" w:rsidRPr="00000000">
        <w:rPr>
          <w:rFonts w:ascii="Times New Roman" w:cs="Times New Roman" w:eastAsia="Times New Roman" w:hAnsi="Times New Roman"/>
          <w:rtl w:val="0"/>
        </w:rPr>
        <w:t xml:space="preserve">, 101 (1986), 338-350 &lt; </w:t>
      </w:r>
      <w:hyperlink r:id="rId10">
        <w:r w:rsidDel="00000000" w:rsidR="00000000" w:rsidRPr="00000000">
          <w:rPr>
            <w:rFonts w:ascii="Times New Roman" w:cs="Times New Roman" w:eastAsia="Times New Roman" w:hAnsi="Times New Roman"/>
            <w:color w:val="1155cc"/>
            <w:u w:val="single"/>
            <w:rtl w:val="0"/>
          </w:rPr>
          <w:t xml:space="preserve">https://www.jstor.org/stable/pdf/462419.pdf?refreqid=fastly-default%3A9a44f3434be5e3333d27022789d01d25&amp;ab_segments=0%2Fbasic_search_gsv2%2Fcontrol&amp;origin=&amp;initiator=search-results</w:t>
        </w:r>
      </w:hyperlink>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3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&gt; [accessed 20/03/23]</w:t>
      </w:r>
    </w:p>
    <w:p w:rsidR="00000000" w:rsidDel="00000000" w:rsidP="00000000" w:rsidRDefault="00000000" w:rsidRPr="00000000" w14:paraId="00000036">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7">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Swaim, Kathleen, ‘Cycle and Circle: Time and Structure in L’Allergo and Il Penseroso’ </w:t>
      </w:r>
      <w:r w:rsidDel="00000000" w:rsidR="00000000" w:rsidRPr="00000000">
        <w:rPr>
          <w:rFonts w:ascii="Times New Roman" w:cs="Times New Roman" w:eastAsia="Times New Roman" w:hAnsi="Times New Roman"/>
          <w:i w:val="1"/>
          <w:rtl w:val="0"/>
        </w:rPr>
        <w:t xml:space="preserve">Tesas Studies in Literature and Language</w:t>
      </w:r>
      <w:r w:rsidDel="00000000" w:rsidR="00000000" w:rsidRPr="00000000">
        <w:rPr>
          <w:rFonts w:ascii="Times New Roman" w:cs="Times New Roman" w:eastAsia="Times New Roman" w:hAnsi="Times New Roman"/>
          <w:rtl w:val="0"/>
        </w:rPr>
        <w:t xml:space="preserve">, 18 (1976), 422-432 &lt;</w:t>
      </w:r>
      <w:hyperlink r:id="rId11">
        <w:r w:rsidDel="00000000" w:rsidR="00000000" w:rsidRPr="00000000">
          <w:rPr>
            <w:rFonts w:ascii="Times New Roman" w:cs="Times New Roman" w:eastAsia="Times New Roman" w:hAnsi="Times New Roman"/>
            <w:color w:val="1155cc"/>
            <w:u w:val="single"/>
            <w:rtl w:val="0"/>
          </w:rPr>
          <w:t xml:space="preserve">https://www.jstor.org/stable/pdf/40754452.pdf?refreqid=fastly-default%3A5e3bbb8ac0745325a24076752113dadc&amp;ab_segments=0%2Fbasic_search_gsv2%2Fcontrol&amp;origin=&amp;initiator=search-results</w:t>
        </w:r>
      </w:hyperlink>
      <w:r w:rsidDel="00000000" w:rsidR="00000000" w:rsidRPr="00000000">
        <w:rPr>
          <w:rFonts w:ascii="Times New Roman" w:cs="Times New Roman" w:eastAsia="Times New Roman" w:hAnsi="Times New Roman"/>
          <w:rtl w:val="0"/>
        </w:rPr>
        <w:t xml:space="preserve">&gt; [accessed 20/03/23]</w:t>
      </w:r>
    </w:p>
    <w:p w:rsidR="00000000" w:rsidDel="00000000" w:rsidP="00000000" w:rsidRDefault="00000000" w:rsidRPr="00000000" w14:paraId="00000038">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9">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Steadman, John, ‘The Idea of Satan as the Hero of “Paradise Lost” </w:t>
      </w:r>
      <w:r w:rsidDel="00000000" w:rsidR="00000000" w:rsidRPr="00000000">
        <w:rPr>
          <w:rFonts w:ascii="Times New Roman" w:cs="Times New Roman" w:eastAsia="Times New Roman" w:hAnsi="Times New Roman"/>
          <w:i w:val="1"/>
          <w:rtl w:val="0"/>
        </w:rPr>
        <w:t xml:space="preserve">Proceedings of the American Philosophical Society</w:t>
      </w:r>
      <w:r w:rsidDel="00000000" w:rsidR="00000000" w:rsidRPr="00000000">
        <w:rPr>
          <w:rFonts w:ascii="Times New Roman" w:cs="Times New Roman" w:eastAsia="Times New Roman" w:hAnsi="Times New Roman"/>
          <w:rtl w:val="0"/>
        </w:rPr>
        <w:t xml:space="preserve">’ 120 (1976), 253-294 &lt;</w:t>
      </w:r>
      <w:hyperlink r:id="rId12">
        <w:r w:rsidDel="00000000" w:rsidR="00000000" w:rsidRPr="00000000">
          <w:rPr>
            <w:rFonts w:ascii="Times New Roman" w:cs="Times New Roman" w:eastAsia="Times New Roman" w:hAnsi="Times New Roman"/>
            <w:color w:val="1155cc"/>
            <w:u w:val="single"/>
            <w:rtl w:val="0"/>
          </w:rPr>
          <w:t xml:space="preserve">https://www.jstor.org/stable/pdf/986321.pdf?refreqid=fastly-default%3A6cac8209d092d306d01174ddc2987832&amp;ab_segments=0%2Fbasic_search_gsv2%2Fcontrol&amp;origin=&amp;initiator=search-results</w:t>
        </w:r>
      </w:hyperlink>
      <w:r w:rsidDel="00000000" w:rsidR="00000000" w:rsidRPr="00000000">
        <w:rPr>
          <w:rFonts w:ascii="Times New Roman" w:cs="Times New Roman" w:eastAsia="Times New Roman" w:hAnsi="Times New Roman"/>
          <w:rtl w:val="0"/>
        </w:rPr>
        <w:t xml:space="preserve">&gt; [accessed 21/03/23]</w:t>
      </w:r>
    </w:p>
    <w:p w:rsidR="00000000" w:rsidDel="00000000" w:rsidP="00000000" w:rsidRDefault="00000000" w:rsidRPr="00000000" w14:paraId="0000003A">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B">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Stringer Gary, ‘The Unity of “L’Allegro” and “Il Penseroso” </w:t>
      </w:r>
      <w:r w:rsidDel="00000000" w:rsidR="00000000" w:rsidRPr="00000000">
        <w:rPr>
          <w:rFonts w:ascii="Times New Roman" w:cs="Times New Roman" w:eastAsia="Times New Roman" w:hAnsi="Times New Roman"/>
          <w:i w:val="1"/>
          <w:rtl w:val="0"/>
        </w:rPr>
        <w:t xml:space="preserve">Texas Studies in Literature and Language</w:t>
      </w:r>
      <w:r w:rsidDel="00000000" w:rsidR="00000000" w:rsidRPr="00000000">
        <w:rPr>
          <w:rFonts w:ascii="Times New Roman" w:cs="Times New Roman" w:eastAsia="Times New Roman" w:hAnsi="Times New Roman"/>
          <w:rtl w:val="0"/>
        </w:rPr>
        <w:t xml:space="preserve"> 12 (1970), 221-229 &lt;</w:t>
      </w:r>
      <w:hyperlink r:id="rId13">
        <w:r w:rsidDel="00000000" w:rsidR="00000000" w:rsidRPr="00000000">
          <w:rPr>
            <w:rFonts w:ascii="Times New Roman" w:cs="Times New Roman" w:eastAsia="Times New Roman" w:hAnsi="Times New Roman"/>
            <w:color w:val="1155cc"/>
            <w:u w:val="single"/>
            <w:rtl w:val="0"/>
          </w:rPr>
          <w:t xml:space="preserve">https://www.jstor.org/stable/pdf/40754095.pdf?refreqid=fastly-default%3A9a44f3434be5e3333d27022789d01d25&amp;ab_segments=0%2Fbasic_search_gsv2%2Fcontrol&amp;origin=&amp;initiator=search-results</w:t>
        </w:r>
      </w:hyperlink>
      <w:r w:rsidDel="00000000" w:rsidR="00000000" w:rsidRPr="00000000">
        <w:rPr>
          <w:rFonts w:ascii="Times New Roman" w:cs="Times New Roman" w:eastAsia="Times New Roman" w:hAnsi="Times New Roman"/>
          <w:rtl w:val="0"/>
        </w:rPr>
        <w:t xml:space="preserve">&gt; [accessed 19/03/23]</w:t>
      </w:r>
    </w:p>
    <w:p w:rsidR="00000000" w:rsidDel="00000000" w:rsidP="00000000" w:rsidRDefault="00000000" w:rsidRPr="00000000" w14:paraId="0000003C">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D">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E">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F">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0">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1">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2">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3">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4">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5">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6">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7">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8">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9">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A">
      <w:pPr>
        <w:spacing w:line="360" w:lineRule="auto"/>
        <w:rPr>
          <w:rFonts w:ascii="Times New Roman" w:cs="Times New Roman" w:eastAsia="Times New Roman" w:hAnsi="Times New Roman"/>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4B">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Dennis Danielson, </w:t>
      </w:r>
      <w:r w:rsidDel="00000000" w:rsidR="00000000" w:rsidRPr="00000000">
        <w:rPr>
          <w:rFonts w:ascii="Times New Roman" w:cs="Times New Roman" w:eastAsia="Times New Roman" w:hAnsi="Times New Roman"/>
          <w:i w:val="1"/>
          <w:sz w:val="20"/>
          <w:szCs w:val="20"/>
          <w:rtl w:val="0"/>
        </w:rPr>
        <w:t xml:space="preserve">The Cambridge Companion to Milton</w:t>
      </w:r>
      <w:r w:rsidDel="00000000" w:rsidR="00000000" w:rsidRPr="00000000">
        <w:rPr>
          <w:rFonts w:ascii="Times New Roman" w:cs="Times New Roman" w:eastAsia="Times New Roman" w:hAnsi="Times New Roman"/>
          <w:sz w:val="20"/>
          <w:szCs w:val="20"/>
          <w:rtl w:val="0"/>
        </w:rPr>
        <w:t xml:space="preserve"> (Cambridge: Cambridge University Press, 2004), p. 64. </w:t>
      </w:r>
    </w:p>
  </w:footnote>
  <w:footnote w:id="1">
    <w:p w:rsidR="00000000" w:rsidDel="00000000" w:rsidP="00000000" w:rsidRDefault="00000000" w:rsidRPr="00000000" w14:paraId="0000004C">
      <w:pPr>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Gary Stringer, ‘The Unity of “L’Allegro” and “Il Penseroso” </w:t>
      </w:r>
      <w:r w:rsidDel="00000000" w:rsidR="00000000" w:rsidRPr="00000000">
        <w:rPr>
          <w:rFonts w:ascii="Times New Roman" w:cs="Times New Roman" w:eastAsia="Times New Roman" w:hAnsi="Times New Roman"/>
          <w:i w:val="1"/>
          <w:sz w:val="20"/>
          <w:szCs w:val="20"/>
          <w:rtl w:val="0"/>
        </w:rPr>
        <w:t xml:space="preserve">Texas Studies in Literature and Language</w:t>
      </w:r>
      <w:r w:rsidDel="00000000" w:rsidR="00000000" w:rsidRPr="00000000">
        <w:rPr>
          <w:rFonts w:ascii="Times New Roman" w:cs="Times New Roman" w:eastAsia="Times New Roman" w:hAnsi="Times New Roman"/>
          <w:sz w:val="20"/>
          <w:szCs w:val="20"/>
          <w:rtl w:val="0"/>
        </w:rPr>
        <w:t xml:space="preserve"> 12 (1970), 221-229 (p. 221) &lt;</w:t>
      </w:r>
      <w:hyperlink r:id="rId1">
        <w:r w:rsidDel="00000000" w:rsidR="00000000" w:rsidRPr="00000000">
          <w:rPr>
            <w:rFonts w:ascii="Times New Roman" w:cs="Times New Roman" w:eastAsia="Times New Roman" w:hAnsi="Times New Roman"/>
            <w:color w:val="1155cc"/>
            <w:sz w:val="20"/>
            <w:szCs w:val="20"/>
            <w:u w:val="single"/>
            <w:rtl w:val="0"/>
          </w:rPr>
          <w:t xml:space="preserve">https://www.jstor.org/stable/pdf/40754095.pdf?refreqid=fastly-default%3A9a44f3434be5e3333d27022789d01d25&amp;ab_segments=0%2Fbasic_search_gsv2%2Fcontrol&amp;origin=&amp;initiator=search-results</w:t>
        </w:r>
      </w:hyperlink>
      <w:r w:rsidDel="00000000" w:rsidR="00000000" w:rsidRPr="00000000">
        <w:rPr>
          <w:rFonts w:ascii="Times New Roman" w:cs="Times New Roman" w:eastAsia="Times New Roman" w:hAnsi="Times New Roman"/>
          <w:sz w:val="20"/>
          <w:szCs w:val="20"/>
          <w:rtl w:val="0"/>
        </w:rPr>
        <w:t xml:space="preserve">&gt; [accessed 19/03/23]</w:t>
      </w:r>
    </w:p>
  </w:footnote>
  <w:footnote w:id="2">
    <w:p w:rsidR="00000000" w:rsidDel="00000000" w:rsidP="00000000" w:rsidRDefault="00000000" w:rsidRPr="00000000" w14:paraId="0000004D">
      <w:pPr>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Alden Hewitt, ‘L’Allegro and Il Penseroso’ </w:t>
      </w:r>
      <w:r w:rsidDel="00000000" w:rsidR="00000000" w:rsidRPr="00000000">
        <w:rPr>
          <w:rFonts w:ascii="Times New Roman" w:cs="Times New Roman" w:eastAsia="Times New Roman" w:hAnsi="Times New Roman"/>
          <w:i w:val="1"/>
          <w:sz w:val="20"/>
          <w:szCs w:val="20"/>
          <w:rtl w:val="0"/>
        </w:rPr>
        <w:t xml:space="preserve">The Journal of Education</w:t>
      </w:r>
      <w:r w:rsidDel="00000000" w:rsidR="00000000" w:rsidRPr="00000000">
        <w:rPr>
          <w:rFonts w:ascii="Times New Roman" w:cs="Times New Roman" w:eastAsia="Times New Roman" w:hAnsi="Times New Roman"/>
          <w:sz w:val="20"/>
          <w:szCs w:val="20"/>
          <w:rtl w:val="0"/>
        </w:rPr>
        <w:t xml:space="preserve"> 80 (1914), 667 (p. 667) &lt;</w:t>
      </w:r>
      <w:hyperlink r:id="rId2">
        <w:r w:rsidDel="00000000" w:rsidR="00000000" w:rsidRPr="00000000">
          <w:rPr>
            <w:rFonts w:ascii="Times New Roman" w:cs="Times New Roman" w:eastAsia="Times New Roman" w:hAnsi="Times New Roman"/>
            <w:color w:val="1155cc"/>
            <w:sz w:val="20"/>
            <w:szCs w:val="20"/>
            <w:u w:val="single"/>
            <w:rtl w:val="0"/>
          </w:rPr>
          <w:t xml:space="preserve">https://www.jstor.org/stable/pdf/42768179.pdf?refreqid=fastly-default%3A2f94509100a69089d7095c203d</w:t>
        </w:r>
      </w:hyperlink>
      <w:r w:rsidDel="00000000" w:rsidR="00000000" w:rsidRPr="00000000">
        <w:rPr>
          <w:rFonts w:ascii="Times New Roman" w:cs="Times New Roman" w:eastAsia="Times New Roman" w:hAnsi="Times New Roman"/>
          <w:sz w:val="20"/>
          <w:szCs w:val="20"/>
          <w:rtl w:val="0"/>
        </w:rPr>
        <w:t xml:space="preserve">&gt; [accessed 19/03/23]</w:t>
      </w:r>
    </w:p>
  </w:footnote>
  <w:footnote w:id="3">
    <w:p w:rsidR="00000000" w:rsidDel="00000000" w:rsidP="00000000" w:rsidRDefault="00000000" w:rsidRPr="00000000" w14:paraId="0000004E">
      <w:pPr>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Thomas Embry, ‘Sensuality and Chastity in “:’Allergo” and “Il Penseroso” </w:t>
      </w:r>
      <w:r w:rsidDel="00000000" w:rsidR="00000000" w:rsidRPr="00000000">
        <w:rPr>
          <w:rFonts w:ascii="Times New Roman" w:cs="Times New Roman" w:eastAsia="Times New Roman" w:hAnsi="Times New Roman"/>
          <w:i w:val="1"/>
          <w:sz w:val="20"/>
          <w:szCs w:val="20"/>
          <w:rtl w:val="0"/>
        </w:rPr>
        <w:t xml:space="preserve">The Journal of English and Germanic Philology</w:t>
      </w:r>
      <w:r w:rsidDel="00000000" w:rsidR="00000000" w:rsidRPr="00000000">
        <w:rPr>
          <w:rFonts w:ascii="Times New Roman" w:cs="Times New Roman" w:eastAsia="Times New Roman" w:hAnsi="Times New Roman"/>
          <w:sz w:val="20"/>
          <w:szCs w:val="20"/>
          <w:rtl w:val="0"/>
        </w:rPr>
        <w:t xml:space="preserve">, 77 (1978), 504-529 (p. 504) &lt; </w:t>
      </w:r>
      <w:hyperlink r:id="rId3">
        <w:r w:rsidDel="00000000" w:rsidR="00000000" w:rsidRPr="00000000">
          <w:rPr>
            <w:rFonts w:ascii="Times New Roman" w:cs="Times New Roman" w:eastAsia="Times New Roman" w:hAnsi="Times New Roman"/>
            <w:color w:val="1155cc"/>
            <w:sz w:val="20"/>
            <w:szCs w:val="20"/>
            <w:u w:val="single"/>
            <w:rtl w:val="0"/>
          </w:rPr>
          <w:t xml:space="preserve">https://www.jstor.org/stable/pdf/27708401.pdf?refreqid=fastly-default%3A9a44f3434be5e3333d27022789d01d25&amp;ab_segments=0%2Fbasic_search_gsv2%2Fcontrol&amp;origin=&amp;initiator=search-results</w:t>
        </w:r>
      </w:hyperlink>
      <w:r w:rsidDel="00000000" w:rsidR="00000000" w:rsidRPr="00000000">
        <w:rPr>
          <w:rFonts w:ascii="Times New Roman" w:cs="Times New Roman" w:eastAsia="Times New Roman" w:hAnsi="Times New Roman"/>
          <w:sz w:val="20"/>
          <w:szCs w:val="20"/>
          <w:rtl w:val="0"/>
        </w:rPr>
        <w:t xml:space="preserve"> p. 504.</w:t>
      </w:r>
    </w:p>
    <w:p w:rsidR="00000000" w:rsidDel="00000000" w:rsidP="00000000" w:rsidRDefault="00000000" w:rsidRPr="00000000" w14:paraId="0000004F">
      <w:pP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&gt; [accessed 20/03/23]</w:t>
      </w:r>
    </w:p>
  </w:footnote>
  <w:footnote w:id="4">
    <w:p w:rsidR="00000000" w:rsidDel="00000000" w:rsidP="00000000" w:rsidRDefault="00000000" w:rsidRPr="00000000" w14:paraId="00000050">
      <w:pPr>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John Milton,  </w:t>
      </w:r>
      <w:r w:rsidDel="00000000" w:rsidR="00000000" w:rsidRPr="00000000">
        <w:rPr>
          <w:rFonts w:ascii="Times New Roman" w:cs="Times New Roman" w:eastAsia="Times New Roman" w:hAnsi="Times New Roman"/>
          <w:i w:val="1"/>
          <w:sz w:val="20"/>
          <w:szCs w:val="20"/>
          <w:rtl w:val="0"/>
        </w:rPr>
        <w:t xml:space="preserve">L'Allegro</w:t>
      </w:r>
      <w:r w:rsidDel="00000000" w:rsidR="00000000" w:rsidRPr="00000000">
        <w:rPr>
          <w:rFonts w:ascii="Times New Roman" w:cs="Times New Roman" w:eastAsia="Times New Roman" w:hAnsi="Times New Roman"/>
          <w:sz w:val="20"/>
          <w:szCs w:val="20"/>
          <w:rtl w:val="0"/>
        </w:rPr>
        <w:t xml:space="preserve"> (London: 1645)</w:t>
      </w:r>
    </w:p>
  </w:footnote>
  <w:footnote w:id="5">
    <w:p w:rsidR="00000000" w:rsidDel="00000000" w:rsidP="00000000" w:rsidRDefault="00000000" w:rsidRPr="00000000" w14:paraId="00000051">
      <w:pPr>
        <w:rPr>
          <w:rFonts w:ascii="Times New Roman" w:cs="Times New Roman" w:eastAsia="Times New Roman" w:hAnsi="Times New Roman"/>
          <w:i w:val="1"/>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Milton, John, </w:t>
      </w:r>
      <w:r w:rsidDel="00000000" w:rsidR="00000000" w:rsidRPr="00000000">
        <w:rPr>
          <w:rFonts w:ascii="Times New Roman" w:cs="Times New Roman" w:eastAsia="Times New Roman" w:hAnsi="Times New Roman"/>
          <w:i w:val="1"/>
          <w:sz w:val="20"/>
          <w:szCs w:val="20"/>
          <w:rtl w:val="0"/>
        </w:rPr>
        <w:t xml:space="preserve">Il Penseroso</w:t>
      </w:r>
      <w:r w:rsidDel="00000000" w:rsidR="00000000" w:rsidRPr="00000000">
        <w:rPr>
          <w:rFonts w:ascii="Times New Roman" w:cs="Times New Roman" w:eastAsia="Times New Roman" w:hAnsi="Times New Roman"/>
          <w:sz w:val="20"/>
          <w:szCs w:val="20"/>
          <w:rtl w:val="0"/>
        </w:rPr>
        <w:t xml:space="preserve"> (London: 1645) </w:t>
      </w:r>
      <w:r w:rsidDel="00000000" w:rsidR="00000000" w:rsidRPr="00000000">
        <w:rPr>
          <w:rtl w:val="0"/>
        </w:rPr>
      </w:r>
    </w:p>
  </w:footnote>
  <w:footnote w:id="6">
    <w:p w:rsidR="00000000" w:rsidDel="00000000" w:rsidP="00000000" w:rsidRDefault="00000000" w:rsidRPr="00000000" w14:paraId="00000052">
      <w:pPr>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Milton, </w:t>
      </w:r>
      <w:r w:rsidDel="00000000" w:rsidR="00000000" w:rsidRPr="00000000">
        <w:rPr>
          <w:rFonts w:ascii="Times New Roman" w:cs="Times New Roman" w:eastAsia="Times New Roman" w:hAnsi="Times New Roman"/>
          <w:i w:val="1"/>
          <w:sz w:val="20"/>
          <w:szCs w:val="20"/>
          <w:rtl w:val="0"/>
        </w:rPr>
        <w:t xml:space="preserve">Il Penseroso</w:t>
      </w:r>
      <w:r w:rsidDel="00000000" w:rsidR="00000000" w:rsidRPr="00000000">
        <w:rPr>
          <w:rtl w:val="0"/>
        </w:rPr>
      </w:r>
    </w:p>
  </w:footnote>
  <w:footnote w:id="7">
    <w:p w:rsidR="00000000" w:rsidDel="00000000" w:rsidP="00000000" w:rsidRDefault="00000000" w:rsidRPr="00000000" w14:paraId="00000053">
      <w:pPr>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Kathleen Swam, ‘Cycle and Circle: Time and Structure in L’Allergo and Il Penseroso’ </w:t>
      </w:r>
      <w:r w:rsidDel="00000000" w:rsidR="00000000" w:rsidRPr="00000000">
        <w:rPr>
          <w:rFonts w:ascii="Times New Roman" w:cs="Times New Roman" w:eastAsia="Times New Roman" w:hAnsi="Times New Roman"/>
          <w:i w:val="1"/>
          <w:sz w:val="20"/>
          <w:szCs w:val="20"/>
          <w:rtl w:val="0"/>
        </w:rPr>
        <w:t xml:space="preserve">Tesas Studies in Literature and Language</w:t>
      </w:r>
      <w:r w:rsidDel="00000000" w:rsidR="00000000" w:rsidRPr="00000000">
        <w:rPr>
          <w:rFonts w:ascii="Times New Roman" w:cs="Times New Roman" w:eastAsia="Times New Roman" w:hAnsi="Times New Roman"/>
          <w:sz w:val="20"/>
          <w:szCs w:val="20"/>
          <w:rtl w:val="0"/>
        </w:rPr>
        <w:t xml:space="preserve">, 18 (1976), 422-432 (p. 422) &lt;</w:t>
      </w:r>
      <w:hyperlink r:id="rId4">
        <w:r w:rsidDel="00000000" w:rsidR="00000000" w:rsidRPr="00000000">
          <w:rPr>
            <w:rFonts w:ascii="Times New Roman" w:cs="Times New Roman" w:eastAsia="Times New Roman" w:hAnsi="Times New Roman"/>
            <w:color w:val="1155cc"/>
            <w:sz w:val="20"/>
            <w:szCs w:val="20"/>
            <w:u w:val="single"/>
            <w:rtl w:val="0"/>
          </w:rPr>
          <w:t xml:space="preserve">https://www.jstor.org/stable/pdf/40754452.pdf?refreqid=fastly-default%3A5e3bbb8ac0745325a24076752113dadc&amp;ab_segments=0%2Fbasic_search_gsv2%2Fcontrol&amp;origin=&amp;initiator=search-results</w:t>
        </w:r>
      </w:hyperlink>
      <w:r w:rsidDel="00000000" w:rsidR="00000000" w:rsidRPr="00000000">
        <w:rPr>
          <w:rFonts w:ascii="Times New Roman" w:cs="Times New Roman" w:eastAsia="Times New Roman" w:hAnsi="Times New Roman"/>
          <w:sz w:val="20"/>
          <w:szCs w:val="20"/>
          <w:rtl w:val="0"/>
        </w:rPr>
        <w:t xml:space="preserve">&gt; [accessed 20/03/23]</w:t>
      </w:r>
    </w:p>
  </w:footnote>
  <w:footnote w:id="8">
    <w:p w:rsidR="00000000" w:rsidDel="00000000" w:rsidP="00000000" w:rsidRDefault="00000000" w:rsidRPr="00000000" w14:paraId="00000054">
      <w:pPr>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Swam, Cycle and Circle, p. 422.</w:t>
      </w:r>
    </w:p>
  </w:footnote>
  <w:footnote w:id="9">
    <w:p w:rsidR="00000000" w:rsidDel="00000000" w:rsidP="00000000" w:rsidRDefault="00000000" w:rsidRPr="00000000" w14:paraId="00000055">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Ibid.</w:t>
      </w:r>
    </w:p>
  </w:footnote>
  <w:footnote w:id="10">
    <w:p w:rsidR="00000000" w:rsidDel="00000000" w:rsidP="00000000" w:rsidRDefault="00000000" w:rsidRPr="00000000" w14:paraId="00000056">
      <w:pPr>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Thomas Corns, </w:t>
      </w:r>
      <w:r w:rsidDel="00000000" w:rsidR="00000000" w:rsidRPr="00000000">
        <w:rPr>
          <w:rFonts w:ascii="Times New Roman" w:cs="Times New Roman" w:eastAsia="Times New Roman" w:hAnsi="Times New Roman"/>
          <w:i w:val="1"/>
          <w:sz w:val="20"/>
          <w:szCs w:val="20"/>
          <w:rtl w:val="0"/>
        </w:rPr>
        <w:t xml:space="preserve">A Companion to Milton</w:t>
      </w:r>
      <w:r w:rsidDel="00000000" w:rsidR="00000000" w:rsidRPr="00000000">
        <w:rPr>
          <w:rFonts w:ascii="Times New Roman" w:cs="Times New Roman" w:eastAsia="Times New Roman" w:hAnsi="Times New Roman"/>
          <w:sz w:val="20"/>
          <w:szCs w:val="20"/>
          <w:rtl w:val="0"/>
        </w:rPr>
        <w:t xml:space="preserve"> (Oxford: Blackwell Publishing, 2003), p. 359.</w:t>
      </w:r>
    </w:p>
  </w:footnote>
  <w:footnote w:id="11">
    <w:p w:rsidR="00000000" w:rsidDel="00000000" w:rsidP="00000000" w:rsidRDefault="00000000" w:rsidRPr="00000000" w14:paraId="00000057">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Danielson, </w:t>
      </w:r>
      <w:r w:rsidDel="00000000" w:rsidR="00000000" w:rsidRPr="00000000">
        <w:rPr>
          <w:rFonts w:ascii="Times New Roman" w:cs="Times New Roman" w:eastAsia="Times New Roman" w:hAnsi="Times New Roman"/>
          <w:i w:val="1"/>
          <w:sz w:val="20"/>
          <w:szCs w:val="20"/>
          <w:rtl w:val="0"/>
        </w:rPr>
        <w:t xml:space="preserve">Cambridge Companion</w:t>
      </w:r>
      <w:r w:rsidDel="00000000" w:rsidR="00000000" w:rsidRPr="00000000">
        <w:rPr>
          <w:rFonts w:ascii="Times New Roman" w:cs="Times New Roman" w:eastAsia="Times New Roman" w:hAnsi="Times New Roman"/>
          <w:sz w:val="20"/>
          <w:szCs w:val="20"/>
          <w:rtl w:val="0"/>
        </w:rPr>
        <w:t xml:space="preserve">, p. 72.</w:t>
      </w:r>
    </w:p>
  </w:footnote>
  <w:footnote w:id="12">
    <w:p w:rsidR="00000000" w:rsidDel="00000000" w:rsidP="00000000" w:rsidRDefault="00000000" w:rsidRPr="00000000" w14:paraId="00000058">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Ibid, p. 78.</w:t>
      </w:r>
    </w:p>
  </w:footnote>
  <w:footnote w:id="13">
    <w:p w:rsidR="00000000" w:rsidDel="00000000" w:rsidP="00000000" w:rsidRDefault="00000000" w:rsidRPr="00000000" w14:paraId="00000059">
      <w:pPr>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John Milton, </w:t>
      </w:r>
      <w:r w:rsidDel="00000000" w:rsidR="00000000" w:rsidRPr="00000000">
        <w:rPr>
          <w:rFonts w:ascii="Times New Roman" w:cs="Times New Roman" w:eastAsia="Times New Roman" w:hAnsi="Times New Roman"/>
          <w:i w:val="1"/>
          <w:sz w:val="20"/>
          <w:szCs w:val="20"/>
          <w:rtl w:val="0"/>
        </w:rPr>
        <w:t xml:space="preserve">The Tenure of Kings and Magistrates</w:t>
      </w:r>
      <w:r w:rsidDel="00000000" w:rsidR="00000000" w:rsidRPr="00000000">
        <w:rPr>
          <w:rFonts w:ascii="Times New Roman" w:cs="Times New Roman" w:eastAsia="Times New Roman" w:hAnsi="Times New Roman"/>
          <w:sz w:val="20"/>
          <w:szCs w:val="20"/>
          <w:rtl w:val="0"/>
        </w:rPr>
        <w:t xml:space="preserve"> (New York: Henry Holt and Company, 1911), p. 3. </w:t>
      </w:r>
    </w:p>
  </w:footnote>
  <w:footnote w:id="14">
    <w:p w:rsidR="00000000" w:rsidDel="00000000" w:rsidP="00000000" w:rsidRDefault="00000000" w:rsidRPr="00000000" w14:paraId="0000005A">
      <w:pPr>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Milton, </w:t>
      </w:r>
      <w:r w:rsidDel="00000000" w:rsidR="00000000" w:rsidRPr="00000000">
        <w:rPr>
          <w:rFonts w:ascii="Times New Roman" w:cs="Times New Roman" w:eastAsia="Times New Roman" w:hAnsi="Times New Roman"/>
          <w:i w:val="1"/>
          <w:sz w:val="20"/>
          <w:szCs w:val="20"/>
          <w:rtl w:val="0"/>
        </w:rPr>
        <w:t xml:space="preserve">Kings and Magistrates</w:t>
      </w:r>
      <w:r w:rsidDel="00000000" w:rsidR="00000000" w:rsidRPr="00000000">
        <w:rPr>
          <w:rFonts w:ascii="Times New Roman" w:cs="Times New Roman" w:eastAsia="Times New Roman" w:hAnsi="Times New Roman"/>
          <w:sz w:val="20"/>
          <w:szCs w:val="20"/>
          <w:rtl w:val="0"/>
        </w:rPr>
        <w:t xml:space="preserve">, p. 2.</w:t>
      </w:r>
    </w:p>
  </w:footnote>
  <w:footnote w:id="15">
    <w:p w:rsidR="00000000" w:rsidDel="00000000" w:rsidP="00000000" w:rsidRDefault="00000000" w:rsidRPr="00000000" w14:paraId="0000005B">
      <w:pPr>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Gordon Campbell, ‘Milton John’ </w:t>
      </w:r>
      <w:r w:rsidDel="00000000" w:rsidR="00000000" w:rsidRPr="00000000">
        <w:rPr>
          <w:rFonts w:ascii="Times New Roman" w:cs="Times New Roman" w:eastAsia="Times New Roman" w:hAnsi="Times New Roman"/>
          <w:i w:val="1"/>
          <w:sz w:val="20"/>
          <w:szCs w:val="20"/>
          <w:rtl w:val="0"/>
        </w:rPr>
        <w:t xml:space="preserve">Oxford Dictionary of National Biography</w:t>
      </w:r>
      <w:r w:rsidDel="00000000" w:rsidR="00000000" w:rsidRPr="00000000">
        <w:rPr>
          <w:rFonts w:ascii="Times New Roman" w:cs="Times New Roman" w:eastAsia="Times New Roman" w:hAnsi="Times New Roman"/>
          <w:sz w:val="20"/>
          <w:szCs w:val="20"/>
          <w:rtl w:val="0"/>
        </w:rPr>
        <w:t xml:space="preserve"> &lt;</w:t>
      </w:r>
      <w:hyperlink r:id="rId5">
        <w:r w:rsidDel="00000000" w:rsidR="00000000" w:rsidRPr="00000000">
          <w:rPr>
            <w:rFonts w:ascii="Times New Roman" w:cs="Times New Roman" w:eastAsia="Times New Roman" w:hAnsi="Times New Roman"/>
            <w:color w:val="1155cc"/>
            <w:sz w:val="20"/>
            <w:szCs w:val="20"/>
            <w:u w:val="single"/>
            <w:rtl w:val="0"/>
          </w:rPr>
          <w:t xml:space="preserve">https://www.oxforddnb.com/display/10.1093/ref:odnb/9780198614128.001.0001/odnb-9780198614128-e-18800?rskey=ESk4Ov&amp;result=4</w:t>
        </w:r>
      </w:hyperlink>
      <w:r w:rsidDel="00000000" w:rsidR="00000000" w:rsidRPr="00000000">
        <w:rPr>
          <w:rFonts w:ascii="Times New Roman" w:cs="Times New Roman" w:eastAsia="Times New Roman" w:hAnsi="Times New Roman"/>
          <w:sz w:val="20"/>
          <w:szCs w:val="20"/>
          <w:rtl w:val="0"/>
        </w:rPr>
        <w:t xml:space="preserve"> &gt; [accessed 20/03/23] </w:t>
      </w:r>
    </w:p>
  </w:footnote>
  <w:footnote w:id="16">
    <w:p w:rsidR="00000000" w:rsidDel="00000000" w:rsidP="00000000" w:rsidRDefault="00000000" w:rsidRPr="00000000" w14:paraId="0000005C">
      <w:pPr>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Campbell, ‘Milton John’</w:t>
      </w:r>
    </w:p>
  </w:footnote>
  <w:footnote w:id="17">
    <w:p w:rsidR="00000000" w:rsidDel="00000000" w:rsidP="00000000" w:rsidRDefault="00000000" w:rsidRPr="00000000" w14:paraId="0000005D">
      <w:pPr>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John Steadman, ‘The Idea of Satan as the Hero of “Paradise Lost” </w:t>
      </w:r>
      <w:r w:rsidDel="00000000" w:rsidR="00000000" w:rsidRPr="00000000">
        <w:rPr>
          <w:rFonts w:ascii="Times New Roman" w:cs="Times New Roman" w:eastAsia="Times New Roman" w:hAnsi="Times New Roman"/>
          <w:i w:val="1"/>
          <w:sz w:val="20"/>
          <w:szCs w:val="20"/>
          <w:rtl w:val="0"/>
        </w:rPr>
        <w:t xml:space="preserve">Proceedings of the American Philosophical Society</w:t>
      </w:r>
      <w:r w:rsidDel="00000000" w:rsidR="00000000" w:rsidRPr="00000000">
        <w:rPr>
          <w:rFonts w:ascii="Times New Roman" w:cs="Times New Roman" w:eastAsia="Times New Roman" w:hAnsi="Times New Roman"/>
          <w:sz w:val="20"/>
          <w:szCs w:val="20"/>
          <w:rtl w:val="0"/>
        </w:rPr>
        <w:t xml:space="preserve">’ 120 (1976), 253-294 (p. 262) &lt;</w:t>
      </w:r>
      <w:hyperlink r:id="rId6">
        <w:r w:rsidDel="00000000" w:rsidR="00000000" w:rsidRPr="00000000">
          <w:rPr>
            <w:rFonts w:ascii="Times New Roman" w:cs="Times New Roman" w:eastAsia="Times New Roman" w:hAnsi="Times New Roman"/>
            <w:color w:val="1155cc"/>
            <w:sz w:val="20"/>
            <w:szCs w:val="20"/>
            <w:u w:val="single"/>
            <w:rtl w:val="0"/>
          </w:rPr>
          <w:t xml:space="preserve">https://www.jstor.org/stable/pdf/986321.pdf?refreqid=fastly-default%3A6cac8209d092d306d01174ddc2987832&amp;ab_segments=0%2Fbasic_search_gsv2%2Fcontrol&amp;origin=&amp;initiator=search-results</w:t>
        </w:r>
      </w:hyperlink>
      <w:r w:rsidDel="00000000" w:rsidR="00000000" w:rsidRPr="00000000">
        <w:rPr>
          <w:rFonts w:ascii="Times New Roman" w:cs="Times New Roman" w:eastAsia="Times New Roman" w:hAnsi="Times New Roman"/>
          <w:sz w:val="20"/>
          <w:szCs w:val="20"/>
          <w:rtl w:val="0"/>
        </w:rPr>
        <w:t xml:space="preserve">&gt; [accessed 21/03/23]</w:t>
      </w:r>
    </w:p>
  </w:footnote>
  <w:footnote w:id="18">
    <w:p w:rsidR="00000000" w:rsidDel="00000000" w:rsidP="00000000" w:rsidRDefault="00000000" w:rsidRPr="00000000" w14:paraId="0000005E">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Danielson, </w:t>
      </w:r>
      <w:r w:rsidDel="00000000" w:rsidR="00000000" w:rsidRPr="00000000">
        <w:rPr>
          <w:rFonts w:ascii="Times New Roman" w:cs="Times New Roman" w:eastAsia="Times New Roman" w:hAnsi="Times New Roman"/>
          <w:i w:val="1"/>
          <w:sz w:val="20"/>
          <w:szCs w:val="20"/>
          <w:rtl w:val="0"/>
        </w:rPr>
        <w:t xml:space="preserve">Cambridge Companion</w:t>
      </w:r>
      <w:r w:rsidDel="00000000" w:rsidR="00000000" w:rsidRPr="00000000">
        <w:rPr>
          <w:rFonts w:ascii="Times New Roman" w:cs="Times New Roman" w:eastAsia="Times New Roman" w:hAnsi="Times New Roman"/>
          <w:sz w:val="20"/>
          <w:szCs w:val="20"/>
          <w:rtl w:val="0"/>
        </w:rPr>
        <w:t xml:space="preserve">, p. 1.</w:t>
      </w:r>
    </w:p>
  </w:footnote>
  <w:footnote w:id="19">
    <w:p w:rsidR="00000000" w:rsidDel="00000000" w:rsidP="00000000" w:rsidRDefault="00000000" w:rsidRPr="00000000" w14:paraId="0000005F">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Danielson, </w:t>
      </w:r>
      <w:r w:rsidDel="00000000" w:rsidR="00000000" w:rsidRPr="00000000">
        <w:rPr>
          <w:rFonts w:ascii="Times New Roman" w:cs="Times New Roman" w:eastAsia="Times New Roman" w:hAnsi="Times New Roman"/>
          <w:i w:val="1"/>
          <w:sz w:val="20"/>
          <w:szCs w:val="20"/>
          <w:rtl w:val="0"/>
        </w:rPr>
        <w:t xml:space="preserve">Cambridge Companion</w:t>
      </w:r>
      <w:r w:rsidDel="00000000" w:rsidR="00000000" w:rsidRPr="00000000">
        <w:rPr>
          <w:rFonts w:ascii="Times New Roman" w:cs="Times New Roman" w:eastAsia="Times New Roman" w:hAnsi="Times New Roman"/>
          <w:sz w:val="20"/>
          <w:szCs w:val="20"/>
          <w:rtl w:val="0"/>
        </w:rPr>
        <w:t xml:space="preserve">, p. 1.</w:t>
      </w:r>
    </w:p>
  </w:footnote>
  <w:footnote w:id="20">
    <w:p w:rsidR="00000000" w:rsidDel="00000000" w:rsidP="00000000" w:rsidRDefault="00000000" w:rsidRPr="00000000" w14:paraId="0000006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Campbell, ‘Milton John’</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jstor.org/stable/pdf/40754452.pdf?refreqid=fastly-default%3A5e3bbb8ac0745325a24076752113dadc&amp;ab_segments=0%2Fbasic_search_gsv2%2Fcontrol&amp;origin=&amp;initiator=search-results" TargetMode="External"/><Relationship Id="rId10" Type="http://schemas.openxmlformats.org/officeDocument/2006/relationships/hyperlink" Target="https://www.jstor.org/stable/pdf/462419.pdf?refreqid=fastly-default%3A9a44f3434be5e3333d27022789d01d25&amp;ab_segments=0%2Fbasic_search_gsv2%2Fcontrol&amp;origin=&amp;initiator=search-results" TargetMode="External"/><Relationship Id="rId13" Type="http://schemas.openxmlformats.org/officeDocument/2006/relationships/hyperlink" Target="https://www.jstor.org/stable/pdf/40754095.pdf?refreqid=fastly-default%3A9a44f3434be5e3333d27022789d01d25&amp;ab_segments=0%2Fbasic_search_gsv2%2Fcontrol&amp;origin=&amp;initiator=search-results" TargetMode="External"/><Relationship Id="rId12" Type="http://schemas.openxmlformats.org/officeDocument/2006/relationships/hyperlink" Target="https://www.jstor.org/stable/pdf/986321.pdf?refreqid=fastly-default%3A6cac8209d092d306d01174ddc2987832&amp;ab_segments=0%2Fbasic_search_gsv2%2Fcontrol&amp;origin=&amp;initiator=search-result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jstor.org/stable/pdf/42768179.pdf?refreqid=fastly-default%3A2f94509100a69089d7095c203d"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oxforddnb.com/display/10.1093/ref:odnb/9780198614128.001.0001/odnb-9780198614128-e-18800?rskey=ESk4Ov&amp;result=4" TargetMode="External"/><Relationship Id="rId8" Type="http://schemas.openxmlformats.org/officeDocument/2006/relationships/hyperlink" Target="https://www.jstor.org/stable/pdf/27708401.pdf?refreqid=fastly-default%3A9a44f3434be5e3333d27022789d01d25&amp;ab_segments=0%2Fbasic_search_gsv2%2Fcontrol&amp;origin=&amp;initiator=search-results"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jstor.org/stable/pdf/40754095.pdf?refreqid=fastly-default%3A9a44f3434be5e3333d27022789d01d25&amp;ab_segments=0%2Fbasic_search_gsv2%2Fcontrol&amp;origin=&amp;initiator=search-results" TargetMode="External"/><Relationship Id="rId2" Type="http://schemas.openxmlformats.org/officeDocument/2006/relationships/hyperlink" Target="https://www.jstor.org/stable/pdf/42768179.pdf?refreqid=fastly-default%3A2f94509100a69089d7095c203d" TargetMode="External"/><Relationship Id="rId3" Type="http://schemas.openxmlformats.org/officeDocument/2006/relationships/hyperlink" Target="https://www.jstor.org/stable/pdf/27708401.pdf?refreqid=fastly-default%3A9a44f3434be5e3333d27022789d01d25&amp;ab_segments=0%2Fbasic_search_gsv2%2Fcontrol&amp;origin=&amp;initiator=search-results" TargetMode="External"/><Relationship Id="rId4" Type="http://schemas.openxmlformats.org/officeDocument/2006/relationships/hyperlink" Target="https://www.jstor.org/stable/pdf/40754452.pdf?refreqid=fastly-default%3A5e3bbb8ac0745325a24076752113dadc&amp;ab_segments=0%2Fbasic_search_gsv2%2Fcontrol&amp;origin=&amp;initiator=search-results" TargetMode="External"/><Relationship Id="rId5" Type="http://schemas.openxmlformats.org/officeDocument/2006/relationships/hyperlink" Target="https://www.oxforddnb.com/display/10.1093/ref:odnb/9780198614128.001.0001/odnb-9780198614128-e-18800?rskey=ESk4Ov&amp;result=4" TargetMode="External"/><Relationship Id="rId6" Type="http://schemas.openxmlformats.org/officeDocument/2006/relationships/hyperlink" Target="https://www.jstor.org/stable/pdf/986321.pdf?refreqid=fastly-default%3A6cac8209d092d306d01174ddc2987832&amp;ab_segments=0%2Fbasic_search_gsv2%2Fcontrol&amp;origin=&amp;initiator=search-res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