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docprops/app.xml" ContentType="application/vnd.openxmlformats-officedocument.extended-properties+xml"/>
  <Override PartName="/word/footer1.xml" ContentType="application/vnd.openxmlformats-officedocument.wordprocessingml.footer+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charts/chart1.xml" ContentType="application/vnd.openxmlformats-officedocument.drawingml.chart+xml"/>
  <Override PartName="/docprops/core.xml" ContentType="application/vnd.openxmlformats-package.core-properties+xml"/>
  <Override PartName="/word/numbering.xml" ContentType="application/vnd.openxmlformats-officedocument.wordprocessingml.numbering+xml"/>
  <Override PartName="/word/charts/chart3.xml" ContentType="application/vnd.openxmlformats-officedocument.drawingml.chart+xml"/>
  <Override PartName="/word/charts/chart2.xml" ContentType="application/vnd.openxmlformats-officedocument.drawingml.chart+xml"/>
  <Override PartName="/word/theme/theme1.xml" ContentType="application/vnd.openxmlformats-officedocument.theme+xml"/>
  <Override PartName="/word/charts/chart4.xml" ContentType="application/vnd.openxmlformats-officedocument.drawingml.chart+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mc:Ignorable="w14 wp14">
  <w:body>
    <w:p>
      <w:pPr>
        <w:pStyle w:val="style0"/>
        <w:jc w:val="center"/>
        <w:rPr>
          <w:sz w:val="32"/>
          <w:szCs w:val="32"/>
        </w:rPr>
      </w:pPr>
      <w:r>
        <w:rPr>
          <w:sz w:val="32"/>
          <w:szCs w:val="32"/>
        </w:rPr>
        <w:t xml:space="preserve"> </w:t>
      </w:r>
      <w:r>
        <w:rPr>
          <w:color w:val="ff0000"/>
          <w:sz w:val="32"/>
          <w:szCs w:val="32"/>
        </w:rPr>
        <w:t xml:space="preserve">  UNIVERSITY OF WALES TRINITY SAINT DAVID    </w:t>
      </w:r>
    </w:p>
    <w:p>
      <w:pPr>
        <w:pStyle w:val="style0"/>
        <w:jc w:val="center"/>
        <w:rPr>
          <w:sz w:val="32"/>
          <w:szCs w:val="32"/>
        </w:rPr>
      </w:pPr>
      <w:r>
        <w:rPr>
          <w:color w:val="ff0000"/>
          <w:sz w:val="32"/>
          <w:szCs w:val="32"/>
        </w:rPr>
        <w:t xml:space="preserve">      LONDON CAMPUS                  </w:t>
      </w:r>
    </w:p>
    <w:p>
      <w:pPr>
        <w:pStyle w:val="style0"/>
        <w:jc w:val="center"/>
        <w:rPr>
          <w:sz w:val="32"/>
          <w:szCs w:val="32"/>
        </w:rPr>
      </w:pPr>
      <w:r>
        <w:t xml:space="preserve">       </w:t>
      </w:r>
      <w:r>
        <w:t xml:space="preserve">   </w:t>
      </w:r>
      <w:r>
        <w:rPr>
          <w:sz w:val="32"/>
          <w:szCs w:val="32"/>
        </w:rPr>
        <w:t xml:space="preserve"> MBA</w:t>
      </w:r>
    </w:p>
    <w:p>
      <w:pPr>
        <w:pStyle w:val="style0"/>
        <w:jc w:val="center"/>
        <w:rPr/>
      </w:pPr>
    </w:p>
    <w:p>
      <w:pPr>
        <w:pStyle w:val="style0"/>
        <w:jc w:val="left"/>
        <w:rPr>
          <w:sz w:val="28"/>
          <w:szCs w:val="28"/>
        </w:rPr>
      </w:pPr>
      <w:r>
        <w:t xml:space="preserve">                                            </w:t>
      </w:r>
      <w:r>
        <w:t xml:space="preserve"> </w:t>
      </w:r>
      <w:r>
        <w:t xml:space="preserve">     </w:t>
      </w:r>
      <w:r>
        <w:rPr>
          <w:sz w:val="28"/>
          <w:szCs w:val="28"/>
        </w:rPr>
        <w:t xml:space="preserve">   BANKING FINANCIAL MANAGEMENT</w:t>
      </w:r>
    </w:p>
    <w:p>
      <w:pPr>
        <w:pStyle w:val="style0"/>
        <w:jc w:val="center"/>
        <w:rPr>
          <w:sz w:val="28"/>
          <w:szCs w:val="28"/>
        </w:rPr>
      </w:pPr>
      <w:r>
        <w:rPr>
          <w:sz w:val="28"/>
          <w:szCs w:val="28"/>
        </w:rPr>
        <w:t xml:space="preserve">            AND</w:t>
      </w:r>
    </w:p>
    <w:p>
      <w:pPr>
        <w:pStyle w:val="style0"/>
        <w:jc w:val="center"/>
        <w:rPr>
          <w:sz w:val="28"/>
          <w:szCs w:val="28"/>
        </w:rPr>
      </w:pPr>
      <w:r>
        <w:rPr>
          <w:sz w:val="28"/>
          <w:szCs w:val="28"/>
        </w:rPr>
        <w:t xml:space="preserve">             FINANCIAL MARKET </w:t>
      </w:r>
    </w:p>
    <w:p>
      <w:pPr>
        <w:pStyle w:val="style0"/>
        <w:jc w:val="center"/>
        <w:rPr/>
      </w:pPr>
      <w:r>
        <w:t xml:space="preserve">        </w:t>
      </w:r>
      <w:r>
        <w:t xml:space="preserve">  </w:t>
      </w:r>
      <w:r>
        <w:t xml:space="preserve"> </w:t>
      </w:r>
      <w:r>
        <w:t xml:space="preserve"> </w:t>
      </w:r>
      <w:r>
        <w:t xml:space="preserve">     </w:t>
      </w:r>
      <w:r>
        <w:t>SBMA7117</w:t>
      </w:r>
    </w:p>
    <w:p>
      <w:pPr>
        <w:pStyle w:val="style0"/>
        <w:jc w:val="center"/>
        <w:rPr/>
      </w:pPr>
      <w:r>
        <w:t xml:space="preserve">      </w:t>
      </w:r>
      <w:r>
        <w:t xml:space="preserve">      </w:t>
      </w:r>
      <w:r>
        <w:t xml:space="preserve">       </w:t>
      </w:r>
      <w:r>
        <w:t>UNDER</w:t>
      </w:r>
      <w:r>
        <w:t xml:space="preserve"> </w:t>
      </w:r>
      <w:r>
        <w:t>GUIDANCE</w:t>
      </w:r>
      <w:r>
        <w:t xml:space="preserve"> </w:t>
      </w:r>
      <w:r>
        <w:t>O</w:t>
      </w:r>
      <w:r>
        <w:t>F</w:t>
      </w:r>
    </w:p>
    <w:p>
      <w:pPr>
        <w:pStyle w:val="style0"/>
        <w:jc w:val="center"/>
        <w:rPr/>
      </w:pPr>
      <w:r>
        <w:t xml:space="preserve">        </w:t>
      </w:r>
      <w:r>
        <w:t xml:space="preserve">   </w:t>
      </w:r>
      <w:r>
        <w:rPr>
          <w:color w:val="3399ff"/>
        </w:rPr>
        <w:t xml:space="preserve">   </w:t>
      </w:r>
      <w:r>
        <w:rPr>
          <w:color w:val="3399ff"/>
        </w:rPr>
        <w:t>JI</w:t>
      </w:r>
      <w:r>
        <w:rPr>
          <w:color w:val="3399ff"/>
        </w:rPr>
        <w:t>A</w:t>
      </w:r>
      <w:r>
        <w:rPr>
          <w:color w:val="3399ff"/>
        </w:rPr>
        <w:t xml:space="preserve"> </w:t>
      </w:r>
      <w:r>
        <w:rPr>
          <w:color w:val="3399ff"/>
        </w:rPr>
        <w:t>MIAO</w:t>
      </w:r>
    </w:p>
    <w:p>
      <w:pPr>
        <w:pStyle w:val="style0"/>
        <w:jc w:val="center"/>
        <w:rPr/>
      </w:pPr>
    </w:p>
    <w:p>
      <w:pPr>
        <w:pStyle w:val="style0"/>
        <w:jc w:val="center"/>
        <w:rPr/>
      </w:pPr>
      <w:r>
        <w:rPr>
          <w:color w:val="000000"/>
        </w:rPr>
        <w:t xml:space="preserve"> </w:t>
      </w:r>
      <w:r>
        <w:rPr>
          <w:color w:val="000000"/>
        </w:rPr>
        <w:t xml:space="preserve">    </w:t>
      </w:r>
      <w:r>
        <w:rPr>
          <w:color w:val="000000"/>
        </w:rPr>
        <w:t xml:space="preserve"> </w:t>
      </w:r>
      <w:r>
        <w:rPr>
          <w:color w:val="000000"/>
        </w:rPr>
        <w:t xml:space="preserve">   </w:t>
      </w:r>
      <w:r>
        <w:rPr>
          <w:color w:val="000000"/>
        </w:rPr>
        <w:t>Sub</w:t>
      </w:r>
      <w:r>
        <w:rPr>
          <w:color w:val="000000"/>
        </w:rPr>
        <w:t>mitted</w:t>
      </w:r>
      <w:r>
        <w:rPr>
          <w:color w:val="000000"/>
        </w:rPr>
        <w:t xml:space="preserve"> </w:t>
      </w:r>
      <w:r>
        <w:rPr>
          <w:color w:val="000000"/>
        </w:rPr>
        <w:t>by</w:t>
      </w:r>
      <w:r>
        <w:rPr>
          <w:color w:val="000000"/>
        </w:rPr>
        <w:t xml:space="preserve"> </w:t>
      </w:r>
    </w:p>
    <w:p>
      <w:pPr>
        <w:pStyle w:val="style0"/>
        <w:jc w:val="center"/>
        <w:rPr/>
      </w:pPr>
      <w:r>
        <w:rPr>
          <w:color w:val="ff6600"/>
        </w:rPr>
        <w:t xml:space="preserve">          </w:t>
      </w:r>
      <w:r>
        <w:rPr>
          <w:color w:val="ff6600"/>
        </w:rPr>
        <w:t xml:space="preserve">  </w:t>
      </w:r>
      <w:r>
        <w:rPr>
          <w:color w:val="ff6600"/>
        </w:rPr>
        <w:t>KRUNALKUMAR</w:t>
      </w:r>
      <w:r>
        <w:rPr>
          <w:color w:val="ff6600"/>
        </w:rPr>
        <w:t xml:space="preserve"> </w:t>
      </w:r>
      <w:r>
        <w:rPr>
          <w:color w:val="ff6600"/>
        </w:rPr>
        <w:t>PAVNESHKUMAR</w:t>
      </w:r>
      <w:r>
        <w:rPr>
          <w:color w:val="ff6600"/>
        </w:rPr>
        <w:t xml:space="preserve"> </w:t>
      </w:r>
      <w:r>
        <w:rPr>
          <w:color w:val="ff6600"/>
        </w:rPr>
        <w:t>PATEL</w:t>
      </w:r>
      <w:r>
        <w:rPr>
          <w:color w:val="ff6600"/>
        </w:rPr>
        <w:t xml:space="preserve"> </w:t>
      </w:r>
    </w:p>
    <w:p>
      <w:pPr>
        <w:pStyle w:val="style0"/>
        <w:jc w:val="center"/>
        <w:rPr/>
      </w:pPr>
      <w:r>
        <w:rPr>
          <w:color w:val="000000"/>
        </w:rPr>
        <w:t xml:space="preserve">         </w:t>
      </w:r>
      <w:r>
        <w:rPr>
          <w:color w:val="000000"/>
        </w:rPr>
        <w:t xml:space="preserve"> </w:t>
      </w:r>
      <w:r>
        <w:rPr>
          <w:color w:val="000000"/>
        </w:rPr>
        <w:t>STUDENT</w:t>
      </w:r>
      <w:r>
        <w:rPr>
          <w:color w:val="000000"/>
        </w:rPr>
        <w:t xml:space="preserve"> </w:t>
      </w:r>
      <w:r>
        <w:rPr>
          <w:color w:val="000000"/>
        </w:rPr>
        <w:t>ID-</w:t>
      </w:r>
      <w:r>
        <w:rPr>
          <w:color w:val="000000"/>
        </w:rPr>
        <w:t xml:space="preserve"> </w:t>
      </w:r>
      <w:r>
        <w:rPr>
          <w:color w:val="000000"/>
        </w:rPr>
        <w:t>1706259</w:t>
      </w:r>
      <w:r>
        <w:rPr>
          <w:color w:val="000000"/>
        </w:rPr>
        <w:t xml:space="preserve"> </w:t>
      </w:r>
    </w:p>
    <w:p>
      <w:pPr>
        <w:pStyle w:val="style0"/>
        <w:rPr/>
      </w:pPr>
    </w:p>
    <w:p>
      <w:pPr>
        <w:pStyle w:val="style62"/>
        <w:contextualSpacing w:val="false"/>
        <w:rPr/>
      </w:pPr>
    </w:p>
    <w:p>
      <w:pPr>
        <w:pStyle w:val="style0"/>
        <w:contextualSpacing w:val="false"/>
        <w:rPr/>
      </w:pPr>
    </w:p>
    <w:p>
      <w:pPr>
        <w:pStyle w:val="style0"/>
        <w:contextualSpacing w:val="false"/>
        <w:rPr/>
      </w:pPr>
    </w:p>
    <w:p>
      <w:pPr>
        <w:pStyle w:val="style0"/>
        <w:keepNext/>
        <w:keepLines/>
        <w:widowControl/>
        <w:pBdr>
          <w:left w:val="nil"/>
          <w:right w:val="nil"/>
          <w:top w:val="nil"/>
          <w:bottom w:val="nil"/>
          <w:between w:val="nil"/>
        </w:pBdr>
        <w:shd w:val="clear" w:color="auto" w:fill="auto"/>
        <w:spacing w:before="480" w:after="0" w:lineRule="auto" w:line="276"/>
        <w:ind w:left="0" w:right="0" w:firstLine="0"/>
        <w:jc w:val="left"/>
        <w:contextualSpacing w:val="false"/>
        <w:rPr>
          <w:rFonts w:ascii="Cambria" w:cs="Cambria" w:eastAsia="Cambria" w:hAnsi="Cambria"/>
          <w:b/>
          <w:i w:val="false"/>
          <w:smallCaps w:val="false"/>
          <w:color w:val="366091"/>
          <w:sz w:val="28"/>
          <w:szCs w:val="28"/>
          <w:u w:val="none"/>
          <w:shd w:val="clear" w:color="auto" w:fill="auto"/>
          <w:vertAlign w:val="baseline"/>
        </w:rPr>
      </w:pPr>
    </w:p>
    <w:p>
      <w:pPr>
        <w:pStyle w:val="style0"/>
        <w:keepNext/>
        <w:keepLines/>
        <w:widowControl/>
        <w:pBdr>
          <w:left w:val="nil"/>
          <w:right w:val="nil"/>
          <w:top w:val="nil"/>
          <w:bottom w:val="nil"/>
          <w:between w:val="nil"/>
        </w:pBdr>
        <w:shd w:val="clear" w:color="auto" w:fill="auto"/>
        <w:spacing w:before="480" w:after="0" w:lineRule="auto" w:line="276"/>
        <w:ind w:left="0" w:right="0" w:firstLine="0"/>
        <w:jc w:val="left"/>
        <w:contextualSpacing w:val="false"/>
        <w:rPr>
          <w:rFonts w:ascii="Cambria" w:cs="Cambria" w:eastAsia="Cambria" w:hAnsi="Cambria"/>
          <w:b/>
          <w:i w:val="false"/>
          <w:smallCaps w:val="false"/>
          <w:color w:val="366091"/>
          <w:sz w:val="28"/>
          <w:szCs w:val="28"/>
          <w:u w:val="none"/>
          <w:shd w:val="clear" w:color="auto" w:fill="auto"/>
          <w:vertAlign w:val="baseline"/>
        </w:rPr>
      </w:pPr>
    </w:p>
    <w:p>
      <w:pPr>
        <w:pStyle w:val="style0"/>
        <w:keepNext/>
        <w:keepLines/>
        <w:widowControl/>
        <w:pBdr>
          <w:left w:val="nil"/>
          <w:right w:val="nil"/>
          <w:top w:val="nil"/>
          <w:bottom w:val="nil"/>
          <w:between w:val="nil"/>
        </w:pBdr>
        <w:shd w:val="clear" w:color="auto" w:fill="auto"/>
        <w:spacing w:before="480" w:after="0" w:lineRule="auto" w:line="276"/>
        <w:ind w:left="0" w:right="0" w:firstLine="0"/>
        <w:jc w:val="left"/>
        <w:contextualSpacing w:val="false"/>
        <w:rPr>
          <w:rFonts w:ascii="Cambria" w:cs="Cambria" w:eastAsia="Cambria" w:hAnsi="Cambria"/>
          <w:b/>
          <w:i w:val="false"/>
          <w:smallCaps w:val="false"/>
          <w:color w:val="366091"/>
          <w:sz w:val="28"/>
          <w:szCs w:val="28"/>
          <w:u w:val="none"/>
          <w:shd w:val="clear" w:color="auto" w:fill="auto"/>
          <w:vertAlign w:val="baseline"/>
        </w:rPr>
      </w:pPr>
    </w:p>
    <w:p>
      <w:pPr>
        <w:pStyle w:val="style0"/>
        <w:keepNext/>
        <w:keepLines/>
        <w:widowControl/>
        <w:pBdr>
          <w:left w:val="nil"/>
          <w:right w:val="nil"/>
          <w:top w:val="nil"/>
          <w:bottom w:val="nil"/>
          <w:between w:val="nil"/>
        </w:pBdr>
        <w:shd w:val="clear" w:color="auto" w:fill="auto"/>
        <w:spacing w:before="480" w:after="0" w:lineRule="auto" w:line="276"/>
        <w:ind w:left="0" w:right="0" w:firstLine="0"/>
        <w:jc w:val="left"/>
        <w:contextualSpacing w:val="false"/>
        <w:rPr>
          <w:rFonts w:ascii="Cambria" w:cs="Cambria" w:eastAsia="Cambria" w:hAnsi="Cambria"/>
          <w:b/>
          <w:i w:val="false"/>
          <w:smallCaps w:val="false"/>
          <w:color w:val="366091"/>
          <w:sz w:val="28"/>
          <w:szCs w:val="28"/>
          <w:u w:val="none"/>
          <w:shd w:val="clear" w:color="auto" w:fill="auto"/>
          <w:vertAlign w:val="baseline"/>
        </w:rPr>
      </w:pPr>
    </w:p>
    <w:p>
      <w:pPr>
        <w:pStyle w:val="style0"/>
        <w:keepNext/>
        <w:keepLines/>
        <w:widowControl/>
        <w:pBdr>
          <w:left w:val="nil"/>
          <w:right w:val="nil"/>
          <w:top w:val="nil"/>
          <w:bottom w:val="nil"/>
          <w:between w:val="nil"/>
        </w:pBdr>
        <w:shd w:val="clear" w:color="auto" w:fill="auto"/>
        <w:spacing w:before="480" w:after="0" w:lineRule="auto" w:line="276"/>
        <w:ind w:left="0" w:right="0" w:firstLine="0"/>
        <w:jc w:val="left"/>
        <w:contextualSpacing w:val="false"/>
        <w:rPr>
          <w:rFonts w:ascii="Cambria" w:cs="Cambria" w:eastAsia="Cambria" w:hAnsi="Cambria"/>
          <w:b/>
          <w:i w:val="false"/>
          <w:smallCaps w:val="false"/>
          <w:color w:val="366091"/>
          <w:sz w:val="28"/>
          <w:szCs w:val="28"/>
          <w:u w:val="none"/>
          <w:shd w:val="clear" w:color="auto" w:fill="auto"/>
          <w:vertAlign w:val="baseline"/>
        </w:rPr>
      </w:pPr>
    </w:p>
    <w:p>
      <w:pPr>
        <w:pStyle w:val="style0"/>
        <w:keepNext/>
        <w:keepLines/>
        <w:widowControl/>
        <w:pBdr>
          <w:left w:val="nil"/>
          <w:right w:val="nil"/>
          <w:top w:val="nil"/>
          <w:bottom w:val="nil"/>
          <w:between w:val="nil"/>
        </w:pBdr>
        <w:shd w:val="clear" w:color="auto" w:fill="auto"/>
        <w:spacing w:before="480" w:after="0" w:lineRule="auto" w:line="276"/>
        <w:ind w:left="0" w:right="0" w:firstLine="0"/>
        <w:jc w:val="left"/>
        <w:contextualSpacing w:val="false"/>
        <w:rPr>
          <w:rFonts w:ascii="Cambria" w:cs="Cambria" w:eastAsia="Cambria" w:hAnsi="Cambria"/>
          <w:b/>
          <w:i w:val="false"/>
          <w:smallCaps w:val="false"/>
          <w:color w:val="366091"/>
          <w:sz w:val="28"/>
          <w:szCs w:val="28"/>
          <w:u w:val="none"/>
          <w:shd w:val="clear" w:color="auto" w:fill="auto"/>
          <w:vertAlign w:val="baseline"/>
        </w:rPr>
      </w:pPr>
    </w:p>
    <w:p>
      <w:pPr>
        <w:pStyle w:val="style0"/>
        <w:keepNext/>
        <w:keepLines/>
        <w:widowControl/>
        <w:pBdr>
          <w:left w:val="nil"/>
          <w:right w:val="nil"/>
          <w:top w:val="nil"/>
          <w:bottom w:val="nil"/>
          <w:between w:val="nil"/>
        </w:pBdr>
        <w:shd w:val="clear" w:color="auto" w:fill="auto"/>
        <w:spacing w:before="480" w:after="0" w:lineRule="auto" w:line="276"/>
        <w:ind w:left="0" w:right="0" w:firstLine="0"/>
        <w:jc w:val="left"/>
        <w:contextualSpacing w:val="false"/>
        <w:rPr>
          <w:rFonts w:ascii="Cambria" w:cs="Cambria" w:eastAsia="Cambria" w:hAnsi="Cambria"/>
          <w:b/>
          <w:i w:val="false"/>
          <w:smallCaps w:val="false"/>
          <w:color w:val="366091"/>
          <w:sz w:val="28"/>
          <w:szCs w:val="28"/>
          <w:u w:val="none"/>
          <w:shd w:val="clear" w:color="auto" w:fill="auto"/>
          <w:vertAlign w:val="baseline"/>
        </w:rPr>
      </w:pPr>
    </w:p>
    <w:p>
      <w:pPr>
        <w:pStyle w:val="style0"/>
        <w:keepNext/>
        <w:keepLines/>
        <w:widowControl/>
        <w:pBdr>
          <w:left w:val="nil"/>
          <w:right w:val="nil"/>
          <w:top w:val="nil"/>
          <w:bottom w:val="nil"/>
          <w:between w:val="nil"/>
        </w:pBdr>
        <w:shd w:val="clear" w:color="auto" w:fill="auto"/>
        <w:spacing w:before="480" w:after="0" w:lineRule="auto" w:line="276"/>
        <w:ind w:left="0" w:right="0" w:firstLine="0"/>
        <w:jc w:val="left"/>
        <w:contextualSpacing w:val="false"/>
        <w:rPr>
          <w:rFonts w:ascii="Cambria" w:cs="Cambria" w:eastAsia="Cambria" w:hAnsi="Cambria"/>
          <w:b/>
          <w:i w:val="false"/>
          <w:smallCaps w:val="false"/>
          <w:color w:val="366091"/>
          <w:sz w:val="28"/>
          <w:szCs w:val="28"/>
          <w:u w:val="none"/>
          <w:shd w:val="clear" w:color="auto" w:fill="auto"/>
          <w:vertAlign w:val="baseline"/>
        </w:rPr>
      </w:pPr>
      <w:r>
        <w:rPr>
          <w:rFonts w:ascii="Cambria" w:cs="Cambria" w:eastAsia="Cambria" w:hAnsi="Cambria"/>
          <w:b/>
          <w:i w:val="false"/>
          <w:smallCaps w:val="false"/>
          <w:color w:val="366091"/>
          <w:sz w:val="28"/>
          <w:szCs w:val="28"/>
          <w:u w:val="none"/>
          <w:shd w:val="clear" w:color="auto" w:fill="auto"/>
          <w:vertAlign w:val="baseline"/>
        </w:rPr>
        <w:t>Table of Contents</w:t>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0" w:right="0" w:firstLine="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TOC \h \u \z </w:instrText>
      </w:r>
      <w:r>
        <w:rPr/>
        <w:fldChar w:fldCharType="separate"/>
      </w:r>
      <w:r>
        <w:rPr/>
        <w:fldChar w:fldCharType="begin"/>
      </w:r>
      <w:r>
        <w:instrText xml:space="preserve"> HYPERLINK \l "_gjdgxs"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Part a) Company history</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3</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0" w:right="0" w:firstLine="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"_30j0zll"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Part b) Bank performance criteria and its evaluation</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4</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240" w:right="0" w:hanging="24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"_1fob9te"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Calculation of the ratios for the banking performance</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4</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240" w:right="0" w:hanging="24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"_3znysh7"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Evaluations of the ratios in critical manner</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4</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240" w:right="0" w:hanging="24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"_2et92p0"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Contemporary banking issues</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8</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0" w:right="0" w:firstLine="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"_tyjcwt"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Part C) Treasury bill issuance</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15</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240" w:right="0" w:hanging="24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"_3dy6vkm"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Issuance regulation</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15</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240" w:right="0" w:hanging="24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"_1t3h5sf"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Treasury bill primary and secondary market</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16</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240" w:right="0" w:hanging="24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"_4d34og8"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Market size in UK</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16</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240" w:right="0" w:hanging="24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"_2s8eyo1"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Participant in the market</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18</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240" w:right="0" w:hanging="24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"_17dp8vu"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Mechanism for transaction</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19</w:t>
      </w:r>
      <w:r>
        <w:rPr/>
        <w:fldChar w:fldCharType="end"/>
      </w:r>
    </w:p>
    <w:p>
      <w:pPr>
        <w:pStyle w:val="style0"/>
        <w:keepNext w:val="false"/>
        <w:keepLines w:val="false"/>
        <w:widowControl/>
        <w:pBdr>
          <w:left w:val="nil"/>
          <w:right w:val="nil"/>
          <w:top w:val="nil"/>
          <w:bottom w:val="nil"/>
          <w:between w:val="nil"/>
        </w:pBdr>
        <w:shd w:val="clear" w:color="auto" w:fill="auto"/>
        <w:tabs>
          <w:tab w:val="right" w:leader="none" w:pos="9016"/>
        </w:tabs>
        <w:spacing w:before="0" w:after="100" w:lineRule="auto" w:line="360"/>
        <w:ind w:left="0" w:right="0" w:firstLine="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fldChar w:fldCharType="begin"/>
      </w:r>
      <w:r>
        <w:instrText xml:space="preserve"> HYPERLINK \l "_3rdcrjn" </w:instrText>
      </w:r>
      <w:r>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t>Reference</w:t>
      </w:r>
      <w:r>
        <w:rPr>
          <w:rFonts w:ascii="Times New Roman" w:cs="Times New Roman" w:eastAsia="Times New Roman" w:hAnsi="Times New Roman"/>
          <w:b w:val="false"/>
          <w:i w:val="false"/>
          <w:smallCaps w:val="false"/>
          <w:color w:val="000000"/>
          <w:sz w:val="24"/>
          <w:szCs w:val="24"/>
          <w:u w:val="none"/>
          <w:shd w:val="clear" w:color="auto" w:fill="auto"/>
          <w:vertAlign w:val="baseline"/>
        </w:rPr>
        <w:tab/>
      </w:r>
      <w:r>
        <w:rPr>
          <w:rFonts w:ascii="Times New Roman" w:cs="Times New Roman" w:eastAsia="Times New Roman" w:hAnsi="Times New Roman"/>
          <w:b w:val="false"/>
          <w:i w:val="false"/>
          <w:smallCaps w:val="false"/>
          <w:color w:val="000000"/>
          <w:sz w:val="24"/>
          <w:szCs w:val="24"/>
          <w:u w:val="none"/>
          <w:shd w:val="clear" w:color="auto" w:fill="auto"/>
          <w:vertAlign w:val="baseline"/>
        </w:rPr>
        <w:t>21</w:t>
      </w:r>
      <w:r>
        <w:rPr/>
        <w:fldChar w:fldCharType="end"/>
      </w:r>
    </w:p>
    <w:p>
      <w:pPr>
        <w:pStyle w:val="style0"/>
        <w:contextualSpacing w:val="false"/>
        <w:rPr/>
      </w:pPr>
      <w:r>
        <w:rPr/>
        <w:fldChar w:fldCharType="end"/>
      </w:r>
    </w:p>
    <w:p>
      <w:pPr>
        <w:pStyle w:val="style0"/>
        <w:spacing w:lineRule="auto" w:line="276"/>
        <w:jc w:val="left"/>
        <w:contextualSpacing w:val="false"/>
        <w:rPr/>
      </w:pPr>
      <w:r>
        <w:br w:type="page"/>
      </w:r>
    </w:p>
    <w:bookmarkStart w:id="0" w:name="_gjdgxs" w:colFirst="0" w:colLast="0"/>
    <w:bookmarkEnd w:id="0"/>
    <w:p>
      <w:pPr>
        <w:pStyle w:val="style1"/>
        <w:contextualSpacing w:val="false"/>
        <w:rPr/>
      </w:pPr>
      <w:r>
        <w:t>Part a) Company history</w:t>
      </w:r>
    </w:p>
    <w:p>
      <w:pPr>
        <w:pStyle w:val="style0"/>
        <w:contextualSpacing w:val="false"/>
        <w:rPr/>
      </w:pPr>
      <w:r>
        <w:t>HSBC is one of the biggest financial banking organisations that originated from UK. The start of the organisation can be traced back in the 1865 (HSBC, 2018). Currently the organisation is operating worldwide. In this vast operation they are service close to 38 million numbers of customers. Their vision statement the organisation stated their ambition to be the leading and most respected organisation. Currently headquarter of the organisation is situated in London but they have close to 39000 offices worldwide and operating close to 67 different world markets. The services that are provided by the HSBC are the global market services, commercial banking services, wealth management services and also the respective market based retail banking services. To operate in this vast operational field the organisation employs close to 233k employees. In the year 2017 HSBC received an awarded from the Euromoney and that is the ‘world’s best bank’ (HSBC, 2018). In 2018 similar award is also received from the Euromoney as the ‘world’s best bank’ in the corporate, transaction services and others areas.</w:t>
      </w:r>
    </w:p>
    <w:p>
      <w:pPr>
        <w:pStyle w:val="style0"/>
        <w:contextualSpacing w:val="false"/>
        <w:rPr/>
      </w:pPr>
      <w:r>
        <w:t>In recent times HSBC got into many controversies. One of such controversy was the 2015’s scandal. There HSBC’s operational arm in the Swiss banking helped the high net worth customers hide large amount of asset and evade taxes of large proportion. The controversy showed close to $120bn in asset and 30k account, which was helped by HSBC (Tran, 2018).  Prior to that in the 2012 the North American arm of the HSBC was investigated by the US senators for their involvement in the money laundering case for the pariah states, terrorist, and drug cartels (Rushe</w:t>
      </w:r>
      <w:r>
        <w:rPr>
          <w:i/>
        </w:rPr>
        <w:t> </w:t>
      </w:r>
      <w:r>
        <w:t xml:space="preserve">, 2012). This kind of scandal is not new in HSBC. One of the reasons that came up in analysis is the large size of the organisation in its worldwide operation and the difficulty faced to regulate it effectively. In recent times the pending factor in its operation has reason which has impacted their profitability. In the first quarter of 2018 the revenue of the group has increased to $13.7bn but at the same time the operating expenses has risen by 13% from the last year’s same time to $9.4bn and that is resulted in 4% drop in profit to the figure of $4.8bn (Morrison , 2018). After this performance the top leadership of the organisation stated that their primary aim is the safe business growth and their investment are in that direction. The business is expected to benefit from the better economic situation especially in Asia and rise of interest rates (Morrison, 2018). Considering all of these situations the detailed financial investigations of the organisation would be done in the following section of this report.  </w:t>
      </w:r>
    </w:p>
    <w:bookmarkStart w:id="1" w:name="_30j0zll" w:colFirst="0" w:colLast="0"/>
    <w:bookmarkEnd w:id="1"/>
    <w:p>
      <w:pPr>
        <w:pStyle w:val="style1"/>
        <w:contextualSpacing w:val="false"/>
        <w:rPr/>
      </w:pPr>
      <w:r>
        <w:t>Part b) Bank performance criteria and its evaluation</w:t>
      </w:r>
    </w:p>
    <w:bookmarkStart w:id="2" w:name="_1fob9te" w:colFirst="0" w:colLast="0"/>
    <w:bookmarkEnd w:id="2"/>
    <w:p>
      <w:pPr>
        <w:pStyle w:val="style2"/>
        <w:contextualSpacing w:val="false"/>
        <w:rPr/>
      </w:pPr>
      <w:r>
        <w:t>Calculation of the ratios for the banking performance</w:t>
      </w:r>
    </w:p>
    <w:p>
      <w:pPr>
        <w:pStyle w:val="style2"/>
        <w:contextualSpacing w:val="false"/>
        <w:rPr/>
      </w:pPr>
      <w:r>
        <w:rPr/>
        <w:drawing>
          <wp:inline distT="0" distB="0" distL="0" distR="0">
            <wp:extent cx="5203189" cy="1970405"/>
            <wp:effectExtent l="0" t="0" r="0" b="0"/>
            <wp:docPr id="1026" name="Image1"/>
            <a:graphic xmlns:a="http://schemas.openxmlformats.org/drawingml/2006/main">
              <a:graphicData uri="http://schemas.openxmlformats.org/drawingml/2006/picture">
                <pic:pic xmlns:pic="http://schemas.openxmlformats.org/drawingml/2006/picture">
                  <pic:nvPicPr>
                    <pic:cNvPr id="0" name="Image"/>
                    <pic:cNvPicPr/>
                  </pic:nvPicPr>
                  <pic:blipFill rotWithShape="true">
                    <a:blip r:embed="rId2" cstate="print">
                      <a:extLst>
                        <a:ext uri="{28A0092B-C50C-407E-A947-70E740481C1C}">
                          <a14:useLocalDpi xmlns:a14="http://schemas.microsoft.com/office/drawing/2010/main" val="0"/>
                        </a:ext>
                      </a:extLst>
                    </a:blip>
                    <a:srcRect l="0" t="0" r="0" b="0"/>
                    <a:stretch>
                      <a:fillRect/>
                    </a:stretch>
                  </pic:blipFill>
                  <pic:spPr>
                    <a:xfrm>
                      <a:off x="0" y="0"/>
                      <a:ext cx="5203189" cy="1970405"/>
                    </a:xfrm>
                    <a:prstGeom prst="rect">
                      <a:avLst/>
                    </a:prstGeom>
                  </pic:spPr>
                </pic:pic>
              </a:graphicData>
            </a:graphic>
          </wp:inline>
        </w:drawing>
      </w:r>
    </w:p>
    <w:bookmarkStart w:id="3" w:name="_3znysh7" w:colFirst="0" w:colLast="0"/>
    <w:bookmarkEnd w:id="3"/>
    <w:p>
      <w:pPr>
        <w:pStyle w:val="style2"/>
        <w:contextualSpacing w:val="false"/>
        <w:rPr/>
      </w:pPr>
      <w:r>
        <w:t>Evaluations of the ratios in critical manner</w:t>
      </w:r>
    </w:p>
    <w:p>
      <w:pPr>
        <w:pStyle w:val="style0"/>
        <w:contextualSpacing w:val="false"/>
        <w:rPr>
          <w:b/>
        </w:rPr>
      </w:pPr>
      <w:r>
        <w:rPr>
          <w:b/>
        </w:rPr>
        <w:t>Capital adequacy ratio</w:t>
      </w:r>
    </w:p>
    <w:p>
      <w:pPr>
        <w:pStyle w:val="style0"/>
        <w:contextualSpacing w:val="false"/>
        <w:rPr/>
      </w:pPr>
      <w:r>
        <w:t xml:space="preserve"> This is the ratio that is useful to understand the credit exposure in percentage of the banks that are risky. This ratio is also known as the CRAR or the ‘risk to weighted asset ratio’. This is the ratio that is used for the analysis to understand the efficiency, stability and protection level of the depositors of a particular bank. This ratio is dependent on the two different types of capital. One is called tire one and another one is tire two capital. The tier one capital is useful for the banks to continue the operation of the banks during the loss making situation by absorbing the loss amount through this capital. The next tire two capitals are useful for the bankruptcy situation when is also useful for the absorption of the losses and be able provide protection to the bank’s depositors (Krug </w:t>
      </w:r>
      <w:r>
        <w:rPr>
          <w:i/>
        </w:rPr>
        <w:t>et al.,</w:t>
      </w:r>
      <w:r>
        <w:t xml:space="preserve"> 2015). The risk weighted asset are the on and off balance sheet types of credit exposure for the banks. Apart from the on balance sheet credit the foreign exchange like agreements, guarantee and contracts are the off balance sheet exposure of credit. The calculation of this ratio is done through the following formula.</w:t>
      </w:r>
    </w:p>
    <w:p>
      <w:pPr>
        <w:pStyle w:val="style0"/>
        <w:contextualSpacing w:val="false"/>
        <w:rPr/>
      </w:pPr>
      <w:r>
        <w:t xml:space="preserve">CAR= [T1 capital + T2 capital]/ risk weighted assets. </w:t>
      </w:r>
    </w:p>
    <w:p>
      <w:pPr>
        <w:pStyle w:val="style0"/>
        <w:contextualSpacing w:val="false"/>
        <w:rPr/>
      </w:pPr>
      <w:r>
        <w:rPr/>
      </w:r>
      <w:r>
        <w:rPr/>
      </w:r>
      <w:r>
        <w:rPr/>
      </w:r>
      <w:r>
        <w:rPr/>
        <w:drawing>
          <wp:inline distT="0" distB="0" distL="114300" distR="114300">
            <wp:extent cx="4572000" cy="2743200"/>
            <wp:effectExtent l="0" t="0" r="0" b="0"/>
            <wp:docPr id="1028"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3"/>
              </a:graphicData>
            </a:graphic>
          </wp:inline>
        </w:drawing>
      </w:r>
      <w:r>
        <w:rPr/>
      </w:r>
    </w:p>
    <w:p>
      <w:pPr>
        <w:pStyle w:val="style0"/>
        <w:contextualSpacing w:val="false"/>
        <w:rPr/>
      </w:pPr>
      <w:r>
        <w:t>The critical assessment of this ratio can be done in two different ways. One is the comparison done internally that is the time duration trend analysis and another approach is the industry comparison. The last five years’ trend shows that in HSBC the ratio fluctuated. Initially in the 2013 it was 17.8% then in the following two years it dropped to 15.6% and 17.2% respectively. Then the ratio again showed an upward trend and reached to 20.1% and 20.9% respectively in the 2016 and 2017. Therefore the trend is positive in the HSBC. But the position of the ratio can be understood from the industry average or the regulatory requirement. The Basal III the ratio needs to be more than 8% in the banks (Allen, 2014). Considering that the current ratio of HSBC is much higher than the required rate. Therefore it can be said that the depositor’s money is quite safe in the bank.</w:t>
      </w:r>
    </w:p>
    <w:p>
      <w:pPr>
        <w:pStyle w:val="style0"/>
        <w:contextualSpacing w:val="false"/>
        <w:rPr>
          <w:b/>
        </w:rPr>
      </w:pPr>
      <w:r>
        <w:rPr>
          <w:b/>
        </w:rPr>
        <w:t>Common equity tier 1 capital ratio</w:t>
      </w:r>
    </w:p>
    <w:p>
      <w:pPr>
        <w:pStyle w:val="style0"/>
        <w:contextualSpacing w:val="false"/>
        <w:rPr>
          <w:b/>
        </w:rPr>
      </w:pPr>
      <w:r>
        <w:rPr>
          <w:b/>
        </w:rPr>
      </w:r>
      <w:r>
        <w:rPr>
          <w:b/>
        </w:rPr>
      </w:r>
      <w:r>
        <w:rPr>
          <w:b/>
        </w:rPr>
      </w:r>
      <w:r>
        <w:rPr>
          <w:b/>
        </w:rPr>
        <w:drawing>
          <wp:inline distT="0" distB="0" distL="114300" distR="114300">
            <wp:extent cx="4572000" cy="2743200"/>
            <wp:effectExtent l="0" t="0" r="0" b="0"/>
            <wp:docPr id="1030"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r>
        <w:rPr>
          <w:b/>
        </w:rPr>
      </w:r>
    </w:p>
    <w:p>
      <w:pPr>
        <w:pStyle w:val="style0"/>
        <w:contextualSpacing w:val="false"/>
        <w:rPr/>
      </w:pPr>
      <w:r>
        <w:t xml:space="preserve">The financial organisation or the banks keep certain amount of the common stoke aside which is also a part of the Tire 1 capital. This is done for the protection of the economy from the financial crisis like situations from the banking sectors. The ratio is calculated by dividing the value by the risk weighted assets. The losses first deducted from the Tire 1 capital structure and from the Tire 1 primarily the losses are deducted from the common stoke values (Gambacorta and Shin, 2016). As a component part of the Tire 1 capital the common equity would be lower proportion of the risk weighted assets compared to the CAR value. Following that logic the HSBC figures shows the similar trend. In the 2013 the ratio is at 10.80% which keep on increasing to the levels like 10.90%, 11.90%, 13.60% and 14.50% for the years 2014, 2015, 2016, and 2017 respectively. Therefore the trend is positive in the operation of the HSBC. One significant thing is that the CAR value of the organisation dropped a bit in the 2014 ad 2015’s operation but in case of the Common equity tier 1 capital ratio the drop is not visible and the continuous growth is seen (Krug </w:t>
      </w:r>
      <w:r>
        <w:rPr>
          <w:i/>
        </w:rPr>
        <w:t>et al.,</w:t>
      </w:r>
      <w:r>
        <w:t xml:space="preserve"> 2015). Therefore HSBC had focused on the most critical part of the bank’s capital structure and continuously adding funds to manage that. On the other hand if the regulatory requirement is seen there the Basal III states that a minimum of 4.50% needs to be kept by the end of 2019’s operation (Allen, 2014). Considering that the current position of HSBC is much better. The depositors for the HSBC can remain highly assured about their fund kept in the bank.</w:t>
      </w:r>
    </w:p>
    <w:p>
      <w:pPr>
        <w:pStyle w:val="style0"/>
        <w:contextualSpacing w:val="false"/>
        <w:rPr>
          <w:b/>
        </w:rPr>
      </w:pPr>
      <w:r>
        <w:rPr>
          <w:b/>
        </w:rPr>
        <w:t>Lone to total asset ratio</w:t>
      </w:r>
    </w:p>
    <w:p>
      <w:pPr>
        <w:pStyle w:val="style0"/>
        <w:contextualSpacing w:val="false"/>
        <w:rPr>
          <w:b/>
        </w:rPr>
      </w:pPr>
      <w:r>
        <w:rPr>
          <w:b/>
        </w:rPr>
      </w:r>
      <w:r>
        <w:rPr>
          <w:b/>
        </w:rPr>
      </w:r>
      <w:r>
        <w:rPr>
          <w:b/>
        </w:rPr>
      </w:r>
      <w:r>
        <w:rPr>
          <w:b/>
        </w:rPr>
        <w:drawing>
          <wp:inline distT="0" distB="0" distL="114300" distR="114300">
            <wp:extent cx="4572000" cy="2743200"/>
            <wp:effectExtent l="0" t="0" r="0" b="0"/>
            <wp:docPr id="1032"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Pr>
          <w:b/>
        </w:rPr>
      </w:r>
    </w:p>
    <w:p>
      <w:pPr>
        <w:pStyle w:val="style0"/>
        <w:contextualSpacing w:val="false"/>
        <w:rPr/>
      </w:pPr>
      <w:r>
        <w:t xml:space="preserve">This is the ratio that is to measure the position of the bank’s loan serving situation.  The ratio is calculated dividing the total loans outstanding of the bank by the total asset of the bank. The ratio should be kept at the minimum level in the banking operation to keep higher liquidity position in the bank’s operation (Acharya and Mora, 2015). The higher percentage posits indicates that the banks stand less chances to full fill its obligations. The defaulting risk for the bank’s operation increases. At the 2013’s end the ratio in HSBC was 48.36% and then the ratio fluctuated at 41.26%, 42.12%, 39.98% and 41.77% in the years 2014, 2015, 2016 and 2017 respectively. Therefore the bank tried to control the overall proportion of the loans compared to the total asset and the improvement was visible in the lowering of that percentage. In overall the loan to asset ratio of HSBC did not crossed the 50% market in their last five years’ of operation. Therefore the bank had more liquid asset than the less liquid one like the loans (Acharya and Mora, 2015). </w:t>
      </w:r>
    </w:p>
    <w:p>
      <w:pPr>
        <w:pStyle w:val="style0"/>
        <w:contextualSpacing w:val="false"/>
        <w:rPr>
          <w:b/>
        </w:rPr>
      </w:pPr>
      <w:r>
        <w:rPr>
          <w:b/>
        </w:rPr>
        <w:t>Liquidity Coverage Ratio</w:t>
      </w:r>
    </w:p>
    <w:p>
      <w:pPr>
        <w:pStyle w:val="style0"/>
        <w:contextualSpacing w:val="false"/>
        <w:rPr>
          <w:b/>
        </w:rPr>
      </w:pPr>
      <w:r>
        <w:rPr>
          <w:b/>
        </w:rPr>
      </w:r>
      <w:r>
        <w:rPr>
          <w:b/>
        </w:rPr>
      </w:r>
      <w:r>
        <w:rPr>
          <w:b/>
        </w:rPr>
      </w:r>
      <w:r>
        <w:rPr>
          <w:b/>
        </w:rPr>
        <w:drawing>
          <wp:inline distT="0" distB="0" distL="114300" distR="114300">
            <wp:extent cx="4572000" cy="2743200"/>
            <wp:effectExtent l="0" t="0" r="0" b="0"/>
            <wp:docPr id="1034"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Pr>
          <w:b/>
        </w:rPr>
      </w:r>
    </w:p>
    <w:p>
      <w:pPr>
        <w:pStyle w:val="style0"/>
        <w:contextualSpacing w:val="false"/>
        <w:rPr/>
      </w:pPr>
      <w:r>
        <w:t xml:space="preserve">The liquidity of the business organisation is used for the business obligation fulfilling. The liquidity coverage ratio or the LCR is the measure of the liquid asset held by the banks that would them meets the short term obligation in their operation (Hartlage, 2012). This ratio is also useful to measure for the defence of the short term disruption in liquidity or the anticipated shock in the market. The calculation of this ratio is done by dividing the liquid assets of high quality type by the net flow of cash. This is done over a stress period of around 30 days (bis, 2013). The definitions of the high quality asset are those types of cash which are highly liquid in nature and can be easily cash convertible. The liquid asset would include the corporate debt, treasury bonds and raw cash in this part.  The Basal III regulation in the banking industry has set the standard for the LCR ratio. The exposure of the banks in the foreign exchange related dealing if become more than $10 bn or they have total consolidated asset in $250 bn, the regulation would be applied (bis, 2013). There the bank needs to start to develop this ratio from the 60% level in the 2015 to 100% level by the 2019 (bis, 2013). In 2017’s annual report of the group the total exposure from the foreign currency perspective is close to $2857972000 and in 2016 it was $3168691000 (Hsbc, 2018). . Now the analysis of HSBC would through light on the position of the organisation in this part liquidity position. The ratio of HSBC from the 2015, 2016, and 2017 are 1593.8%, 136% and 142%. Therefore HSBC is in comfortable position from the very beginning and had been able to maintain more than 100% ratio. This situation is highly favourable for HSBC. They would be more than able to sustain the disturbance in the market for more than 30 days period. </w:t>
      </w:r>
    </w:p>
    <w:p>
      <w:pPr>
        <w:pStyle w:val="style0"/>
        <w:contextualSpacing w:val="false"/>
        <w:rPr/>
      </w:pPr>
    </w:p>
    <w:bookmarkStart w:id="4" w:name="_2et92p0" w:colFirst="0" w:colLast="0"/>
    <w:bookmarkEnd w:id="4"/>
    <w:p>
      <w:pPr>
        <w:pStyle w:val="style2"/>
        <w:contextualSpacing w:val="false"/>
        <w:rPr/>
      </w:pPr>
      <w:r>
        <w:t>Contemporary banking issues</w:t>
      </w:r>
    </w:p>
    <w:p>
      <w:pPr>
        <w:pStyle w:val="style0"/>
        <w:contextualSpacing w:val="false"/>
        <w:rPr/>
      </w:pPr>
      <w:r>
        <w:t xml:space="preserve">There are different challenges for the banking industries in UK and those mostly are macro forces. The success of these industries and its participant would depend on two factor and those are following the long term business goals and also balancing the performance expectations in the short run. Here the combinations would be like the formation of institutions based on agility, technologically advanced and long term strategic oriented approaches. The following forces analysis would be essential for the industry </w:t>
      </w:r>
    </w:p>
    <w:p>
      <w:pPr>
        <w:pStyle w:val="style0"/>
        <w:contextualSpacing w:val="false"/>
        <w:rPr>
          <w:b/>
        </w:rPr>
      </w:pPr>
      <w:r>
        <w:rPr>
          <w:b/>
        </w:rPr>
        <w:t>Economic situation</w:t>
      </w:r>
    </w:p>
    <w:p>
      <w:pPr>
        <w:pStyle w:val="style0"/>
        <w:contextualSpacing w:val="false"/>
        <w:rPr/>
      </w:pPr>
      <w:r>
        <w:t xml:space="preserve">The economic condition of the world is looking stable as the projected growth rate for the current year is 3.9% for the world and for the EU region it is 2.5 (imf, 2018). On the other hand the UK economic situation is showing moderate enthusiasm in the current financial year. The growth rate is expected to stay somewhere at 1% level but the political uncertainty like Brexit is creating uncertain economic situation where the investments from the corporate became causes. But the EU and the USA labour market is getting tightened. This aspect would improve the credit expansion and gains of the corporate. In recent times the FED rates are again increasing in the market and that would have reciprocation in the EU market also (deloitte, 2018). This aspect would impact the next investment cycle in the market. The falling Pound in the UK market would provide some implications to the earnings of the UK banks (Rees, 2017). On the other hand the foreign banks in the UK would find it easy to invest as they would need less Dollar equivalent fund to invest in the Pounds. On the other hand the interest rate in UK has increased in recent times to check the inflation in the market. This would attract more foreign fund in the UK financial market to gain more in term of interest (Rees, 2017). Therefore the liquidity would improve in the market but the competition would also increase in the industry.  Better economic environment worldwide would impact HSBC positively as other business organisations. The current trend of interest rate hike in different important regions of world market would improve the yield of these banks (Buch </w:t>
      </w:r>
      <w:r>
        <w:rPr>
          <w:i/>
        </w:rPr>
        <w:t xml:space="preserve">et al., </w:t>
      </w:r>
      <w:r>
        <w:t>2011). On the other hand the emerging market is looking to be the most attractive part of the world economy and HSBC as an international banking organisation must be able to capitalise on this factor and also should invest in the future of these important markets.</w:t>
      </w:r>
    </w:p>
    <w:p>
      <w:pPr>
        <w:pStyle w:val="style0"/>
        <w:contextualSpacing w:val="false"/>
        <w:rPr/>
      </w:pPr>
      <w:r>
        <w:rPr/>
        <w:drawing>
          <wp:inline distT="0" distB="0" distL="0" distR="0">
            <wp:extent cx="5725795" cy="1883410"/>
            <wp:effectExtent l="0" t="0" r="0" b="0"/>
            <wp:docPr id="1035" name="Image1"/>
            <a:graphic xmlns:a="http://schemas.openxmlformats.org/drawingml/2006/main">
              <a:graphicData uri="http://schemas.openxmlformats.org/drawingml/2006/picture">
                <pic:pic xmlns:pic="http://schemas.openxmlformats.org/drawingml/2006/picture">
                  <pic:nvPicPr>
                    <pic:cNvPr id="1" name="Image"/>
                    <pic:cNvPicPr/>
                  </pic:nvPicPr>
                  <pic:blipFill rotWithShape="true">
                    <a:blip r:embed="rId7" cstate="print">
                      <a:extLst>
                        <a:ext uri="{28A0092B-C50C-407E-A947-70E740481C1C}">
                          <a14:useLocalDpi xmlns:a14="http://schemas.microsoft.com/office/drawing/2010/main" val="0"/>
                        </a:ext>
                      </a:extLst>
                    </a:blip>
                    <a:srcRect l="0" t="0" r="0" b="0"/>
                    <a:stretch>
                      <a:fillRect/>
                    </a:stretch>
                  </pic:blipFill>
                  <pic:spPr>
                    <a:xfrm>
                      <a:off x="0" y="0"/>
                      <a:ext cx="5725795" cy="1883410"/>
                    </a:xfrm>
                    <a:prstGeom prst="rect">
                      <a:avLst/>
                    </a:prstGeom>
                  </pic:spPr>
                </pic:pic>
              </a:graphicData>
            </a:graphic>
          </wp:inline>
        </w:drawing>
      </w:r>
    </w:p>
    <w:p>
      <w:pPr>
        <w:pStyle w:val="style0"/>
        <w:jc w:val="center"/>
        <w:contextualSpacing w:val="false"/>
        <w:rPr/>
      </w:pPr>
      <w:r>
        <w:t>[Souece:</w:t>
      </w:r>
      <w:r>
        <w:rPr>
          <w:b/>
        </w:rPr>
        <w:t xml:space="preserve"> </w:t>
      </w:r>
      <w:r>
        <w:t>deloitte, 2018]</w:t>
      </w:r>
    </w:p>
    <w:p>
      <w:pPr>
        <w:pStyle w:val="style0"/>
        <w:contextualSpacing w:val="false"/>
        <w:rPr/>
      </w:pPr>
    </w:p>
    <w:p>
      <w:pPr>
        <w:pStyle w:val="style0"/>
        <w:contextualSpacing w:val="false"/>
        <w:rPr/>
      </w:pPr>
      <w:r>
        <w:rPr/>
        <w:drawing>
          <wp:inline distT="0" distB="0" distL="0" distR="0">
            <wp:extent cx="5731510" cy="3788849"/>
            <wp:effectExtent l="0" t="0" r="0" b="0"/>
            <wp:docPr id="1036" name="Image1"/>
            <a:graphic xmlns:a="http://schemas.openxmlformats.org/drawingml/2006/main">
              <a:graphicData uri="http://schemas.openxmlformats.org/drawingml/2006/picture">
                <pic:pic xmlns:pic="http://schemas.openxmlformats.org/drawingml/2006/picture">
                  <pic:nvPicPr>
                    <pic:cNvPr id="2" name="Image"/>
                    <pic:cNvPicPr/>
                  </pic:nvPicPr>
                  <pic:blipFill rotWithShape="true">
                    <a:blip r:embed="rId8" cstate="print">
                      <a:extLst>
                        <a:ext uri="{28A0092B-C50C-407E-A947-70E740481C1C}">
                          <a14:useLocalDpi xmlns:a14="http://schemas.microsoft.com/office/drawing/2010/main" val="0"/>
                        </a:ext>
                      </a:extLst>
                    </a:blip>
                    <a:srcRect l="0" t="0" r="0" b="0"/>
                    <a:stretch>
                      <a:fillRect/>
                    </a:stretch>
                  </pic:blipFill>
                  <pic:spPr>
                    <a:xfrm>
                      <a:off x="0" y="0"/>
                      <a:ext cx="5731510" cy="3788849"/>
                    </a:xfrm>
                    <a:prstGeom prst="rect">
                      <a:avLst/>
                    </a:prstGeom>
                  </pic:spPr>
                </pic:pic>
              </a:graphicData>
            </a:graphic>
          </wp:inline>
        </w:drawing>
      </w:r>
    </w:p>
    <w:p>
      <w:pPr>
        <w:pStyle w:val="style0"/>
        <w:jc w:val="center"/>
        <w:contextualSpacing w:val="false"/>
        <w:rPr/>
      </w:pPr>
      <w:r>
        <w:t>[Source: imf, 2018]</w:t>
      </w:r>
    </w:p>
    <w:p>
      <w:pPr>
        <w:pStyle w:val="style0"/>
        <w:jc w:val="center"/>
        <w:contextualSpacing w:val="false"/>
        <w:rPr/>
      </w:pPr>
      <w:r>
        <w:rPr/>
        <w:drawing>
          <wp:inline distT="0" distB="0" distL="0" distR="0">
            <wp:extent cx="4713605" cy="3385184"/>
            <wp:effectExtent l="0" t="0" r="0" b="0"/>
            <wp:docPr id="1037" name="Image1"/>
            <a:graphic xmlns:a="http://schemas.openxmlformats.org/drawingml/2006/main">
              <a:graphicData uri="http://schemas.openxmlformats.org/drawingml/2006/picture">
                <pic:pic xmlns:pic="http://schemas.openxmlformats.org/drawingml/2006/picture">
                  <pic:nvPicPr>
                    <pic:cNvPr id="3" name="Image"/>
                    <pic:cNvPicPr/>
                  </pic:nvPicPr>
                  <pic:blipFill rotWithShape="true">
                    <a:blip r:embed="rId9" cstate="print">
                      <a:extLst>
                        <a:ext uri="{28A0092B-C50C-407E-A947-70E740481C1C}">
                          <a14:useLocalDpi xmlns:a14="http://schemas.microsoft.com/office/drawing/2010/main" val="0"/>
                        </a:ext>
                      </a:extLst>
                    </a:blip>
                    <a:srcRect l="0" t="0" r="0" b="0"/>
                    <a:stretch>
                      <a:fillRect/>
                    </a:stretch>
                  </pic:blipFill>
                  <pic:spPr>
                    <a:xfrm>
                      <a:off x="0" y="0"/>
                      <a:ext cx="4713605" cy="3385184"/>
                    </a:xfrm>
                    <a:prstGeom prst="rect">
                      <a:avLst/>
                    </a:prstGeom>
                  </pic:spPr>
                </pic:pic>
              </a:graphicData>
            </a:graphic>
          </wp:inline>
        </w:drawing>
      </w:r>
    </w:p>
    <w:p>
      <w:pPr>
        <w:pStyle w:val="style0"/>
        <w:jc w:val="center"/>
        <w:contextualSpacing w:val="false"/>
        <w:rPr/>
      </w:pPr>
      <w:r>
        <w:t>[Souece:</w:t>
      </w:r>
      <w:r>
        <w:rPr>
          <w:b/>
        </w:rPr>
        <w:t xml:space="preserve"> </w:t>
      </w:r>
      <w:r>
        <w:t>Rees, 2017]</w:t>
      </w:r>
    </w:p>
    <w:p>
      <w:pPr>
        <w:pStyle w:val="style0"/>
        <w:contextualSpacing w:val="false"/>
        <w:rPr>
          <w:b/>
        </w:rPr>
      </w:pPr>
      <w:r>
        <w:rPr>
          <w:b/>
        </w:rPr>
        <w:t>Customer centric approach</w:t>
      </w:r>
    </w:p>
    <w:p>
      <w:pPr>
        <w:pStyle w:val="style0"/>
        <w:contextualSpacing w:val="false"/>
        <w:rPr/>
      </w:pPr>
      <w:r>
        <w:t xml:space="preserve">The old marketing approach is still predominant in the banking industry. The product centric and sales oriented approach is followed in the industry. The current need is the customer centric approach and there the segmentation, proper targeting would be essential for the future growth of the industry (Singh and Jain, 2017). Lack of this approach in the baking organisations would prove to be costly for the organisations as the implications of the digital innovation disruption process would create losing control of the customer as their experience would dominate their behaviour in the market. The strategies of the banking industry have undergone a sea change after the last financial crises in the market. But in recent times the perception of the fintech industries in the banking sector has changed (Nicoletti, 2017). Earlier it was considered to be a threat for the traditional banking industry but currently it is seen as the important opportunity for the industry to grow in the market. One of the important aspects of the fintech solution in the market is the gap fulfilling of the customer centric approach of the banking industry (Nicoletti, 2017). Therefore the greater application of the solution in the banking industry would improve the customer centric aspect of the operation. The result would more satisfied and loyal customer type for the banks. The embracing of the new tech solutions through partnering with the established ecosystem would also improve the agility factor for the industry. This agility would improve business sustainability and growth options. Better customer service is followed in the HSBC in their worldwide operation. In recent time HSBC has adopted the approach to use the fintech like solution to improve their performance. In recent times the business has decided to invest $15 to $17 bn in their banking operation worldwide for the technology improvement (Peyton, 2018). The organisation is also investing in the future skills and the digital capability improvement for the staffs. This holistic approach would help them to improve their customer centric approach and also improve business profitability. </w:t>
      </w:r>
    </w:p>
    <w:p>
      <w:pPr>
        <w:pStyle w:val="style0"/>
        <w:contextualSpacing w:val="false"/>
        <w:rPr>
          <w:b/>
        </w:rPr>
      </w:pPr>
      <w:r>
        <w:rPr>
          <w:b/>
        </w:rPr>
        <w:t>Regulations</w:t>
      </w:r>
    </w:p>
    <w:p>
      <w:pPr>
        <w:pStyle w:val="style0"/>
        <w:contextualSpacing w:val="false"/>
        <w:rPr/>
      </w:pPr>
      <w:r>
        <w:t>In the banking sector globally the last financial crises is followed by strict regulations and scrutinise of the banking system. The situation has settled down for a while and the more region centric approaches of the regulation is gaining priority for the banking industries rather than the international standards. For example the guidelines of the Basel III are still pending for the banking sector (Heltman, 2017). In the USA market the liquidity and capital requirements for the banks are higher, proper resolution and recovery is planned, stress assets are tested regularly. The accountability for the top executives and an overall customer fair treatment is required in the USA market to be followed through different regulations. On the other hand in the EU region the two major regulatory requirements expected are the holding company if intermediate nature and the Directive II regime of the Markets in financial instruments (deloitte, 2018). Then there are PSD2 or the ‘Second payment service directive’ would be a regulatory requirement which would be replicated in other regions. Then the latest GDPR regulation for the more strict data protection purpose would be another obligation for the banking industry in this region. UK is currently planning to get would of the EU region and therefore the uncertainty for the regulatory process would persist for some time before thing gets cleared out. The regulations like GDPR would be implemented is similar way through UK would not be the part of EU for other aspect of the regulatory processes the banking industry in the UK must plan ahead for the maximum impact (</w:t>
      </w:r>
      <w:r>
        <w:rPr/>
        <w:fldChar w:fldCharType="begin"/>
      </w:r>
      <w:r>
        <w:instrText xml:space="preserve"> HYPERLINK "https://www.wired.co.uk/profile/matt-burgess" </w:instrText>
      </w:r>
      <w:r>
        <w:rPr/>
        <w:fldChar w:fldCharType="separate"/>
      </w:r>
      <w:r>
        <w:t>Burgess</w:t>
      </w:r>
      <w:r>
        <w:rPr/>
        <w:fldChar w:fldCharType="end"/>
      </w:r>
      <w:r>
        <w:t xml:space="preserve">, 2018). The implementations of these regulatory requirements in HSBC would help them be resilient in their global financial environment. The current position analysis in the above section for HSBC is showing healthy compliance record and that is useful for the future performance and also trust factor in the organisation. The regulatory compliance can also be improved thorough technology implementation. In that direction HSBC in recent time has invested and also partnering with the fintech business. One example would be the alliance with the Quantexa a start up fintech organisation helps them in checking the money laundering activity as that has increment time damaged their reputation (Flinders, 2017).  </w:t>
      </w:r>
    </w:p>
    <w:p>
      <w:pPr>
        <w:pStyle w:val="style0"/>
        <w:contextualSpacing w:val="false"/>
        <w:rPr>
          <w:b/>
        </w:rPr>
      </w:pPr>
      <w:r>
        <w:rPr>
          <w:b/>
        </w:rPr>
        <w:t>Technology implication</w:t>
      </w:r>
    </w:p>
    <w:p>
      <w:pPr>
        <w:pStyle w:val="style0"/>
        <w:contextualSpacing w:val="false"/>
        <w:rPr/>
      </w:pPr>
      <w:r>
        <w:t xml:space="preserve">The assets in the technology and technology rich process development need to be managed efficiently by the banks to generate better prospect for the business. the CIOs or the ‘chef intelligence officers’ would have to have to develop a strategic approach in this regard to influence the efficiency and cost factor to maximise the return for the organisation. In the banking industry worldwide, one of the important priorities is the modernising process in the core infrastructures in the operation. The technology based legacy infrastructure for the banks consumer lot of capital and or other resource for the smooth operation. Therefore in the banking industry this modernisation process is trending and getting more attention (ovum.informa, 2018).  The change process for the modernisation process must be able to ensure minimum internal process of disruption and maximisation of the value creation for the organisation. In this process important considerations would be technology portfolio asset management for the most value creation, selecting appropriate externalisation of the technology, proper management approach for the appropriate resource utilisation for the long term competitive advantage development for the organisation in the market (deloitte, 2017). This big change in the banking industry is a long term process but in the 2018 the industry needs to take the starting initiatives. In this regard HSBC has started their investment by looking at the future requirement. The commitment of the group to investment in the new technology close to $15 to $17bn is a positive step in that direction. This development of the legacy infrastructure would help the organisation operate with much larger size with greater efficiency. </w:t>
      </w:r>
    </w:p>
    <w:p>
      <w:pPr>
        <w:pStyle w:val="style0"/>
        <w:contextualSpacing w:val="false"/>
        <w:rPr>
          <w:b/>
        </w:rPr>
      </w:pPr>
      <w:r>
        <w:rPr>
          <w:b/>
        </w:rPr>
        <w:t>Risk from Cyber space</w:t>
      </w:r>
    </w:p>
    <w:p>
      <w:pPr>
        <w:pStyle w:val="style0"/>
        <w:contextualSpacing w:val="false"/>
        <w:rPr/>
      </w:pPr>
      <w:r>
        <w:t xml:space="preserve">The banking system is now more interconnected, greater use of the legacy infrastructure and new technology is causing potential risk from the cyber attack. The cyber risk in the banking system is well recognised and the risk is become much more serious because of the actors that are causing risk are becoming more and more sophisticated (Carter, 2017). The banks recognition of this risk has provided more funds for the cyber security purpose, greater cooperation and communication among the different banks or the regulatory organisation. The best approaches and practices are been adopted in the banking systems. In spite of more and more effort this risk is not getting minimised as the problem is getting more and more complex (Hida, 2017).  The need is that the cyber risk factor must be the most important factor in the core decision making process. In 2015 HSBC had recognised the threat of cyber security (Reeve, 2015). Considering that the organisation decided to invest in this process. Along with this the current investments in the technology part would strength this position of the business and help the organisation be protected from this threat.  </w:t>
      </w:r>
    </w:p>
    <w:p>
      <w:pPr>
        <w:pStyle w:val="style0"/>
        <w:contextualSpacing w:val="false"/>
        <w:rPr>
          <w:b/>
        </w:rPr>
      </w:pPr>
      <w:r>
        <w:rPr>
          <w:b/>
        </w:rPr>
        <w:t>Big and fintechs</w:t>
      </w:r>
    </w:p>
    <w:p>
      <w:pPr>
        <w:pStyle w:val="style0"/>
        <w:contextualSpacing w:val="false"/>
        <w:rPr/>
      </w:pPr>
      <w:r>
        <w:t xml:space="preserve">These technology rich solutions in the banking industry have provided some great sources of change. But this fintechs were not able to develop their completive advantage generating position in the industry and therefore the competitive landscape of the industry is not highly impacted by this change process (luxembourgforfinance, 2015). The main reason for this situation in the banking industry are the higher entry barrier from the regulatory aspect, the replication or partnering or absorption of fintech and the requirement of capital, slow switching behaviour of the customers. Btu there are examples which have surpassed these barriers and able to deliver quality solutions that raised the bar for the experience wise expectation of the customers (luxembourgforfinance, 2015). The fintech business did not change the completive landscape of the industry but in recent times the big banks are coming forward to tie with them to improve their operations. The recent example of HSBC partnering with Quantexa a start up fintech organisation would be the direction for the future completive advantage developing aspect for the industry. Here Quantexa has the capability like the artificial intelligence and open source software which HSBC would be able to utilise in their operation to chef the money laundering activity (Flinders, 2017). This approach would be the future value developing approach for the banking industry. </w:t>
      </w:r>
    </w:p>
    <w:p>
      <w:pPr>
        <w:pStyle w:val="style0"/>
        <w:contextualSpacing w:val="false"/>
        <w:rPr>
          <w:b/>
        </w:rPr>
      </w:pPr>
      <w:r>
        <w:rPr>
          <w:b/>
        </w:rPr>
        <w:t>Workforce development</w:t>
      </w:r>
    </w:p>
    <w:p>
      <w:pPr>
        <w:pStyle w:val="style0"/>
        <w:contextualSpacing w:val="false"/>
        <w:rPr/>
      </w:pPr>
      <w:r>
        <w:t>In the banking industry the automation technology and the need for higher diversity is forcing the organisations to go for reforming the workforce in the banking system. The current situation is that in the banking industry the robots can service simultaneously along with the humans, contract and permanent employee proportion selection, greater expected diversity in the talent pool, inclusion of the multi bank based freelancing jobs and the absorption of the fintech businesses (ohn Hagel et al., 2017). The focus on the technology for all the different types of customer service would not be wise approach for the industry and the human skill would still be one of the important factors for the success of the organisations. The sustainability factors like the corporate governance, social and environmental responsibility are the important aspect that the organisation needs to consider to align their workforce more close as an important strategy (Jim Eckenrode and Val Srinivas, 2016).  For the HSBC the current financial scandal is showing some important ethical and sustainability challenge for the organisation. There is concern over the too big size of the organisation to manage the operation ethically. In that respect alignment of the workforce with the organisational culture and policy direction would be important for the future operation. In the current year the organisation is investing in this process to make sure that the banking operation is safe and can restore the confidence on the system (Morrison, 2018).  In last year’s operation would wide HSBC have cut job of 100 top executive like directors or managing director’s level. This is measure of strong performance measurement (Fransen, 2017).  The organisation had recognised the contribution of the top performer in the organisation and also has taken strong action against the poor performer at the top level. This approach would improve the corporate governance of the organisation in their world wide operation. This would help them reduce the different scandal that damaged their image in the market as well as improve safe banking approach. On the other hand for the general employees of the organisation the approach of regular investment and continuous improvement is the approach (hsbc, 2018). The career and personal development of the employees is a priority for the organisation which is also aligned with the strategy and goals of the business. This approach would improve the customer service, better decision making at each level and efficiency of the business.</w:t>
      </w:r>
    </w:p>
    <w:bookmarkStart w:id="5" w:name="_tyjcwt" w:colFirst="0" w:colLast="0"/>
    <w:bookmarkEnd w:id="5"/>
    <w:p>
      <w:pPr>
        <w:pStyle w:val="style1"/>
        <w:contextualSpacing w:val="false"/>
        <w:rPr/>
      </w:pPr>
      <w:r>
        <w:t>Part C) Treasury bill issuance</w:t>
      </w:r>
    </w:p>
    <w:p>
      <w:pPr>
        <w:pStyle w:val="style0"/>
        <w:spacing w:before="240"/>
        <w:contextualSpacing w:val="false"/>
        <w:rPr/>
      </w:pPr>
      <w:r>
        <w:t>Treasury bill is a short term debt instrument for the government. This is also known as the T bill is short. Like many other country around the world UK government also uses this money market instrument. This is a risk free return instrument for the investors and a great instrument for the government from the standpoint of credit requirements (McRae and Cairncross, 2017). This is an open market based operation for the government for the regulation and fund raising. The consolidated and the national loan fund is resourced through this UK government unconditional sterling dominated money market instruments. These debt securities are eligible for the zero coupons (dmo.gov.uk, 2018).  The ‘Debt management account’ or DMO is responsible to issue and liable to pay back. The detail discussion of this financial instrument is in the following section.</w:t>
      </w:r>
    </w:p>
    <w:bookmarkStart w:id="6" w:name="_3dy6vkm" w:colFirst="0" w:colLast="0"/>
    <w:bookmarkEnd w:id="6"/>
    <w:p>
      <w:pPr>
        <w:pStyle w:val="style2"/>
        <w:contextualSpacing w:val="false"/>
        <w:rPr/>
      </w:pPr>
      <w:r>
        <w:t>Issuance regulation</w:t>
      </w:r>
    </w:p>
    <w:p>
      <w:pPr>
        <w:pStyle w:val="style0"/>
        <w:contextualSpacing w:val="false"/>
        <w:rPr/>
      </w:pPr>
      <w:r>
        <w:t xml:space="preserve">The issuance of the T bills is done by DMO some time in ad hoc but most of the time in weekly manner. Sometimes the bills are issued on the basis of certain conditions and request of the counterparties who are recognised. The primary instrument for the issues of these treasury bills are the 1877’s ‘Treasury bill Act’. The amendment is done in the 1968 as ‘Treasury bill regulations’ (dmo.gov.uk, 2018). </w:t>
      </w:r>
    </w:p>
    <w:p>
      <w:pPr>
        <w:pStyle w:val="style0"/>
        <w:contextualSpacing w:val="false"/>
        <w:rPr/>
      </w:pPr>
      <w:r>
        <w:t>The HM treasury is the body that monitors the ‘National Loan Fund’s daily net cash flow, to be used for the accurate forecasting of the cash requirement or surplus position. This report is used by DMO to use instrument and making proper arrangement to fulfil the fund requirement for the central government (McRae and Cairncross, 2017). In this regard of cash management T bills are one of the useful instruments for the DMO.</w:t>
      </w:r>
    </w:p>
    <w:p>
      <w:pPr>
        <w:pStyle w:val="style0"/>
        <w:contextualSpacing w:val="false"/>
        <w:rPr/>
      </w:pPr>
      <w:r>
        <w:t xml:space="preserve">The issuance of the T bills is done with a maturity period of one day to three sixty five days. The popular approach of issuing the T bills every weekly is done for the maturity of 28 days approximately or one month, 91 days approximately or 3 months, and 182 days approximately or 6 months. ISIN codes are attached with the T bills and same maturity date based existing bills fungible with it (dmo.gov.uk, 2018). The transferable process follows the one penny multiple a value. In the RTGS or ‘real time gross settlement’ and open market operation the bills can be kept as collateral. In the DBV or the ‘delivery by value’, the T bills are considered as trader class gilt. In the central depositaries of Euroclear and in CREST the T bills are also eligible to be held. </w:t>
      </w:r>
    </w:p>
    <w:p>
      <w:pPr>
        <w:pStyle w:val="style0"/>
        <w:contextualSpacing w:val="false"/>
        <w:rPr/>
      </w:pPr>
    </w:p>
    <w:bookmarkStart w:id="7" w:name="_1t3h5sf" w:colFirst="0" w:colLast="0"/>
    <w:bookmarkEnd w:id="7"/>
    <w:p>
      <w:pPr>
        <w:pStyle w:val="style2"/>
        <w:contextualSpacing w:val="false"/>
        <w:rPr/>
      </w:pPr>
      <w:r>
        <w:t>Treasury bill primary and secondary market</w:t>
      </w:r>
    </w:p>
    <w:p>
      <w:pPr>
        <w:pStyle w:val="style0"/>
        <w:contextualSpacing w:val="false"/>
        <w:rPr/>
      </w:pPr>
      <w:r>
        <w:t>The T bills in the UK market are issued on discounts. The trader or the brokers of the market are the main buyer in the primary market. The discounted mechanism works in the following way.</w:t>
      </w:r>
    </w:p>
    <w:p>
      <w:pPr>
        <w:pStyle w:val="style0"/>
        <w:contextualSpacing w:val="false"/>
        <w:rPr/>
      </w:pPr>
      <w:r>
        <w:t xml:space="preserve">Say a 90 day maturity type T bill of £1000000 is issued say at 7% discount. </w:t>
      </w:r>
    </w:p>
    <w:p>
      <w:pPr>
        <w:pStyle w:val="style0"/>
        <w:contextualSpacing w:val="false"/>
        <w:rPr/>
      </w:pPr>
      <w:r>
        <w:t>Therefore the tendered price becomes £982739.73.</w:t>
      </w:r>
    </w:p>
    <w:p>
      <w:pPr>
        <w:pStyle w:val="style0"/>
        <w:contextualSpacing w:val="false"/>
        <w:rPr/>
      </w:pPr>
      <w:r>
        <w:t xml:space="preserve">The yield becomes </w:t>
      </w:r>
    </w:p>
    <w:p>
      <w:pPr>
        <w:pStyle w:val="style0"/>
        <w:contextualSpacing w:val="false"/>
        <w:rPr/>
      </w:pPr>
      <w:r>
        <w:t xml:space="preserve">[17260.27/982739.73] ×368/90= 7.12%. </w:t>
      </w:r>
    </w:p>
    <w:p>
      <w:pPr>
        <w:pStyle w:val="style0"/>
        <w:contextualSpacing w:val="false"/>
        <w:rPr/>
      </w:pPr>
      <w:r>
        <w:t xml:space="preserve">In the secondary market the treasury bills can be bought by the general public. The buying source can be the Banks, brokers or the dealers, some online web portals. There the auction bidding process as weekly manner happens to issue the bills (Capie and Webber, 2013). This can be electronic as well as in the paper format. In the secondary market the bills are traded on discounts and that is the straight discounts. The broker would show only the discounted rates.  </w:t>
      </w:r>
    </w:p>
    <w:bookmarkStart w:id="8" w:name="_4d34og8" w:colFirst="0" w:colLast="0"/>
    <w:bookmarkEnd w:id="8"/>
    <w:p>
      <w:pPr>
        <w:pStyle w:val="style2"/>
        <w:contextualSpacing w:val="false"/>
        <w:rPr/>
      </w:pPr>
      <w:r>
        <w:t>Market size in UK</w:t>
      </w:r>
    </w:p>
    <w:p>
      <w:pPr>
        <w:pStyle w:val="style0"/>
        <w:contextualSpacing w:val="false"/>
        <w:rPr/>
      </w:pPr>
      <w:r>
        <w:t xml:space="preserve">Compared to the USA T bill market the UK market is very small and less liquid also. Moreover the secondary market is less large is size. The auction activity happen more in the primary market rather than in the secondary market. </w:t>
      </w:r>
    </w:p>
    <w:p>
      <w:pPr>
        <w:pStyle w:val="style0"/>
        <w:contextualSpacing w:val="false"/>
        <w:rPr/>
      </w:pPr>
      <w:r>
        <w:rPr/>
        <w:drawing>
          <wp:inline distT="0" distB="0" distL="0" distR="0">
            <wp:extent cx="5725794" cy="3080385"/>
            <wp:effectExtent l="0" t="0" r="0" b="0"/>
            <wp:docPr id="1038" name="Image1"/>
            <a:graphic xmlns:a="http://schemas.openxmlformats.org/drawingml/2006/main">
              <a:graphicData uri="http://schemas.openxmlformats.org/drawingml/2006/picture">
                <pic:pic xmlns:pic="http://schemas.openxmlformats.org/drawingml/2006/picture">
                  <pic:nvPicPr>
                    <pic:cNvPr id="4" name="Image"/>
                    <pic:cNvPicPr/>
                  </pic:nvPicPr>
                  <pic:blipFill rotWithShape="true">
                    <a:blip r:embed="rId10" cstate="print">
                      <a:extLst>
                        <a:ext uri="{28A0092B-C50C-407E-A947-70E740481C1C}">
                          <a14:useLocalDpi xmlns:a14="http://schemas.microsoft.com/office/drawing/2010/main" val="0"/>
                        </a:ext>
                      </a:extLst>
                    </a:blip>
                    <a:srcRect l="0" t="0" r="0" b="0"/>
                    <a:stretch>
                      <a:fillRect/>
                    </a:stretch>
                  </pic:blipFill>
                  <pic:spPr>
                    <a:xfrm>
                      <a:off x="0" y="0"/>
                      <a:ext cx="5725794" cy="3080385"/>
                    </a:xfrm>
                    <a:prstGeom prst="rect">
                      <a:avLst/>
                    </a:prstGeom>
                  </pic:spPr>
                </pic:pic>
              </a:graphicData>
            </a:graphic>
          </wp:inline>
        </w:drawing>
      </w:r>
    </w:p>
    <w:p>
      <w:pPr>
        <w:pStyle w:val="style0"/>
        <w:jc w:val="center"/>
        <w:contextualSpacing w:val="false"/>
        <w:rPr/>
      </w:pPr>
      <w:r>
        <w:t>[Source: fred.stlouisfed, 2018]</w:t>
      </w:r>
    </w:p>
    <w:p>
      <w:pPr>
        <w:pStyle w:val="style0"/>
        <w:contextualSpacing w:val="false"/>
        <w:rPr/>
      </w:pPr>
      <w:r>
        <w:t xml:space="preserve">The above graph shows the variation in yield in the T bills for last few decades in UK. 2010 onward the discounts rate has fallen from the recent highs. This in tune with the near zero interest rate in the Uk market. The T bills stock level below for the 2017-18 and 2018-19 can provide the idea of trade volume in recent times (dmo.gov.uk, 2018). </w:t>
      </w:r>
    </w:p>
    <w:p>
      <w:pPr>
        <w:pStyle w:val="style0"/>
        <w:contextualSpacing w:val="false"/>
        <w:rPr/>
      </w:pPr>
      <w:r>
        <w:rPr/>
        <w:drawing>
          <wp:inline distT="0" distB="0" distL="0" distR="0">
            <wp:extent cx="5725795" cy="3777615"/>
            <wp:effectExtent l="0" t="0" r="0" b="0"/>
            <wp:docPr id="1039" name="Image1"/>
            <a:graphic xmlns:a="http://schemas.openxmlformats.org/drawingml/2006/main">
              <a:graphicData uri="http://schemas.openxmlformats.org/drawingml/2006/picture">
                <pic:pic xmlns:pic="http://schemas.openxmlformats.org/drawingml/2006/picture">
                  <pic:nvPicPr>
                    <pic:cNvPr id="5" name="Image"/>
                    <pic:cNvPicPr/>
                  </pic:nvPicPr>
                  <pic:blipFill rotWithShape="true">
                    <a:blip r:embed="rId11" cstate="print">
                      <a:extLst>
                        <a:ext uri="{28A0092B-C50C-407E-A947-70E740481C1C}">
                          <a14:useLocalDpi xmlns:a14="http://schemas.microsoft.com/office/drawing/2010/main" val="0"/>
                        </a:ext>
                      </a:extLst>
                    </a:blip>
                    <a:srcRect l="0" t="0" r="0" b="0"/>
                    <a:stretch>
                      <a:fillRect/>
                    </a:stretch>
                  </pic:blipFill>
                  <pic:spPr>
                    <a:xfrm>
                      <a:off x="0" y="0"/>
                      <a:ext cx="5725795" cy="3777615"/>
                    </a:xfrm>
                    <a:prstGeom prst="rect">
                      <a:avLst/>
                    </a:prstGeom>
                  </pic:spPr>
                </pic:pic>
              </a:graphicData>
            </a:graphic>
          </wp:inline>
        </w:drawing>
      </w:r>
    </w:p>
    <w:p>
      <w:pPr>
        <w:pStyle w:val="style0"/>
        <w:jc w:val="center"/>
        <w:contextualSpacing w:val="false"/>
        <w:rPr/>
      </w:pPr>
      <w:r>
        <w:t>[Source: dmo.gov.uk, 2018]</w:t>
      </w:r>
    </w:p>
    <w:bookmarkStart w:id="9" w:name="_2s8eyo1" w:colFirst="0" w:colLast="0"/>
    <w:bookmarkEnd w:id="9"/>
    <w:p>
      <w:pPr>
        <w:pStyle w:val="style2"/>
        <w:contextualSpacing w:val="false"/>
        <w:rPr/>
      </w:pPr>
      <w:r>
        <w:t>Participant in the market</w:t>
      </w:r>
    </w:p>
    <w:p>
      <w:pPr>
        <w:pStyle w:val="style0"/>
        <w:contextualSpacing w:val="false"/>
        <w:rPr/>
      </w:pPr>
      <w:r>
        <w:t xml:space="preserve">There are different types of traders in the market who deals with these T bills. These participants are discussed below. The participant for the tender of the T bills would be a register organisation of financial institution nature. ‘Financial conduct authority’ and other such regulation are the guiding principles in this regard (dmo.gov.uk, 2018). The general approach is that the bidding for the auction is done by the institutions for themselves or for their clients. The participant can be part of the following tenders.  </w:t>
      </w:r>
    </w:p>
    <w:p>
      <w:pPr>
        <w:pStyle w:val="style0"/>
        <w:contextualSpacing w:val="false"/>
        <w:rPr>
          <w:b/>
        </w:rPr>
      </w:pPr>
      <w:r>
        <w:rPr>
          <w:b/>
        </w:rPr>
        <w:t xml:space="preserve">Tender of weekly T bills </w:t>
      </w:r>
    </w:p>
    <w:p>
      <w:pPr>
        <w:pStyle w:val="style0"/>
        <w:contextualSpacing w:val="false"/>
        <w:rPr/>
      </w:pPr>
      <w:r>
        <w:t xml:space="preserve">At the last business day of the week the DMO would issue the T bills to the weekly traders in routine manner. The issuance is done generally on the Friday of the week and the general settlement day is the business day that follows. In addition to the above mentioned maturity day oriented, the 364 days of 12 months maturity day oriented T bills are released for the weekly traders (Capie and Webber, 2013). The trader for the 12 month T bills is still to happen in the history of treasury bills. The primary participant of the T bills is the route through which the general public can buy the T bills to the traders. In this process the general public has to purchase at list £500k value. </w:t>
      </w:r>
    </w:p>
    <w:p>
      <w:pPr>
        <w:pStyle w:val="style0"/>
        <w:contextualSpacing w:val="false"/>
        <w:rPr>
          <w:b/>
        </w:rPr>
      </w:pPr>
      <w:r>
        <w:rPr>
          <w:b/>
        </w:rPr>
        <w:t>Tender of Ad Hoc T bills</w:t>
      </w:r>
    </w:p>
    <w:p>
      <w:pPr>
        <w:pStyle w:val="style0"/>
        <w:contextualSpacing w:val="false"/>
        <w:rPr/>
      </w:pPr>
      <w:r>
        <w:t xml:space="preserve">Occasionally the DMO also issue one to three hundred sixty four day maturity basis treasury bills which are called the Ad Hoc T Bills (Capie and Webber, 2013). The T bills for the Ad Hoc types are identical in all of the respect to the weekly T bill but that can be nonstandard and standard maturity date base T bills also. </w:t>
      </w:r>
    </w:p>
    <w:p>
      <w:pPr>
        <w:pStyle w:val="style0"/>
        <w:contextualSpacing w:val="false"/>
        <w:rPr>
          <w:b/>
        </w:rPr>
      </w:pPr>
      <w:r>
        <w:rPr>
          <w:b/>
        </w:rPr>
        <w:t>T bills facility bilaterally</w:t>
      </w:r>
    </w:p>
    <w:p>
      <w:pPr>
        <w:pStyle w:val="style0"/>
        <w:contextualSpacing w:val="false"/>
        <w:rPr/>
      </w:pPr>
      <w:r>
        <w:t xml:space="preserve">The cash management counterparties of eligible nature when request, DMO can issue bilateral T bills. But for this issuance the DMO first needs to be satisfied about the operational requirements of cash management process. The ‘Discretionary Bilateral T bills facility’ based page would show all the require information in detailed manner (dmo.gov.uk, 2018). </w:t>
      </w:r>
    </w:p>
    <w:p>
      <w:pPr>
        <w:pStyle w:val="style0"/>
        <w:contextualSpacing w:val="false"/>
        <w:rPr/>
      </w:pPr>
    </w:p>
    <w:bookmarkStart w:id="10" w:name="_17dp8vu" w:colFirst="0" w:colLast="0"/>
    <w:bookmarkEnd w:id="10"/>
    <w:p>
      <w:pPr>
        <w:pStyle w:val="style2"/>
        <w:contextualSpacing w:val="false"/>
        <w:rPr/>
      </w:pPr>
      <w:r>
        <w:t>Mechanism for transaction</w:t>
      </w:r>
    </w:p>
    <w:p>
      <w:pPr>
        <w:pStyle w:val="style0"/>
        <w:contextualSpacing w:val="false"/>
        <w:rPr>
          <w:b/>
        </w:rPr>
      </w:pPr>
      <w:r>
        <w:rPr>
          <w:b/>
        </w:rPr>
        <w:t>Weekly T bills</w:t>
      </w:r>
    </w:p>
    <w:p>
      <w:pPr>
        <w:pStyle w:val="style0"/>
        <w:contextualSpacing w:val="false"/>
        <w:rPr/>
      </w:pPr>
      <w:r>
        <w:t>BAS or the ‘Bloomberg Auction System’ is the mean of submitting the bid for the T bill. In this regard the minimum nominal amount is £500k and any above the amount is the £50k’s multiple (dmo.gov.uk, 2018). The numbers of bids are not restricted. The maturity term must be specified in the bid and the money market percentage yield would be the basis. Here the competitive bidding is the approach. In ascending order the yield basis rank is developed for the biddings. The higher accepted bids as per the DMO would be basis for the selection and any bid below and at per are selected. DMO at its website put up the tender’s result. CREST’s delivery vs. payment is the basis of the settlement. At CREST the T bills at one penny multiples are held and can in the secondary market be transferred (dmo.gov.uk, 2016). In Euroclear the settlement of the onward transaction is done. Any failure in the settlement process needs to produce compensation by the unsuccessful auction bidder as they are not able to pay on the settlement’s due dates.</w:t>
      </w:r>
    </w:p>
    <w:p>
      <w:pPr>
        <w:pStyle w:val="style0"/>
        <w:contextualSpacing w:val="false"/>
        <w:rPr>
          <w:b/>
        </w:rPr>
      </w:pPr>
      <w:r>
        <w:rPr>
          <w:b/>
        </w:rPr>
        <w:t>Ad Hoc T bills</w:t>
      </w:r>
    </w:p>
    <w:p>
      <w:pPr>
        <w:pStyle w:val="style0"/>
        <w:contextualSpacing w:val="false"/>
        <w:rPr/>
      </w:pPr>
      <w:r>
        <w:t xml:space="preserve">Announcement of these processes is done by DMO of three weekly T bills’ wire service. Through this way DMO can at max have to auction of the Ad Hoc T bills. But this is not done in regular manner. In most cases these T bills are to be settled on the same day and occasionally following one or two business days. Here also the BAS system is the route to submit the bid electronically. The competitive bidding and a minimum investment of £5m as nominal along with nominal multiple of £1m after that is to be done by the bidder. The quantity, yield and maturity are to be mentioned in the bid procedure. DMO has the rights for the allotment of the rights (dmo.gov.uk, 2016). The successful bidder in this process would get an electronic or written note and a telephonic confirmation in this settlement process after the publishing of the result. The CREST would be used for deliver vs payment process. </w:t>
      </w:r>
    </w:p>
    <w:p>
      <w:pPr>
        <w:pStyle w:val="style0"/>
        <w:contextualSpacing w:val="false"/>
        <w:rPr>
          <w:b/>
        </w:rPr>
      </w:pPr>
      <w:r>
        <w:rPr>
          <w:b/>
        </w:rPr>
        <w:t>Bilateral T bills</w:t>
      </w:r>
    </w:p>
    <w:p>
      <w:pPr>
        <w:pStyle w:val="style0"/>
        <w:contextualSpacing w:val="false"/>
        <w:rPr/>
      </w:pPr>
      <w:r>
        <w:t xml:space="preserve">In this process of issuance the market rate would prevail for the DMO’s price quotation and here the cash status of DMO and the relevant maturity would be considering points. The consideration of the request made by the counterparties in this process creating existing or new bills which would have minimum 1 day maturity term would be done by DMO. The size request is £500k at minimum level. This bilateral transaction is limitless but the maximum bar defining is in the hand of DMO. Any other maturity date oriented T bills would be clubbed together with this bilateral bill. In the settlement process the request to issue these types of bill must be notified DMO before the morning 10.30am time period on the same day (dmo.gov.uk, 2016). This process would also be there and the time 10.30am would be the target time to notify for the bills which would be have subsequent business day issuance.  </w:t>
      </w:r>
    </w:p>
    <w:p>
      <w:pPr>
        <w:pStyle w:val="style0"/>
        <w:spacing w:lineRule="auto" w:line="276"/>
        <w:jc w:val="left"/>
        <w:contextualSpacing w:val="false"/>
        <w:rPr/>
      </w:pPr>
      <w:r>
        <w:br w:type="page"/>
      </w:r>
    </w:p>
    <w:bookmarkStart w:id="11" w:name="_3rdcrjn" w:colFirst="0" w:colLast="0"/>
    <w:bookmarkEnd w:id="11"/>
    <w:p>
      <w:pPr>
        <w:pStyle w:val="style1"/>
        <w:contextualSpacing w:val="false"/>
        <w:rPr/>
      </w:pPr>
      <w:r>
        <w:t>Reference</w:t>
      </w:r>
    </w:p>
    <w:p>
      <w:pPr>
        <w:pStyle w:val="style0"/>
        <w:contextualSpacing w:val="false"/>
        <w:rPr/>
      </w:pPr>
      <w:r>
        <w:t>Acharya, V. V., and Mora, N. (2015). A crisis of banks as liquidity providers. </w:t>
      </w:r>
      <w:r>
        <w:rPr>
          <w:i/>
        </w:rPr>
        <w:t>The journal of Finance</w:t>
      </w:r>
      <w:r>
        <w:t>, </w:t>
      </w:r>
      <w:r>
        <w:rPr>
          <w:i/>
        </w:rPr>
        <w:t>70</w:t>
      </w:r>
      <w:r>
        <w:t>(1), 1-43.</w:t>
      </w:r>
    </w:p>
    <w:p>
      <w:pPr>
        <w:pStyle w:val="style0"/>
        <w:contextualSpacing w:val="false"/>
        <w:rPr/>
      </w:pPr>
      <w:r>
        <w:t>Allen, W. (2014). Eligibility, bank liquidity, Basel 3, bank credit and macro-prudential policy: History and current issues.</w:t>
      </w:r>
    </w:p>
    <w:p>
      <w:pPr>
        <w:pStyle w:val="style0"/>
        <w:contextualSpacing w:val="false"/>
        <w:rPr/>
      </w:pPr>
      <w:r>
        <w:t>bis. (2013). </w:t>
      </w:r>
      <w:r>
        <w:rPr>
          <w:i/>
        </w:rPr>
        <w:t xml:space="preserve">Basel III: The Liquidity Coverage Ratio and liquidity risk monitoring tools. </w:t>
      </w:r>
      <w:r>
        <w:t>[online] Available at: https://www.bis.org/publ/bcbs238.pdf [Accessed 13 Aug. 2017].</w:t>
      </w:r>
    </w:p>
    <w:p>
      <w:pPr>
        <w:pStyle w:val="style0"/>
        <w:contextualSpacing w:val="false"/>
        <w:rPr/>
      </w:pPr>
      <w:r>
        <w:t>Buch, C. M., Koch, C. T., and Koetter, M. (2011). Size, productivity, and international banking. </w:t>
      </w:r>
      <w:r>
        <w:rPr>
          <w:i/>
        </w:rPr>
        <w:t>Journal of International Economics</w:t>
      </w:r>
      <w:r>
        <w:t>, </w:t>
      </w:r>
      <w:r>
        <w:rPr>
          <w:i/>
        </w:rPr>
        <w:t>85</w:t>
      </w:r>
      <w:r>
        <w:t>(2), 329-334.</w:t>
      </w:r>
    </w:p>
    <w:p>
      <w:pPr>
        <w:pStyle w:val="style0"/>
        <w:contextualSpacing w:val="false"/>
        <w:rPr/>
      </w:pPr>
      <w:r>
        <w:rPr/>
        <w:fldChar w:fldCharType="begin"/>
      </w:r>
      <w:r>
        <w:instrText xml:space="preserve"> HYPERLINK "https://www.wired.co.uk/profile/matt-burgess" </w:instrText>
      </w:r>
      <w:r>
        <w:rPr/>
        <w:fldChar w:fldCharType="separate"/>
      </w:r>
      <w:r>
        <w:t>BURGESS</w:t>
      </w:r>
      <w:r>
        <w:rPr/>
        <w:fldChar w:fldCharType="end"/>
      </w:r>
      <w:r>
        <w:t>, M. (2018). </w:t>
      </w:r>
      <w:r>
        <w:rPr>
          <w:i/>
        </w:rPr>
        <w:t xml:space="preserve">What is GDPR? The summary guide to GDPR compliance in the UK. </w:t>
      </w:r>
      <w:r>
        <w:t>[online] Available at: https://www.wired.co.uk/article/what-is-gdpr-uk-eu-legislation-compliance-summary-fines-2018 [Accessed 13 Aug. 2017].</w:t>
      </w:r>
    </w:p>
    <w:p>
      <w:pPr>
        <w:pStyle w:val="style0"/>
        <w:contextualSpacing w:val="false"/>
        <w:rPr/>
      </w:pPr>
      <w:r>
        <w:t>Capie, F., and Webber, A. (2013). </w:t>
      </w:r>
      <w:r>
        <w:rPr>
          <w:i/>
        </w:rPr>
        <w:t>A Monetary History of the United Kingdom: 1870-1982</w:t>
      </w:r>
      <w:r>
        <w:t>. Routledge.</w:t>
      </w:r>
    </w:p>
    <w:p>
      <w:pPr>
        <w:pStyle w:val="style0"/>
        <w:contextualSpacing w:val="false"/>
        <w:rPr/>
      </w:pPr>
      <w:r>
        <w:t>Carter, W. A. (2017). Forces Shaping the Cyber Threat Landscape for Financial Institutions.</w:t>
      </w:r>
    </w:p>
    <w:p>
      <w:pPr>
        <w:pStyle w:val="style0"/>
        <w:contextualSpacing w:val="false"/>
        <w:rPr/>
      </w:pPr>
      <w:r>
        <w:t>deloitte. (2017). </w:t>
      </w:r>
      <w:r>
        <w:rPr>
          <w:i/>
        </w:rPr>
        <w:t xml:space="preserve">Managed services. </w:t>
      </w:r>
      <w:r>
        <w:t>[online] Available at: https://www2.deloitte.com/insights/us/en/industry/financial-services/managed-services-in-risk-management-and-regulatory-compliance.html [Accessed 13 Aug. 2017].</w:t>
      </w:r>
    </w:p>
    <w:p>
      <w:pPr>
        <w:pStyle w:val="style0"/>
        <w:contextualSpacing w:val="false"/>
        <w:rPr/>
      </w:pPr>
      <w:r>
        <w:t>deloitte. (2018). </w:t>
      </w:r>
      <w:r>
        <w:rPr>
          <w:i/>
          <w:sz w:val="22"/>
          <w:szCs w:val="22"/>
        </w:rPr>
        <w:t>2018 Banking Industry Outlook</w:t>
      </w:r>
      <w:r>
        <w:rPr>
          <w:i/>
        </w:rPr>
        <w:t xml:space="preserve">. </w:t>
      </w:r>
      <w:r>
        <w:t>[online] Available at: https://www2.deloitte.com/uk/en/pages/financial-services/articles/banking-industry-outlook.html [Accessed 13 Aug. 2017].</w:t>
      </w:r>
    </w:p>
    <w:p>
      <w:pPr>
        <w:pStyle w:val="style0"/>
        <w:contextualSpacing w:val="false"/>
        <w:rPr/>
      </w:pPr>
      <w:r>
        <w:t>dmo.gov.uk. (2016). </w:t>
      </w:r>
      <w:r>
        <w:rPr>
          <w:i/>
        </w:rPr>
        <w:t>Exchequer cash management in the United Kingdom</w:t>
      </w:r>
      <w:r>
        <w:t>. [online] Available at: https://www.dmo.gov.uk/media/2230/cmopnot160316.pdf [Accessed 10 Aug. 2018].</w:t>
      </w:r>
    </w:p>
    <w:p>
      <w:pPr>
        <w:pStyle w:val="style0"/>
        <w:contextualSpacing w:val="false"/>
        <w:rPr/>
      </w:pPr>
      <w:r>
        <w:t>dmo.gov.uk. (2018). </w:t>
      </w:r>
      <w:r>
        <w:rPr>
          <w:i/>
        </w:rPr>
        <w:t>Treasury Bills</w:t>
      </w:r>
      <w:r>
        <w:t>. [online] Available at: https://www.dmo.gov.uk/data/treasury-bills/ [Accessed 10 Aug. 2018].</w:t>
      </w:r>
    </w:p>
    <w:p>
      <w:pPr>
        <w:pStyle w:val="style0"/>
        <w:contextualSpacing w:val="false"/>
        <w:rPr/>
      </w:pPr>
      <w:r>
        <w:t>Flinders, K. (2017). </w:t>
      </w:r>
      <w:r>
        <w:rPr>
          <w:i/>
        </w:rPr>
        <w:t xml:space="preserve">HSBC adopts fintech to fight money laundering. </w:t>
      </w:r>
      <w:r>
        <w:t>[online] Available at: https://www.computerweekly.com/news/252438584/HSBC-adopts-fintech-to-fight-money-laundering [Accessed 13 Aug. 2017].</w:t>
      </w:r>
    </w:p>
    <w:p>
      <w:pPr>
        <w:pStyle w:val="style0"/>
        <w:contextualSpacing w:val="false"/>
        <w:rPr/>
      </w:pPr>
      <w:r>
        <w:t>Fransen, L. (2017). </w:t>
      </w:r>
      <w:r>
        <w:rPr>
          <w:i/>
        </w:rPr>
        <w:t xml:space="preserve">HSBC cuts 100 jobs among senior staff worldwide. </w:t>
      </w:r>
      <w:r>
        <w:t>[online] Available at: https://www.humanresourcesonline.net/hsbc-cuts-100-jobs-among-senior-staff-worldwide/ [Accessed 13 Aug. 2017].</w:t>
      </w:r>
    </w:p>
    <w:p>
      <w:pPr>
        <w:pStyle w:val="style0"/>
        <w:contextualSpacing w:val="false"/>
        <w:rPr>
          <w:b/>
          <w:i/>
        </w:rPr>
      </w:pPr>
      <w:r>
        <w:t>fred.stlouisfed. (2018). </w:t>
      </w:r>
      <w:r>
        <w:rPr>
          <w:i/>
        </w:rPr>
        <w:t>Treasury Bill Discount Rate in the United Kingdom</w:t>
      </w:r>
      <w:r>
        <w:t>. [online] Available at: https://fred.stlouisfed.org/series/TBDRUKM [Accessed 10 Aug. 2018].</w:t>
      </w:r>
    </w:p>
    <w:p>
      <w:pPr>
        <w:pStyle w:val="style0"/>
        <w:contextualSpacing w:val="false"/>
        <w:rPr/>
      </w:pPr>
      <w:r>
        <w:t>Gambacorta, L., and Shin, H. S. (2016). Why bank capital matters for monetary policy. </w:t>
      </w:r>
      <w:r>
        <w:rPr>
          <w:i/>
        </w:rPr>
        <w:t>Journal of Financial Intermediation</w:t>
      </w:r>
      <w:r>
        <w:t>.</w:t>
      </w:r>
    </w:p>
    <w:p>
      <w:pPr>
        <w:pStyle w:val="style0"/>
        <w:contextualSpacing w:val="false"/>
        <w:rPr/>
      </w:pPr>
      <w:r>
        <w:t>Hartlage, A. W. (2012). The Basel III liquidity coverage ratio and financial stability. </w:t>
      </w:r>
      <w:r>
        <w:rPr>
          <w:i/>
        </w:rPr>
        <w:t>Michigan Law Review</w:t>
      </w:r>
      <w:r>
        <w:t>, 453-483.</w:t>
      </w:r>
    </w:p>
    <w:p>
      <w:pPr>
        <w:pStyle w:val="style0"/>
        <w:contextualSpacing w:val="false"/>
        <w:rPr>
          <w:b/>
          <w:i/>
        </w:rPr>
      </w:pPr>
      <w:r>
        <w:t>Heltman, J. (2017). </w:t>
      </w:r>
      <w:r>
        <w:rPr>
          <w:i/>
        </w:rPr>
        <w:t xml:space="preserve">Role reversal: U.S. leads race to bottom in global bank rules. </w:t>
      </w:r>
      <w:r>
        <w:t>[online] Available at: https://www.americanbanker.com/news/role-reversal-us-leads-race-to-bottom-in-global-bank-rules [Accessed 13 Aug. 2017].</w:t>
      </w:r>
    </w:p>
    <w:p>
      <w:pPr>
        <w:pStyle w:val="style0"/>
        <w:contextualSpacing w:val="false"/>
        <w:rPr/>
      </w:pPr>
      <w:r>
        <w:t>Hida, E. (2017). </w:t>
      </w:r>
      <w:r>
        <w:rPr>
          <w:i/>
        </w:rPr>
        <w:t xml:space="preserve">Global risk management survey, 10th edition. </w:t>
      </w:r>
      <w:r>
        <w:t>[online] Available at: https://www2.deloitte.com/insights/us/en/topics/risk-management/global-risk-management-survey.html [Accessed 13 Aug. 2017].</w:t>
      </w:r>
    </w:p>
    <w:p>
      <w:pPr>
        <w:pStyle w:val="style0"/>
        <w:contextualSpacing w:val="false"/>
        <w:rPr>
          <w:i/>
        </w:rPr>
      </w:pPr>
      <w:r>
        <w:t>hsbc, (2018). </w:t>
      </w:r>
      <w:r>
        <w:rPr>
          <w:i/>
        </w:rPr>
        <w:t xml:space="preserve">Continuous Improvement &amp; Talent Investment. </w:t>
      </w:r>
      <w:r>
        <w:t>[online] Available at: https://www.hsbc.com.tr/en/about-hsbc/human-resources/continuous-improvement-ve-talent-investment [Accessed 13 Aug. 2017].</w:t>
      </w:r>
    </w:p>
    <w:p>
      <w:pPr>
        <w:pStyle w:val="style0"/>
        <w:contextualSpacing w:val="false"/>
        <w:rPr>
          <w:b/>
          <w:i/>
        </w:rPr>
      </w:pPr>
      <w:r>
        <w:t>Hsbc. (2018). </w:t>
      </w:r>
      <w:r>
        <w:rPr>
          <w:i/>
        </w:rPr>
        <w:t xml:space="preserve">Annual Report. </w:t>
      </w:r>
      <w:r>
        <w:t>[online] Available at: https://www.hsbc.com/investor-relations/group-results-and-reporting/annual-report [Accessed 13 Aug. 2017].</w:t>
      </w:r>
    </w:p>
    <w:p>
      <w:pPr>
        <w:pStyle w:val="style0"/>
        <w:contextualSpacing w:val="false"/>
        <w:rPr/>
      </w:pPr>
      <w:r>
        <w:t>HSBC. (2018). </w:t>
      </w:r>
      <w:r>
        <w:rPr>
          <w:i/>
        </w:rPr>
        <w:t>Board committees | HSBC Holdings plc</w:t>
      </w:r>
      <w:r>
        <w:t>. [online] Available at: https://www.hsbc.com/news-and-insight/awards [Accessed 13 Aug. 2017].</w:t>
      </w:r>
    </w:p>
    <w:p>
      <w:pPr>
        <w:pStyle w:val="style0"/>
        <w:contextualSpacing w:val="false"/>
        <w:rPr/>
      </w:pPr>
      <w:r>
        <w:t>imf. (2018). </w:t>
      </w:r>
      <w:r>
        <w:rPr>
          <w:i/>
        </w:rPr>
        <w:t xml:space="preserve">Real GDP growth. </w:t>
      </w:r>
      <w:r>
        <w:t>[online] Available at: http://www.imf.org/external/datamapper/NGDP_RPCH@WEO/OEMDC/ADVEC/WEOWORLD [Accessed 13 Aug. 2017].</w:t>
      </w:r>
    </w:p>
    <w:p>
      <w:pPr>
        <w:pStyle w:val="style0"/>
        <w:contextualSpacing w:val="false"/>
        <w:rPr/>
      </w:pPr>
      <w:r>
        <w:t>Jackson, G., Tetlow, G., Bernard, S. and Pearson, T. (2018). </w:t>
      </w:r>
      <w:r>
        <w:rPr>
          <w:i/>
        </w:rPr>
        <w:t>44 charts that explain the UK economy</w:t>
      </w:r>
      <w:r>
        <w:t>. [online] UK economy: GDP growth, interest rates and inflation statistics. Available at: https://ig.ft.com/sites/numbers/economies/uk  [Accessed 13 Aug. 2017].</w:t>
      </w:r>
    </w:p>
    <w:p>
      <w:pPr>
        <w:pStyle w:val="style0"/>
        <w:contextualSpacing w:val="false"/>
        <w:rPr/>
      </w:pPr>
      <w:r>
        <w:t>Jim Eckenrode and Val Srinivas. (2016). </w:t>
      </w:r>
      <w:r>
        <w:rPr>
          <w:i/>
        </w:rPr>
        <w:t xml:space="preserve">Disaggregating fintech Brighter shades of disruption. </w:t>
      </w:r>
      <w:r>
        <w:t>[online] Available at: https://www2.deloitte.com/content/dam/Deloitte/us/Documents/financial-services/us-fsi-disaggregating-fintech-brighter-shades-of-disruption.pdf [Accessed 13 Aug. 2017].</w:t>
      </w:r>
    </w:p>
    <w:p>
      <w:pPr>
        <w:pStyle w:val="style0"/>
        <w:contextualSpacing w:val="false"/>
        <w:rPr/>
      </w:pPr>
      <w:r>
        <w:t>Krug, S., Lengnick, M., and Wohltmann, H. W. (2015). The impact of Basel III on financial (in) stability: an agent-based credit network approach. </w:t>
      </w:r>
      <w:r>
        <w:rPr>
          <w:i/>
        </w:rPr>
        <w:t>Quantitative Finance</w:t>
      </w:r>
      <w:r>
        <w:t>, </w:t>
      </w:r>
      <w:r>
        <w:rPr>
          <w:i/>
        </w:rPr>
        <w:t>15</w:t>
      </w:r>
      <w:r>
        <w:t>(12), 1917-1932.</w:t>
      </w:r>
    </w:p>
    <w:p>
      <w:pPr>
        <w:pStyle w:val="style0"/>
        <w:contextualSpacing w:val="false"/>
        <w:rPr/>
      </w:pPr>
      <w:r>
        <w:t>luxembourgforfinance. (2015). </w:t>
      </w:r>
      <w:r>
        <w:rPr>
          <w:i/>
        </w:rPr>
        <w:t xml:space="preserve">FINTECH. </w:t>
      </w:r>
      <w:r>
        <w:t>[online] Available at: http://www.luxembourgforfinance.com/sites/luxembourgforfinance/files/leo_mag_focus_fintech.pdf [Accessed 13 Aug. 2017].</w:t>
      </w:r>
    </w:p>
    <w:p>
      <w:pPr>
        <w:pStyle w:val="style0"/>
        <w:contextualSpacing w:val="false"/>
        <w:rPr/>
      </w:pPr>
      <w:r>
        <w:t>McRae, H., and Cairncross, F. (2017). </w:t>
      </w:r>
      <w:r>
        <w:rPr>
          <w:i/>
        </w:rPr>
        <w:t>Capital city: London as a financial centre</w:t>
      </w:r>
      <w:r>
        <w:t>. Routledge.</w:t>
      </w:r>
    </w:p>
    <w:p>
      <w:pPr>
        <w:pStyle w:val="style0"/>
        <w:contextualSpacing w:val="false"/>
        <w:rPr>
          <w:b/>
          <w:i/>
        </w:rPr>
      </w:pPr>
      <w:r>
        <w:t>Morrison , C. (2018). </w:t>
      </w:r>
      <w:r>
        <w:rPr>
          <w:i/>
        </w:rPr>
        <w:t>HSBC profits fall as bank’s spending outgrows revenue in first quarter</w:t>
      </w:r>
      <w:r>
        <w:t>. [online] Available at: https://www.independent.co.uk/news/business/news/hsbc-profit-latest-spending-revenue-share-buyback-ceo-john-flint-a8335721.html [Accessed 13 Aug. 2017].</w:t>
      </w:r>
    </w:p>
    <w:p>
      <w:pPr>
        <w:pStyle w:val="style0"/>
        <w:contextualSpacing w:val="false"/>
        <w:rPr/>
      </w:pPr>
      <w:r>
        <w:t>Nicoletti, B. (2017). </w:t>
      </w:r>
      <w:r>
        <w:rPr>
          <w:i/>
        </w:rPr>
        <w:t>The future of FinTech: Integrating finance and technology in financial services</w:t>
      </w:r>
      <w:r>
        <w:t>. Springer.</w:t>
      </w:r>
    </w:p>
    <w:p>
      <w:pPr>
        <w:pStyle w:val="style0"/>
        <w:contextualSpacing w:val="false"/>
        <w:rPr/>
      </w:pPr>
      <w:r>
        <w:t>ohn Hagel, Jeff Schwartz, and Josh Bersin. (2017). </w:t>
      </w:r>
      <w:r>
        <w:rPr>
          <w:i/>
        </w:rPr>
        <w:t xml:space="preserve">Navigating the future of work: Can we point business, workers, and social institutions in the same direction. </w:t>
      </w:r>
      <w:r>
        <w:t>[online] Available at: https://www2.deloitte.com/insights/us/en/deloitte-review/issue-21/navigating-new-forms-of-work.html [Accessed 13 Aug. 2017].</w:t>
      </w:r>
    </w:p>
    <w:p>
      <w:pPr>
        <w:pStyle w:val="style0"/>
        <w:contextualSpacing w:val="false"/>
        <w:rPr/>
      </w:pPr>
      <w:r>
        <w:t>ovum.informa. (2018). </w:t>
      </w:r>
      <w:r>
        <w:rPr>
          <w:i/>
        </w:rPr>
        <w:t xml:space="preserve">Technology and communications buyer intelligence by line of business. </w:t>
      </w:r>
      <w:r>
        <w:t>[online] Available at: https://ovum.informa.com/products-and-services/data-services/ict-enterprise-insights [Accessed 13 Aug. 2017].</w:t>
      </w:r>
    </w:p>
    <w:p>
      <w:pPr>
        <w:pStyle w:val="style0"/>
        <w:contextualSpacing w:val="false"/>
        <w:rPr/>
      </w:pPr>
      <w:r>
        <w:t>Peyton, A. (2018). </w:t>
      </w:r>
      <w:r>
        <w:rPr>
          <w:i/>
        </w:rPr>
        <w:t xml:space="preserve">HSBC to invest $15-17bn in new tech. </w:t>
      </w:r>
      <w:r>
        <w:t>[online] Available at: https://www.bankingtech.com/2018/06/hsbc-to-invest-15-17bn-in-new-tech/ [Accessed 13 Aug. 2017].</w:t>
      </w:r>
    </w:p>
    <w:p>
      <w:pPr>
        <w:pStyle w:val="style0"/>
        <w:contextualSpacing w:val="false"/>
        <w:rPr/>
      </w:pPr>
      <w:r>
        <w:t>Rees, T . (2017). </w:t>
      </w:r>
      <w:r>
        <w:rPr>
          <w:i/>
          <w:sz w:val="22"/>
          <w:szCs w:val="22"/>
        </w:rPr>
        <w:t>Interest rates rise but pound plunges as Bank says it's in 'no hurry' to raise them again</w:t>
      </w:r>
      <w:r>
        <w:rPr>
          <w:i/>
        </w:rPr>
        <w:t xml:space="preserve">. </w:t>
      </w:r>
      <w:r>
        <w:t>[online] Available at: https://www.telegraph.co.uk/business/2017/11/02/markets-await-first-bank-england-interest-rate-rise-decade/ uk  [Accessed 13 Aug. 2017].</w:t>
      </w:r>
    </w:p>
    <w:p>
      <w:pPr>
        <w:pStyle w:val="style0"/>
        <w:contextualSpacing w:val="false"/>
        <w:rPr/>
      </w:pPr>
      <w:r>
        <w:t>Reeve, T. (2015). </w:t>
      </w:r>
      <w:r>
        <w:rPr>
          <w:i/>
        </w:rPr>
        <w:t xml:space="preserve">HSBC chairman pledges to invest in cyber-security. </w:t>
      </w:r>
      <w:r>
        <w:t>[online] Available at: https://www.scmagazineuk.com/hsbc-chairman-pledges-invest-cyber-security/article/1479896 [Accessed 13 Aug. 2017].</w:t>
      </w:r>
    </w:p>
    <w:p>
      <w:pPr>
        <w:pStyle w:val="style0"/>
        <w:contextualSpacing w:val="false"/>
        <w:rPr/>
      </w:pPr>
      <w:r>
        <w:t>Rushe</w:t>
      </w:r>
      <w:r>
        <w:rPr>
          <w:i/>
        </w:rPr>
        <w:t> </w:t>
      </w:r>
      <w:r>
        <w:t>, D. (2012). </w:t>
      </w:r>
      <w:r>
        <w:rPr>
          <w:i/>
        </w:rPr>
        <w:t>HSBC 'sorry' for aiding Mexican drugs lords, rogue states and terrorists</w:t>
      </w:r>
      <w:r>
        <w:t>. [online] Available at: https://www.theguardian.com/business/2012/jul/17/hsbc-executive-resigns-senate [Accessed 13 Aug. 2017].</w:t>
      </w:r>
    </w:p>
    <w:p>
      <w:pPr>
        <w:pStyle w:val="style0"/>
        <w:contextualSpacing w:val="false"/>
        <w:rPr/>
      </w:pPr>
      <w:r>
        <w:t>Singh, R. P., and Jain, V. (2017). A Study of the Impact of Electronic Customer Relationship Management on Customer Loyalty by Using Structural Equation Modeling in Banking Sector. </w:t>
      </w:r>
      <w:r>
        <w:rPr>
          <w:i/>
        </w:rPr>
        <w:t>Researchers World</w:t>
      </w:r>
      <w:r>
        <w:t>, </w:t>
      </w:r>
      <w:r>
        <w:rPr>
          <w:i/>
        </w:rPr>
        <w:t>8</w:t>
      </w:r>
      <w:r>
        <w:t>(2), 52.</w:t>
      </w:r>
    </w:p>
    <w:p>
      <w:pPr>
        <w:pStyle w:val="style0"/>
        <w:contextualSpacing w:val="false"/>
        <w:rPr/>
      </w:pPr>
      <w:r>
        <w:t>Tran, M. (2018). </w:t>
      </w:r>
      <w:r>
        <w:rPr>
          <w:i/>
        </w:rPr>
        <w:t>The HSBC files: what we know so far</w:t>
      </w:r>
      <w:r>
        <w:t>. [online] Available at: https://www.theguardian.com/news/2015/feb/11/the-hsbc-files-what-we-know-so-far [Accessed 13 Aug. 2017].</w:t>
      </w:r>
    </w:p>
    <w:p>
      <w:pPr>
        <w:pStyle w:val="style0"/>
        <w:contextualSpacing w:val="false"/>
        <w:rPr>
          <w:b/>
          <w:i/>
        </w:rPr>
      </w:pPr>
    </w:p>
    <w:sectPr>
      <w:footerReference w:type="default" r:id="rId12"/>
      <w:pgSz w:w="11906" w:h="16838" w:orient="portrait"/>
      <w:pgMar w:top="1440" w:right="1440" w:bottom="1440" w:left="1440" w:header="708" w:footer="708"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0030204"/>
    <w:charset w:val="7a"/>
    <w:family w:val="swiss"/>
    <w:pitch w:val="default"/>
    <w:sig w:usb0="E10002FF" w:usb1="4000ACFF" w:usb2="00000009" w:usb3="00000000" w:csb0="2000019F" w:csb1="00000000"/>
  </w:font>
  <w:font w:name="SimSun">
    <w:altName w:val="Times New Roman"/>
    <w:panose1 w:val="02020603050000020304"/>
    <w:charset w:val="00"/>
    <w:family w:val="roman"/>
    <w:pitch w:val="variable"/>
    <w:sig w:usb0="20007A87" w:usb1="80000000" w:usb2="00000008" w:usb3="00000000" w:csb0="000001FF" w:csb1="00000000"/>
  </w:font>
  <w:font w:name="Times New Roman">
    <w:altName w:val="Times New Roman"/>
    <w:panose1 w:val="02020603050000020304"/>
    <w:charset w:val="00"/>
    <w:family w:val="roman"/>
    <w:pitch w:val="variable"/>
    <w:sig w:usb0="20007A87" w:usb1="80000000" w:usb2="00000008"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m="http://schemas.openxmlformats.org/officeDocument/2006/math">
  <w:p>
    <w:pPr>
      <w:pStyle w:val="style0"/>
      <w:keepNext w:val="false"/>
      <w:keepLines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right"/>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fldChar w:fldCharType="begin"/>
    </w:r>
    <w:r>
      <w:rPr>
        <w:rFonts w:ascii="Times New Roman" w:cs="Times New Roman" w:eastAsia="Times New Roman" w:hAnsi="Times New Roman"/>
        <w:b w:val="false"/>
        <w:i w:val="false"/>
        <w:smallCaps w:val="false"/>
        <w:color w:val="000000"/>
        <w:sz w:val="24"/>
        <w:szCs w:val="24"/>
        <w:u w:val="none"/>
        <w:shd w:val="clear" w:color="auto" w:fill="auto"/>
        <w:vertAlign w:val="baseline"/>
      </w:rPr>
      <w:instrText>PAGE</w:instrText>
    </w:r>
    <w:r>
      <w:rPr>
        <w:rFonts w:ascii="Times New Roman" w:cs="Times New Roman" w:eastAsia="Times New Roman" w:hAnsi="Times New Roman"/>
        <w:b w:val="false"/>
        <w:i w:val="false"/>
        <w:smallCaps w:val="false"/>
        <w:color w:val="000000"/>
        <w:sz w:val="24"/>
        <w:szCs w:val="24"/>
        <w:u w:val="none"/>
        <w:shd w:val="clear" w:color="auto" w:fill="auto"/>
        <w:vertAlign w:val="baseline"/>
      </w:rPr>
      <w:fldChar w:fldCharType="separate"/>
    </w:r>
    <w:r>
      <w:rPr>
        <w:rFonts w:ascii="Times New Roman" w:cs="Times New Roman" w:eastAsia="Times New Roman" w:hAnsi="Times New Roman"/>
        <w:b w:val="false"/>
        <w:i w:val="false"/>
        <w:smallCaps w:val="false"/>
        <w:color w:val="000000"/>
        <w:sz w:val="24"/>
        <w:szCs w:val="24"/>
        <w:u w:val="none"/>
        <w:shd w:val="clear" w:color="auto" w:fill="auto"/>
        <w:vertAlign w:val="baseline"/>
      </w:rPr>
      <w:fldChar w:fldCharType="end"/>
    </w:r>
  </w:p>
  <w:p>
    <w:pPr>
      <w:pStyle w:val="style0"/>
      <w:keepNext w:val="false"/>
      <w:keepLines w:val="false"/>
      <w:widowControl/>
      <w:pBdr>
        <w:left w:val="nil"/>
        <w:right w:val="nil"/>
        <w:top w:val="nil"/>
        <w:bottom w:val="nil"/>
        <w:between w:val="nil"/>
      </w:pBdr>
      <w:shd w:val="clear" w:color="auto" w:fill="auto"/>
      <w:tabs>
        <w:tab w:val="center" w:leader="none" w:pos="4513"/>
        <w:tab w:val="right" w:leader="none" w:pos="9026"/>
      </w:tabs>
      <w:spacing w:before="0" w:after="0" w:lineRule="auto" w:line="240"/>
      <w:ind w:left="0" w:right="0" w:firstLine="0"/>
      <w:jc w:val="both"/>
      <w:contextualSpacing w:val="false"/>
      <w:rPr>
        <w:rFonts w:ascii="Times New Roman" w:cs="Times New Roman" w:eastAsia="Times New Roman" w:hAnsi="Times New Roman"/>
        <w:b w:val="false"/>
        <w:i w:val="false"/>
        <w:smallCaps w:val="false"/>
        <w:color w:val="000000"/>
        <w:sz w:val="24"/>
        <w:szCs w:val="24"/>
        <w:u w:val="none"/>
        <w:shd w:val="clear" w:color="auto" w:fill="auto"/>
        <w:vertAlign w:val="baseline"/>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ocumentProtection w:edit="none" w:enforcement="0"/>
  <w:defaultTabStop w:val="720"/>
  <w:compat>
    <w:compatSetting w:name="compatibilityMode" w:uri="http://schemas.microsoft.com/office/word" w:val="14"/>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w:docDefaults>
    <w:rPrDefault>
      <w:rPr>
        <w:sz w:val="24"/>
        <w:szCs w:val="24"/>
        <w:lang w:val="en-IN"/>
      </w:rPr>
    </w:rPrDefault>
    <w:pPrDefault>
      <w:pPr>
        <w:spacing w:after="200" w:lineRule="auto" w:line="360"/>
        <w:jc w:val="both"/>
      </w:pPr>
    </w:pPrDefault>
  </w:docDefaults>
  <w:style w:type="paragraph" w:default="1" w:styleId="style0">
    <w:name w:val="Normal"/>
    <w:next w:val="style0"/>
    <w:pPr>
      <w:spacing w:before="0" w:after="200" w:lineRule="auto" w:line="276"/>
      <w:ind w:left="0" w:right="0"/>
    </w:pPr>
    <w:rPr>
      <w:rFonts w:ascii="Calibri" w:cs="Times New Roman" w:eastAsia="SimSun" w:hAnsi="Calibri" w:hint="eastAsia"/>
      <w:sz w:val="22"/>
      <w:szCs w:val="22"/>
      <w:lang w:val="en-US" w:bidi="ar-SA" w:eastAsia="zh-CN"/>
    </w:rPr>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paragraph" w:styleId="style1">
    <w:name w:val="heading 1"/>
    <w:basedOn w:val="style0"/>
    <w:next w:val="style0"/>
    <w:link w:val="style4099"/>
    <w:qFormat/>
    <w:uiPriority w:val="9"/>
    <w:pPr>
      <w:keepNext/>
      <w:keepLines/>
      <w:spacing w:before="480" w:after="0"/>
      <w:outlineLvl w:val="0"/>
    </w:pPr>
    <w:rPr>
      <w:rFonts w:eastAsiaTheme="majorEastAsia" w:cstheme="majorBidi"/>
      <w:b/>
      <w:bCs/>
      <w:color w:val="365f91"/>
      <w:sz w:val="28"/>
      <w:szCs w:val="28"/>
    </w:rPr>
  </w:style>
  <w:style w:type="paragraph" w:styleId="style2">
    <w:name w:val="heading 2"/>
    <w:basedOn w:val="style0"/>
    <w:next w:val="style0"/>
    <w:link w:val="style4100"/>
    <w:qFormat/>
    <w:uiPriority w:val="9"/>
    <w:pPr>
      <w:keepNext/>
      <w:keepLines/>
      <w:spacing w:before="200" w:after="0"/>
      <w:outlineLvl w:val="1"/>
    </w:pPr>
    <w:rPr>
      <w:rFonts w:eastAsiaTheme="majorEastAsia" w:cstheme="majorBidi"/>
      <w:b/>
      <w:bCs/>
      <w:color w:val="4f81bd"/>
      <w:sz w:val="26"/>
      <w:szCs w:val="26"/>
    </w:rPr>
  </w:style>
  <w:style w:type="paragraph" w:styleId="style3">
    <w:name w:val="heading 3"/>
    <w:basedOn w:val="style0"/>
    <w:next w:val="style0"/>
    <w:pPr>
      <w:keepNext/>
      <w:keepLines/>
      <w:spacing w:before="280" w:after="80"/>
    </w:pPr>
    <w:rPr>
      <w:b/>
      <w:sz w:val="28"/>
      <w:szCs w:val="28"/>
    </w:rPr>
  </w:style>
  <w:style w:type="paragraph" w:styleId="style4">
    <w:name w:val="heading 4"/>
    <w:basedOn w:val="style0"/>
    <w:next w:val="style0"/>
    <w:pPr>
      <w:keepNext/>
      <w:keepLines/>
      <w:spacing w:before="240" w:after="40"/>
    </w:pPr>
    <w:rPr>
      <w:b/>
      <w:sz w:val="24"/>
      <w:szCs w:val="24"/>
    </w:rPr>
  </w:style>
  <w:style w:type="paragraph" w:styleId="style5">
    <w:name w:val="heading 5"/>
    <w:basedOn w:val="style0"/>
    <w:next w:val="style0"/>
    <w:pPr>
      <w:keepNext/>
      <w:keepLines/>
      <w:spacing w:before="220" w:after="40"/>
    </w:pPr>
    <w:rPr>
      <w:b/>
      <w:sz w:val="22"/>
      <w:szCs w:val="22"/>
    </w:rPr>
  </w:style>
  <w:style w:type="paragraph" w:styleId="style6">
    <w:name w:val="heading 6"/>
    <w:basedOn w:val="style0"/>
    <w:next w:val="style0"/>
    <w:pPr>
      <w:keepNext/>
      <w:keepLines/>
      <w:spacing w:before="200" w:after="40"/>
    </w:pPr>
    <w:rPr>
      <w:b/>
      <w:sz w:val="20"/>
      <w:szCs w:val="20"/>
    </w:rPr>
  </w:style>
  <w:style w:type="paragraph" w:styleId="style62">
    <w:name w:val="Title"/>
    <w:basedOn w:val="style0"/>
    <w:next w:val="style0"/>
    <w:link w:val="style4098"/>
    <w:qFormat/>
    <w:uiPriority w:val="10"/>
    <w:pPr>
      <w:pBdr>
        <w:bottom w:val="single" w:sz="8" w:space="4" w:color="4f81bd"/>
      </w:pBdr>
      <w:spacing w:after="300"/>
      <w:contextualSpacing/>
    </w:pPr>
    <w:rPr>
      <w:rFonts w:eastAsiaTheme="majorEastAsia" w:cstheme="majorBidi"/>
      <w:color w:val="17365d"/>
      <w:spacing w:val="5"/>
      <w:kern w:val="28"/>
      <w:sz w:val="52"/>
      <w:szCs w:val="52"/>
    </w:rPr>
  </w:style>
  <w:style w:type="character" w:default="1" w:styleId="style65">
    <w:name w:val="Default Paragraph Font"/>
    <w:next w:val="style65"/>
    <w:uiPriority w:val="1"/>
  </w:style>
  <w:style w:type="numbering" w:default="1" w:styleId="style107">
    <w:name w:val="No List"/>
    <w:next w:val="style107"/>
    <w:uiPriority w:val="99"/>
    <w:pPr/>
  </w:style>
  <w:style w:type="paragraph" w:customStyle="1" w:styleId="style4097">
    <w:name w:val="Default"/>
    <w:next w:val="style4097"/>
    <w:pPr>
      <w:autoSpaceDE w:val="false"/>
      <w:autoSpaceDN w:val="false"/>
      <w:adjustRightInd w:val="false"/>
      <w:spacing w:after="0" w:lineRule="auto" w:line="240"/>
    </w:pPr>
    <w:rPr>
      <w:rFonts w:ascii="Times New Roman" w:cs="Times New Roman" w:hAnsi="Times New Roman"/>
      <w:color w:val="000000"/>
      <w:sz w:val="24"/>
      <w:szCs w:val="24"/>
    </w:rPr>
  </w:style>
  <w:style w:type="character" w:customStyle="1" w:styleId="style4098">
    <w:name w:val="Title Char_33266936-ee77-411b-84fe-1005ada63a85"/>
    <w:basedOn w:val="style65"/>
    <w:next w:val="style4098"/>
    <w:link w:val="style62"/>
    <w:uiPriority w:val="10"/>
    <w:rPr>
      <w:rFonts w:ascii="Times New Roman" w:hAnsi="Times New Roman" w:eastAsiaTheme="majorEastAsia" w:cstheme="majorBidi"/>
      <w:color w:val="17365d"/>
      <w:spacing w:val="5"/>
      <w:kern w:val="28"/>
      <w:sz w:val="52"/>
      <w:szCs w:val="52"/>
    </w:rPr>
  </w:style>
  <w:style w:type="character" w:customStyle="1" w:styleId="style4099">
    <w:name w:val="Heading 1 Char_fec7284f-18f1-485d-bc6e-d3d6d8155a96"/>
    <w:basedOn w:val="style65"/>
    <w:next w:val="style4099"/>
    <w:link w:val="style1"/>
    <w:uiPriority w:val="9"/>
    <w:rPr>
      <w:rFonts w:ascii="Times New Roman" w:hAnsi="Times New Roman" w:eastAsiaTheme="majorEastAsia" w:cstheme="majorBidi"/>
      <w:b/>
      <w:bCs/>
      <w:color w:val="365f91"/>
      <w:sz w:val="28"/>
      <w:szCs w:val="28"/>
    </w:rPr>
  </w:style>
  <w:style w:type="character" w:customStyle="1" w:styleId="style4100">
    <w:name w:val="Heading 2 Char_197c7d63-c0d6-4d6e-ae9c-af8d15461031"/>
    <w:basedOn w:val="style65"/>
    <w:next w:val="style4100"/>
    <w:link w:val="style2"/>
    <w:uiPriority w:val="9"/>
    <w:rPr>
      <w:rFonts w:ascii="Times New Roman" w:hAnsi="Times New Roman" w:eastAsiaTheme="majorEastAsia" w:cstheme="majorBidi"/>
      <w:b/>
      <w:bCs/>
      <w:color w:val="4f81bd"/>
      <w:sz w:val="26"/>
      <w:szCs w:val="26"/>
    </w:rPr>
  </w:style>
  <w:style w:type="paragraph" w:styleId="style153">
    <w:name w:val="Balloon Text"/>
    <w:basedOn w:val="style0"/>
    <w:next w:val="style153"/>
    <w:link w:val="style4101"/>
    <w:uiPriority w:val="99"/>
    <w:pPr>
      <w:spacing w:after="0" w:lineRule="auto" w:line="240"/>
    </w:pPr>
    <w:rPr>
      <w:rFonts w:ascii="Tahoma" w:cs="Tahoma" w:hAnsi="Tahoma"/>
      <w:sz w:val="16"/>
      <w:szCs w:val="16"/>
    </w:rPr>
  </w:style>
  <w:style w:type="character" w:customStyle="1" w:styleId="style4101">
    <w:name w:val="Balloon Text Char"/>
    <w:basedOn w:val="style65"/>
    <w:next w:val="style4101"/>
    <w:link w:val="style153"/>
    <w:uiPriority w:val="99"/>
    <w:rPr>
      <w:rFonts w:ascii="Tahoma" w:cs="Tahoma" w:hAnsi="Tahoma"/>
      <w:sz w:val="16"/>
      <w:szCs w:val="16"/>
    </w:rPr>
  </w:style>
  <w:style w:type="paragraph" w:styleId="style266">
    <w:name w:val="TOC Heading"/>
    <w:basedOn w:val="style1"/>
    <w:next w:val="style0"/>
    <w:qFormat/>
    <w:uiPriority w:val="39"/>
    <w:pPr>
      <w:spacing w:lineRule="auto" w:line="276"/>
      <w:jc w:val="left"/>
      <w:outlineLvl w:val="9"/>
    </w:pPr>
    <w:rPr>
      <w:rFonts w:asciiTheme="majorHAnsi" w:hAnsiTheme="majorHAnsi"/>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2"/>
    <w:uiPriority w:val="99"/>
    <w:pPr>
      <w:tabs>
        <w:tab w:val="center" w:leader="none" w:pos="4513"/>
        <w:tab w:val="right" w:leader="none" w:pos="9026"/>
      </w:tabs>
      <w:spacing w:after="0" w:lineRule="auto" w:line="240"/>
    </w:pPr>
    <w:rPr/>
  </w:style>
  <w:style w:type="character" w:customStyle="1" w:styleId="style4102">
    <w:name w:val="Header Char_e5ab0522-a44b-41a5-b7d3-2900179f5a37"/>
    <w:basedOn w:val="style65"/>
    <w:next w:val="style4102"/>
    <w:link w:val="style31"/>
    <w:uiPriority w:val="99"/>
    <w:rPr>
      <w:rFonts w:ascii="Times New Roman" w:hAnsi="Times New Roman"/>
      <w:sz w:val="24"/>
    </w:rPr>
  </w:style>
  <w:style w:type="paragraph" w:styleId="style32">
    <w:name w:val="footer"/>
    <w:basedOn w:val="style0"/>
    <w:next w:val="style32"/>
    <w:link w:val="style4103"/>
    <w:uiPriority w:val="99"/>
    <w:pPr>
      <w:tabs>
        <w:tab w:val="center" w:leader="none" w:pos="4513"/>
        <w:tab w:val="right" w:leader="none" w:pos="9026"/>
      </w:tabs>
      <w:spacing w:after="0" w:lineRule="auto" w:line="240"/>
    </w:pPr>
    <w:rPr/>
  </w:style>
  <w:style w:type="character" w:customStyle="1" w:styleId="style4103">
    <w:name w:val="Footer Char_fdc487d1-40ee-44fe-8375-b426049e14af"/>
    <w:basedOn w:val="style65"/>
    <w:next w:val="style4103"/>
    <w:link w:val="style32"/>
    <w:uiPriority w:val="99"/>
    <w:rPr>
      <w:rFonts w:ascii="Times New Roman" w:hAnsi="Times New Roman"/>
      <w:sz w:val="24"/>
    </w:rPr>
  </w:style>
  <w:style w:type="paragraph" w:styleId="style74">
    <w:name w:val="Subtitle"/>
    <w:basedOn w:val="style0"/>
    <w:next w:val="style0"/>
    <w:pPr>
      <w:keepNext/>
      <w:keepLines/>
      <w:spacing w:before="360" w:after="80"/>
    </w:pPr>
    <w:rPr>
      <w:rFonts w:ascii="Georgia" w:cs="Georgia" w:eastAsia="Georgia" w:hAnsi="Georgia"/>
      <w:i/>
      <w:color w:val="666666"/>
      <w:sz w:val="48"/>
      <w:szCs w:val="48"/>
    </w:rPr>
  </w:style>
</w:styles>
</file>

<file path=word/_rels/document.xml.rels><?xml version="1.0" encoding="UTF-8"?>
<Relationships xmlns="http://schemas.openxmlformats.org/package/2006/relationships"><Relationship Id="rId5" Type="http://schemas.openxmlformats.org/officeDocument/2006/relationships/chart" Target="charts/chart3.xml"/><Relationship Id="rId12" Type="http://schemas.openxmlformats.org/officeDocument/2006/relationships/footer" Target="footer1.xml"/><Relationship Id="rId16" Type="http://schemas.openxmlformats.org/officeDocument/2006/relationships/theme" Target="theme/theme1.xml"/><Relationship Id="rId15" Type="http://schemas.openxmlformats.org/officeDocument/2006/relationships/settings" Target="settings.xml"/><Relationship Id="rId11" Type="http://schemas.openxmlformats.org/officeDocument/2006/relationships/image" Target="media/image6.png"/><Relationship Id="rId14"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image" Target="media/image1.png"/><Relationship Id="rId10" Type="http://schemas.openxmlformats.org/officeDocument/2006/relationships/image" Target="media/image5.png"/><Relationship Id="rId13" Type="http://schemas.openxmlformats.org/officeDocument/2006/relationships/styles" Target="styles.xml"/><Relationship Id="rId8" Type="http://schemas.openxmlformats.org/officeDocument/2006/relationships/image" Target="media/image3.png"/><Relationship Id="rId4" Type="http://schemas.openxmlformats.org/officeDocument/2006/relationships/chart" Target="charts/chart2.xml"/><Relationship Id="rId9" Type="http://schemas.openxmlformats.org/officeDocument/2006/relationships/image" Target="media/image4.png"/><Relationship Id="rId3" Type="http://schemas.openxmlformats.org/officeDocument/2006/relationships/chart" Target="charts/chart1.xml"/><Relationship Id="rId6" Type="http://schemas.openxmlformats.org/officeDocument/2006/relationships/chart" Target="charts/chart4.xml"/><Relationship Id="rId1" Type="http://schemas.openxmlformats.org/officeDocument/2006/relationships/numbering" Target="numbering.xml"/></Relationships>
</file>

<file path=word/charts/_rels/chart1.xml.rels><?xml version="1.0" encoding="UTF-8"?>
<Relationships xmlns="http://schemas.openxmlformats.org/package/2006/relationships"><Relationship Id="rId1" Type="http://schemas.openxmlformats.org/officeDocument/2006/relationships/oleObject" TargetMode="External" Target="file:/D:/Dibyendu/job/2018/aug/14.08.2018_WIP/PS12056-Banking%20Financial%20Management%20and%20Financial%20Markets-13.8.2018%20(1).xlsx"/></Relationships>
</file>

<file path=word/charts/_rels/chart2.xml.rels><?xml version="1.0" encoding="UTF-8"?>
<Relationships xmlns="http://schemas.openxmlformats.org/package/2006/relationships"><Relationship Id="rId1" Type="http://schemas.openxmlformats.org/officeDocument/2006/relationships/oleObject" TargetMode="External" Target="file:/D:/Dibyendu/job/2018/aug/14.08.2018_WIP/PS12056-Banking%20Financial%20Management%20and%20Financial%20Markets-13.8.2018%20(1).xlsx"/></Relationships>
</file>

<file path=word/charts/_rels/chart3.xml.rels><?xml version="1.0" encoding="UTF-8"?>
<Relationships xmlns="http://schemas.openxmlformats.org/package/2006/relationships"><Relationship Id="rId1" Type="http://schemas.openxmlformats.org/officeDocument/2006/relationships/oleObject" TargetMode="External" Target="file:/D:/Dibyendu/job/2018/aug/14.08.2018_WIP/PS12056-Banking%20Financial%20Management%20and%20Financial%20Markets-13.8.2018%20(1).xlsx"/></Relationships>
</file>

<file path=word/charts/_rels/chart4.xml.rels><?xml version="1.0" encoding="UTF-8"?>
<Relationships xmlns="http://schemas.openxmlformats.org/package/2006/relationships"><Relationship Id="rId1" Type="http://schemas.openxmlformats.org/officeDocument/2006/relationships/oleObject" TargetMode="External" Target="file:/D:/Dibyendu/job/2018/aug/14.08.2018_WIP/PS12056-Banking%20Financial%20Management%20and%20Financial%20Markets-13.8.2018%20(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IN"/>
  <c:chart>
    <c:title/>
    <c:plotArea>
      <c:layout/>
      <c:barChart>
        <c:barDir val="col"/>
        <c:grouping val="clustered"/>
        <c:ser>
          <c:idx val="0"/>
          <c:order val="0"/>
          <c:tx>
            <c:strRef>
              <c:f>Sheet1!$C$6</c:f>
              <c:strCache>
                <c:ptCount val="1"/>
                <c:pt idx="0">
                  <c:v>HSBC Capital adequacy  ratio</c:v>
                </c:pt>
              </c:strCache>
            </c:strRef>
          </c:tx>
          <c:cat>
            <c:numRef>
              <c:f>Sheet1!$D$3:$H$3</c:f>
              <c:numCache>
                <c:formatCode>General</c:formatCode>
                <c:ptCount val="5"/>
                <c:pt idx="0">
                  <c:v>2013</c:v>
                </c:pt>
                <c:pt idx="1">
                  <c:v>2014</c:v>
                </c:pt>
                <c:pt idx="2">
                  <c:v>2015</c:v>
                </c:pt>
                <c:pt idx="3">
                  <c:v>2016</c:v>
                </c:pt>
                <c:pt idx="4">
                  <c:v>2017</c:v>
                </c:pt>
              </c:numCache>
            </c:numRef>
          </c:cat>
          <c:val>
            <c:numRef>
              <c:f>Sheet1!$D$6:$H$6</c:f>
              <c:numCache>
                <c:formatCode>General</c:formatCode>
                <c:ptCount val="5"/>
                <c:pt idx="0">
                  <c:v>17.8</c:v>
                </c:pt>
                <c:pt idx="1">
                  <c:v>15.6</c:v>
                </c:pt>
                <c:pt idx="2">
                  <c:v>17.2</c:v>
                </c:pt>
                <c:pt idx="3">
                  <c:v>20.100000000000001</c:v>
                </c:pt>
                <c:pt idx="4">
                  <c:v>20.9</c:v>
                </c:pt>
              </c:numCache>
            </c:numRef>
          </c:val>
        </c:ser>
        <c:axId val="52661248"/>
        <c:axId val="52994048"/>
      </c:barChart>
      <c:catAx>
        <c:axId val="52661248"/>
        <c:scaling>
          <c:orientation val="minMax"/>
        </c:scaling>
        <c:axPos val="b"/>
        <c:numFmt formatCode="General" sourceLinked="1"/>
        <c:tickLblPos val="nextTo"/>
        <c:crossAx val="52994048"/>
        <c:crosses val="autoZero"/>
        <c:auto val="1"/>
        <c:lblAlgn val="ctr"/>
        <c:lblOffset val="100"/>
      </c:catAx>
      <c:valAx>
        <c:axId val="52994048"/>
        <c:scaling>
          <c:orientation val="minMax"/>
        </c:scaling>
        <c:axPos val="l"/>
        <c:majorGridlines/>
        <c:numFmt formatCode="General" sourceLinked="1"/>
        <c:tickLblPos val="nextTo"/>
        <c:crossAx val="52661248"/>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IN"/>
  <c:chart>
    <c:title/>
    <c:plotArea>
      <c:layout/>
      <c:barChart>
        <c:barDir val="col"/>
        <c:grouping val="clustered"/>
        <c:ser>
          <c:idx val="0"/>
          <c:order val="0"/>
          <c:tx>
            <c:strRef>
              <c:f>Sheet1!$C$7</c:f>
              <c:strCache>
                <c:ptCount val="1"/>
                <c:pt idx="0">
                  <c:v>HSBC Common equity tier 1 capital ratio[core equity capital /total risk weighted asset  ]</c:v>
                </c:pt>
              </c:strCache>
            </c:strRef>
          </c:tx>
          <c:cat>
            <c:numRef>
              <c:f>Sheet1!$D$3:$H$3</c:f>
              <c:numCache>
                <c:formatCode>General</c:formatCode>
                <c:ptCount val="5"/>
                <c:pt idx="0">
                  <c:v>2013</c:v>
                </c:pt>
                <c:pt idx="1">
                  <c:v>2014</c:v>
                </c:pt>
                <c:pt idx="2">
                  <c:v>2015</c:v>
                </c:pt>
                <c:pt idx="3">
                  <c:v>2016</c:v>
                </c:pt>
                <c:pt idx="4">
                  <c:v>2017</c:v>
                </c:pt>
              </c:numCache>
            </c:numRef>
          </c:cat>
          <c:val>
            <c:numRef>
              <c:f>Sheet1!$D$7:$H$7</c:f>
              <c:numCache>
                <c:formatCode>0.00%</c:formatCode>
                <c:ptCount val="5"/>
                <c:pt idx="0">
                  <c:v>0.10800000000000001</c:v>
                </c:pt>
                <c:pt idx="1">
                  <c:v>0.10900000000000001</c:v>
                </c:pt>
                <c:pt idx="2">
                  <c:v>0.11899999999999998</c:v>
                </c:pt>
                <c:pt idx="3">
                  <c:v>0.13600000000000001</c:v>
                </c:pt>
                <c:pt idx="4">
                  <c:v>0.14500000000000002</c:v>
                </c:pt>
              </c:numCache>
            </c:numRef>
          </c:val>
        </c:ser>
        <c:axId val="66737280"/>
        <c:axId val="66739200"/>
      </c:barChart>
      <c:catAx>
        <c:axId val="66737280"/>
        <c:scaling>
          <c:orientation val="minMax"/>
        </c:scaling>
        <c:axPos val="b"/>
        <c:numFmt formatCode="General" sourceLinked="1"/>
        <c:tickLblPos val="nextTo"/>
        <c:crossAx val="66739200"/>
        <c:crosses val="autoZero"/>
        <c:auto val="1"/>
        <c:lblAlgn val="ctr"/>
        <c:lblOffset val="100"/>
      </c:catAx>
      <c:valAx>
        <c:axId val="66739200"/>
        <c:scaling>
          <c:orientation val="minMax"/>
        </c:scaling>
        <c:axPos val="l"/>
        <c:majorGridlines/>
        <c:numFmt formatCode="0.00%" sourceLinked="1"/>
        <c:tickLblPos val="nextTo"/>
        <c:crossAx val="66737280"/>
        <c:crosses val="autoZero"/>
        <c:crossBetween val="between"/>
      </c:valAx>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IN"/>
  <c:chart>
    <c:title/>
    <c:plotArea>
      <c:layout/>
      <c:barChart>
        <c:barDir val="col"/>
        <c:grouping val="stacked"/>
        <c:ser>
          <c:idx val="0"/>
          <c:order val="0"/>
          <c:tx>
            <c:strRef>
              <c:f>Sheet1!$C$9</c:f>
              <c:strCache>
                <c:ptCount val="1"/>
                <c:pt idx="0">
                  <c:v>HSBC Loans/Total Assets (%)</c:v>
                </c:pt>
              </c:strCache>
            </c:strRef>
          </c:tx>
          <c:cat>
            <c:numRef>
              <c:f>Sheet1!$D$3:$H$3</c:f>
              <c:numCache>
                <c:formatCode>General</c:formatCode>
                <c:ptCount val="5"/>
                <c:pt idx="0">
                  <c:v>2013</c:v>
                </c:pt>
                <c:pt idx="1">
                  <c:v>2014</c:v>
                </c:pt>
                <c:pt idx="2">
                  <c:v>2015</c:v>
                </c:pt>
                <c:pt idx="3">
                  <c:v>2016</c:v>
                </c:pt>
                <c:pt idx="4">
                  <c:v>2017</c:v>
                </c:pt>
              </c:numCache>
            </c:numRef>
          </c:cat>
          <c:val>
            <c:numRef>
              <c:f>Sheet1!$D$9:$H$9</c:f>
              <c:numCache>
                <c:formatCode>General</c:formatCode>
                <c:ptCount val="5"/>
                <c:pt idx="0">
                  <c:v>48.36</c:v>
                </c:pt>
                <c:pt idx="1">
                  <c:v>41.260000000000005</c:v>
                </c:pt>
                <c:pt idx="2">
                  <c:v>42.120000000000005</c:v>
                </c:pt>
                <c:pt idx="3">
                  <c:v>39.980000000000004</c:v>
                </c:pt>
                <c:pt idx="4">
                  <c:v>41.77</c:v>
                </c:pt>
              </c:numCache>
            </c:numRef>
          </c:val>
        </c:ser>
        <c:overlap val="100"/>
        <c:axId val="71377664"/>
        <c:axId val="71379200"/>
      </c:barChart>
      <c:catAx>
        <c:axId val="71377664"/>
        <c:scaling>
          <c:orientation val="minMax"/>
        </c:scaling>
        <c:axPos val="b"/>
        <c:numFmt formatCode="General" sourceLinked="1"/>
        <c:tickLblPos val="nextTo"/>
        <c:crossAx val="71379200"/>
        <c:crosses val="autoZero"/>
        <c:auto val="1"/>
        <c:lblAlgn val="ctr"/>
        <c:lblOffset val="100"/>
      </c:catAx>
      <c:valAx>
        <c:axId val="71379200"/>
        <c:scaling>
          <c:orientation val="minMax"/>
        </c:scaling>
        <c:axPos val="l"/>
        <c:majorGridlines/>
        <c:numFmt formatCode="General" sourceLinked="1"/>
        <c:tickLblPos val="nextTo"/>
        <c:crossAx val="71377664"/>
        <c:crosses val="autoZero"/>
        <c:crossBetween val="between"/>
      </c:valAx>
    </c:plotArea>
    <c:legend>
      <c:legendPos val="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IN"/>
  <c:chart>
    <c:title/>
    <c:plotArea>
      <c:layout/>
      <c:barChart>
        <c:barDir val="col"/>
        <c:grouping val="clustered"/>
        <c:ser>
          <c:idx val="0"/>
          <c:order val="0"/>
          <c:tx>
            <c:strRef>
              <c:f>Sheet1!$C$10</c:f>
              <c:strCache>
                <c:ptCount val="1"/>
                <c:pt idx="0">
                  <c:v>HSBC Liquidity Coverage Ratio</c:v>
                </c:pt>
              </c:strCache>
            </c:strRef>
          </c:tx>
          <c:cat>
            <c:numRef>
              <c:f>Sheet1!$D$3:$H$3</c:f>
              <c:numCache>
                <c:formatCode>General</c:formatCode>
                <c:ptCount val="5"/>
                <c:pt idx="0">
                  <c:v>2013</c:v>
                </c:pt>
                <c:pt idx="1">
                  <c:v>2014</c:v>
                </c:pt>
                <c:pt idx="2">
                  <c:v>2015</c:v>
                </c:pt>
                <c:pt idx="3">
                  <c:v>2016</c:v>
                </c:pt>
                <c:pt idx="4">
                  <c:v>2017</c:v>
                </c:pt>
              </c:numCache>
            </c:numRef>
          </c:cat>
          <c:val>
            <c:numRef>
              <c:f>Sheet1!$D$10:$H$10</c:f>
              <c:numCache>
                <c:formatCode>General</c:formatCode>
                <c:ptCount val="5"/>
                <c:pt idx="2" formatCode="0.00%">
                  <c:v>1.5980000000000001</c:v>
                </c:pt>
                <c:pt idx="3" formatCode="0%">
                  <c:v>1.36</c:v>
                </c:pt>
                <c:pt idx="4" formatCode="0%">
                  <c:v>1.42</c:v>
                </c:pt>
              </c:numCache>
            </c:numRef>
          </c:val>
        </c:ser>
        <c:axId val="74759168"/>
        <c:axId val="74765056"/>
      </c:barChart>
      <c:catAx>
        <c:axId val="74759168"/>
        <c:scaling>
          <c:orientation val="minMax"/>
        </c:scaling>
        <c:axPos val="b"/>
        <c:numFmt formatCode="General" sourceLinked="1"/>
        <c:tickLblPos val="nextTo"/>
        <c:crossAx val="74765056"/>
        <c:crosses val="autoZero"/>
        <c:auto val="1"/>
        <c:lblAlgn val="ctr"/>
        <c:lblOffset val="100"/>
      </c:catAx>
      <c:valAx>
        <c:axId val="74765056"/>
        <c:scaling>
          <c:orientation val="minMax"/>
        </c:scaling>
        <c:axPos val="l"/>
        <c:majorGridlines/>
        <c:numFmt formatCode="General" sourceLinked="1"/>
        <c:tickLblPos val="nextTo"/>
        <c:crossAx val="74759168"/>
        <c:crosses val="autoZero"/>
        <c:crossBetween val="between"/>
      </c:valAx>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Words>6215</Words>
  <Characters>33770</Characters>
  <Application>WPS Office</Application>
  <Paragraphs>165</Paragraphs>
  <CharactersWithSpaces>40103</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2018-08-17T20:42:25Z</dcterms:created>
  <dc:creator>WPS Office</dc:creator>
  <lastModifiedBy>Index</lastModifiedBy>
  <dcterms:modified xsi:type="dcterms:W3CDTF">2018-08-17T20:42:25Z</dcterms:modified>
</coreProperties>
</file>