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0F02D" w14:textId="16D82647" w:rsidR="008A0012" w:rsidRDefault="0014304E" w:rsidP="008A0012">
      <w:pPr>
        <w:pStyle w:val="Heading1"/>
      </w:pPr>
      <w:r>
        <w:t>Task 1a</w:t>
      </w:r>
    </w:p>
    <w:p w14:paraId="139D5D7C" w14:textId="22860C51" w:rsidR="005473E5" w:rsidRDefault="005473E5" w:rsidP="005473E5">
      <w:r>
        <w:t xml:space="preserve">The first set of important study skills to be discussed will be academic writing and referencing. Academic writing allows for students to present information in a professional manner thanks to the formal tone and style. This includes a lack of slang, overly casual expressions and a third person perspective to avoid bias. Academic writing also encourages students to not only present facts but analyse and evaluate them too. </w:t>
      </w:r>
      <w:sdt>
        <w:sdtPr>
          <w:id w:val="1981719922"/>
          <w:citation/>
        </w:sdtPr>
        <w:sdtEndPr/>
        <w:sdtContent>
          <w:r>
            <w:fldChar w:fldCharType="begin"/>
          </w:r>
          <w:r>
            <w:instrText xml:space="preserve"> CITATION htt \l 2057 </w:instrText>
          </w:r>
          <w:r>
            <w:fldChar w:fldCharType="separate"/>
          </w:r>
          <w:r w:rsidR="00554258" w:rsidRPr="00554258">
            <w:rPr>
              <w:noProof/>
            </w:rPr>
            <w:t>[1]</w:t>
          </w:r>
          <w:r>
            <w:fldChar w:fldCharType="end"/>
          </w:r>
        </w:sdtContent>
      </w:sdt>
      <w:r>
        <w:t xml:space="preserve"> Meanwhile, referencing allows students to make it clear which words are their own and which words are not, helping them avoid plagiarism. Referencing also provides supporting evidence for a student’s arguments or </w:t>
      </w:r>
      <w:proofErr w:type="gramStart"/>
      <w:r>
        <w:t>opinions, and</w:t>
      </w:r>
      <w:proofErr w:type="gramEnd"/>
      <w:r>
        <w:t xml:space="preserve"> also shows their understanding of whatever topic they’re covering.</w:t>
      </w:r>
      <w:sdt>
        <w:sdtPr>
          <w:id w:val="1788542213"/>
          <w:citation/>
        </w:sdtPr>
        <w:sdtEndPr/>
        <w:sdtContent>
          <w:r>
            <w:fldChar w:fldCharType="begin"/>
          </w:r>
          <w:r>
            <w:instrText xml:space="preserve"> CITATION htt1 \l 2057 </w:instrText>
          </w:r>
          <w:r>
            <w:fldChar w:fldCharType="separate"/>
          </w:r>
          <w:r w:rsidR="00554258">
            <w:rPr>
              <w:noProof/>
            </w:rPr>
            <w:t xml:space="preserve"> </w:t>
          </w:r>
          <w:r w:rsidR="00554258" w:rsidRPr="00554258">
            <w:rPr>
              <w:noProof/>
            </w:rPr>
            <w:t>[2]</w:t>
          </w:r>
          <w:r>
            <w:fldChar w:fldCharType="end"/>
          </w:r>
        </w:sdtContent>
      </w:sdt>
    </w:p>
    <w:p w14:paraId="17181A11" w14:textId="719516C7" w:rsidR="005473E5" w:rsidRDefault="005473E5" w:rsidP="005473E5">
      <w:r>
        <w:t xml:space="preserve">The second set of skills are planning, organisation and time management. Planning and organisation allow students to break down otherwise complex tasks into smaller, more manageable steps. This helps them focus on one thing at a time, preventing them from feeling overwhelmed, and allows them to track their progress effectively. Time management prevents students from piling up their tasks or leaving them last minute, allowing them to keep on top of their work without feeling burnt out. With a good schedule and effective time management, students can earn more time for themselves without any guilt. </w:t>
      </w:r>
      <w:sdt>
        <w:sdtPr>
          <w:id w:val="1307433939"/>
          <w:citation/>
        </w:sdtPr>
        <w:sdtEndPr/>
        <w:sdtContent>
          <w:r>
            <w:fldChar w:fldCharType="begin"/>
          </w:r>
          <w:r>
            <w:instrText xml:space="preserve"> CITATION htt2 \l 2057 </w:instrText>
          </w:r>
          <w:r>
            <w:fldChar w:fldCharType="separate"/>
          </w:r>
          <w:r w:rsidR="00554258" w:rsidRPr="00554258">
            <w:rPr>
              <w:noProof/>
            </w:rPr>
            <w:t>[3]</w:t>
          </w:r>
          <w:r>
            <w:fldChar w:fldCharType="end"/>
          </w:r>
        </w:sdtContent>
      </w:sdt>
      <w:sdt>
        <w:sdtPr>
          <w:id w:val="2132675260"/>
          <w:citation/>
        </w:sdtPr>
        <w:sdtEndPr/>
        <w:sdtContent>
          <w:r>
            <w:fldChar w:fldCharType="begin"/>
          </w:r>
          <w:r>
            <w:instrText xml:space="preserve"> CITATION htt3 \l 2057 </w:instrText>
          </w:r>
          <w:r>
            <w:fldChar w:fldCharType="separate"/>
          </w:r>
          <w:r w:rsidR="00554258">
            <w:rPr>
              <w:noProof/>
            </w:rPr>
            <w:t xml:space="preserve"> </w:t>
          </w:r>
          <w:r w:rsidR="00554258" w:rsidRPr="00554258">
            <w:rPr>
              <w:noProof/>
            </w:rPr>
            <w:t>[4]</w:t>
          </w:r>
          <w:r>
            <w:fldChar w:fldCharType="end"/>
          </w:r>
        </w:sdtContent>
      </w:sdt>
    </w:p>
    <w:p w14:paraId="121FD838" w14:textId="2ED09A26" w:rsidR="006D315F" w:rsidRDefault="005473E5" w:rsidP="005473E5">
      <w:r>
        <w:t>The last set of skills are communication, collaboration and team working. Being able to communicate with other students allows you to form connections, building trust among whatever group you have been assigned to and helping you become more confident. Having good communication encourages effective collaboration, making sure everyone is working towards the same goal and that there are no misunderstandings. Having good teamwork is important as it can greatly boost productivity, with different students or pairs of students working on different tasks simultaneously.</w:t>
      </w:r>
      <w:sdt>
        <w:sdtPr>
          <w:id w:val="228892893"/>
          <w:citation/>
        </w:sdtPr>
        <w:sdtEndPr/>
        <w:sdtContent>
          <w:r>
            <w:fldChar w:fldCharType="begin"/>
          </w:r>
          <w:r>
            <w:instrText xml:space="preserve"> CITATION htt4 \l 2057 </w:instrText>
          </w:r>
          <w:r>
            <w:fldChar w:fldCharType="separate"/>
          </w:r>
          <w:r w:rsidR="00554258">
            <w:rPr>
              <w:noProof/>
            </w:rPr>
            <w:t xml:space="preserve"> </w:t>
          </w:r>
          <w:r w:rsidR="00554258" w:rsidRPr="00554258">
            <w:rPr>
              <w:noProof/>
            </w:rPr>
            <w:t>[5]</w:t>
          </w:r>
          <w:r>
            <w:fldChar w:fldCharType="end"/>
          </w:r>
        </w:sdtContent>
      </w:sdt>
    </w:p>
    <w:p w14:paraId="1F95D65E" w14:textId="36F9AD7C" w:rsidR="008A0012" w:rsidRDefault="0014304E" w:rsidP="008A0012">
      <w:pPr>
        <w:pStyle w:val="Heading1"/>
      </w:pPr>
      <w:r>
        <w:t>Task 1b</w:t>
      </w:r>
    </w:p>
    <w:p w14:paraId="2FAC5EB5" w14:textId="591661FA" w:rsidR="00022DE4" w:rsidRPr="009522B5" w:rsidRDefault="00D13F19" w:rsidP="00022DE4">
      <w:sdt>
        <w:sdtPr>
          <w:id w:val="-42139473"/>
          <w:citation/>
        </w:sdtPr>
        <w:sdtEndPr/>
        <w:sdtContent>
          <w:r w:rsidR="001B52DE">
            <w:fldChar w:fldCharType="begin"/>
          </w:r>
          <w:r w:rsidR="001B52DE">
            <w:rPr>
              <w:lang w:val="cy-GB"/>
            </w:rPr>
            <w:instrText xml:space="preserve"> CITATION chatgptsource \l 1106 </w:instrText>
          </w:r>
          <w:r w:rsidR="001B52DE">
            <w:fldChar w:fldCharType="separate"/>
          </w:r>
          <w:r w:rsidR="001B52DE" w:rsidRPr="001B52DE">
            <w:rPr>
              <w:noProof/>
              <w:lang w:val="cy-GB"/>
            </w:rPr>
            <w:t>[6]</w:t>
          </w:r>
          <w:r w:rsidR="001B52DE">
            <w:fldChar w:fldCharType="end"/>
          </w:r>
        </w:sdtContent>
      </w:sdt>
      <w:r w:rsidR="00022DE4" w:rsidRPr="009522B5">
        <w:t>ChatGPT is the most versatile of the AI assistants, being able to handle tasks from drafting professional emails to summarising research. It also features API and plugin support. However, ChatGPT can easily forget previous messages in extended conversations, requiring users to repeat or clarify information. It also lacks the depth of specialised tools when it comes to workflow automation or coding.</w:t>
      </w:r>
    </w:p>
    <w:p w14:paraId="02BA0D8A" w14:textId="3EFD6A97" w:rsidR="00022DE4" w:rsidRDefault="00D13F19" w:rsidP="00022DE4">
      <w:sdt>
        <w:sdtPr>
          <w:id w:val="1527052110"/>
          <w:citation/>
        </w:sdtPr>
        <w:sdtEndPr/>
        <w:sdtContent>
          <w:r w:rsidR="00A23DB1">
            <w:fldChar w:fldCharType="begin"/>
          </w:r>
          <w:r w:rsidR="00A23DB1">
            <w:rPr>
              <w:lang w:val="cy-GB"/>
            </w:rPr>
            <w:instrText xml:space="preserve"> CITATION sgesource \l 1106 </w:instrText>
          </w:r>
          <w:r w:rsidR="00A23DB1">
            <w:fldChar w:fldCharType="separate"/>
          </w:r>
          <w:r w:rsidR="00A23DB1" w:rsidRPr="00A23DB1">
            <w:rPr>
              <w:noProof/>
              <w:lang w:val="cy-GB"/>
            </w:rPr>
            <w:t>[7]</w:t>
          </w:r>
          <w:r w:rsidR="00A23DB1">
            <w:fldChar w:fldCharType="end"/>
          </w:r>
        </w:sdtContent>
      </w:sdt>
      <w:r w:rsidR="00022DE4">
        <w:t>Google’s SGE (Search Generative Experience), which is powered by Gemini</w:t>
      </w:r>
      <w:sdt>
        <w:sdtPr>
          <w:id w:val="-334697855"/>
          <w:citation/>
        </w:sdtPr>
        <w:sdtEndPr/>
        <w:sdtContent>
          <w:r w:rsidR="005C7EED">
            <w:fldChar w:fldCharType="begin"/>
          </w:r>
          <w:r w:rsidR="005C7EED">
            <w:rPr>
              <w:lang w:val="cy-GB"/>
            </w:rPr>
            <w:instrText xml:space="preserve"> CITATION geminisource \l 1106 </w:instrText>
          </w:r>
          <w:r w:rsidR="005C7EED">
            <w:fldChar w:fldCharType="separate"/>
          </w:r>
          <w:r w:rsidR="005C7EED">
            <w:rPr>
              <w:noProof/>
              <w:lang w:val="cy-GB"/>
            </w:rPr>
            <w:t xml:space="preserve"> </w:t>
          </w:r>
          <w:r w:rsidR="005C7EED" w:rsidRPr="005C7EED">
            <w:rPr>
              <w:noProof/>
              <w:lang w:val="cy-GB"/>
            </w:rPr>
            <w:t>[8]</w:t>
          </w:r>
          <w:r w:rsidR="005C7EED">
            <w:fldChar w:fldCharType="end"/>
          </w:r>
        </w:sdtContent>
      </w:sdt>
      <w:r w:rsidR="00022DE4">
        <w:t xml:space="preserve">, combines multiple sources into a single answer, which can save time searching. It also provides citations for its sources, making it extremely useful for referencing. However, </w:t>
      </w:r>
      <w:r w:rsidR="00022DE4">
        <w:lastRenderedPageBreak/>
        <w:t>the SGE tends to ‘hallucinate’ at times, providing inaccurate information or dangerous advice such as encouraging users to eat rocks</w:t>
      </w:r>
      <w:sdt>
        <w:sdtPr>
          <w:id w:val="-610668360"/>
          <w:citation/>
        </w:sdtPr>
        <w:sdtEndPr/>
        <w:sdtContent>
          <w:r w:rsidR="006D00C3">
            <w:fldChar w:fldCharType="begin"/>
          </w:r>
          <w:r w:rsidR="006D00C3">
            <w:rPr>
              <w:lang w:val="cy-GB"/>
            </w:rPr>
            <w:instrText xml:space="preserve"> CITATION rocksource \l 1106 </w:instrText>
          </w:r>
          <w:r w:rsidR="006D00C3">
            <w:fldChar w:fldCharType="separate"/>
          </w:r>
          <w:r w:rsidR="006D00C3">
            <w:rPr>
              <w:noProof/>
              <w:lang w:val="cy-GB"/>
            </w:rPr>
            <w:t xml:space="preserve"> </w:t>
          </w:r>
          <w:r w:rsidR="006D00C3" w:rsidRPr="006D00C3">
            <w:rPr>
              <w:noProof/>
              <w:lang w:val="cy-GB"/>
            </w:rPr>
            <w:t>[9]</w:t>
          </w:r>
          <w:r w:rsidR="006D00C3">
            <w:fldChar w:fldCharType="end"/>
          </w:r>
        </w:sdtContent>
      </w:sdt>
      <w:r w:rsidR="00022DE4">
        <w:t>.</w:t>
      </w:r>
    </w:p>
    <w:p w14:paraId="453E57C7" w14:textId="6E45272A" w:rsidR="008A0012" w:rsidRDefault="000C6ABF" w:rsidP="008A0012">
      <w:r>
        <w:t>The best AI to use in a</w:t>
      </w:r>
      <w:r w:rsidR="00E71FBF">
        <w:t xml:space="preserve">n educational </w:t>
      </w:r>
      <w:r>
        <w:t>setting would</w:t>
      </w:r>
      <w:r w:rsidR="00022DE4">
        <w:t xml:space="preserve"> be Google’s SGE. This is mainly because it provides the sources for its generated overviews, which </w:t>
      </w:r>
      <w:r w:rsidR="009B7586">
        <w:t>can be</w:t>
      </w:r>
      <w:r w:rsidR="00022DE4">
        <w:t xml:space="preserve"> use</w:t>
      </w:r>
      <w:r w:rsidR="009B7586">
        <w:t>d</w:t>
      </w:r>
      <w:r w:rsidR="00022DE4">
        <w:t xml:space="preserve"> to fact-check the AI answer in case it ‘hallucinates’ or if the sources are unreliable. </w:t>
      </w:r>
      <w:r w:rsidR="00F562DD">
        <w:t>The sources can also be used</w:t>
      </w:r>
      <w:r w:rsidR="00022DE4">
        <w:t xml:space="preserve"> to get more detailed information, as AI answers tend to be short and basic. More importantly, </w:t>
      </w:r>
      <w:r w:rsidR="002C15FD">
        <w:t>students</w:t>
      </w:r>
      <w:r w:rsidR="00022DE4">
        <w:t xml:space="preserve"> can citate these sources rather than the AI overview, which will increase credibility.</w:t>
      </w:r>
    </w:p>
    <w:p w14:paraId="67470AB6" w14:textId="5E389C19" w:rsidR="00DE4D3A" w:rsidRDefault="00DE4D3A" w:rsidP="00DE4D3A">
      <w:pPr>
        <w:pStyle w:val="Heading1"/>
      </w:pPr>
      <w:r>
        <w:t>Task 1c</w:t>
      </w:r>
    </w:p>
    <w:p w14:paraId="364AC82D" w14:textId="079AA2A5" w:rsidR="00055488" w:rsidRDefault="00055488" w:rsidP="00A27C94">
      <w:r w:rsidRPr="00055488">
        <w:rPr>
          <w:noProof/>
        </w:rPr>
        <w:drawing>
          <wp:inline distT="0" distB="0" distL="0" distR="0" wp14:anchorId="525E44B8" wp14:editId="057F2A34">
            <wp:extent cx="847843" cy="685896"/>
            <wp:effectExtent l="0" t="0" r="0" b="0"/>
            <wp:docPr id="1460863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63550" name=""/>
                    <pic:cNvPicPr/>
                  </pic:nvPicPr>
                  <pic:blipFill>
                    <a:blip r:embed="rId7"/>
                    <a:stretch>
                      <a:fillRect/>
                    </a:stretch>
                  </pic:blipFill>
                  <pic:spPr>
                    <a:xfrm>
                      <a:off x="0" y="0"/>
                      <a:ext cx="847843" cy="685896"/>
                    </a:xfrm>
                    <a:prstGeom prst="rect">
                      <a:avLst/>
                    </a:prstGeom>
                  </pic:spPr>
                </pic:pic>
              </a:graphicData>
            </a:graphic>
          </wp:inline>
        </w:drawing>
      </w:r>
    </w:p>
    <w:p w14:paraId="002070E8" w14:textId="138CBD28" w:rsidR="0096184F" w:rsidRDefault="00055488" w:rsidP="00A27C94">
      <w:r>
        <w:t xml:space="preserve">When submitting </w:t>
      </w:r>
      <w:r w:rsidR="00A56E73">
        <w:t>his</w:t>
      </w:r>
      <w:r>
        <w:t xml:space="preserve"> work, </w:t>
      </w:r>
      <w:r w:rsidR="00A56E73">
        <w:t>this student</w:t>
      </w:r>
      <w:r>
        <w:t xml:space="preserve"> received a similarity score of 18%</w:t>
      </w:r>
      <w:r w:rsidR="006B289F">
        <w:t xml:space="preserve">. This means </w:t>
      </w:r>
      <w:r w:rsidR="004D726F">
        <w:t>his</w:t>
      </w:r>
      <w:r w:rsidR="006B289F">
        <w:t xml:space="preserve"> </w:t>
      </w:r>
      <w:r w:rsidR="00821F58">
        <w:t xml:space="preserve">writing </w:t>
      </w:r>
      <w:r w:rsidR="00CB0FF6">
        <w:t>was</w:t>
      </w:r>
      <w:r w:rsidR="00821F58">
        <w:t xml:space="preserve"> distinct enough from the sources </w:t>
      </w:r>
      <w:r w:rsidR="004D726F">
        <w:t>he</w:t>
      </w:r>
      <w:r w:rsidR="00821F58">
        <w:t xml:space="preserve"> based it on</w:t>
      </w:r>
      <w:r w:rsidR="004D143D">
        <w:t>, which is excellent.</w:t>
      </w:r>
    </w:p>
    <w:p w14:paraId="67A58C8D" w14:textId="4D317362" w:rsidR="0096184F" w:rsidRDefault="000D5FEF" w:rsidP="00A27C94">
      <w:r>
        <w:t xml:space="preserve">As for the generic assessment criteria, </w:t>
      </w:r>
      <w:r w:rsidR="00060F41">
        <w:t>he</w:t>
      </w:r>
      <w:r>
        <w:t xml:space="preserve"> </w:t>
      </w:r>
      <w:r w:rsidR="00060F41">
        <w:t>has received</w:t>
      </w:r>
      <w:r>
        <w:t xml:space="preserve"> </w:t>
      </w:r>
      <w:r w:rsidR="009F77F7">
        <w:t>15 marks for engagement with literature skill</w:t>
      </w:r>
      <w:r w:rsidR="00C672C9">
        <w:t>s</w:t>
      </w:r>
      <w:r w:rsidR="004129B1">
        <w:t>.</w:t>
      </w:r>
      <w:r w:rsidR="006D3B54">
        <w:t xml:space="preserve"> </w:t>
      </w:r>
      <w:r w:rsidR="004129B1">
        <w:t>He has</w:t>
      </w:r>
      <w:r w:rsidR="006D3B54">
        <w:t xml:space="preserve"> generally made good use of writing techniques to keep everything easy to read, though some parts could have been worded better</w:t>
      </w:r>
      <w:r w:rsidR="006241FF">
        <w:t xml:space="preserve"> as they are structured awkwardly</w:t>
      </w:r>
      <w:r w:rsidR="006D3B54">
        <w:t>.</w:t>
      </w:r>
    </w:p>
    <w:p w14:paraId="0445F165" w14:textId="1D0EE3FB" w:rsidR="00055488" w:rsidRDefault="006D3B54" w:rsidP="00A27C94">
      <w:r>
        <w:t xml:space="preserve">As for knowledge and understanding skills, </w:t>
      </w:r>
      <w:r w:rsidR="009C5B9F">
        <w:t>he has received</w:t>
      </w:r>
      <w:r w:rsidR="0096184F">
        <w:t xml:space="preserve"> </w:t>
      </w:r>
      <w:r w:rsidR="002E7E91">
        <w:t xml:space="preserve">20 marks as </w:t>
      </w:r>
      <w:r w:rsidR="00DB74C4">
        <w:t>he</w:t>
      </w:r>
      <w:r w:rsidR="002E7E91">
        <w:t xml:space="preserve"> </w:t>
      </w:r>
      <w:r w:rsidR="004614AC">
        <w:t>clearly</w:t>
      </w:r>
      <w:r w:rsidR="002E7E91">
        <w:t xml:space="preserve"> understood each of the sources</w:t>
      </w:r>
      <w:r w:rsidR="0020557D">
        <w:t xml:space="preserve"> he</w:t>
      </w:r>
      <w:r w:rsidR="002E7E91">
        <w:t xml:space="preserve"> </w:t>
      </w:r>
      <w:r w:rsidR="00B50313">
        <w:t>used</w:t>
      </w:r>
      <w:r w:rsidR="001877BD">
        <w:t xml:space="preserve"> and synthesised</w:t>
      </w:r>
      <w:r w:rsidR="00780DCD">
        <w:t>/paraphrased</w:t>
      </w:r>
      <w:r w:rsidR="001877BD">
        <w:t xml:space="preserve"> them appropriately.</w:t>
      </w:r>
    </w:p>
    <w:p w14:paraId="3FF22E4B" w14:textId="4C3843CA" w:rsidR="004906F4" w:rsidRDefault="004906F4" w:rsidP="00A27C94">
      <w:r>
        <w:t>As for cognitive and intellectual skills</w:t>
      </w:r>
      <w:r w:rsidR="00B94A41">
        <w:t xml:space="preserve">, he has received </w:t>
      </w:r>
      <w:r w:rsidR="00A002C5">
        <w:t xml:space="preserve">another 20 marks as he </w:t>
      </w:r>
      <w:proofErr w:type="gramStart"/>
      <w:r w:rsidR="00A002C5">
        <w:t xml:space="preserve">has </w:t>
      </w:r>
      <w:r w:rsidR="00825C44">
        <w:t xml:space="preserve"> </w:t>
      </w:r>
      <w:r w:rsidR="001E79DE">
        <w:t>clearly</w:t>
      </w:r>
      <w:proofErr w:type="gramEnd"/>
      <w:r w:rsidR="001E79DE">
        <w:t xml:space="preserve"> adapted to the use of AI, with him writing about the best way to use it in an educatio</w:t>
      </w:r>
      <w:r w:rsidR="00756B93">
        <w:t>nal setting.</w:t>
      </w:r>
    </w:p>
    <w:p w14:paraId="332F8BE5" w14:textId="5A47C9D6" w:rsidR="004906F4" w:rsidRDefault="004906F4" w:rsidP="00A27C94">
      <w:r>
        <w:t xml:space="preserve">As for practical skills, which refers to the use of AI, </w:t>
      </w:r>
      <w:r w:rsidR="00F76B41">
        <w:t>he has received</w:t>
      </w:r>
      <w:r>
        <w:t xml:space="preserve"> </w:t>
      </w:r>
      <w:r w:rsidR="00A002C5">
        <w:t xml:space="preserve">yet </w:t>
      </w:r>
      <w:r w:rsidR="004B6BF1">
        <w:t xml:space="preserve">another 20 marks </w:t>
      </w:r>
      <w:r w:rsidR="002C29E4">
        <w:t xml:space="preserve">as </w:t>
      </w:r>
      <w:r w:rsidR="00F03188">
        <w:t>he</w:t>
      </w:r>
      <w:r w:rsidR="002C29E4">
        <w:t xml:space="preserve"> managed to use </w:t>
      </w:r>
      <w:r w:rsidR="00E72C91">
        <w:t>it</w:t>
      </w:r>
      <w:r w:rsidR="002C29E4">
        <w:t xml:space="preserve"> without impacting </w:t>
      </w:r>
      <w:r w:rsidR="00D20796">
        <w:t>the quality of his work</w:t>
      </w:r>
      <w:r w:rsidR="002C29E4">
        <w:t xml:space="preserve">. </w:t>
      </w:r>
      <w:r w:rsidR="00A74119">
        <w:t>He</w:t>
      </w:r>
      <w:r w:rsidR="002C29E4">
        <w:t xml:space="preserve"> only used </w:t>
      </w:r>
      <w:r w:rsidR="00E72C91">
        <w:t>AI</w:t>
      </w:r>
      <w:r w:rsidR="002C29E4">
        <w:t xml:space="preserve"> to quickly gather sources to read and write from, rather than copying and pasting whatever </w:t>
      </w:r>
      <w:r w:rsidR="00F44696">
        <w:t>it</w:t>
      </w:r>
      <w:r w:rsidR="002C29E4">
        <w:t xml:space="preserve"> churns out </w:t>
      </w:r>
      <w:r w:rsidR="009D3CF4">
        <w:t>with minimal tweaks.</w:t>
      </w:r>
    </w:p>
    <w:p w14:paraId="1E8822F6" w14:textId="050F9E9E" w:rsidR="001A0BCF" w:rsidRDefault="00490519" w:rsidP="00A27C94">
      <w:r>
        <w:t xml:space="preserve">As for transferable skills, </w:t>
      </w:r>
      <w:r w:rsidR="00772732">
        <w:t>he has received only</w:t>
      </w:r>
      <w:r w:rsidR="000A79D8">
        <w:t xml:space="preserve"> 10 marks. </w:t>
      </w:r>
      <w:r w:rsidR="00DB6988">
        <w:t>The</w:t>
      </w:r>
      <w:r w:rsidR="000A79D8">
        <w:t xml:space="preserve"> appropriate AI use would count here, but </w:t>
      </w:r>
      <w:r w:rsidR="00C07BB8">
        <w:t>he</w:t>
      </w:r>
      <w:r w:rsidR="000A79D8">
        <w:t xml:space="preserve"> didn’t gain any professional skills aside from that</w:t>
      </w:r>
      <w:r w:rsidR="002C669B">
        <w:t>, hence the middling score.</w:t>
      </w:r>
    </w:p>
    <w:p w14:paraId="561618DD" w14:textId="527E5CD3" w:rsidR="00966D2C" w:rsidRPr="00A27C94" w:rsidRDefault="00966D2C" w:rsidP="00A27C94">
      <w:r>
        <w:t xml:space="preserve">In total, he has received </w:t>
      </w:r>
      <w:r w:rsidR="00C07E16">
        <w:t>85 marks out of 100, which is very impressive. The only skills that he is lacking in somewhat are engagement with literature and transferable skills.</w:t>
      </w:r>
    </w:p>
    <w:sdt>
      <w:sdtPr>
        <w:rPr>
          <w:rFonts w:asciiTheme="minorHAnsi" w:eastAsiaTheme="minorEastAsia" w:hAnsiTheme="minorHAnsi" w:cstheme="minorBidi"/>
          <w:color w:val="auto"/>
          <w:sz w:val="24"/>
          <w:szCs w:val="24"/>
        </w:rPr>
        <w:id w:val="-397667806"/>
        <w:docPartObj>
          <w:docPartGallery w:val="Bibliographies"/>
          <w:docPartUnique/>
        </w:docPartObj>
      </w:sdtPr>
      <w:sdtEndPr/>
      <w:sdtContent>
        <w:p w14:paraId="58CC7DEA" w14:textId="77777777" w:rsidR="00554258" w:rsidRDefault="00554258" w:rsidP="00554258">
          <w:pPr>
            <w:pStyle w:val="Heading1"/>
          </w:pPr>
          <w:r>
            <w:t>References</w:t>
          </w:r>
        </w:p>
        <w:sdt>
          <w:sdtPr>
            <w:id w:val="-573587230"/>
            <w:bibliography/>
          </w:sdtPr>
          <w:sdtEndPr/>
          <w:sdtContent>
            <w:p w14:paraId="24BBF524" w14:textId="77777777" w:rsidR="00554258" w:rsidRDefault="00554258" w:rsidP="005542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54258" w14:paraId="0AD80420" w14:textId="77777777">
                <w:trPr>
                  <w:divId w:val="630407457"/>
                  <w:tblCellSpacing w:w="15" w:type="dxa"/>
                </w:trPr>
                <w:tc>
                  <w:tcPr>
                    <w:tcW w:w="50" w:type="pct"/>
                    <w:hideMark/>
                  </w:tcPr>
                  <w:p w14:paraId="33F67A6C" w14:textId="3A9C9990" w:rsidR="00554258" w:rsidRDefault="00554258">
                    <w:pPr>
                      <w:pStyle w:val="Bibliography"/>
                      <w:rPr>
                        <w:noProof/>
                        <w:kern w:val="0"/>
                        <w14:ligatures w14:val="none"/>
                      </w:rPr>
                    </w:pPr>
                    <w:r>
                      <w:rPr>
                        <w:noProof/>
                      </w:rPr>
                      <w:t xml:space="preserve">[1] </w:t>
                    </w:r>
                  </w:p>
                </w:tc>
                <w:tc>
                  <w:tcPr>
                    <w:tcW w:w="0" w:type="auto"/>
                    <w:hideMark/>
                  </w:tcPr>
                  <w:p w14:paraId="11C3426D" w14:textId="77777777" w:rsidR="00554258" w:rsidRDefault="00554258">
                    <w:pPr>
                      <w:pStyle w:val="Bibliography"/>
                      <w:rPr>
                        <w:noProof/>
                      </w:rPr>
                    </w:pPr>
                    <w:r>
                      <w:rPr>
                        <w:noProof/>
                      </w:rPr>
                      <w:t>[Online]. Available: https://library.roehampton.ac.uk/studyskills/writing.</w:t>
                    </w:r>
                  </w:p>
                </w:tc>
              </w:tr>
              <w:tr w:rsidR="00554258" w14:paraId="69A185CF" w14:textId="77777777">
                <w:trPr>
                  <w:divId w:val="630407457"/>
                  <w:tblCellSpacing w:w="15" w:type="dxa"/>
                </w:trPr>
                <w:tc>
                  <w:tcPr>
                    <w:tcW w:w="50" w:type="pct"/>
                    <w:hideMark/>
                  </w:tcPr>
                  <w:p w14:paraId="1C22FFC4" w14:textId="77777777" w:rsidR="00554258" w:rsidRDefault="00554258">
                    <w:pPr>
                      <w:pStyle w:val="Bibliography"/>
                      <w:rPr>
                        <w:noProof/>
                      </w:rPr>
                    </w:pPr>
                    <w:r>
                      <w:rPr>
                        <w:noProof/>
                      </w:rPr>
                      <w:t xml:space="preserve">[2] </w:t>
                    </w:r>
                  </w:p>
                </w:tc>
                <w:tc>
                  <w:tcPr>
                    <w:tcW w:w="0" w:type="auto"/>
                    <w:hideMark/>
                  </w:tcPr>
                  <w:p w14:paraId="05BAC844" w14:textId="77777777" w:rsidR="00554258" w:rsidRDefault="00554258">
                    <w:pPr>
                      <w:pStyle w:val="Bibliography"/>
                      <w:rPr>
                        <w:noProof/>
                      </w:rPr>
                    </w:pPr>
                    <w:r>
                      <w:rPr>
                        <w:noProof/>
                      </w:rPr>
                      <w:t>[Online]. Available: https://library.leeds.ac.uk/info/1402/referencing/47/referencing-explained.</w:t>
                    </w:r>
                  </w:p>
                </w:tc>
              </w:tr>
              <w:tr w:rsidR="00554258" w14:paraId="356C4744" w14:textId="77777777">
                <w:trPr>
                  <w:divId w:val="630407457"/>
                  <w:tblCellSpacing w:w="15" w:type="dxa"/>
                </w:trPr>
                <w:tc>
                  <w:tcPr>
                    <w:tcW w:w="50" w:type="pct"/>
                    <w:hideMark/>
                  </w:tcPr>
                  <w:p w14:paraId="74973D5F" w14:textId="77777777" w:rsidR="00554258" w:rsidRDefault="00554258">
                    <w:pPr>
                      <w:pStyle w:val="Bibliography"/>
                      <w:rPr>
                        <w:noProof/>
                      </w:rPr>
                    </w:pPr>
                    <w:r>
                      <w:rPr>
                        <w:noProof/>
                      </w:rPr>
                      <w:t xml:space="preserve">[3] </w:t>
                    </w:r>
                  </w:p>
                </w:tc>
                <w:tc>
                  <w:tcPr>
                    <w:tcW w:w="0" w:type="auto"/>
                    <w:hideMark/>
                  </w:tcPr>
                  <w:p w14:paraId="691A6A48" w14:textId="77777777" w:rsidR="00554258" w:rsidRDefault="00554258">
                    <w:pPr>
                      <w:pStyle w:val="Bibliography"/>
                      <w:rPr>
                        <w:noProof/>
                      </w:rPr>
                    </w:pPr>
                    <w:r>
                      <w:rPr>
                        <w:noProof/>
                      </w:rPr>
                      <w:t>[Online]. Available: https://www.melbournepolytechnic.edu.au/about-us/news-and-events/news/effective-study-planning/.</w:t>
                    </w:r>
                  </w:p>
                </w:tc>
              </w:tr>
              <w:tr w:rsidR="00554258" w14:paraId="5C814B9C" w14:textId="77777777">
                <w:trPr>
                  <w:divId w:val="630407457"/>
                  <w:tblCellSpacing w:w="15" w:type="dxa"/>
                </w:trPr>
                <w:tc>
                  <w:tcPr>
                    <w:tcW w:w="50" w:type="pct"/>
                    <w:hideMark/>
                  </w:tcPr>
                  <w:p w14:paraId="15F6BFE4" w14:textId="77777777" w:rsidR="00554258" w:rsidRDefault="00554258">
                    <w:pPr>
                      <w:pStyle w:val="Bibliography"/>
                      <w:rPr>
                        <w:noProof/>
                      </w:rPr>
                    </w:pPr>
                    <w:r>
                      <w:rPr>
                        <w:noProof/>
                      </w:rPr>
                      <w:t xml:space="preserve">[4] </w:t>
                    </w:r>
                  </w:p>
                </w:tc>
                <w:tc>
                  <w:tcPr>
                    <w:tcW w:w="0" w:type="auto"/>
                    <w:hideMark/>
                  </w:tcPr>
                  <w:p w14:paraId="362C4C8B" w14:textId="2B030359" w:rsidR="00554258" w:rsidRDefault="00554258">
                    <w:pPr>
                      <w:pStyle w:val="Bibliography"/>
                      <w:rPr>
                        <w:noProof/>
                      </w:rPr>
                    </w:pPr>
                    <w:r>
                      <w:rPr>
                        <w:noProof/>
                      </w:rPr>
                      <w:t>[Online]. Available: https://www.lessoningtheload.co.uk/blog/the-power-of-organisation-a-key-to-academic-success-and-stronger-mental-health.</w:t>
                    </w:r>
                  </w:p>
                </w:tc>
              </w:tr>
              <w:tr w:rsidR="00554258" w14:paraId="2BBA32BA" w14:textId="77777777">
                <w:trPr>
                  <w:divId w:val="630407457"/>
                  <w:tblCellSpacing w:w="15" w:type="dxa"/>
                </w:trPr>
                <w:tc>
                  <w:tcPr>
                    <w:tcW w:w="50" w:type="pct"/>
                    <w:hideMark/>
                  </w:tcPr>
                  <w:p w14:paraId="673E74B7" w14:textId="77777777" w:rsidR="00554258" w:rsidRDefault="00554258">
                    <w:pPr>
                      <w:pStyle w:val="Bibliography"/>
                      <w:rPr>
                        <w:noProof/>
                      </w:rPr>
                    </w:pPr>
                    <w:r>
                      <w:rPr>
                        <w:noProof/>
                      </w:rPr>
                      <w:t xml:space="preserve">[5] </w:t>
                    </w:r>
                  </w:p>
                </w:tc>
                <w:tc>
                  <w:tcPr>
                    <w:tcW w:w="0" w:type="auto"/>
                    <w:hideMark/>
                  </w:tcPr>
                  <w:p w14:paraId="62107089" w14:textId="77777777" w:rsidR="00554258" w:rsidRDefault="00554258">
                    <w:pPr>
                      <w:pStyle w:val="Bibliography"/>
                      <w:rPr>
                        <w:noProof/>
                      </w:rPr>
                    </w:pPr>
                    <w:r>
                      <w:rPr>
                        <w:noProof/>
                      </w:rPr>
                      <w:t>[Online]. Available: https://vikaasa.org/blog/importance-of-communication-skills-for-students/.</w:t>
                    </w:r>
                  </w:p>
                </w:tc>
              </w:tr>
              <w:tr w:rsidR="00554258" w14:paraId="13E7ED46" w14:textId="77777777">
                <w:trPr>
                  <w:divId w:val="630407457"/>
                  <w:tblCellSpacing w:w="15" w:type="dxa"/>
                </w:trPr>
                <w:tc>
                  <w:tcPr>
                    <w:tcW w:w="50" w:type="pct"/>
                    <w:hideMark/>
                  </w:tcPr>
                  <w:p w14:paraId="2138E62F" w14:textId="77777777" w:rsidR="00554258" w:rsidRDefault="00554258">
                    <w:pPr>
                      <w:pStyle w:val="Bibliography"/>
                      <w:rPr>
                        <w:noProof/>
                      </w:rPr>
                    </w:pPr>
                    <w:r>
                      <w:rPr>
                        <w:noProof/>
                      </w:rPr>
                      <w:t xml:space="preserve">[6] </w:t>
                    </w:r>
                  </w:p>
                </w:tc>
                <w:tc>
                  <w:tcPr>
                    <w:tcW w:w="0" w:type="auto"/>
                    <w:hideMark/>
                  </w:tcPr>
                  <w:p w14:paraId="1EE36009" w14:textId="77777777" w:rsidR="00554258" w:rsidRDefault="00554258">
                    <w:pPr>
                      <w:pStyle w:val="Bibliography"/>
                      <w:rPr>
                        <w:noProof/>
                      </w:rPr>
                    </w:pPr>
                    <w:r>
                      <w:rPr>
                        <w:noProof/>
                      </w:rPr>
                      <w:t>M. Ribas. [Online]. Available: https://gmelius.com/blog/best-ai-assistants-comparison.</w:t>
                    </w:r>
                  </w:p>
                </w:tc>
              </w:tr>
              <w:tr w:rsidR="00554258" w14:paraId="172D44C1" w14:textId="77777777">
                <w:trPr>
                  <w:divId w:val="630407457"/>
                  <w:tblCellSpacing w:w="15" w:type="dxa"/>
                </w:trPr>
                <w:tc>
                  <w:tcPr>
                    <w:tcW w:w="50" w:type="pct"/>
                    <w:hideMark/>
                  </w:tcPr>
                  <w:p w14:paraId="43864C27" w14:textId="77777777" w:rsidR="00554258" w:rsidRDefault="00554258">
                    <w:pPr>
                      <w:pStyle w:val="Bibliography"/>
                      <w:rPr>
                        <w:noProof/>
                      </w:rPr>
                    </w:pPr>
                    <w:r>
                      <w:rPr>
                        <w:noProof/>
                      </w:rPr>
                      <w:t xml:space="preserve">[7] </w:t>
                    </w:r>
                  </w:p>
                </w:tc>
                <w:tc>
                  <w:tcPr>
                    <w:tcW w:w="0" w:type="auto"/>
                    <w:hideMark/>
                  </w:tcPr>
                  <w:p w14:paraId="12245714" w14:textId="77777777" w:rsidR="00554258" w:rsidRDefault="00554258">
                    <w:pPr>
                      <w:pStyle w:val="Bibliography"/>
                      <w:rPr>
                        <w:noProof/>
                      </w:rPr>
                    </w:pPr>
                    <w:r>
                      <w:rPr>
                        <w:noProof/>
                      </w:rPr>
                      <w:t>[Online]. Available: https://www.engageweb.co.uk/blog/advantages-and-disadvantages-of-googles-search-generative-experience.</w:t>
                    </w:r>
                  </w:p>
                </w:tc>
              </w:tr>
              <w:tr w:rsidR="00554258" w14:paraId="1EA097FB" w14:textId="77777777">
                <w:trPr>
                  <w:divId w:val="630407457"/>
                  <w:tblCellSpacing w:w="15" w:type="dxa"/>
                </w:trPr>
                <w:tc>
                  <w:tcPr>
                    <w:tcW w:w="50" w:type="pct"/>
                    <w:hideMark/>
                  </w:tcPr>
                  <w:p w14:paraId="3EB35337" w14:textId="77777777" w:rsidR="00554258" w:rsidRDefault="00554258">
                    <w:pPr>
                      <w:pStyle w:val="Bibliography"/>
                      <w:rPr>
                        <w:noProof/>
                      </w:rPr>
                    </w:pPr>
                    <w:r>
                      <w:rPr>
                        <w:noProof/>
                      </w:rPr>
                      <w:t xml:space="preserve">[8] </w:t>
                    </w:r>
                  </w:p>
                </w:tc>
                <w:tc>
                  <w:tcPr>
                    <w:tcW w:w="0" w:type="auto"/>
                    <w:hideMark/>
                  </w:tcPr>
                  <w:p w14:paraId="008C3A2E" w14:textId="77777777" w:rsidR="00554258" w:rsidRDefault="00554258">
                    <w:pPr>
                      <w:pStyle w:val="Bibliography"/>
                      <w:rPr>
                        <w:noProof/>
                      </w:rPr>
                    </w:pPr>
                    <w:r>
                      <w:rPr>
                        <w:noProof/>
                      </w:rPr>
                      <w:t>[Online]. Available: https://blog.google/products-and-platforms/products/search/gemini-3-search-ai-mode/.</w:t>
                    </w:r>
                  </w:p>
                </w:tc>
              </w:tr>
              <w:tr w:rsidR="00554258" w14:paraId="5A1F296A" w14:textId="77777777">
                <w:trPr>
                  <w:divId w:val="630407457"/>
                  <w:tblCellSpacing w:w="15" w:type="dxa"/>
                </w:trPr>
                <w:tc>
                  <w:tcPr>
                    <w:tcW w:w="50" w:type="pct"/>
                    <w:hideMark/>
                  </w:tcPr>
                  <w:p w14:paraId="11F3448A" w14:textId="77777777" w:rsidR="00554258" w:rsidRDefault="00554258">
                    <w:pPr>
                      <w:pStyle w:val="Bibliography"/>
                      <w:rPr>
                        <w:noProof/>
                      </w:rPr>
                    </w:pPr>
                    <w:r>
                      <w:rPr>
                        <w:noProof/>
                      </w:rPr>
                      <w:t xml:space="preserve">[9] </w:t>
                    </w:r>
                  </w:p>
                </w:tc>
                <w:tc>
                  <w:tcPr>
                    <w:tcW w:w="0" w:type="auto"/>
                    <w:hideMark/>
                  </w:tcPr>
                  <w:p w14:paraId="3C9924A2" w14:textId="77777777" w:rsidR="00554258" w:rsidRDefault="00554258">
                    <w:pPr>
                      <w:pStyle w:val="Bibliography"/>
                      <w:rPr>
                        <w:noProof/>
                      </w:rPr>
                    </w:pPr>
                    <w:r>
                      <w:rPr>
                        <w:noProof/>
                      </w:rPr>
                      <w:t>[Online]. Available: https://www.bbc.co.uk/news/articles/cd11gzejgz4o.</w:t>
                    </w:r>
                  </w:p>
                </w:tc>
              </w:tr>
            </w:tbl>
            <w:p w14:paraId="78849F78" w14:textId="77777777" w:rsidR="00554258" w:rsidRDefault="00554258">
              <w:pPr>
                <w:divId w:val="630407457"/>
                <w:rPr>
                  <w:rFonts w:eastAsia="Times New Roman"/>
                  <w:noProof/>
                </w:rPr>
              </w:pPr>
            </w:p>
            <w:p w14:paraId="5E2E4590" w14:textId="77777777" w:rsidR="00554258" w:rsidRDefault="00554258" w:rsidP="00554258">
              <w:r>
                <w:rPr>
                  <w:b/>
                  <w:bCs/>
                  <w:noProof/>
                </w:rPr>
                <w:fldChar w:fldCharType="end"/>
              </w:r>
            </w:p>
          </w:sdtContent>
        </w:sdt>
      </w:sdtContent>
    </w:sdt>
    <w:p w14:paraId="0F267241" w14:textId="77777777" w:rsidR="00554258" w:rsidRPr="008A0012" w:rsidRDefault="00554258" w:rsidP="008A0012"/>
    <w:sectPr w:rsidR="00554258" w:rsidRPr="008A0012" w:rsidSect="005473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3B3AD" w14:textId="77777777" w:rsidR="00D13F19" w:rsidRDefault="00D13F19" w:rsidP="00BB0C7B">
      <w:pPr>
        <w:spacing w:after="0" w:line="240" w:lineRule="auto"/>
      </w:pPr>
      <w:r>
        <w:separator/>
      </w:r>
    </w:p>
  </w:endnote>
  <w:endnote w:type="continuationSeparator" w:id="0">
    <w:p w14:paraId="18CE9D0D" w14:textId="77777777" w:rsidR="00D13F19" w:rsidRDefault="00D13F19" w:rsidP="00BB0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970E0" w14:textId="77777777" w:rsidR="00D13F19" w:rsidRDefault="00D13F19" w:rsidP="00BB0C7B">
      <w:pPr>
        <w:spacing w:after="0" w:line="240" w:lineRule="auto"/>
      </w:pPr>
      <w:r>
        <w:separator/>
      </w:r>
    </w:p>
  </w:footnote>
  <w:footnote w:type="continuationSeparator" w:id="0">
    <w:p w14:paraId="6488EB11" w14:textId="77777777" w:rsidR="00D13F19" w:rsidRDefault="00D13F19" w:rsidP="00BB0C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C8E"/>
    <w:rsid w:val="00022DE4"/>
    <w:rsid w:val="00055488"/>
    <w:rsid w:val="00060F41"/>
    <w:rsid w:val="00065983"/>
    <w:rsid w:val="00075334"/>
    <w:rsid w:val="0007655E"/>
    <w:rsid w:val="000A79D8"/>
    <w:rsid w:val="000B3FB8"/>
    <w:rsid w:val="000C6ABF"/>
    <w:rsid w:val="000D5FEF"/>
    <w:rsid w:val="001279E6"/>
    <w:rsid w:val="0014304E"/>
    <w:rsid w:val="001509AD"/>
    <w:rsid w:val="0018186B"/>
    <w:rsid w:val="00185F9C"/>
    <w:rsid w:val="001877BD"/>
    <w:rsid w:val="001A0BCF"/>
    <w:rsid w:val="001B4A7C"/>
    <w:rsid w:val="001B52DE"/>
    <w:rsid w:val="001E79DE"/>
    <w:rsid w:val="001F5171"/>
    <w:rsid w:val="0020557D"/>
    <w:rsid w:val="00212829"/>
    <w:rsid w:val="00265A2D"/>
    <w:rsid w:val="00271293"/>
    <w:rsid w:val="002818AF"/>
    <w:rsid w:val="002A6C9E"/>
    <w:rsid w:val="002B4B1F"/>
    <w:rsid w:val="002C15FD"/>
    <w:rsid w:val="002C29E4"/>
    <w:rsid w:val="002C669B"/>
    <w:rsid w:val="002D65E4"/>
    <w:rsid w:val="002E7E91"/>
    <w:rsid w:val="00400746"/>
    <w:rsid w:val="004129B1"/>
    <w:rsid w:val="00450469"/>
    <w:rsid w:val="004614AC"/>
    <w:rsid w:val="004633F9"/>
    <w:rsid w:val="00483914"/>
    <w:rsid w:val="00490519"/>
    <w:rsid w:val="004906F4"/>
    <w:rsid w:val="00496551"/>
    <w:rsid w:val="004B6BF1"/>
    <w:rsid w:val="004D143D"/>
    <w:rsid w:val="004D726F"/>
    <w:rsid w:val="004F140C"/>
    <w:rsid w:val="005473E5"/>
    <w:rsid w:val="00554258"/>
    <w:rsid w:val="00597A09"/>
    <w:rsid w:val="005C7EED"/>
    <w:rsid w:val="00610CD5"/>
    <w:rsid w:val="006241FF"/>
    <w:rsid w:val="0063533D"/>
    <w:rsid w:val="00663D55"/>
    <w:rsid w:val="006B289F"/>
    <w:rsid w:val="006D00C3"/>
    <w:rsid w:val="006D315F"/>
    <w:rsid w:val="006D3B54"/>
    <w:rsid w:val="00756B93"/>
    <w:rsid w:val="00765849"/>
    <w:rsid w:val="00772732"/>
    <w:rsid w:val="00780DCD"/>
    <w:rsid w:val="007815A1"/>
    <w:rsid w:val="00820C2A"/>
    <w:rsid w:val="00821F58"/>
    <w:rsid w:val="00825C44"/>
    <w:rsid w:val="008A0012"/>
    <w:rsid w:val="008D310C"/>
    <w:rsid w:val="00904631"/>
    <w:rsid w:val="00906390"/>
    <w:rsid w:val="0096184F"/>
    <w:rsid w:val="00966D2C"/>
    <w:rsid w:val="00975BA9"/>
    <w:rsid w:val="009845E3"/>
    <w:rsid w:val="009A5F40"/>
    <w:rsid w:val="009B7586"/>
    <w:rsid w:val="009C5B9F"/>
    <w:rsid w:val="009D3CF4"/>
    <w:rsid w:val="009F77F7"/>
    <w:rsid w:val="00A002C5"/>
    <w:rsid w:val="00A23DB1"/>
    <w:rsid w:val="00A27C94"/>
    <w:rsid w:val="00A50142"/>
    <w:rsid w:val="00A56E73"/>
    <w:rsid w:val="00A74119"/>
    <w:rsid w:val="00A80133"/>
    <w:rsid w:val="00AE7EEA"/>
    <w:rsid w:val="00B50313"/>
    <w:rsid w:val="00B57C8E"/>
    <w:rsid w:val="00B94A41"/>
    <w:rsid w:val="00BB0C7B"/>
    <w:rsid w:val="00BF57E5"/>
    <w:rsid w:val="00C07BB8"/>
    <w:rsid w:val="00C07E16"/>
    <w:rsid w:val="00C571F3"/>
    <w:rsid w:val="00C672C9"/>
    <w:rsid w:val="00CB0FF6"/>
    <w:rsid w:val="00CD1E5A"/>
    <w:rsid w:val="00D13F19"/>
    <w:rsid w:val="00D20796"/>
    <w:rsid w:val="00D334EA"/>
    <w:rsid w:val="00D7719B"/>
    <w:rsid w:val="00D8662E"/>
    <w:rsid w:val="00DB6988"/>
    <w:rsid w:val="00DB74C4"/>
    <w:rsid w:val="00DE4D3A"/>
    <w:rsid w:val="00E71FBF"/>
    <w:rsid w:val="00E72C91"/>
    <w:rsid w:val="00EC223C"/>
    <w:rsid w:val="00EC4110"/>
    <w:rsid w:val="00F03188"/>
    <w:rsid w:val="00F300AB"/>
    <w:rsid w:val="00F44696"/>
    <w:rsid w:val="00F562DD"/>
    <w:rsid w:val="00F76B41"/>
    <w:rsid w:val="00F94E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1575A1"/>
  <w15:chartTrackingRefBased/>
  <w15:docId w15:val="{81A7BDC0-94EB-4EF3-A40D-4549BEA4C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3E5"/>
  </w:style>
  <w:style w:type="paragraph" w:styleId="Heading1">
    <w:name w:val="heading 1"/>
    <w:basedOn w:val="Normal"/>
    <w:next w:val="Normal"/>
    <w:link w:val="Heading1Char"/>
    <w:uiPriority w:val="9"/>
    <w:qFormat/>
    <w:rsid w:val="00B57C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C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C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C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C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C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C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C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C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C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C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C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C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C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C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C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C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C8E"/>
    <w:rPr>
      <w:rFonts w:eastAsiaTheme="majorEastAsia" w:cstheme="majorBidi"/>
      <w:color w:val="272727" w:themeColor="text1" w:themeTint="D8"/>
    </w:rPr>
  </w:style>
  <w:style w:type="paragraph" w:styleId="Title">
    <w:name w:val="Title"/>
    <w:basedOn w:val="Normal"/>
    <w:next w:val="Normal"/>
    <w:link w:val="TitleChar"/>
    <w:uiPriority w:val="10"/>
    <w:qFormat/>
    <w:rsid w:val="00B57C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C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C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C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C8E"/>
    <w:pPr>
      <w:spacing w:before="160"/>
      <w:jc w:val="center"/>
    </w:pPr>
    <w:rPr>
      <w:i/>
      <w:iCs/>
      <w:color w:val="404040" w:themeColor="text1" w:themeTint="BF"/>
    </w:rPr>
  </w:style>
  <w:style w:type="character" w:customStyle="1" w:styleId="QuoteChar">
    <w:name w:val="Quote Char"/>
    <w:basedOn w:val="DefaultParagraphFont"/>
    <w:link w:val="Quote"/>
    <w:uiPriority w:val="29"/>
    <w:rsid w:val="00B57C8E"/>
    <w:rPr>
      <w:i/>
      <w:iCs/>
      <w:color w:val="404040" w:themeColor="text1" w:themeTint="BF"/>
    </w:rPr>
  </w:style>
  <w:style w:type="paragraph" w:styleId="ListParagraph">
    <w:name w:val="List Paragraph"/>
    <w:basedOn w:val="Normal"/>
    <w:uiPriority w:val="34"/>
    <w:qFormat/>
    <w:rsid w:val="00B57C8E"/>
    <w:pPr>
      <w:ind w:left="720"/>
      <w:contextualSpacing/>
    </w:pPr>
  </w:style>
  <w:style w:type="character" w:styleId="IntenseEmphasis">
    <w:name w:val="Intense Emphasis"/>
    <w:basedOn w:val="DefaultParagraphFont"/>
    <w:uiPriority w:val="21"/>
    <w:qFormat/>
    <w:rsid w:val="00B57C8E"/>
    <w:rPr>
      <w:i/>
      <w:iCs/>
      <w:color w:val="0F4761" w:themeColor="accent1" w:themeShade="BF"/>
    </w:rPr>
  </w:style>
  <w:style w:type="paragraph" w:styleId="IntenseQuote">
    <w:name w:val="Intense Quote"/>
    <w:basedOn w:val="Normal"/>
    <w:next w:val="Normal"/>
    <w:link w:val="IntenseQuoteChar"/>
    <w:uiPriority w:val="30"/>
    <w:qFormat/>
    <w:rsid w:val="00B57C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C8E"/>
    <w:rPr>
      <w:i/>
      <w:iCs/>
      <w:color w:val="0F4761" w:themeColor="accent1" w:themeShade="BF"/>
    </w:rPr>
  </w:style>
  <w:style w:type="character" w:styleId="IntenseReference">
    <w:name w:val="Intense Reference"/>
    <w:basedOn w:val="DefaultParagraphFont"/>
    <w:uiPriority w:val="32"/>
    <w:qFormat/>
    <w:rsid w:val="00B57C8E"/>
    <w:rPr>
      <w:b/>
      <w:bCs/>
      <w:smallCaps/>
      <w:color w:val="0F4761" w:themeColor="accent1" w:themeShade="BF"/>
      <w:spacing w:val="5"/>
    </w:rPr>
  </w:style>
  <w:style w:type="paragraph" w:styleId="Header">
    <w:name w:val="header"/>
    <w:basedOn w:val="Normal"/>
    <w:link w:val="HeaderChar"/>
    <w:uiPriority w:val="99"/>
    <w:unhideWhenUsed/>
    <w:rsid w:val="00BB0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C7B"/>
  </w:style>
  <w:style w:type="paragraph" w:styleId="Footer">
    <w:name w:val="footer"/>
    <w:basedOn w:val="Normal"/>
    <w:link w:val="FooterChar"/>
    <w:uiPriority w:val="99"/>
    <w:unhideWhenUsed/>
    <w:rsid w:val="00BB0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C7B"/>
  </w:style>
  <w:style w:type="paragraph" w:styleId="Bibliography">
    <w:name w:val="Bibliography"/>
    <w:basedOn w:val="Normal"/>
    <w:next w:val="Normal"/>
    <w:uiPriority w:val="37"/>
    <w:unhideWhenUsed/>
    <w:rsid w:val="00547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70338">
      <w:bodyDiv w:val="1"/>
      <w:marLeft w:val="0"/>
      <w:marRight w:val="0"/>
      <w:marTop w:val="0"/>
      <w:marBottom w:val="0"/>
      <w:divBdr>
        <w:top w:val="none" w:sz="0" w:space="0" w:color="auto"/>
        <w:left w:val="none" w:sz="0" w:space="0" w:color="auto"/>
        <w:bottom w:val="none" w:sz="0" w:space="0" w:color="auto"/>
        <w:right w:val="none" w:sz="0" w:space="0" w:color="auto"/>
      </w:divBdr>
    </w:div>
    <w:div w:id="536742379">
      <w:bodyDiv w:val="1"/>
      <w:marLeft w:val="0"/>
      <w:marRight w:val="0"/>
      <w:marTop w:val="0"/>
      <w:marBottom w:val="0"/>
      <w:divBdr>
        <w:top w:val="none" w:sz="0" w:space="0" w:color="auto"/>
        <w:left w:val="none" w:sz="0" w:space="0" w:color="auto"/>
        <w:bottom w:val="none" w:sz="0" w:space="0" w:color="auto"/>
        <w:right w:val="none" w:sz="0" w:space="0" w:color="auto"/>
      </w:divBdr>
    </w:div>
    <w:div w:id="630407457">
      <w:bodyDiv w:val="1"/>
      <w:marLeft w:val="0"/>
      <w:marRight w:val="0"/>
      <w:marTop w:val="0"/>
      <w:marBottom w:val="0"/>
      <w:divBdr>
        <w:top w:val="none" w:sz="0" w:space="0" w:color="auto"/>
        <w:left w:val="none" w:sz="0" w:space="0" w:color="auto"/>
        <w:bottom w:val="none" w:sz="0" w:space="0" w:color="auto"/>
        <w:right w:val="none" w:sz="0" w:space="0" w:color="auto"/>
      </w:divBdr>
    </w:div>
    <w:div w:id="1145317032">
      <w:bodyDiv w:val="1"/>
      <w:marLeft w:val="0"/>
      <w:marRight w:val="0"/>
      <w:marTop w:val="0"/>
      <w:marBottom w:val="0"/>
      <w:divBdr>
        <w:top w:val="none" w:sz="0" w:space="0" w:color="auto"/>
        <w:left w:val="none" w:sz="0" w:space="0" w:color="auto"/>
        <w:bottom w:val="none" w:sz="0" w:space="0" w:color="auto"/>
        <w:right w:val="none" w:sz="0" w:space="0" w:color="auto"/>
      </w:divBdr>
    </w:div>
    <w:div w:id="1156530029">
      <w:bodyDiv w:val="1"/>
      <w:marLeft w:val="0"/>
      <w:marRight w:val="0"/>
      <w:marTop w:val="0"/>
      <w:marBottom w:val="0"/>
      <w:divBdr>
        <w:top w:val="none" w:sz="0" w:space="0" w:color="auto"/>
        <w:left w:val="none" w:sz="0" w:space="0" w:color="auto"/>
        <w:bottom w:val="none" w:sz="0" w:space="0" w:color="auto"/>
        <w:right w:val="none" w:sz="0" w:space="0" w:color="auto"/>
      </w:divBdr>
    </w:div>
    <w:div w:id="1429689676">
      <w:bodyDiv w:val="1"/>
      <w:marLeft w:val="0"/>
      <w:marRight w:val="0"/>
      <w:marTop w:val="0"/>
      <w:marBottom w:val="0"/>
      <w:divBdr>
        <w:top w:val="none" w:sz="0" w:space="0" w:color="auto"/>
        <w:left w:val="none" w:sz="0" w:space="0" w:color="auto"/>
        <w:bottom w:val="none" w:sz="0" w:space="0" w:color="auto"/>
        <w:right w:val="none" w:sz="0" w:space="0" w:color="auto"/>
      </w:divBdr>
    </w:div>
    <w:div w:id="1692492482">
      <w:bodyDiv w:val="1"/>
      <w:marLeft w:val="0"/>
      <w:marRight w:val="0"/>
      <w:marTop w:val="0"/>
      <w:marBottom w:val="0"/>
      <w:divBdr>
        <w:top w:val="none" w:sz="0" w:space="0" w:color="auto"/>
        <w:left w:val="none" w:sz="0" w:space="0" w:color="auto"/>
        <w:bottom w:val="none" w:sz="0" w:space="0" w:color="auto"/>
        <w:right w:val="none" w:sz="0" w:space="0" w:color="auto"/>
      </w:divBdr>
    </w:div>
    <w:div w:id="1773164511">
      <w:bodyDiv w:val="1"/>
      <w:marLeft w:val="0"/>
      <w:marRight w:val="0"/>
      <w:marTop w:val="0"/>
      <w:marBottom w:val="0"/>
      <w:divBdr>
        <w:top w:val="none" w:sz="0" w:space="0" w:color="auto"/>
        <w:left w:val="none" w:sz="0" w:space="0" w:color="auto"/>
        <w:bottom w:val="none" w:sz="0" w:space="0" w:color="auto"/>
        <w:right w:val="none" w:sz="0" w:space="0" w:color="auto"/>
      </w:divBdr>
    </w:div>
    <w:div w:id="1821338817">
      <w:bodyDiv w:val="1"/>
      <w:marLeft w:val="0"/>
      <w:marRight w:val="0"/>
      <w:marTop w:val="0"/>
      <w:marBottom w:val="0"/>
      <w:divBdr>
        <w:top w:val="none" w:sz="0" w:space="0" w:color="auto"/>
        <w:left w:val="none" w:sz="0" w:space="0" w:color="auto"/>
        <w:bottom w:val="none" w:sz="0" w:space="0" w:color="auto"/>
        <w:right w:val="none" w:sz="0" w:space="0" w:color="auto"/>
      </w:divBdr>
    </w:div>
    <w:div w:id="195108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DocumentFromInternetSite</b:SourceType>
    <b:Guid>{BFB46EBD-007E-4942-AA67-5929D5D102D0}</b:Guid>
    <b:URL>https://library.roehampton.ac.uk/studyskills/writing</b:URL>
    <b:RefOrder>1</b:RefOrder>
  </b:Source>
  <b:Source>
    <b:Tag>htt1</b:Tag>
    <b:SourceType>DocumentFromInternetSite</b:SourceType>
    <b:Guid>{B0F91A90-BED6-4F4A-867A-D7C231817E41}</b:Guid>
    <b:URL>https://library.leeds.ac.uk/info/1402/referencing/47/referencing-explained</b:URL>
    <b:RefOrder>2</b:RefOrder>
  </b:Source>
  <b:Source>
    <b:Tag>htt2</b:Tag>
    <b:SourceType>DocumentFromInternetSite</b:SourceType>
    <b:Guid>{5FF39EF9-5DB9-4C3B-AEF3-33D6F1A03A0C}</b:Guid>
    <b:URL>https://www.melbournepolytechnic.edu.au/about-us/news-and-events/news/effective-study-planning/</b:URL>
    <b:RefOrder>3</b:RefOrder>
  </b:Source>
  <b:Source>
    <b:Tag>htt3</b:Tag>
    <b:SourceType>DocumentFromInternetSite</b:SourceType>
    <b:Guid>{6492DF04-5C76-4EC8-9EA4-F991016A6DB6}</b:Guid>
    <b:URL>•	https://www.lessoningtheload.co.uk/blog/the-power-of-organisation-a-key-to-academic-success-and-stronger-mental-health</b:URL>
    <b:RefOrder>4</b:RefOrder>
  </b:Source>
  <b:Source>
    <b:Tag>htt4</b:Tag>
    <b:SourceType>DocumentFromInternetSite</b:SourceType>
    <b:Guid>{FDB8AFD1-2C71-4FA0-A92F-CDC84554BE33}</b:Guid>
    <b:URL>https://vikaasa.org/blog/importance-of-communication-skills-for-students/</b:URL>
    <b:RefOrder>5</b:RefOrder>
  </b:Source>
  <b:Source>
    <b:Tag>chatgptsource</b:Tag>
    <b:SourceType>DocumentFromInternetSite</b:SourceType>
    <b:Guid>{EBD0AE5A-EC91-4184-B32D-1C9F4A9D641D}</b:Guid>
    <b:URL>https://gmelius.com/blog/best-ai-assistants-comparison</b:URL>
    <b:Author>
      <b:Author>
        <b:NameList>
          <b:Person>
            <b:Last>Ribas</b:Last>
            <b:First>Milagros</b:First>
          </b:Person>
        </b:NameList>
      </b:Author>
    </b:Author>
    <b:RefOrder>6</b:RefOrder>
  </b:Source>
  <b:Source>
    <b:Tag>sgesource</b:Tag>
    <b:SourceType>DocumentFromInternetSite</b:SourceType>
    <b:Guid>{7A49490B-CC68-425A-AA59-B48A7D5DD7FB}</b:Guid>
    <b:URL>https://www.engageweb.co.uk/blog/advantages-and-disadvantages-of-googles-search-generative-experience</b:URL>
    <b:RefOrder>7</b:RefOrder>
  </b:Source>
  <b:Source>
    <b:Tag>geminisource</b:Tag>
    <b:SourceType>DocumentFromInternetSite</b:SourceType>
    <b:Guid>{9511C1EE-C15D-48B3-89EF-E448392BB027}</b:Guid>
    <b:URL>https://blog.google/products-and-platforms/products/search/gemini-3-search-ai-mode/</b:URL>
    <b:RefOrder>8</b:RefOrder>
  </b:Source>
  <b:Source>
    <b:Tag>rocksource</b:Tag>
    <b:SourceType>DocumentFromInternetSite</b:SourceType>
    <b:Guid>{C53DB623-B6A0-4DF5-B8AD-98EB43A0B1F0}</b:Guid>
    <b:URL>https://www.bbc.co.uk/news/articles/cd11gzejgz4o</b:URL>
    <b:RefOrder>9</b:RefOrder>
  </b:Source>
</b:Sources>
</file>

<file path=customXml/itemProps1.xml><?xml version="1.0" encoding="utf-8"?>
<ds:datastoreItem xmlns:ds="http://schemas.openxmlformats.org/officeDocument/2006/customXml" ds:itemID="{2AB9CECF-2AB8-4651-BEE9-D753ED115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889</Words>
  <Characters>5072</Characters>
  <Application>Microsoft Office Word</Application>
  <DocSecurity>0</DocSecurity>
  <Lines>42</Lines>
  <Paragraphs>11</Paragraphs>
  <ScaleCrop>false</ScaleCrop>
  <Company>University of Wales Trinity Saint David</Company>
  <LinksUpToDate>false</LinksUpToDate>
  <CharactersWithSpaces>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Ossian Benney (2602064)</dc:creator>
  <cp:keywords/>
  <dc:description/>
  <cp:lastModifiedBy>Ossian Benney (2602064)</cp:lastModifiedBy>
  <cp:revision>2</cp:revision>
  <dcterms:created xsi:type="dcterms:W3CDTF">2026-10-12T11:37:00Z</dcterms:created>
  <dcterms:modified xsi:type="dcterms:W3CDTF">2026-10-12T11:37:00Z</dcterms:modified>
</cp:coreProperties>
</file>