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4D89A2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67032">
              <w:rPr>
                <w:rFonts w:ascii="Times New Roman" w:hAnsi="Times New Roman" w:cs="Times New Roman"/>
                <w:b/>
                <w:color w:val="auto"/>
                <w:sz w:val="48"/>
              </w:rPr>
              <w:t xml:space="preserve">Vicky Hughes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49FF52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67032">
              <w:rPr>
                <w:rFonts w:ascii="Times New Roman" w:hAnsi="Times New Roman" w:cs="Times New Roman"/>
                <w:b/>
                <w:color w:val="auto"/>
                <w:sz w:val="48"/>
              </w:rPr>
              <w:t xml:space="preserve"> </w:t>
            </w:r>
          </w:p>
          <w:p w14:paraId="4AB4286E" w14:textId="19709190" w:rsidR="00567032" w:rsidRDefault="0056703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2437082@student.uwtsd.ac.k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0B2075D" w:rsidR="0085230E" w:rsidRDefault="0056703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2437082 </w:t>
            </w:r>
          </w:p>
          <w:p w14:paraId="12CAA2BD" w14:textId="77777777" w:rsidR="00567032" w:rsidRPr="005D3F07" w:rsidRDefault="00567032"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1D68DA91" w14:textId="3594409F" w:rsidR="00D3203C" w:rsidRDefault="008420E1" w:rsidP="005447A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2F2C8EB6" w14:textId="77777777" w:rsidR="005447A5" w:rsidRPr="005447A5" w:rsidRDefault="005447A5" w:rsidP="005447A5">
      <w:pPr>
        <w:overflowPunct/>
        <w:autoSpaceDE/>
        <w:autoSpaceDN/>
        <w:adjustRightInd/>
        <w:ind w:right="-957"/>
        <w:textAlignment w:val="auto"/>
        <w:rPr>
          <w:rFonts w:ascii="Times New Roman" w:hAnsi="Times New Roman" w:cs="Times New Roman"/>
          <w:b/>
          <w:color w:val="auto"/>
          <w:sz w:val="48"/>
        </w:rPr>
      </w:pPr>
    </w:p>
    <w:p w14:paraId="0EF984DF" w14:textId="02707E04"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206514B9" w14:textId="56D5A0D5" w:rsidR="00FC0334"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6590DA15" w14:textId="77777777" w:rsidR="00F37F6A" w:rsidRDefault="00F37F6A" w:rsidP="00FF7EBB">
            <w:pPr>
              <w:jc w:val="both"/>
              <w:rPr>
                <w:sz w:val="24"/>
                <w:szCs w:val="24"/>
              </w:rPr>
            </w:pPr>
          </w:p>
          <w:p w14:paraId="1F8277FF" w14:textId="42115721" w:rsidR="00F37F6A" w:rsidRDefault="00F37F6A" w:rsidP="00FF7EBB">
            <w:pPr>
              <w:jc w:val="both"/>
              <w:rPr>
                <w:sz w:val="24"/>
                <w:szCs w:val="24"/>
              </w:rPr>
            </w:pPr>
            <w:r>
              <w:rPr>
                <w:sz w:val="24"/>
                <w:szCs w:val="24"/>
              </w:rPr>
              <w:t xml:space="preserve">                                                    ------------------------------------</w:t>
            </w:r>
          </w:p>
          <w:p w14:paraId="28789D64" w14:textId="77777777" w:rsidR="00F37F6A" w:rsidRDefault="00F37F6A" w:rsidP="00FF7EBB">
            <w:pPr>
              <w:jc w:val="both"/>
              <w:rPr>
                <w:sz w:val="24"/>
                <w:szCs w:val="24"/>
              </w:rPr>
            </w:pPr>
          </w:p>
          <w:p w14:paraId="0EF3AB41" w14:textId="77777777" w:rsidR="006E4CEE" w:rsidRPr="00D11F3E" w:rsidRDefault="006E4CEE" w:rsidP="006E4CEE">
            <w:pPr>
              <w:spacing w:after="160" w:line="278" w:lineRule="auto"/>
              <w:jc w:val="both"/>
              <w:rPr>
                <w:rFonts w:ascii="Calibri" w:hAnsi="Calibri" w:cs="Calibri"/>
                <w:sz w:val="22"/>
                <w:szCs w:val="22"/>
              </w:rPr>
            </w:pPr>
            <w:r w:rsidRPr="00D11F3E">
              <w:rPr>
                <w:rFonts w:ascii="Calibri" w:hAnsi="Calibri" w:cs="Calibri"/>
                <w:sz w:val="22"/>
                <w:szCs w:val="22"/>
              </w:rPr>
              <w:t xml:space="preserve">Safeguarding adults in Wales is governed by a Welsh legal and policy framework designed to protect people from abuse and neglect while promoting their rights, independence and well-being. The main legislation is the Social Services and Well-being (Wales) Act 2014 (SSWBA), particularly Part 7. An adult </w:t>
            </w:r>
            <w:proofErr w:type="gramStart"/>
            <w:r w:rsidRPr="00D11F3E">
              <w:rPr>
                <w:rFonts w:ascii="Calibri" w:hAnsi="Calibri" w:cs="Calibri"/>
                <w:sz w:val="22"/>
                <w:szCs w:val="22"/>
              </w:rPr>
              <w:t>is considered to be</w:t>
            </w:r>
            <w:proofErr w:type="gramEnd"/>
            <w:r w:rsidRPr="00D11F3E">
              <w:rPr>
                <w:rFonts w:ascii="Calibri" w:hAnsi="Calibri" w:cs="Calibri"/>
                <w:sz w:val="22"/>
                <w:szCs w:val="22"/>
              </w:rPr>
              <w:t xml:space="preserve"> at risk where they are experiencing, or are at risk of, abuse or neglect, have care and support needs and are unable to protect themselves because of those needs (Welsh Government, 2014).</w:t>
            </w:r>
          </w:p>
          <w:p w14:paraId="34FD9F9A" w14:textId="77777777" w:rsidR="006E4CEE" w:rsidRPr="00D11F3E" w:rsidRDefault="006E4CEE" w:rsidP="006E4CEE">
            <w:pPr>
              <w:spacing w:after="160" w:line="278" w:lineRule="auto"/>
              <w:jc w:val="both"/>
              <w:rPr>
                <w:rFonts w:ascii="Calibri" w:hAnsi="Calibri" w:cs="Calibri"/>
                <w:sz w:val="22"/>
                <w:szCs w:val="22"/>
              </w:rPr>
            </w:pPr>
            <w:r w:rsidRPr="00D11F3E">
              <w:rPr>
                <w:rFonts w:ascii="Calibri" w:hAnsi="Calibri" w:cs="Calibri"/>
                <w:sz w:val="22"/>
                <w:szCs w:val="22"/>
              </w:rPr>
              <w:t>Section 128 places a statutory duty on relevant partners to report where there is reasonable cause to suspect an adult is at risk. Local authorities must then make enquiries under Section 126 where there is reasonable cause to suspect an adult is at risk, deciding whether action is required and, if so, what action and by whom. Current safeguarding procedures state that enquiries should normally be completed within seven working days, although immediate protection should be taken where necessary. Possible outcomes include immediate protection, identifying care and support needs where the adult is not at risk, protective action where the adult is at risk, or no further action where no risk or unmet needs are identified. This demonstrates how legislation connects directly with safeguarding decision-making.</w:t>
            </w:r>
          </w:p>
          <w:p w14:paraId="00E09943" w14:textId="77777777" w:rsidR="006E4CEE" w:rsidRPr="00D11F3E" w:rsidRDefault="006E4CEE" w:rsidP="006E4CEE">
            <w:pPr>
              <w:spacing w:after="160" w:line="278" w:lineRule="auto"/>
              <w:jc w:val="both"/>
              <w:rPr>
                <w:rFonts w:ascii="Calibri" w:hAnsi="Calibri" w:cs="Calibri"/>
                <w:sz w:val="22"/>
                <w:szCs w:val="22"/>
              </w:rPr>
            </w:pPr>
            <w:r w:rsidRPr="00D11F3E">
              <w:rPr>
                <w:rFonts w:ascii="Calibri" w:hAnsi="Calibri" w:cs="Calibri"/>
                <w:sz w:val="22"/>
                <w:szCs w:val="22"/>
              </w:rPr>
              <w:t>The Mental Capacity Act 2005 is also relevant. It establishes that adults should be presumed to have capacity and supported to make their own decisions wherever possible. If an individual lacks capacity, decisions must be made in their best interests and using the least restrictive option.</w:t>
            </w:r>
          </w:p>
          <w:p w14:paraId="4364494D" w14:textId="77777777" w:rsidR="006E4CEE" w:rsidRPr="00D11F3E" w:rsidRDefault="006E4CEE" w:rsidP="006E4CEE">
            <w:pPr>
              <w:spacing w:after="160" w:line="278" w:lineRule="auto"/>
              <w:jc w:val="both"/>
              <w:rPr>
                <w:rFonts w:ascii="Calibri" w:hAnsi="Calibri" w:cs="Calibri"/>
                <w:sz w:val="22"/>
                <w:szCs w:val="22"/>
              </w:rPr>
            </w:pPr>
            <w:r w:rsidRPr="00D11F3E">
              <w:rPr>
                <w:rFonts w:ascii="Calibri" w:hAnsi="Calibri" w:cs="Calibri"/>
                <w:sz w:val="22"/>
                <w:szCs w:val="22"/>
              </w:rPr>
              <w:t xml:space="preserve">Nationally, social workers and other professionals follow the Wales Safeguarding Procedures and </w:t>
            </w:r>
            <w:r w:rsidRPr="00D11F3E">
              <w:rPr>
                <w:rFonts w:ascii="Calibri" w:hAnsi="Calibri" w:cs="Calibri"/>
                <w:i/>
                <w:iCs/>
                <w:sz w:val="22"/>
                <w:szCs w:val="22"/>
              </w:rPr>
              <w:t>Working Together to Safeguard People: Volume 6 – Handling Individual Cases to Protect Adults at Risk</w:t>
            </w:r>
            <w:r w:rsidRPr="00D11F3E">
              <w:rPr>
                <w:rFonts w:ascii="Calibri" w:hAnsi="Calibri" w:cs="Calibri"/>
                <w:sz w:val="22"/>
                <w:szCs w:val="22"/>
              </w:rPr>
              <w:t>. These provide guidance on recognising and reporting concerns, gathering information, assessment, safeguarding enquiries, decision-making, intervention and reviewing outcomes. Safeguarding should be person-centred, outcome-focused, proportionate and least restrictive.</w:t>
            </w:r>
          </w:p>
          <w:p w14:paraId="795CDE05" w14:textId="77777777" w:rsidR="006E4CEE" w:rsidRPr="00D11F3E" w:rsidRDefault="006E4CEE" w:rsidP="006E4CEE">
            <w:pPr>
              <w:spacing w:after="160" w:line="278" w:lineRule="auto"/>
              <w:jc w:val="both"/>
              <w:rPr>
                <w:rFonts w:ascii="Calibri" w:hAnsi="Calibri" w:cs="Calibri"/>
                <w:sz w:val="22"/>
                <w:szCs w:val="22"/>
              </w:rPr>
            </w:pPr>
            <w:r w:rsidRPr="00D11F3E">
              <w:rPr>
                <w:rFonts w:ascii="Calibri" w:hAnsi="Calibri" w:cs="Calibri"/>
                <w:sz w:val="22"/>
                <w:szCs w:val="22"/>
              </w:rPr>
              <w:lastRenderedPageBreak/>
              <w:t>The national framework is translated into local practice through XXX adult safeguarding policies and procedures. These include reporting concerns, information sharing, safeguarding enquiries, multi-agency working, protection planning, recording and escalation. At an organisational level, these procedures guide staff responsibilities, including safeguarding training, recognising indicators of abuse, accurate recording and appropriate information sharing. This shows the relationship between legislation, national procedures, local arrangements and organisational practice.</w:t>
            </w:r>
          </w:p>
          <w:p w14:paraId="7ABE6351" w14:textId="77777777" w:rsidR="006E4CEE" w:rsidRPr="00D11F3E" w:rsidRDefault="006E4CEE" w:rsidP="006E4CEE">
            <w:pPr>
              <w:spacing w:after="160" w:line="278" w:lineRule="auto"/>
              <w:jc w:val="both"/>
              <w:rPr>
                <w:rFonts w:ascii="Calibri" w:hAnsi="Calibri" w:cs="Calibri"/>
                <w:sz w:val="22"/>
                <w:szCs w:val="22"/>
              </w:rPr>
            </w:pPr>
            <w:r w:rsidRPr="00D11F3E">
              <w:rPr>
                <w:rFonts w:ascii="Calibri" w:hAnsi="Calibri" w:cs="Calibri"/>
                <w:sz w:val="22"/>
                <w:szCs w:val="22"/>
              </w:rPr>
              <w:t>Safeguarding is a shared responsibility across agencies. Crawford (2012) highlights the importance of interprofessional collaboration, while Hothersall and Maas-</w:t>
            </w:r>
            <w:proofErr w:type="spellStart"/>
            <w:r w:rsidRPr="00D11F3E">
              <w:rPr>
                <w:rFonts w:ascii="Calibri" w:hAnsi="Calibri" w:cs="Calibri"/>
                <w:sz w:val="22"/>
                <w:szCs w:val="22"/>
              </w:rPr>
              <w:t>Lowit</w:t>
            </w:r>
            <w:proofErr w:type="spellEnd"/>
            <w:r w:rsidRPr="00D11F3E">
              <w:rPr>
                <w:rFonts w:ascii="Calibri" w:hAnsi="Calibri" w:cs="Calibri"/>
                <w:sz w:val="22"/>
                <w:szCs w:val="22"/>
              </w:rPr>
              <w:t xml:space="preserve"> (2010) emphasise the relationship between need, risk and protection. This encourages me to analyse factors such as dependency, isolation, communication difficulties, physical or cognitive needs and changes in circumstances. Indicators may include unexplained injuries, withdrawal, fear, poor hygiene, financial changes or unmet care needs. Multi-agency information sharing can therefore create a fuller picture of risk and support coordinated intervention.</w:t>
            </w:r>
          </w:p>
          <w:p w14:paraId="74F52437" w14:textId="77777777" w:rsidR="006E4CEE" w:rsidRPr="00D11F3E" w:rsidRDefault="006E4CEE" w:rsidP="006E4CEE">
            <w:pPr>
              <w:spacing w:after="160" w:line="278" w:lineRule="auto"/>
              <w:jc w:val="both"/>
              <w:rPr>
                <w:rFonts w:ascii="Calibri" w:hAnsi="Calibri" w:cs="Calibri"/>
                <w:sz w:val="22"/>
                <w:szCs w:val="22"/>
              </w:rPr>
            </w:pPr>
            <w:r w:rsidRPr="00D11F3E">
              <w:rPr>
                <w:rFonts w:ascii="Calibri" w:hAnsi="Calibri" w:cs="Calibri"/>
                <w:sz w:val="22"/>
                <w:szCs w:val="22"/>
              </w:rPr>
              <w:t>A core principle is establishing the adult’s preferred outcomes. The safeguarding process should involve the adult, support voice and control, and consider what they want to happen and the outcomes they wish to achieve. Carers’ views and support needs should also be considered. This person-centred, multi-agency approach reflects the SSWBA values of voice and control, prevention, well-being and co-production, while ensuring safeguarding action remains proportionate and respectful of rights and autonomy.</w:t>
            </w:r>
          </w:p>
          <w:p w14:paraId="7B7B53AE" w14:textId="77777777" w:rsidR="006E4CEE" w:rsidRDefault="006E4CEE" w:rsidP="006E4CEE">
            <w:pPr>
              <w:rPr>
                <w:rFonts w:ascii="Calibri" w:hAnsi="Calibri" w:cs="Calibri"/>
                <w:sz w:val="22"/>
                <w:szCs w:val="22"/>
              </w:rPr>
            </w:pPr>
          </w:p>
          <w:p w14:paraId="151FA21A" w14:textId="03B1E6E5" w:rsidR="00D26883" w:rsidRPr="00D26883" w:rsidRDefault="006E4CEE" w:rsidP="00D26883">
            <w:pPr>
              <w:jc w:val="both"/>
              <w:rPr>
                <w:sz w:val="24"/>
                <w:szCs w:val="24"/>
              </w:rPr>
            </w:pPr>
            <w:r w:rsidRPr="005E15BD">
              <w:rPr>
                <w:sz w:val="24"/>
                <w:szCs w:val="24"/>
                <w:u w:val="single"/>
              </w:rPr>
              <w:t>Total work count – 541 words</w:t>
            </w:r>
            <w:r>
              <w:rPr>
                <w:sz w:val="24"/>
                <w:szCs w:val="24"/>
              </w:rPr>
              <w:t xml:space="preserve">. </w:t>
            </w:r>
          </w:p>
          <w:p w14:paraId="08B90704" w14:textId="77777777" w:rsidR="00F37F6A" w:rsidRDefault="00F37F6A"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15CD28E" w14:textId="77777777" w:rsidR="005447A5" w:rsidRDefault="005447A5" w:rsidP="005447A5">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5CC1C985" w14:textId="77777777" w:rsidR="005447A5" w:rsidRDefault="005447A5" w:rsidP="00FC0334">
            <w:pPr>
              <w:jc w:val="both"/>
              <w:rPr>
                <w:sz w:val="24"/>
                <w:szCs w:val="24"/>
              </w:rPr>
            </w:pPr>
          </w:p>
          <w:p w14:paraId="57CDF168" w14:textId="2F697E2C" w:rsidR="005447A5" w:rsidRDefault="005447A5" w:rsidP="00FC0334">
            <w:pPr>
              <w:jc w:val="both"/>
              <w:rPr>
                <w:sz w:val="24"/>
                <w:szCs w:val="24"/>
              </w:rPr>
            </w:pPr>
            <w:r>
              <w:rPr>
                <w:sz w:val="24"/>
                <w:szCs w:val="24"/>
              </w:rPr>
              <w:t xml:space="preserve">                                                    ------------------------------------</w:t>
            </w:r>
          </w:p>
          <w:p w14:paraId="72A2C266" w14:textId="77777777" w:rsidR="005447A5" w:rsidRDefault="005447A5" w:rsidP="00FC0334">
            <w:pPr>
              <w:jc w:val="both"/>
              <w:rPr>
                <w:sz w:val="24"/>
                <w:szCs w:val="24"/>
              </w:rPr>
            </w:pPr>
          </w:p>
          <w:p w14:paraId="568E6D9F" w14:textId="77777777" w:rsidR="005447A5" w:rsidRPr="005447A5" w:rsidRDefault="005447A5" w:rsidP="005447A5">
            <w:pPr>
              <w:spacing w:after="160" w:line="278" w:lineRule="auto"/>
              <w:jc w:val="both"/>
              <w:rPr>
                <w:rFonts w:asciiTheme="minorHAnsi" w:hAnsiTheme="minorHAnsi" w:cstheme="minorHAnsi"/>
                <w:sz w:val="22"/>
                <w:szCs w:val="22"/>
              </w:rPr>
            </w:pPr>
            <w:r w:rsidRPr="005447A5">
              <w:rPr>
                <w:rFonts w:asciiTheme="minorHAnsi" w:hAnsiTheme="minorHAnsi" w:cstheme="minorHAnsi"/>
                <w:sz w:val="22"/>
                <w:szCs w:val="22"/>
              </w:rPr>
              <w:t>Reflecting on the differences between safeguarding adults and children has helped me understand that, although both areas share the purpose of protecting people from abuse, neglect and harm, the legal frameworks, thresholds and approaches to intervention are different. This has made me recognise that safeguarding cannot be approached using one model and that practitioners must understand the legislation and procedures relevant to the person they are working with.</w:t>
            </w:r>
          </w:p>
          <w:p w14:paraId="31104627" w14:textId="2157DAA4" w:rsidR="005447A5" w:rsidRPr="005447A5" w:rsidRDefault="005447A5" w:rsidP="005447A5">
            <w:pPr>
              <w:spacing w:after="160" w:line="278" w:lineRule="auto"/>
              <w:jc w:val="both"/>
              <w:rPr>
                <w:rFonts w:asciiTheme="minorHAnsi" w:hAnsiTheme="minorHAnsi" w:cstheme="minorHAnsi"/>
                <w:sz w:val="22"/>
                <w:szCs w:val="22"/>
              </w:rPr>
            </w:pPr>
            <w:r w:rsidRPr="005447A5">
              <w:rPr>
                <w:rFonts w:asciiTheme="minorHAnsi" w:hAnsiTheme="minorHAnsi" w:cstheme="minorHAnsi"/>
                <w:sz w:val="22"/>
                <w:szCs w:val="22"/>
              </w:rPr>
              <w:t xml:space="preserve">In children’s safeguarding, the child’s welfare is </w:t>
            </w:r>
            <w:proofErr w:type="gramStart"/>
            <w:r w:rsidR="00520495">
              <w:rPr>
                <w:rFonts w:asciiTheme="minorHAnsi" w:hAnsiTheme="minorHAnsi" w:cstheme="minorHAnsi"/>
                <w:sz w:val="22"/>
                <w:szCs w:val="22"/>
              </w:rPr>
              <w:t>central</w:t>
            </w:r>
            <w:proofErr w:type="gramEnd"/>
            <w:r w:rsidR="00520495">
              <w:rPr>
                <w:rFonts w:asciiTheme="minorHAnsi" w:hAnsiTheme="minorHAnsi" w:cstheme="minorHAnsi"/>
                <w:sz w:val="22"/>
                <w:szCs w:val="22"/>
              </w:rPr>
              <w:t xml:space="preserve"> </w:t>
            </w:r>
            <w:r w:rsidRPr="005447A5">
              <w:rPr>
                <w:rFonts w:asciiTheme="minorHAnsi" w:hAnsiTheme="minorHAnsi" w:cstheme="minorHAnsi"/>
                <w:sz w:val="22"/>
                <w:szCs w:val="22"/>
              </w:rPr>
              <w:t xml:space="preserve">and practitioners have a greater protective responsibility where there is evidence that a child is suffering, or is likely to suffer, significant harm. The Children Act 1989 continues to apply in Wales alongside the Social Services and Well-being (Wales) Act 2014 (SSWBA). Parental responsibility is also an important consideration, as parents or those with parental responsibility have rights and responsibilities for the child’s care and protection. Knowing which parents have parental </w:t>
            </w:r>
            <w:r w:rsidRPr="005447A5">
              <w:rPr>
                <w:rFonts w:asciiTheme="minorHAnsi" w:hAnsiTheme="minorHAnsi" w:cstheme="minorHAnsi"/>
                <w:sz w:val="22"/>
                <w:szCs w:val="22"/>
              </w:rPr>
              <w:lastRenderedPageBreak/>
              <w:t>responsibility allows</w:t>
            </w:r>
            <w:r w:rsidR="00166F91">
              <w:rPr>
                <w:rFonts w:asciiTheme="minorHAnsi" w:hAnsiTheme="minorHAnsi" w:cstheme="minorHAnsi"/>
                <w:sz w:val="22"/>
                <w:szCs w:val="22"/>
              </w:rPr>
              <w:t xml:space="preserve"> the practitioner</w:t>
            </w:r>
            <w:r w:rsidRPr="005447A5">
              <w:rPr>
                <w:rFonts w:asciiTheme="minorHAnsi" w:hAnsiTheme="minorHAnsi" w:cstheme="minorHAnsi"/>
                <w:sz w:val="22"/>
                <w:szCs w:val="22"/>
              </w:rPr>
              <w:t xml:space="preserve"> to be aware when to take protective action even when parents do not agree.</w:t>
            </w:r>
          </w:p>
          <w:p w14:paraId="58601464" w14:textId="342C1224" w:rsidR="005447A5" w:rsidRPr="005447A5" w:rsidRDefault="005447A5" w:rsidP="005447A5">
            <w:pPr>
              <w:spacing w:after="160" w:line="278" w:lineRule="auto"/>
              <w:jc w:val="both"/>
              <w:rPr>
                <w:rFonts w:asciiTheme="minorHAnsi" w:hAnsiTheme="minorHAnsi" w:cstheme="minorHAnsi"/>
                <w:sz w:val="22"/>
                <w:szCs w:val="22"/>
              </w:rPr>
            </w:pPr>
            <w:r w:rsidRPr="005447A5">
              <w:rPr>
                <w:rFonts w:asciiTheme="minorHAnsi" w:hAnsiTheme="minorHAnsi" w:cstheme="minorHAnsi"/>
                <w:sz w:val="22"/>
                <w:szCs w:val="22"/>
              </w:rPr>
              <w:t>The SSWB</w:t>
            </w:r>
            <w:r w:rsidR="00166F91">
              <w:rPr>
                <w:rFonts w:asciiTheme="minorHAnsi" w:hAnsiTheme="minorHAnsi" w:cstheme="minorHAnsi"/>
                <w:sz w:val="22"/>
                <w:szCs w:val="22"/>
              </w:rPr>
              <w:t xml:space="preserve">A </w:t>
            </w:r>
            <w:r w:rsidRPr="005447A5">
              <w:rPr>
                <w:rFonts w:asciiTheme="minorHAnsi" w:hAnsiTheme="minorHAnsi" w:cstheme="minorHAnsi"/>
                <w:sz w:val="22"/>
                <w:szCs w:val="22"/>
              </w:rPr>
              <w:t xml:space="preserve">2014, promotes wellbeing, prevention, co-production and voice and control within adult safeguarding and places a greater emphasis on autonomy, capacity, consent, than children’s (Welsh Government, 2014). Adults should normally be supported to make their own </w:t>
            </w:r>
            <w:r w:rsidR="005B05C5" w:rsidRPr="005447A5">
              <w:rPr>
                <w:rFonts w:asciiTheme="minorHAnsi" w:hAnsiTheme="minorHAnsi" w:cstheme="minorHAnsi"/>
                <w:sz w:val="22"/>
                <w:szCs w:val="22"/>
              </w:rPr>
              <w:t>decisions,</w:t>
            </w:r>
            <w:r w:rsidRPr="005447A5">
              <w:rPr>
                <w:rFonts w:asciiTheme="minorHAnsi" w:hAnsiTheme="minorHAnsi" w:cstheme="minorHAnsi"/>
                <w:sz w:val="22"/>
                <w:szCs w:val="22"/>
              </w:rPr>
              <w:t xml:space="preserve"> and their preferred outcomes should be established. An adult with capacity may make choices that professionals consider risky or unwise, and practitioners must respect their right to self-determination. However, where an adult lacks capacity, is at serious risk of harm, or where others may also be at risk, intervention may be needed. Crawford (2012) highlights the importance of interprofessional collaboration, which has reinforced my understanding that effective safeguarding requires professionals to share relevant information and different perspectives when assessing risk. This demonstrates the complexity of balancing an adult’s rights with the professional responsibility to safeguard.</w:t>
            </w:r>
          </w:p>
          <w:p w14:paraId="78FB3271" w14:textId="77777777" w:rsidR="005447A5" w:rsidRPr="005447A5" w:rsidRDefault="005447A5" w:rsidP="005447A5">
            <w:pPr>
              <w:spacing w:after="160" w:line="278" w:lineRule="auto"/>
              <w:jc w:val="both"/>
              <w:rPr>
                <w:rFonts w:asciiTheme="minorHAnsi" w:hAnsiTheme="minorHAnsi" w:cstheme="minorHAnsi"/>
                <w:sz w:val="22"/>
                <w:szCs w:val="22"/>
              </w:rPr>
            </w:pPr>
            <w:r w:rsidRPr="005447A5">
              <w:rPr>
                <w:rFonts w:asciiTheme="minorHAnsi" w:hAnsiTheme="minorHAnsi" w:cstheme="minorHAnsi"/>
                <w:sz w:val="22"/>
                <w:szCs w:val="22"/>
              </w:rPr>
              <w:t xml:space="preserve">The legal powers available also highlight an important difference. Where the relevant threshold is met, child safeguarding can result in a child being removed from their home to protect them from significant harm. In contrast, an Adult Protection and Support Order under Section 127 of the SSWB (Wales) Act, 2014 can allow authorised practitioners to enter premises and speak privately with an adult at risk but does not provide a power to remove the adult from their home. </w:t>
            </w:r>
          </w:p>
          <w:p w14:paraId="57CB0B64" w14:textId="77777777" w:rsidR="005447A5" w:rsidRPr="005447A5" w:rsidRDefault="005447A5" w:rsidP="005447A5">
            <w:pPr>
              <w:spacing w:after="160" w:line="278" w:lineRule="auto"/>
              <w:jc w:val="both"/>
              <w:rPr>
                <w:rFonts w:asciiTheme="minorHAnsi" w:hAnsiTheme="minorHAnsi" w:cstheme="minorHAnsi"/>
                <w:sz w:val="22"/>
                <w:szCs w:val="22"/>
              </w:rPr>
            </w:pPr>
            <w:r w:rsidRPr="005447A5">
              <w:rPr>
                <w:rFonts w:asciiTheme="minorHAnsi" w:hAnsiTheme="minorHAnsi" w:cstheme="minorHAnsi"/>
                <w:sz w:val="22"/>
                <w:szCs w:val="22"/>
              </w:rPr>
              <w:t>Hothersall and Maas-</w:t>
            </w:r>
            <w:proofErr w:type="spellStart"/>
            <w:r w:rsidRPr="005447A5">
              <w:rPr>
                <w:rFonts w:asciiTheme="minorHAnsi" w:hAnsiTheme="minorHAnsi" w:cstheme="minorHAnsi"/>
                <w:sz w:val="22"/>
                <w:szCs w:val="22"/>
              </w:rPr>
              <w:t>Lowit</w:t>
            </w:r>
            <w:proofErr w:type="spellEnd"/>
            <w:r w:rsidRPr="005447A5">
              <w:rPr>
                <w:rFonts w:asciiTheme="minorHAnsi" w:hAnsiTheme="minorHAnsi" w:cstheme="minorHAnsi"/>
                <w:sz w:val="22"/>
                <w:szCs w:val="22"/>
              </w:rPr>
              <w:t xml:space="preserve"> (2010) highlight the relationship between need, risk and protection, and encourages practitioners to consider in practice the individual’s circumstances rather than focusing only on the presence of risk.</w:t>
            </w:r>
          </w:p>
          <w:p w14:paraId="2380DC5D" w14:textId="0C39426F" w:rsidR="005447A5" w:rsidRPr="005447A5" w:rsidRDefault="002B3341" w:rsidP="005447A5">
            <w:pPr>
              <w:spacing w:after="160" w:line="278" w:lineRule="auto"/>
              <w:jc w:val="both"/>
              <w:rPr>
                <w:rFonts w:asciiTheme="minorHAnsi" w:hAnsiTheme="minorHAnsi" w:cstheme="minorHAnsi"/>
                <w:sz w:val="22"/>
                <w:szCs w:val="22"/>
              </w:rPr>
            </w:pPr>
            <w:r>
              <w:rPr>
                <w:rFonts w:asciiTheme="minorHAnsi" w:hAnsiTheme="minorHAnsi" w:cstheme="minorHAnsi"/>
                <w:sz w:val="22"/>
                <w:szCs w:val="22"/>
              </w:rPr>
              <w:t>R</w:t>
            </w:r>
            <w:r w:rsidR="005447A5" w:rsidRPr="005447A5">
              <w:rPr>
                <w:rFonts w:asciiTheme="minorHAnsi" w:hAnsiTheme="minorHAnsi" w:cstheme="minorHAnsi"/>
                <w:sz w:val="22"/>
                <w:szCs w:val="22"/>
              </w:rPr>
              <w:t>eflecting on these differences has strengthened my understanding of professional judgement. Effective safeguarding requires practitioners to consider level of risk, whil</w:t>
            </w:r>
            <w:r w:rsidR="00A1248D">
              <w:rPr>
                <w:rFonts w:asciiTheme="minorHAnsi" w:hAnsiTheme="minorHAnsi" w:cstheme="minorHAnsi"/>
                <w:sz w:val="22"/>
                <w:szCs w:val="22"/>
              </w:rPr>
              <w:t>st</w:t>
            </w:r>
            <w:r w:rsidR="005447A5" w:rsidRPr="005447A5">
              <w:rPr>
                <w:rFonts w:asciiTheme="minorHAnsi" w:hAnsiTheme="minorHAnsi" w:cstheme="minorHAnsi"/>
                <w:sz w:val="22"/>
                <w:szCs w:val="22"/>
              </w:rPr>
              <w:t xml:space="preserve"> using proportionate and least restrictive interventions. My key understanding is that safeguarding means protecting people from harm but whilst also respecting their individual rights, circumstances, their voice and their outcomes.</w:t>
            </w:r>
          </w:p>
          <w:p w14:paraId="795C6051" w14:textId="01C467DB" w:rsidR="00FC0334" w:rsidRDefault="005447A5" w:rsidP="00FC0334">
            <w:pPr>
              <w:jc w:val="both"/>
              <w:rPr>
                <w:sz w:val="24"/>
                <w:szCs w:val="24"/>
              </w:rPr>
            </w:pPr>
            <w:r w:rsidRPr="005E15BD">
              <w:rPr>
                <w:sz w:val="24"/>
                <w:szCs w:val="24"/>
                <w:u w:val="single"/>
              </w:rPr>
              <w:t>Total word count – 4</w:t>
            </w:r>
            <w:r w:rsidR="00A1248D" w:rsidRPr="005E15BD">
              <w:rPr>
                <w:sz w:val="24"/>
                <w:szCs w:val="24"/>
                <w:u w:val="single"/>
              </w:rPr>
              <w:t xml:space="preserve">58 </w:t>
            </w:r>
            <w:r w:rsidRPr="005E15BD">
              <w:rPr>
                <w:sz w:val="24"/>
                <w:szCs w:val="24"/>
                <w:u w:val="single"/>
              </w:rPr>
              <w:t>words</w:t>
            </w:r>
            <w:r>
              <w:rPr>
                <w:sz w:val="24"/>
                <w:szCs w:val="24"/>
              </w:rPr>
              <w:t xml:space="preserve">. </w:t>
            </w:r>
          </w:p>
          <w:p w14:paraId="08760B3D" w14:textId="77777777" w:rsidR="00FC0334" w:rsidRPr="006108C9" w:rsidRDefault="00FC0334" w:rsidP="005447A5">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01113" w14:textId="77777777" w:rsidR="002575E6" w:rsidRDefault="002575E6">
      <w:r>
        <w:separator/>
      </w:r>
    </w:p>
  </w:endnote>
  <w:endnote w:type="continuationSeparator" w:id="0">
    <w:p w14:paraId="51CEE20F" w14:textId="77777777" w:rsidR="002575E6" w:rsidRDefault="0025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altName w:val="Verdan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25CE3" w14:textId="77777777" w:rsidR="002575E6" w:rsidRDefault="002575E6">
      <w:r>
        <w:separator/>
      </w:r>
    </w:p>
  </w:footnote>
  <w:footnote w:type="continuationSeparator" w:id="0">
    <w:p w14:paraId="2A75ECCE" w14:textId="77777777" w:rsidR="002575E6" w:rsidRDefault="00257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0220"/>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6F91"/>
    <w:rsid w:val="00171418"/>
    <w:rsid w:val="001772BF"/>
    <w:rsid w:val="001772DE"/>
    <w:rsid w:val="0019496C"/>
    <w:rsid w:val="001961CF"/>
    <w:rsid w:val="001A59BB"/>
    <w:rsid w:val="001A607E"/>
    <w:rsid w:val="001A6A51"/>
    <w:rsid w:val="001A79C4"/>
    <w:rsid w:val="001A7F40"/>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75E6"/>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3341"/>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0495"/>
    <w:rsid w:val="00521123"/>
    <w:rsid w:val="00521221"/>
    <w:rsid w:val="0052250B"/>
    <w:rsid w:val="005305C6"/>
    <w:rsid w:val="00540EEC"/>
    <w:rsid w:val="005414F4"/>
    <w:rsid w:val="005447A5"/>
    <w:rsid w:val="00546187"/>
    <w:rsid w:val="00547B11"/>
    <w:rsid w:val="00557D77"/>
    <w:rsid w:val="00562EAA"/>
    <w:rsid w:val="00563B58"/>
    <w:rsid w:val="005640C4"/>
    <w:rsid w:val="0056684C"/>
    <w:rsid w:val="00567032"/>
    <w:rsid w:val="00574A0C"/>
    <w:rsid w:val="0057780F"/>
    <w:rsid w:val="00581E0A"/>
    <w:rsid w:val="00586D89"/>
    <w:rsid w:val="005877C8"/>
    <w:rsid w:val="00587923"/>
    <w:rsid w:val="00594F9F"/>
    <w:rsid w:val="005A1B4C"/>
    <w:rsid w:val="005A545C"/>
    <w:rsid w:val="005B05C5"/>
    <w:rsid w:val="005B271A"/>
    <w:rsid w:val="005B3A2D"/>
    <w:rsid w:val="005C1567"/>
    <w:rsid w:val="005C28D3"/>
    <w:rsid w:val="005C6CE5"/>
    <w:rsid w:val="005D3F07"/>
    <w:rsid w:val="005D4A1E"/>
    <w:rsid w:val="005D4F72"/>
    <w:rsid w:val="005E13EA"/>
    <w:rsid w:val="005E15BD"/>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4CE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E57"/>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822"/>
    <w:rsid w:val="00A06422"/>
    <w:rsid w:val="00A10D56"/>
    <w:rsid w:val="00A1248D"/>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6883"/>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F6A"/>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F37F6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F37F6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37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Vicky Hughes</cp:lastModifiedBy>
  <cp:revision>8</cp:revision>
  <cp:lastPrinted>2020-02-11T19:20:00Z</cp:lastPrinted>
  <dcterms:created xsi:type="dcterms:W3CDTF">2026-10-02T17:36:00Z</dcterms:created>
  <dcterms:modified xsi:type="dcterms:W3CDTF">2026-10-02T17:44:00Z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