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3DC74F" w14:textId="77777777" w:rsidR="004C149F" w:rsidRPr="00EB1374" w:rsidRDefault="004C149F" w:rsidP="00EB1374">
      <w:pPr>
        <w:spacing w:line="360" w:lineRule="auto"/>
        <w:jc w:val="center"/>
        <w:rPr>
          <w:rFonts w:ascii="Arial" w:hAnsi="Arial" w:cs="Arial"/>
          <w:sz w:val="22"/>
          <w:szCs w:val="22"/>
          <w:lang w:val="en-US"/>
        </w:rPr>
      </w:pPr>
    </w:p>
    <w:p w14:paraId="6A60B1E8" w14:textId="77777777" w:rsidR="004C149F" w:rsidRPr="00EB1374" w:rsidRDefault="004C149F" w:rsidP="00EB1374">
      <w:pPr>
        <w:spacing w:line="360" w:lineRule="auto"/>
        <w:jc w:val="center"/>
        <w:rPr>
          <w:rFonts w:ascii="Arial" w:hAnsi="Arial" w:cs="Arial"/>
          <w:sz w:val="22"/>
          <w:szCs w:val="22"/>
          <w:lang w:val="en-US"/>
        </w:rPr>
      </w:pPr>
    </w:p>
    <w:p w14:paraId="38828D70" w14:textId="740F828B" w:rsidR="00CB7712" w:rsidRPr="00EB1374" w:rsidRDefault="00CB7712" w:rsidP="00EB1374">
      <w:pPr>
        <w:spacing w:line="360" w:lineRule="auto"/>
        <w:jc w:val="center"/>
        <w:rPr>
          <w:rFonts w:ascii="Arial" w:hAnsi="Arial" w:cs="Arial"/>
          <w:b/>
          <w:sz w:val="22"/>
          <w:szCs w:val="22"/>
          <w:lang w:val="en-US"/>
        </w:rPr>
      </w:pPr>
      <w:r w:rsidRPr="00EB1374">
        <w:rPr>
          <w:rFonts w:ascii="Arial" w:hAnsi="Arial" w:cs="Arial"/>
          <w:b/>
          <w:sz w:val="22"/>
          <w:szCs w:val="22"/>
          <w:lang w:val="en-US"/>
        </w:rPr>
        <w:t xml:space="preserve">Module: Digital Transformation in the </w:t>
      </w:r>
      <w:r w:rsidR="62883D04" w:rsidRPr="00EB1374">
        <w:rPr>
          <w:rFonts w:ascii="Arial" w:hAnsi="Arial" w:cs="Arial"/>
          <w:b/>
          <w:bCs/>
          <w:sz w:val="22"/>
          <w:szCs w:val="22"/>
          <w:lang w:val="en-US"/>
        </w:rPr>
        <w:t>Health</w:t>
      </w:r>
      <w:r w:rsidRPr="00EB1374">
        <w:rPr>
          <w:rFonts w:ascii="Arial" w:hAnsi="Arial" w:cs="Arial"/>
          <w:b/>
          <w:sz w:val="22"/>
          <w:szCs w:val="22"/>
          <w:lang w:val="en-US"/>
        </w:rPr>
        <w:t xml:space="preserve"> and Care Professions</w:t>
      </w:r>
      <w:r w:rsidRPr="00EB1374">
        <w:rPr>
          <w:rFonts w:ascii="Arial" w:hAnsi="Arial" w:cs="Arial"/>
          <w:sz w:val="22"/>
          <w:szCs w:val="22"/>
        </w:rPr>
        <w:br/>
      </w:r>
      <w:r w:rsidRPr="00EB1374">
        <w:rPr>
          <w:rFonts w:ascii="Arial" w:hAnsi="Arial" w:cs="Arial"/>
          <w:sz w:val="22"/>
          <w:szCs w:val="22"/>
        </w:rPr>
        <w:br/>
      </w:r>
      <w:r w:rsidRPr="00EB1374">
        <w:rPr>
          <w:rFonts w:ascii="Arial" w:hAnsi="Arial" w:cs="Arial"/>
          <w:b/>
          <w:sz w:val="22"/>
          <w:szCs w:val="22"/>
          <w:lang w:val="en-US"/>
        </w:rPr>
        <w:t>Module Code: BMHP6026</w:t>
      </w:r>
      <w:r w:rsidRPr="00EB1374">
        <w:rPr>
          <w:rFonts w:ascii="Arial" w:hAnsi="Arial" w:cs="Arial"/>
          <w:sz w:val="22"/>
          <w:szCs w:val="22"/>
        </w:rPr>
        <w:br/>
      </w:r>
      <w:r w:rsidRPr="00EB1374">
        <w:rPr>
          <w:rFonts w:ascii="Arial" w:hAnsi="Arial" w:cs="Arial"/>
          <w:sz w:val="22"/>
          <w:szCs w:val="22"/>
        </w:rPr>
        <w:br/>
      </w:r>
      <w:r w:rsidRPr="00EB1374">
        <w:rPr>
          <w:rFonts w:ascii="Arial" w:hAnsi="Arial" w:cs="Arial"/>
          <w:sz w:val="22"/>
          <w:szCs w:val="22"/>
        </w:rPr>
        <w:br/>
      </w:r>
      <w:r w:rsidRPr="00EB1374">
        <w:rPr>
          <w:rFonts w:ascii="Arial" w:hAnsi="Arial" w:cs="Arial"/>
          <w:b/>
          <w:sz w:val="22"/>
          <w:szCs w:val="22"/>
          <w:lang w:val="en-US"/>
        </w:rPr>
        <w:t>COMPONENT 1</w:t>
      </w:r>
      <w:r w:rsidRPr="00EB1374">
        <w:rPr>
          <w:rFonts w:ascii="Arial" w:hAnsi="Arial" w:cs="Arial"/>
          <w:sz w:val="22"/>
          <w:szCs w:val="22"/>
        </w:rPr>
        <w:br/>
      </w:r>
      <w:r w:rsidRPr="00EB1374">
        <w:rPr>
          <w:rFonts w:ascii="Arial" w:hAnsi="Arial" w:cs="Arial"/>
          <w:sz w:val="22"/>
          <w:szCs w:val="22"/>
        </w:rPr>
        <w:br/>
      </w:r>
      <w:r w:rsidRPr="00EB1374">
        <w:rPr>
          <w:rFonts w:ascii="Arial" w:hAnsi="Arial" w:cs="Arial"/>
          <w:b/>
          <w:sz w:val="22"/>
          <w:szCs w:val="22"/>
          <w:lang w:val="en-US"/>
        </w:rPr>
        <w:t xml:space="preserve">BY </w:t>
      </w:r>
      <w:r w:rsidRPr="00EB1374">
        <w:rPr>
          <w:rFonts w:ascii="Arial" w:hAnsi="Arial" w:cs="Arial"/>
          <w:sz w:val="22"/>
          <w:szCs w:val="22"/>
        </w:rPr>
        <w:br/>
      </w:r>
      <w:r w:rsidRPr="00EB1374">
        <w:rPr>
          <w:rFonts w:ascii="Arial" w:hAnsi="Arial" w:cs="Arial"/>
          <w:sz w:val="22"/>
          <w:szCs w:val="22"/>
        </w:rPr>
        <w:br/>
      </w:r>
      <w:r w:rsidRPr="00EB1374">
        <w:rPr>
          <w:rFonts w:ascii="Arial" w:hAnsi="Arial" w:cs="Arial"/>
          <w:b/>
          <w:sz w:val="22"/>
          <w:szCs w:val="22"/>
          <w:lang w:val="en-US"/>
        </w:rPr>
        <w:t>KAREEMOT TIJANI.</w:t>
      </w:r>
      <w:r w:rsidRPr="00EB1374">
        <w:rPr>
          <w:rFonts w:ascii="Arial" w:hAnsi="Arial" w:cs="Arial"/>
          <w:sz w:val="22"/>
          <w:szCs w:val="22"/>
        </w:rPr>
        <w:br/>
      </w:r>
    </w:p>
    <w:p w14:paraId="0378D397" w14:textId="77777777" w:rsidR="00CB7712" w:rsidRPr="00EB1374" w:rsidRDefault="00CB7712" w:rsidP="00EB1374">
      <w:pPr>
        <w:spacing w:line="360" w:lineRule="auto"/>
        <w:jc w:val="center"/>
        <w:rPr>
          <w:rFonts w:ascii="Arial" w:hAnsi="Arial" w:cs="Arial"/>
          <w:b/>
          <w:sz w:val="22"/>
          <w:szCs w:val="22"/>
          <w:lang w:val="en-US"/>
        </w:rPr>
      </w:pPr>
      <w:r w:rsidRPr="00EB1374">
        <w:rPr>
          <w:rFonts w:ascii="Arial" w:hAnsi="Arial" w:cs="Arial"/>
          <w:b/>
          <w:sz w:val="22"/>
          <w:szCs w:val="22"/>
          <w:lang w:val="en-US"/>
        </w:rPr>
        <w:t>ID: 2320438</w:t>
      </w:r>
    </w:p>
    <w:p w14:paraId="4D59E96C" w14:textId="77777777" w:rsidR="00CB7712" w:rsidRPr="00EB1374" w:rsidRDefault="00CB7712" w:rsidP="00EB1374">
      <w:pPr>
        <w:spacing w:line="360" w:lineRule="auto"/>
        <w:jc w:val="center"/>
        <w:rPr>
          <w:rFonts w:ascii="Arial" w:hAnsi="Arial" w:cs="Arial"/>
          <w:b/>
          <w:sz w:val="22"/>
          <w:szCs w:val="22"/>
          <w:lang w:val="en-US"/>
        </w:rPr>
      </w:pPr>
    </w:p>
    <w:p w14:paraId="0D5CBC77" w14:textId="77777777" w:rsidR="00CB7712" w:rsidRPr="00EB1374" w:rsidRDefault="00CB7712" w:rsidP="00EB1374">
      <w:pPr>
        <w:spacing w:line="360" w:lineRule="auto"/>
        <w:jc w:val="center"/>
        <w:rPr>
          <w:rFonts w:ascii="Arial" w:hAnsi="Arial" w:cs="Arial"/>
          <w:b/>
          <w:sz w:val="22"/>
          <w:szCs w:val="22"/>
          <w:lang w:val="en-US"/>
        </w:rPr>
      </w:pPr>
      <w:r w:rsidRPr="00EB1374">
        <w:rPr>
          <w:rFonts w:ascii="Arial" w:hAnsi="Arial" w:cs="Arial"/>
          <w:b/>
          <w:sz w:val="22"/>
          <w:szCs w:val="22"/>
          <w:lang w:val="en-US"/>
        </w:rPr>
        <w:t>Lecturer: Zakiyyah Ahmed</w:t>
      </w:r>
    </w:p>
    <w:p w14:paraId="3F2B2DA7" w14:textId="77777777" w:rsidR="00D03B28" w:rsidRPr="00EB1374" w:rsidRDefault="00D03B28" w:rsidP="00EB1374">
      <w:pPr>
        <w:spacing w:line="360" w:lineRule="auto"/>
        <w:jc w:val="center"/>
        <w:rPr>
          <w:rFonts w:ascii="Arial" w:hAnsi="Arial" w:cs="Arial"/>
          <w:b/>
          <w:sz w:val="22"/>
          <w:szCs w:val="22"/>
          <w:lang w:val="en-US"/>
        </w:rPr>
      </w:pPr>
    </w:p>
    <w:p w14:paraId="2FDD73B5" w14:textId="1B33FC61" w:rsidR="00C26ECD" w:rsidRPr="00EB1374" w:rsidRDefault="00C26ECD" w:rsidP="00EB1374">
      <w:pPr>
        <w:spacing w:line="360" w:lineRule="auto"/>
        <w:jc w:val="center"/>
        <w:rPr>
          <w:rFonts w:ascii="Arial" w:hAnsi="Arial" w:cs="Arial"/>
          <w:b/>
          <w:sz w:val="22"/>
          <w:szCs w:val="22"/>
        </w:rPr>
      </w:pPr>
      <w:r w:rsidRPr="00EB1374">
        <w:rPr>
          <w:rFonts w:ascii="Arial" w:hAnsi="Arial" w:cs="Arial"/>
          <w:b/>
          <w:sz w:val="22"/>
          <w:szCs w:val="22"/>
          <w:lang w:val="en-US"/>
        </w:rPr>
        <w:t>S</w:t>
      </w:r>
      <w:r w:rsidR="006D144F" w:rsidRPr="00EB1374">
        <w:rPr>
          <w:rFonts w:ascii="Arial" w:hAnsi="Arial" w:cs="Arial"/>
          <w:b/>
          <w:sz w:val="22"/>
          <w:szCs w:val="22"/>
          <w:lang w:val="en-US"/>
        </w:rPr>
        <w:t xml:space="preserve">ubmission Date: </w:t>
      </w:r>
      <w:bookmarkStart w:id="0" w:name="_Int_67XK4RQ7"/>
      <w:r w:rsidR="00D03B28" w:rsidRPr="00EB1374">
        <w:rPr>
          <w:rFonts w:ascii="Arial" w:hAnsi="Arial" w:cs="Arial"/>
          <w:b/>
          <w:sz w:val="22"/>
          <w:szCs w:val="22"/>
          <w:lang w:val="en-US"/>
        </w:rPr>
        <w:t>1</w:t>
      </w:r>
      <w:r w:rsidR="00D03B28" w:rsidRPr="00EB1374">
        <w:rPr>
          <w:rFonts w:ascii="Arial" w:hAnsi="Arial" w:cs="Arial"/>
          <w:b/>
          <w:sz w:val="22"/>
          <w:szCs w:val="22"/>
          <w:vertAlign w:val="superscript"/>
          <w:lang w:val="en-US"/>
        </w:rPr>
        <w:t>st</w:t>
      </w:r>
      <w:r w:rsidR="00D03B28" w:rsidRPr="00EB1374">
        <w:rPr>
          <w:rFonts w:ascii="Arial" w:hAnsi="Arial" w:cs="Arial"/>
          <w:b/>
          <w:sz w:val="22"/>
          <w:szCs w:val="22"/>
          <w:lang w:val="en-US"/>
        </w:rPr>
        <w:t xml:space="preserve"> March</w:t>
      </w:r>
      <w:bookmarkEnd w:id="0"/>
      <w:r w:rsidR="00D03B28" w:rsidRPr="00EB1374">
        <w:rPr>
          <w:rFonts w:ascii="Arial" w:hAnsi="Arial" w:cs="Arial"/>
          <w:b/>
          <w:sz w:val="22"/>
          <w:szCs w:val="22"/>
          <w:lang w:val="en-US"/>
        </w:rPr>
        <w:t xml:space="preserve"> 2026.</w:t>
      </w:r>
    </w:p>
    <w:p w14:paraId="39B6C7BF" w14:textId="77777777" w:rsidR="00CB7712" w:rsidRPr="00EB1374" w:rsidRDefault="00CB7712" w:rsidP="00EB1374">
      <w:pPr>
        <w:spacing w:line="360" w:lineRule="auto"/>
        <w:jc w:val="center"/>
        <w:rPr>
          <w:rFonts w:ascii="Arial" w:hAnsi="Arial" w:cs="Arial"/>
          <w:sz w:val="22"/>
          <w:szCs w:val="22"/>
        </w:rPr>
      </w:pPr>
    </w:p>
    <w:p w14:paraId="6BAD8C9B" w14:textId="77777777" w:rsidR="00335ECC" w:rsidRPr="00EB1374" w:rsidRDefault="00335ECC" w:rsidP="00EB1374">
      <w:pPr>
        <w:spacing w:line="360" w:lineRule="auto"/>
        <w:jc w:val="center"/>
        <w:rPr>
          <w:rFonts w:ascii="Arial" w:hAnsi="Arial" w:cs="Arial"/>
          <w:sz w:val="22"/>
          <w:szCs w:val="22"/>
        </w:rPr>
      </w:pPr>
    </w:p>
    <w:p w14:paraId="77003748" w14:textId="77777777" w:rsidR="00335ECC" w:rsidRPr="00EB1374" w:rsidRDefault="00335ECC" w:rsidP="00EB1374">
      <w:pPr>
        <w:spacing w:line="360" w:lineRule="auto"/>
        <w:jc w:val="center"/>
        <w:rPr>
          <w:rFonts w:ascii="Arial" w:hAnsi="Arial" w:cs="Arial"/>
          <w:sz w:val="22"/>
          <w:szCs w:val="22"/>
        </w:rPr>
      </w:pPr>
    </w:p>
    <w:p w14:paraId="1C27E4AC" w14:textId="77777777" w:rsidR="00335ECC" w:rsidRPr="00EB1374" w:rsidRDefault="00335ECC" w:rsidP="00EB1374">
      <w:pPr>
        <w:spacing w:line="360" w:lineRule="auto"/>
        <w:jc w:val="center"/>
        <w:rPr>
          <w:rFonts w:ascii="Arial" w:hAnsi="Arial" w:cs="Arial"/>
          <w:sz w:val="22"/>
          <w:szCs w:val="22"/>
        </w:rPr>
      </w:pPr>
    </w:p>
    <w:p w14:paraId="586E8C0C" w14:textId="77777777" w:rsidR="00335ECC" w:rsidRPr="00EB1374" w:rsidRDefault="00335ECC" w:rsidP="00EB1374">
      <w:pPr>
        <w:spacing w:line="360" w:lineRule="auto"/>
        <w:jc w:val="center"/>
        <w:rPr>
          <w:rFonts w:ascii="Arial" w:hAnsi="Arial" w:cs="Arial"/>
          <w:sz w:val="22"/>
          <w:szCs w:val="22"/>
        </w:rPr>
      </w:pPr>
    </w:p>
    <w:p w14:paraId="36F49E68" w14:textId="77777777" w:rsidR="00D40E72" w:rsidRPr="00EB1374" w:rsidRDefault="00D40E72" w:rsidP="00EB1374">
      <w:pPr>
        <w:spacing w:line="360" w:lineRule="auto"/>
        <w:jc w:val="center"/>
        <w:rPr>
          <w:rFonts w:ascii="Arial" w:hAnsi="Arial" w:cs="Arial"/>
          <w:sz w:val="22"/>
          <w:szCs w:val="22"/>
        </w:rPr>
      </w:pPr>
    </w:p>
    <w:p w14:paraId="4F07B6A8" w14:textId="77777777" w:rsidR="00D40E72" w:rsidRPr="00EB1374" w:rsidRDefault="00D40E72" w:rsidP="00EB1374">
      <w:pPr>
        <w:spacing w:line="360" w:lineRule="auto"/>
        <w:jc w:val="center"/>
        <w:rPr>
          <w:rFonts w:ascii="Arial" w:hAnsi="Arial" w:cs="Arial"/>
          <w:sz w:val="22"/>
          <w:szCs w:val="22"/>
        </w:rPr>
      </w:pPr>
    </w:p>
    <w:p w14:paraId="1E073B1F" w14:textId="77777777" w:rsidR="00335ECC" w:rsidRDefault="00335ECC" w:rsidP="00EB1374">
      <w:pPr>
        <w:spacing w:line="360" w:lineRule="auto"/>
        <w:jc w:val="center"/>
        <w:rPr>
          <w:rFonts w:ascii="Arial" w:hAnsi="Arial" w:cs="Arial"/>
          <w:sz w:val="22"/>
          <w:szCs w:val="22"/>
        </w:rPr>
      </w:pPr>
    </w:p>
    <w:p w14:paraId="046CBC3A" w14:textId="77777777" w:rsidR="001C41CB" w:rsidRDefault="001C41CB" w:rsidP="00EB1374">
      <w:pPr>
        <w:spacing w:line="360" w:lineRule="auto"/>
        <w:jc w:val="center"/>
        <w:rPr>
          <w:rFonts w:ascii="Arial" w:hAnsi="Arial" w:cs="Arial"/>
          <w:sz w:val="22"/>
          <w:szCs w:val="22"/>
        </w:rPr>
      </w:pPr>
    </w:p>
    <w:p w14:paraId="21D10935" w14:textId="77777777" w:rsidR="001C41CB" w:rsidRPr="00EB1374" w:rsidRDefault="001C41CB" w:rsidP="00EB1374">
      <w:pPr>
        <w:spacing w:line="360" w:lineRule="auto"/>
        <w:jc w:val="center"/>
        <w:rPr>
          <w:rFonts w:ascii="Arial" w:hAnsi="Arial" w:cs="Arial"/>
          <w:sz w:val="22"/>
          <w:szCs w:val="22"/>
        </w:rPr>
      </w:pPr>
    </w:p>
    <w:p w14:paraId="07E5EBB4" w14:textId="77777777" w:rsidR="00786A0D" w:rsidRPr="00EB1374" w:rsidRDefault="00786A0D" w:rsidP="00EB1374">
      <w:pPr>
        <w:spacing w:line="360" w:lineRule="auto"/>
        <w:jc w:val="center"/>
        <w:rPr>
          <w:rFonts w:ascii="Arial" w:hAnsi="Arial" w:cs="Arial"/>
          <w:b/>
          <w:bCs/>
          <w:sz w:val="22"/>
          <w:szCs w:val="22"/>
        </w:rPr>
      </w:pPr>
      <w:r w:rsidRPr="00EB1374">
        <w:rPr>
          <w:rFonts w:ascii="Arial" w:hAnsi="Arial" w:cs="Arial"/>
          <w:b/>
          <w:bCs/>
          <w:sz w:val="22"/>
          <w:szCs w:val="22"/>
        </w:rPr>
        <w:lastRenderedPageBreak/>
        <w:t>A Critical Evaluation of Remote Monitoring and Virtual Wards (2020–2022) in UK Health and Social Care</w:t>
      </w:r>
    </w:p>
    <w:p w14:paraId="0E597828" w14:textId="7EAF407C" w:rsidR="00DD06C0" w:rsidRPr="00DD06C0" w:rsidRDefault="00DD06C0" w:rsidP="00EB1374">
      <w:pPr>
        <w:spacing w:line="360" w:lineRule="auto"/>
        <w:rPr>
          <w:rFonts w:ascii="Arial" w:hAnsi="Arial" w:cs="Arial"/>
          <w:b/>
          <w:bCs/>
          <w:sz w:val="22"/>
          <w:szCs w:val="22"/>
        </w:rPr>
      </w:pPr>
      <w:r w:rsidRPr="00DD06C0">
        <w:rPr>
          <w:rFonts w:ascii="Arial" w:hAnsi="Arial" w:cs="Arial"/>
          <w:b/>
          <w:bCs/>
          <w:sz w:val="22"/>
          <w:szCs w:val="22"/>
        </w:rPr>
        <w:t>1. Introduction</w:t>
      </w:r>
    </w:p>
    <w:p w14:paraId="19635480" w14:textId="77777777" w:rsidR="00DD06C0" w:rsidRPr="00EB1374" w:rsidRDefault="00DD06C0" w:rsidP="00EB1374">
      <w:pPr>
        <w:spacing w:line="360" w:lineRule="auto"/>
        <w:rPr>
          <w:rFonts w:ascii="Arial" w:hAnsi="Arial" w:cs="Arial"/>
          <w:sz w:val="22"/>
          <w:szCs w:val="22"/>
        </w:rPr>
      </w:pPr>
      <w:r w:rsidRPr="00EB1374">
        <w:rPr>
          <w:rFonts w:ascii="Arial" w:hAnsi="Arial" w:cs="Arial"/>
          <w:sz w:val="22"/>
          <w:szCs w:val="22"/>
        </w:rPr>
        <w:t>Digital transformation has become a central strategic priority within the United Kingdom (UK) health and social care system, driven by rising demand, population ageing, workforce shortages, and sustained financial pressures. National policy increasingly promotes care delivered closer to home through digitally enabled and integrated models, reflecting a shift away from hospital-centred provision.</w:t>
      </w:r>
    </w:p>
    <w:p w14:paraId="12AD6E4C" w14:textId="77777777" w:rsidR="00DD06C0" w:rsidRPr="00EB1374" w:rsidRDefault="00DD06C0" w:rsidP="00EB1374">
      <w:pPr>
        <w:spacing w:line="360" w:lineRule="auto"/>
        <w:rPr>
          <w:rFonts w:ascii="Arial" w:hAnsi="Arial" w:cs="Arial"/>
          <w:sz w:val="22"/>
          <w:szCs w:val="22"/>
        </w:rPr>
      </w:pPr>
      <w:r w:rsidRPr="00EB1374">
        <w:rPr>
          <w:rFonts w:ascii="Arial" w:hAnsi="Arial" w:cs="Arial"/>
          <w:i/>
          <w:iCs/>
          <w:sz w:val="22"/>
          <w:szCs w:val="22"/>
        </w:rPr>
        <w:t>The NHS Long Term Plan</w:t>
      </w:r>
      <w:r w:rsidRPr="00EB1374">
        <w:rPr>
          <w:rFonts w:ascii="Arial" w:hAnsi="Arial" w:cs="Arial"/>
          <w:sz w:val="22"/>
          <w:szCs w:val="22"/>
        </w:rPr>
        <w:t xml:space="preserve"> positions technology-supported, out-of-hospital care as central to system sustainability, service efficiency, and patient experience (NHS England, 2019). Within this context, remote monitoring and virtual wards emerged as prominent innovations between 2020 and 2022, offering alternative models for delivering acute-level care beyond traditional inpatient settings.</w:t>
      </w:r>
    </w:p>
    <w:p w14:paraId="226D0B24" w14:textId="77777777" w:rsidR="00DD06C0" w:rsidRPr="00EB1374" w:rsidRDefault="00DD06C0" w:rsidP="00EB1374">
      <w:pPr>
        <w:spacing w:line="360" w:lineRule="auto"/>
        <w:rPr>
          <w:rFonts w:ascii="Arial" w:hAnsi="Arial" w:cs="Arial"/>
          <w:sz w:val="22"/>
          <w:szCs w:val="22"/>
        </w:rPr>
      </w:pPr>
      <w:r w:rsidRPr="00EB1374">
        <w:rPr>
          <w:rFonts w:ascii="Arial" w:hAnsi="Arial" w:cs="Arial"/>
          <w:sz w:val="22"/>
          <w:szCs w:val="22"/>
        </w:rPr>
        <w:t>Remote monitoring involves the transmission of physiological or symptom data from patients’ homes to clinical teams, while virtual wards combine this monitoring with structured multidisciplinary oversight and defined escalation pathways to provide hospital-level care outside inpatient environments (NHS England, 2024). Although such approaches existed prior to 2020, adoption remained limited.</w:t>
      </w:r>
    </w:p>
    <w:p w14:paraId="4C511A07" w14:textId="77777777" w:rsidR="00DD06C0" w:rsidRPr="00EB1374" w:rsidRDefault="00DD06C0" w:rsidP="00EB1374">
      <w:pPr>
        <w:spacing w:line="360" w:lineRule="auto"/>
        <w:rPr>
          <w:rFonts w:ascii="Arial" w:hAnsi="Arial" w:cs="Arial"/>
          <w:sz w:val="22"/>
          <w:szCs w:val="22"/>
        </w:rPr>
      </w:pPr>
      <w:r w:rsidRPr="00EB1374">
        <w:rPr>
          <w:rFonts w:ascii="Arial" w:hAnsi="Arial" w:cs="Arial"/>
          <w:sz w:val="22"/>
          <w:szCs w:val="22"/>
        </w:rPr>
        <w:t>The COVID-19 pandemic acted as a critical catalyst for rapid implementation. Emergency deployment of remote monitoring pathways, including home pulse oximetry, demonstrated that elements of acute oversight could be delivered remotely for selected patients when supported by clear clinical accountability (Greenhalgh et al., 2021).</w:t>
      </w:r>
    </w:p>
    <w:p w14:paraId="5E604FFD" w14:textId="0B27B04D" w:rsidR="00DD06C0" w:rsidRPr="00EB1374" w:rsidRDefault="00DD06C0" w:rsidP="00EB1374">
      <w:pPr>
        <w:spacing w:line="360" w:lineRule="auto"/>
        <w:rPr>
          <w:rFonts w:ascii="Arial" w:hAnsi="Arial" w:cs="Arial"/>
          <w:sz w:val="22"/>
          <w:szCs w:val="22"/>
        </w:rPr>
      </w:pPr>
      <w:r w:rsidRPr="00EB1374">
        <w:rPr>
          <w:rFonts w:ascii="Arial" w:hAnsi="Arial" w:cs="Arial"/>
          <w:sz w:val="22"/>
          <w:szCs w:val="22"/>
        </w:rPr>
        <w:t xml:space="preserve">However, digital technologies do not inherently improve care quality, safety, or equity. Outcomes are shaped by governance, workforce capability, digital inclusion, and safeguarding arrangements rather than technological capability alone (Greenhalgh et al., 2017). This report therefore critically evaluates the implementation of remote monitoring and virtual wards in UK health and social care between 2020 and 2022, focusing on patient experience, access and safety, alongside wider </w:t>
      </w:r>
      <w:r w:rsidR="00E478E5" w:rsidRPr="00EB1374">
        <w:rPr>
          <w:rFonts w:ascii="Arial" w:hAnsi="Arial" w:cs="Arial"/>
          <w:sz w:val="22"/>
          <w:szCs w:val="22"/>
        </w:rPr>
        <w:t>community,</w:t>
      </w:r>
      <w:r w:rsidRPr="00EB1374">
        <w:rPr>
          <w:rFonts w:ascii="Arial" w:hAnsi="Arial" w:cs="Arial"/>
          <w:sz w:val="22"/>
          <w:szCs w:val="22"/>
        </w:rPr>
        <w:t xml:space="preserve"> and safeguarding implications. Later national evidence is drawn upon selectively to contextualise governance, equity, and sustainability.</w:t>
      </w:r>
    </w:p>
    <w:p w14:paraId="3E8D5D5D" w14:textId="77777777" w:rsidR="00881361" w:rsidRDefault="00881361" w:rsidP="00EB1374">
      <w:pPr>
        <w:spacing w:line="360" w:lineRule="auto"/>
        <w:rPr>
          <w:rFonts w:ascii="Arial" w:hAnsi="Arial" w:cs="Arial"/>
          <w:b/>
          <w:bCs/>
          <w:sz w:val="22"/>
          <w:szCs w:val="22"/>
        </w:rPr>
      </w:pPr>
    </w:p>
    <w:p w14:paraId="11926CF2" w14:textId="77777777" w:rsidR="001C41CB" w:rsidRDefault="001C41CB" w:rsidP="00EB1374">
      <w:pPr>
        <w:spacing w:line="360" w:lineRule="auto"/>
        <w:rPr>
          <w:rFonts w:ascii="Arial" w:hAnsi="Arial" w:cs="Arial"/>
          <w:b/>
          <w:bCs/>
          <w:sz w:val="22"/>
          <w:szCs w:val="22"/>
        </w:rPr>
      </w:pPr>
    </w:p>
    <w:p w14:paraId="3DC8EC64" w14:textId="77777777" w:rsidR="001C41CB" w:rsidRPr="00EB1374" w:rsidRDefault="001C41CB" w:rsidP="00EB1374">
      <w:pPr>
        <w:spacing w:line="360" w:lineRule="auto"/>
        <w:rPr>
          <w:rFonts w:ascii="Arial" w:hAnsi="Arial" w:cs="Arial"/>
          <w:b/>
          <w:bCs/>
          <w:sz w:val="22"/>
          <w:szCs w:val="22"/>
        </w:rPr>
      </w:pPr>
    </w:p>
    <w:p w14:paraId="22CF7054" w14:textId="0555BB01" w:rsidR="00594FE5" w:rsidRPr="00EB1374" w:rsidRDefault="00594FE5" w:rsidP="00EB1374">
      <w:pPr>
        <w:spacing w:line="360" w:lineRule="auto"/>
        <w:rPr>
          <w:rFonts w:ascii="Arial" w:hAnsi="Arial" w:cs="Arial"/>
          <w:b/>
          <w:bCs/>
          <w:sz w:val="22"/>
          <w:szCs w:val="22"/>
        </w:rPr>
      </w:pPr>
      <w:r w:rsidRPr="00EB1374">
        <w:rPr>
          <w:rFonts w:ascii="Arial" w:hAnsi="Arial" w:cs="Arial"/>
          <w:b/>
          <w:bCs/>
          <w:sz w:val="22"/>
          <w:szCs w:val="22"/>
        </w:rPr>
        <w:lastRenderedPageBreak/>
        <w:t xml:space="preserve">2. Overview of Remote Monitoring and Virtual Wards </w:t>
      </w:r>
    </w:p>
    <w:p w14:paraId="0B14FA38" w14:textId="77777777" w:rsidR="00594FE5" w:rsidRPr="00EB1374" w:rsidRDefault="00594FE5" w:rsidP="00EB1374">
      <w:pPr>
        <w:spacing w:line="360" w:lineRule="auto"/>
        <w:rPr>
          <w:rFonts w:ascii="Arial" w:hAnsi="Arial" w:cs="Arial"/>
          <w:sz w:val="22"/>
          <w:szCs w:val="22"/>
        </w:rPr>
      </w:pPr>
      <w:r w:rsidRPr="00EB1374">
        <w:rPr>
          <w:rFonts w:ascii="Arial" w:hAnsi="Arial" w:cs="Arial"/>
          <w:sz w:val="22"/>
          <w:szCs w:val="22"/>
        </w:rPr>
        <w:t>During the COVID-19 pandemic, England rapidly implemented remote monitoring pathways, including home pulse oximetry, to support early identification of deterioration and reduce avoidable hospital admissions (Greenhalgh et al., 2021). These emergency measures provided proof of concept that structured clinical oversight could be delivered remotely across acute and community interfaces.</w:t>
      </w:r>
    </w:p>
    <w:p w14:paraId="3ECFF68F" w14:textId="77777777" w:rsidR="00594FE5" w:rsidRPr="00EB1374" w:rsidRDefault="00594FE5" w:rsidP="00EB1374">
      <w:pPr>
        <w:spacing w:line="360" w:lineRule="auto"/>
        <w:rPr>
          <w:rFonts w:ascii="Arial" w:hAnsi="Arial" w:cs="Arial"/>
          <w:sz w:val="22"/>
          <w:szCs w:val="22"/>
        </w:rPr>
      </w:pPr>
      <w:r w:rsidRPr="00EB1374">
        <w:rPr>
          <w:rFonts w:ascii="Arial" w:hAnsi="Arial" w:cs="Arial"/>
          <w:sz w:val="22"/>
          <w:szCs w:val="22"/>
        </w:rPr>
        <w:t>Virtual wards extend this approach beyond pandemic response. They enable patients who would otherwise require hospital admission to receive acute-level care at home through remote monitoring, daily clinical review, and clearly defined escalation pathways (NHS England, 2024). From 2022, national programmes supported large-scale rollout across England, with priority pathways focused on frailty, respiratory illness, heart failure, and end-of-life care (NHS Confederation, 2023).</w:t>
      </w:r>
    </w:p>
    <w:p w14:paraId="4B3298FA" w14:textId="3EA48739" w:rsidR="00594FE5" w:rsidRPr="00EB1374" w:rsidRDefault="00594FE5" w:rsidP="00EB1374">
      <w:pPr>
        <w:spacing w:line="360" w:lineRule="auto"/>
        <w:rPr>
          <w:rFonts w:ascii="Arial" w:hAnsi="Arial" w:cs="Arial"/>
          <w:sz w:val="22"/>
          <w:szCs w:val="22"/>
        </w:rPr>
      </w:pPr>
      <w:r w:rsidRPr="00EB1374">
        <w:rPr>
          <w:rFonts w:ascii="Arial" w:hAnsi="Arial" w:cs="Arial"/>
          <w:sz w:val="22"/>
          <w:szCs w:val="22"/>
        </w:rPr>
        <w:t xml:space="preserve">Implementation data illustrate the pace of expansion. By March 2025, England had reached approximately 20 virtual ward beds per 100,000 registered patients, reflecting significant national investment and policy commitment (House of Commons POST, 2025). NHS operational analysis further suggests that a 50-bed virtual ward may provide capacity equivalent to around 31 acute beds, </w:t>
      </w:r>
      <w:r w:rsidR="00852A76" w:rsidRPr="00EB1374">
        <w:rPr>
          <w:rFonts w:ascii="Arial" w:hAnsi="Arial" w:cs="Arial"/>
          <w:sz w:val="22"/>
          <w:szCs w:val="22"/>
        </w:rPr>
        <w:t>through</w:t>
      </w:r>
      <w:r w:rsidRPr="00EB1374">
        <w:rPr>
          <w:rFonts w:ascii="Arial" w:hAnsi="Arial" w:cs="Arial"/>
          <w:sz w:val="22"/>
          <w:szCs w:val="22"/>
        </w:rPr>
        <w:t xml:space="preserve"> reduced length of stay and altered staffing models. However, such figures primarily capture activity and capacity rather than patient outcomes, equity, or safety, reinforcing the need for critical evaluation beyond headline metrics.</w:t>
      </w:r>
    </w:p>
    <w:p w14:paraId="6F237E2B" w14:textId="77777777" w:rsidR="00594FE5" w:rsidRPr="00EB1374" w:rsidRDefault="00594FE5" w:rsidP="00EB1374">
      <w:pPr>
        <w:spacing w:line="360" w:lineRule="auto"/>
        <w:rPr>
          <w:rFonts w:ascii="Arial" w:hAnsi="Arial" w:cs="Arial"/>
          <w:sz w:val="22"/>
          <w:szCs w:val="22"/>
        </w:rPr>
      </w:pPr>
      <w:r w:rsidRPr="00EB1374">
        <w:rPr>
          <w:rFonts w:ascii="Arial" w:hAnsi="Arial" w:cs="Arial"/>
          <w:sz w:val="22"/>
          <w:szCs w:val="22"/>
        </w:rPr>
        <w:t>While virtual wards aim to improve access, reduce hospital stay, and support admission avoidance, evidence indicates that benefits are most evident when pathways are carefully targeted and supported by robust governance (Nuffield Trust, 2022). Persistent challenges related to digital exclusion, workforce workload, safeguarding, and the redistribution of responsibility between professionals, patients, and carers demonstrate that virtual wards constitute complex service redesign rather than simple technological adoption.</w:t>
      </w:r>
    </w:p>
    <w:p w14:paraId="05DBD235" w14:textId="77777777" w:rsidR="005B22AF" w:rsidRPr="00EB1374" w:rsidRDefault="005B22AF" w:rsidP="00EB1374">
      <w:pPr>
        <w:spacing w:line="360" w:lineRule="auto"/>
        <w:jc w:val="center"/>
        <w:rPr>
          <w:rFonts w:ascii="Arial" w:hAnsi="Arial" w:cs="Arial"/>
          <w:b/>
          <w:bCs/>
          <w:sz w:val="22"/>
          <w:szCs w:val="22"/>
        </w:rPr>
      </w:pPr>
    </w:p>
    <w:p w14:paraId="7BE20D18" w14:textId="37400694" w:rsidR="00780CB1" w:rsidRPr="00EB1374" w:rsidRDefault="00780CB1" w:rsidP="00EB1374">
      <w:pPr>
        <w:spacing w:line="360" w:lineRule="auto"/>
        <w:rPr>
          <w:rFonts w:ascii="Arial" w:hAnsi="Arial" w:cs="Arial"/>
          <w:sz w:val="22"/>
          <w:szCs w:val="22"/>
        </w:rPr>
      </w:pPr>
      <w:r w:rsidRPr="00EB1374">
        <w:rPr>
          <w:rFonts w:ascii="Arial" w:hAnsi="Arial" w:cs="Arial"/>
          <w:sz w:val="22"/>
          <w:szCs w:val="22"/>
        </w:rPr>
        <w:lastRenderedPageBreak/>
        <w:drawing>
          <wp:inline distT="0" distB="0" distL="0" distR="0" wp14:anchorId="6409854D" wp14:editId="6713F5C9">
            <wp:extent cx="2697480" cy="1952625"/>
            <wp:effectExtent l="0" t="0" r="7620" b="9525"/>
            <wp:docPr id="479347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98207" cy="1953151"/>
                    </a:xfrm>
                    <a:prstGeom prst="rect">
                      <a:avLst/>
                    </a:prstGeom>
                    <a:noFill/>
                    <a:ln>
                      <a:noFill/>
                    </a:ln>
                  </pic:spPr>
                </pic:pic>
              </a:graphicData>
            </a:graphic>
          </wp:inline>
        </w:drawing>
      </w:r>
      <w:r w:rsidRPr="00EB1374">
        <w:rPr>
          <w:rFonts w:ascii="Arial" w:hAnsi="Arial" w:cs="Arial"/>
          <w:sz w:val="22"/>
          <w:szCs w:val="22"/>
        </w:rPr>
        <w:drawing>
          <wp:inline distT="0" distB="0" distL="0" distR="0" wp14:anchorId="581C939B" wp14:editId="5393C5B1">
            <wp:extent cx="2636202" cy="1965325"/>
            <wp:effectExtent l="0" t="0" r="0" b="0"/>
            <wp:docPr id="20353069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46308" cy="1972859"/>
                    </a:xfrm>
                    <a:prstGeom prst="rect">
                      <a:avLst/>
                    </a:prstGeom>
                    <a:noFill/>
                    <a:ln>
                      <a:noFill/>
                    </a:ln>
                  </pic:spPr>
                </pic:pic>
              </a:graphicData>
            </a:graphic>
          </wp:inline>
        </w:drawing>
      </w:r>
    </w:p>
    <w:p w14:paraId="0A8AFDA9" w14:textId="77777777" w:rsidR="002E3D31" w:rsidRPr="002E3D31" w:rsidRDefault="002E3D31" w:rsidP="00EB1374">
      <w:pPr>
        <w:spacing w:line="360" w:lineRule="auto"/>
        <w:rPr>
          <w:rFonts w:ascii="Arial" w:hAnsi="Arial" w:cs="Arial"/>
          <w:b/>
          <w:bCs/>
          <w:sz w:val="22"/>
          <w:szCs w:val="22"/>
        </w:rPr>
      </w:pPr>
      <w:r w:rsidRPr="002E3D31">
        <w:rPr>
          <w:rFonts w:ascii="Arial" w:hAnsi="Arial" w:cs="Arial"/>
          <w:b/>
          <w:bCs/>
          <w:sz w:val="22"/>
          <w:szCs w:val="22"/>
        </w:rPr>
        <w:t>3. Patient and Service User Impact</w:t>
      </w:r>
    </w:p>
    <w:p w14:paraId="1131EAA1" w14:textId="77777777" w:rsidR="002E3D31" w:rsidRPr="002E3D31" w:rsidRDefault="002E3D31" w:rsidP="00EB1374">
      <w:pPr>
        <w:spacing w:line="360" w:lineRule="auto"/>
        <w:rPr>
          <w:rFonts w:ascii="Arial" w:hAnsi="Arial" w:cs="Arial"/>
          <w:b/>
          <w:bCs/>
          <w:sz w:val="22"/>
          <w:szCs w:val="22"/>
        </w:rPr>
      </w:pPr>
      <w:r w:rsidRPr="002E3D31">
        <w:rPr>
          <w:rFonts w:ascii="Arial" w:hAnsi="Arial" w:cs="Arial"/>
          <w:b/>
          <w:bCs/>
          <w:sz w:val="22"/>
          <w:szCs w:val="22"/>
        </w:rPr>
        <w:t>3.1 Positive impacts on patient experience</w:t>
      </w:r>
    </w:p>
    <w:p w14:paraId="4302D8BD" w14:textId="77777777" w:rsidR="002E3D31" w:rsidRPr="002E3D31" w:rsidRDefault="002E3D31" w:rsidP="00EB1374">
      <w:pPr>
        <w:spacing w:line="360" w:lineRule="auto"/>
        <w:rPr>
          <w:rFonts w:ascii="Arial" w:hAnsi="Arial" w:cs="Arial"/>
          <w:sz w:val="22"/>
          <w:szCs w:val="22"/>
        </w:rPr>
      </w:pPr>
      <w:r w:rsidRPr="002E3D31">
        <w:rPr>
          <w:rFonts w:ascii="Arial" w:hAnsi="Arial" w:cs="Arial"/>
          <w:sz w:val="22"/>
          <w:szCs w:val="22"/>
        </w:rPr>
        <w:t>A central rationale for remote monitoring and virtual wards is improved patient experience. Delivering care at home can reduce travel demands, physical strain, and disruption to daily life, particularly for older adults, people with long-term conditions, and those with mobility limitations (NHS England, 2024). Remaining in familiar surroundings may reduce anxiety associated with hospital admission and support continuity with family and community networks.</w:t>
      </w:r>
    </w:p>
    <w:p w14:paraId="5F41919E" w14:textId="77777777" w:rsidR="002E3D31" w:rsidRPr="002E3D31" w:rsidRDefault="002E3D31" w:rsidP="00EB1374">
      <w:pPr>
        <w:spacing w:line="360" w:lineRule="auto"/>
        <w:rPr>
          <w:rFonts w:ascii="Arial" w:hAnsi="Arial" w:cs="Arial"/>
          <w:sz w:val="22"/>
          <w:szCs w:val="22"/>
        </w:rPr>
      </w:pPr>
      <w:r w:rsidRPr="002E3D31">
        <w:rPr>
          <w:rFonts w:ascii="Arial" w:hAnsi="Arial" w:cs="Arial"/>
          <w:sz w:val="22"/>
          <w:szCs w:val="22"/>
        </w:rPr>
        <w:t>Remote monitoring can also enhance patient involvement in care. Access to personal health data, such as symptom trends or physiological readings, may support self-management and shared decision-making when accompanied by appropriate education and clinical feedback (Topol, 2019). During the COVID-19 pandemic, some patients reported reassurance from frequent monitoring without hospitalisation, valuing the balance between clinical oversight and independence (Greenhalgh et al., 2021).</w:t>
      </w:r>
    </w:p>
    <w:p w14:paraId="717C34C2" w14:textId="77777777" w:rsidR="002E3D31" w:rsidRPr="00EB1374" w:rsidRDefault="002E3D31" w:rsidP="00EB1374">
      <w:pPr>
        <w:spacing w:line="360" w:lineRule="auto"/>
        <w:rPr>
          <w:rFonts w:ascii="Arial" w:hAnsi="Arial" w:cs="Arial"/>
          <w:sz w:val="22"/>
          <w:szCs w:val="22"/>
        </w:rPr>
      </w:pPr>
      <w:r w:rsidRPr="002E3D31">
        <w:rPr>
          <w:rFonts w:ascii="Arial" w:hAnsi="Arial" w:cs="Arial"/>
          <w:sz w:val="22"/>
          <w:szCs w:val="22"/>
        </w:rPr>
        <w:t>From a person-centred perspective, virtual wards may align with individual preferences when care at home is chosen rather than imposed. NICE (2024) highlights their potential to support personalised care planning and smoother transitions when remote pathways are clearly explained and adequately supported.</w:t>
      </w:r>
    </w:p>
    <w:p w14:paraId="1749F384" w14:textId="77777777" w:rsidR="009C3598" w:rsidRPr="00EB1374" w:rsidRDefault="009C3598" w:rsidP="00EB1374">
      <w:pPr>
        <w:spacing w:line="360" w:lineRule="auto"/>
        <w:rPr>
          <w:rFonts w:ascii="Arial" w:hAnsi="Arial" w:cs="Arial"/>
          <w:sz w:val="22"/>
          <w:szCs w:val="22"/>
        </w:rPr>
      </w:pPr>
    </w:p>
    <w:p w14:paraId="515A7F14" w14:textId="23D757A4" w:rsidR="002E3D31" w:rsidRPr="002E3D31" w:rsidRDefault="002E3D31" w:rsidP="00EB1374">
      <w:pPr>
        <w:spacing w:line="360" w:lineRule="auto"/>
        <w:rPr>
          <w:rFonts w:ascii="Arial" w:hAnsi="Arial" w:cs="Arial"/>
          <w:sz w:val="22"/>
          <w:szCs w:val="22"/>
        </w:rPr>
      </w:pPr>
      <w:r w:rsidRPr="002E3D31">
        <w:rPr>
          <w:rFonts w:ascii="Arial" w:hAnsi="Arial" w:cs="Arial"/>
          <w:sz w:val="22"/>
          <w:szCs w:val="22"/>
        </w:rPr>
        <w:t>3.2 Negative impacts and risks for patients</w:t>
      </w:r>
    </w:p>
    <w:p w14:paraId="17C9FA16" w14:textId="39C51A6B" w:rsidR="002E3D31" w:rsidRPr="002E3D31" w:rsidRDefault="002E3D31" w:rsidP="00EB1374">
      <w:pPr>
        <w:spacing w:line="360" w:lineRule="auto"/>
        <w:rPr>
          <w:rFonts w:ascii="Arial" w:hAnsi="Arial" w:cs="Arial"/>
          <w:sz w:val="22"/>
          <w:szCs w:val="22"/>
        </w:rPr>
      </w:pPr>
      <w:r w:rsidRPr="002E3D31">
        <w:rPr>
          <w:rFonts w:ascii="Arial" w:hAnsi="Arial" w:cs="Arial"/>
          <w:sz w:val="22"/>
          <w:szCs w:val="22"/>
        </w:rPr>
        <w:t xml:space="preserve">Despite reported benefits, patient experience of remote monitoring and virtual wards is highly variable and </w:t>
      </w:r>
      <w:r w:rsidR="005B18DA" w:rsidRPr="00EB1374">
        <w:rPr>
          <w:rFonts w:ascii="Arial" w:hAnsi="Arial" w:cs="Arial"/>
          <w:sz w:val="22"/>
          <w:szCs w:val="22"/>
        </w:rPr>
        <w:t>linked</w:t>
      </w:r>
      <w:r w:rsidRPr="002E3D31">
        <w:rPr>
          <w:rFonts w:ascii="Arial" w:hAnsi="Arial" w:cs="Arial"/>
          <w:sz w:val="22"/>
          <w:szCs w:val="22"/>
        </w:rPr>
        <w:t xml:space="preserve"> to implementation quality. Digital exclusion remains a significant concern, particularly for older adults, people with disabilities, and those on low incomes or with limited digital literacy (The King’s Fund, 2021). Age UK (2024) estimates that 4.7 million </w:t>
      </w:r>
      <w:r w:rsidRPr="002E3D31">
        <w:rPr>
          <w:rFonts w:ascii="Arial" w:hAnsi="Arial" w:cs="Arial"/>
          <w:sz w:val="22"/>
          <w:szCs w:val="22"/>
        </w:rPr>
        <w:lastRenderedPageBreak/>
        <w:t>people aged over 65 lack basic digital skills, raising concerns that virtual ward pathways may disproportionately exclude those with the greatest clinical need.</w:t>
      </w:r>
    </w:p>
    <w:p w14:paraId="3A8BCCF9" w14:textId="77777777" w:rsidR="002E3D31" w:rsidRPr="002E3D31" w:rsidRDefault="002E3D31" w:rsidP="00EB1374">
      <w:pPr>
        <w:spacing w:line="360" w:lineRule="auto"/>
        <w:rPr>
          <w:rFonts w:ascii="Arial" w:hAnsi="Arial" w:cs="Arial"/>
          <w:sz w:val="22"/>
          <w:szCs w:val="22"/>
        </w:rPr>
      </w:pPr>
      <w:r w:rsidRPr="002E3D31">
        <w:rPr>
          <w:rFonts w:ascii="Arial" w:hAnsi="Arial" w:cs="Arial"/>
          <w:sz w:val="22"/>
          <w:szCs w:val="22"/>
        </w:rPr>
        <w:t>Relational aspects of care may also be compromised. Remote interactions can limit non-verbal communication and opportunities for rapport-building, particularly in complex or emotionally sensitive situations, leading some patients to perceive care as rushed or less compassionate (Greenhalgh et al., 2017).</w:t>
      </w:r>
    </w:p>
    <w:p w14:paraId="20434207" w14:textId="77777777" w:rsidR="002E3D31" w:rsidRPr="002E3D31" w:rsidRDefault="002E3D31" w:rsidP="00EB1374">
      <w:pPr>
        <w:spacing w:line="360" w:lineRule="auto"/>
        <w:rPr>
          <w:rFonts w:ascii="Arial" w:hAnsi="Arial" w:cs="Arial"/>
          <w:sz w:val="22"/>
          <w:szCs w:val="22"/>
        </w:rPr>
      </w:pPr>
      <w:r w:rsidRPr="002E3D31">
        <w:rPr>
          <w:rFonts w:ascii="Arial" w:hAnsi="Arial" w:cs="Arial"/>
          <w:sz w:val="22"/>
          <w:szCs w:val="22"/>
        </w:rPr>
        <w:t>Safety concerns further shape patient experience. Anxiety may increase where escalation routes are unclear or responses are delayed, and national investigations have identified risks associated with fragmented workflows, unclear accountability, and over-reliance on patient-reported data (HSSIB, 2025). In addition, remote monitoring can shift responsibility onto patients and carers, increasing treatment burden and potentially undermining confidence and perceived care quality without adequate support (Nuffield Trust, 2022).</w:t>
      </w:r>
    </w:p>
    <w:p w14:paraId="4F48CAA7" w14:textId="77777777" w:rsidR="002E3D31" w:rsidRPr="002E3D31" w:rsidRDefault="002E3D31" w:rsidP="00EB1374">
      <w:pPr>
        <w:spacing w:line="360" w:lineRule="auto"/>
        <w:rPr>
          <w:rFonts w:ascii="Arial" w:hAnsi="Arial" w:cs="Arial"/>
          <w:sz w:val="22"/>
          <w:szCs w:val="22"/>
        </w:rPr>
      </w:pPr>
      <w:r w:rsidRPr="002E3D31">
        <w:rPr>
          <w:rFonts w:ascii="Arial" w:hAnsi="Arial" w:cs="Arial"/>
          <w:sz w:val="22"/>
          <w:szCs w:val="22"/>
        </w:rPr>
        <w:t>Data protection and privacy represent further patient safety considerations. Remote monitoring relies on the continuous collection and sharing of personal health data across multiple platforms and providers. Under the UK General Data Protection Regulation (UK GDPR), such data requires enhanced safeguards and transparency. Where patients are unclear about how their data is used or who can access it, trust may be undermined, reducing engagement with remote care pathways (Health Services Safety Investigations Body, 2025).</w:t>
      </w:r>
    </w:p>
    <w:p w14:paraId="1F40F973" w14:textId="3E2F09EA" w:rsidR="006B0584" w:rsidRPr="00EB1374" w:rsidRDefault="006B0584" w:rsidP="00EB1374">
      <w:pPr>
        <w:spacing w:line="360" w:lineRule="auto"/>
        <w:rPr>
          <w:rFonts w:ascii="Arial" w:hAnsi="Arial" w:cs="Arial"/>
          <w:b/>
          <w:bCs/>
          <w:sz w:val="22"/>
          <w:szCs w:val="22"/>
        </w:rPr>
      </w:pPr>
    </w:p>
    <w:p w14:paraId="68A7DF28" w14:textId="77777777" w:rsidR="00BC7CBE" w:rsidRPr="00EB1374" w:rsidRDefault="00BC7CBE" w:rsidP="00EB1374">
      <w:pPr>
        <w:spacing w:line="360" w:lineRule="auto"/>
        <w:rPr>
          <w:rFonts w:ascii="Arial" w:hAnsi="Arial" w:cs="Arial"/>
          <w:b/>
          <w:bCs/>
          <w:sz w:val="22"/>
          <w:szCs w:val="22"/>
        </w:rPr>
      </w:pPr>
      <w:r w:rsidRPr="00EB1374">
        <w:rPr>
          <w:rFonts w:ascii="Arial" w:hAnsi="Arial" w:cs="Arial"/>
          <w:b/>
          <w:bCs/>
          <w:sz w:val="22"/>
          <w:szCs w:val="22"/>
        </w:rPr>
        <w:t>3.3 Critical evaluation of patient-level implementation</w:t>
      </w:r>
    </w:p>
    <w:p w14:paraId="0B28ED82" w14:textId="456A89E7" w:rsidR="00BC7CBE" w:rsidRPr="00EB1374" w:rsidRDefault="00BC7CBE" w:rsidP="00EB1374">
      <w:pPr>
        <w:spacing w:line="360" w:lineRule="auto"/>
        <w:rPr>
          <w:rFonts w:ascii="Arial" w:hAnsi="Arial" w:cs="Arial"/>
          <w:sz w:val="22"/>
          <w:szCs w:val="22"/>
        </w:rPr>
      </w:pPr>
      <w:r w:rsidRPr="00EB1374">
        <w:rPr>
          <w:rFonts w:ascii="Arial" w:hAnsi="Arial" w:cs="Arial"/>
          <w:sz w:val="22"/>
          <w:szCs w:val="22"/>
        </w:rPr>
        <w:t xml:space="preserve">Overall, remote monitoring and virtual wards are neither inherently beneficial nor harmful. Their impact depends on whether implementation prioritises choice, </w:t>
      </w:r>
      <w:r w:rsidR="00631B7F" w:rsidRPr="00EB1374">
        <w:rPr>
          <w:rFonts w:ascii="Arial" w:hAnsi="Arial" w:cs="Arial"/>
          <w:sz w:val="22"/>
          <w:szCs w:val="22"/>
        </w:rPr>
        <w:t>inclusion,</w:t>
      </w:r>
      <w:r w:rsidRPr="00EB1374">
        <w:rPr>
          <w:rFonts w:ascii="Arial" w:hAnsi="Arial" w:cs="Arial"/>
          <w:sz w:val="22"/>
          <w:szCs w:val="22"/>
        </w:rPr>
        <w:t xml:space="preserve"> and safety. Where patients are offered meaningful alternatives to digital care, supported to use technology, and provided with clear escalation pathways, virtual wards can enhance person-centred care. Conversely, when remote pathways function as default gatekeeping mechanisms, there is a risk of reducing access and exacerbating inequalities (The King’s Fund, 2023).</w:t>
      </w:r>
    </w:p>
    <w:p w14:paraId="3C70B854" w14:textId="1FF7867F" w:rsidR="00780CB1" w:rsidRPr="00EB1374" w:rsidRDefault="00B60FD8" w:rsidP="00EB1374">
      <w:pPr>
        <w:spacing w:line="360" w:lineRule="auto"/>
        <w:rPr>
          <w:rFonts w:ascii="Arial" w:hAnsi="Arial" w:cs="Arial"/>
          <w:sz w:val="22"/>
          <w:szCs w:val="22"/>
        </w:rPr>
      </w:pPr>
      <w:r w:rsidRPr="00EB1374">
        <w:rPr>
          <w:rFonts w:ascii="Arial" w:hAnsi="Arial" w:cs="Arial"/>
          <w:sz w:val="22"/>
          <w:szCs w:val="22"/>
        </w:rPr>
        <w:lastRenderedPageBreak/>
        <w:drawing>
          <wp:inline distT="0" distB="0" distL="0" distR="0" wp14:anchorId="56925EE5" wp14:editId="33567E6C">
            <wp:extent cx="2566670" cy="1706233"/>
            <wp:effectExtent l="0" t="0" r="5080" b="8890"/>
            <wp:docPr id="5632137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45339" cy="1758529"/>
                    </a:xfrm>
                    <a:prstGeom prst="rect">
                      <a:avLst/>
                    </a:prstGeom>
                    <a:noFill/>
                  </pic:spPr>
                </pic:pic>
              </a:graphicData>
            </a:graphic>
          </wp:inline>
        </w:drawing>
      </w:r>
      <w:r w:rsidR="006704BF" w:rsidRPr="00EB1374">
        <w:rPr>
          <w:rFonts w:ascii="Arial" w:hAnsi="Arial" w:cs="Arial"/>
          <w:noProof/>
          <w:sz w:val="22"/>
          <w:szCs w:val="22"/>
        </w:rPr>
        <w:t xml:space="preserve"> </w:t>
      </w:r>
      <w:r w:rsidR="006704BF" w:rsidRPr="00EB1374">
        <w:rPr>
          <w:rFonts w:ascii="Arial" w:hAnsi="Arial" w:cs="Arial"/>
          <w:sz w:val="22"/>
          <w:szCs w:val="22"/>
        </w:rPr>
        <w:drawing>
          <wp:inline distT="0" distB="0" distL="0" distR="0" wp14:anchorId="7525151F" wp14:editId="2161546C">
            <wp:extent cx="2681066" cy="1737360"/>
            <wp:effectExtent l="0" t="0" r="5080" b="0"/>
            <wp:docPr id="2050084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084543" name=""/>
                    <pic:cNvPicPr/>
                  </pic:nvPicPr>
                  <pic:blipFill>
                    <a:blip r:embed="rId11"/>
                    <a:stretch>
                      <a:fillRect/>
                    </a:stretch>
                  </pic:blipFill>
                  <pic:spPr>
                    <a:xfrm>
                      <a:off x="0" y="0"/>
                      <a:ext cx="2730060" cy="1769108"/>
                    </a:xfrm>
                    <a:prstGeom prst="rect">
                      <a:avLst/>
                    </a:prstGeom>
                  </pic:spPr>
                </pic:pic>
              </a:graphicData>
            </a:graphic>
          </wp:inline>
        </w:drawing>
      </w:r>
    </w:p>
    <w:p w14:paraId="23933774" w14:textId="77777777" w:rsidR="004C12AA" w:rsidRPr="00EB1374" w:rsidRDefault="004C12AA" w:rsidP="00EB1374">
      <w:pPr>
        <w:spacing w:line="360" w:lineRule="auto"/>
        <w:rPr>
          <w:rStyle w:val="Strong"/>
          <w:rFonts w:ascii="Arial" w:hAnsi="Arial" w:cs="Arial"/>
          <w:b w:val="0"/>
          <w:sz w:val="22"/>
          <w:szCs w:val="22"/>
        </w:rPr>
      </w:pPr>
    </w:p>
    <w:p w14:paraId="3055437D" w14:textId="77777777" w:rsidR="006211C8" w:rsidRPr="00EB1374" w:rsidRDefault="006211C8" w:rsidP="00EB1374">
      <w:pPr>
        <w:spacing w:line="360" w:lineRule="auto"/>
        <w:rPr>
          <w:rFonts w:ascii="Arial" w:hAnsi="Arial" w:cs="Arial"/>
          <w:b/>
          <w:bCs/>
          <w:sz w:val="22"/>
          <w:szCs w:val="22"/>
        </w:rPr>
      </w:pPr>
      <w:r w:rsidRPr="00EB1374">
        <w:rPr>
          <w:rFonts w:ascii="Arial" w:hAnsi="Arial" w:cs="Arial"/>
          <w:b/>
          <w:bCs/>
          <w:sz w:val="22"/>
          <w:szCs w:val="22"/>
        </w:rPr>
        <w:t>4. Community Impact</w:t>
      </w:r>
    </w:p>
    <w:p w14:paraId="520AD698" w14:textId="77777777" w:rsidR="006211C8" w:rsidRPr="00EB1374" w:rsidRDefault="006211C8" w:rsidP="00EB1374">
      <w:pPr>
        <w:spacing w:line="360" w:lineRule="auto"/>
        <w:rPr>
          <w:rFonts w:ascii="Arial" w:hAnsi="Arial" w:cs="Arial"/>
          <w:sz w:val="22"/>
          <w:szCs w:val="22"/>
        </w:rPr>
      </w:pPr>
      <w:r w:rsidRPr="00EB1374">
        <w:rPr>
          <w:rFonts w:ascii="Arial" w:hAnsi="Arial" w:cs="Arial"/>
          <w:b/>
          <w:bCs/>
          <w:sz w:val="22"/>
          <w:szCs w:val="22"/>
        </w:rPr>
        <w:t>4.1 Care location and place-based services</w:t>
      </w:r>
    </w:p>
    <w:p w14:paraId="04D76A4D" w14:textId="77777777" w:rsidR="006211C8" w:rsidRPr="00EB1374" w:rsidRDefault="006211C8" w:rsidP="00EB1374">
      <w:pPr>
        <w:spacing w:line="360" w:lineRule="auto"/>
        <w:rPr>
          <w:rFonts w:ascii="Arial" w:hAnsi="Arial" w:cs="Arial"/>
          <w:sz w:val="22"/>
          <w:szCs w:val="22"/>
        </w:rPr>
      </w:pPr>
      <w:r w:rsidRPr="00EB1374">
        <w:rPr>
          <w:rFonts w:ascii="Arial" w:hAnsi="Arial" w:cs="Arial"/>
          <w:sz w:val="22"/>
          <w:szCs w:val="22"/>
        </w:rPr>
        <w:t>Virtual wards relocate acute oversight from hospitals into homes and community settings, aligning with place-based and preventative care agendas within integrated care systems (NHS England, 2024). For communities, care closer to home can reduce travel, improve continuity and support ageing in place.</w:t>
      </w:r>
    </w:p>
    <w:p w14:paraId="5715C0B9" w14:textId="77777777" w:rsidR="006211C8" w:rsidRPr="00EB1374" w:rsidRDefault="006211C8" w:rsidP="00EB1374">
      <w:pPr>
        <w:spacing w:line="360" w:lineRule="auto"/>
        <w:rPr>
          <w:rFonts w:ascii="Arial" w:hAnsi="Arial" w:cs="Arial"/>
          <w:sz w:val="22"/>
          <w:szCs w:val="22"/>
        </w:rPr>
      </w:pPr>
      <w:r w:rsidRPr="00EB1374">
        <w:rPr>
          <w:rFonts w:ascii="Arial" w:hAnsi="Arial" w:cs="Arial"/>
          <w:sz w:val="22"/>
          <w:szCs w:val="22"/>
        </w:rPr>
        <w:t>However, benefits are unevenly distributed. Communities with poor digital infrastructure or limited access to devices may experience reduced access rather than improvement, reinforcing regional and socio-economic inequalities (Good Things Foundation, 2024).</w:t>
      </w:r>
    </w:p>
    <w:p w14:paraId="788F4E3F" w14:textId="77777777" w:rsidR="006211C8" w:rsidRPr="00EB1374" w:rsidRDefault="006211C8" w:rsidP="00EB1374">
      <w:pPr>
        <w:spacing w:line="360" w:lineRule="auto"/>
        <w:rPr>
          <w:rFonts w:ascii="Arial" w:hAnsi="Arial" w:cs="Arial"/>
          <w:sz w:val="22"/>
          <w:szCs w:val="22"/>
        </w:rPr>
      </w:pPr>
      <w:r w:rsidRPr="00EB1374">
        <w:rPr>
          <w:rFonts w:ascii="Arial" w:hAnsi="Arial" w:cs="Arial"/>
          <w:sz w:val="22"/>
          <w:szCs w:val="22"/>
        </w:rPr>
        <w:t>4.2 Impact on families and carers</w:t>
      </w:r>
    </w:p>
    <w:p w14:paraId="2CB9CD4F" w14:textId="15913EB2" w:rsidR="006211C8" w:rsidRPr="00EB1374" w:rsidRDefault="006211C8" w:rsidP="00EB1374">
      <w:pPr>
        <w:spacing w:line="360" w:lineRule="auto"/>
        <w:rPr>
          <w:rFonts w:ascii="Arial" w:hAnsi="Arial" w:cs="Arial"/>
          <w:sz w:val="22"/>
          <w:szCs w:val="22"/>
        </w:rPr>
      </w:pPr>
      <w:r w:rsidRPr="00EB1374">
        <w:rPr>
          <w:rFonts w:ascii="Arial" w:hAnsi="Arial" w:cs="Arial"/>
          <w:sz w:val="22"/>
          <w:szCs w:val="22"/>
        </w:rPr>
        <w:t xml:space="preserve">Remote monitoring can reduce hospital visiting demands and provide reassurance to families. However, carers are often expected to support device use, symptom </w:t>
      </w:r>
      <w:r w:rsidR="00631B7F" w:rsidRPr="00EB1374">
        <w:rPr>
          <w:rFonts w:ascii="Arial" w:hAnsi="Arial" w:cs="Arial"/>
          <w:sz w:val="22"/>
          <w:szCs w:val="22"/>
        </w:rPr>
        <w:t>recognition,</w:t>
      </w:r>
      <w:r w:rsidRPr="00EB1374">
        <w:rPr>
          <w:rFonts w:ascii="Arial" w:hAnsi="Arial" w:cs="Arial"/>
          <w:sz w:val="22"/>
          <w:szCs w:val="22"/>
        </w:rPr>
        <w:t xml:space="preserve"> and escalation, effectively absorbing additional unpaid labour (The King’s Fund, 2021). This hidden burden may increase stress and exacerbate inequality, particularly where carers receive limited training or support.</w:t>
      </w:r>
    </w:p>
    <w:p w14:paraId="6F062471" w14:textId="77777777" w:rsidR="006211C8" w:rsidRPr="00EB1374" w:rsidRDefault="006211C8" w:rsidP="00EB1374">
      <w:pPr>
        <w:spacing w:line="360" w:lineRule="auto"/>
        <w:rPr>
          <w:rFonts w:ascii="Arial" w:hAnsi="Arial" w:cs="Arial"/>
          <w:b/>
          <w:bCs/>
          <w:sz w:val="22"/>
          <w:szCs w:val="22"/>
        </w:rPr>
      </w:pPr>
      <w:r w:rsidRPr="00EB1374">
        <w:rPr>
          <w:rFonts w:ascii="Arial" w:hAnsi="Arial" w:cs="Arial"/>
          <w:b/>
          <w:bCs/>
          <w:sz w:val="22"/>
          <w:szCs w:val="22"/>
        </w:rPr>
        <w:t>4.3 Co-production and community engagement</w:t>
      </w:r>
    </w:p>
    <w:p w14:paraId="59B0ED99" w14:textId="17DAFE14" w:rsidR="006211C8" w:rsidRPr="00EB1374" w:rsidRDefault="006211C8" w:rsidP="00EB1374">
      <w:pPr>
        <w:spacing w:line="360" w:lineRule="auto"/>
        <w:rPr>
          <w:rFonts w:ascii="Arial" w:hAnsi="Arial" w:cs="Arial"/>
          <w:sz w:val="22"/>
          <w:szCs w:val="22"/>
        </w:rPr>
      </w:pPr>
      <w:r w:rsidRPr="00EB1374">
        <w:rPr>
          <w:rFonts w:ascii="Arial" w:hAnsi="Arial" w:cs="Arial"/>
          <w:sz w:val="22"/>
          <w:szCs w:val="22"/>
        </w:rPr>
        <w:t>Evidence from Healthwatch indicate</w:t>
      </w:r>
      <w:r w:rsidR="00B64888" w:rsidRPr="00EB1374">
        <w:rPr>
          <w:rFonts w:ascii="Arial" w:hAnsi="Arial" w:cs="Arial"/>
          <w:sz w:val="22"/>
          <w:szCs w:val="22"/>
        </w:rPr>
        <w:t>s</w:t>
      </w:r>
      <w:r w:rsidRPr="00EB1374">
        <w:rPr>
          <w:rFonts w:ascii="Arial" w:hAnsi="Arial" w:cs="Arial"/>
          <w:sz w:val="22"/>
          <w:szCs w:val="22"/>
        </w:rPr>
        <w:t xml:space="preserve"> that patients frequently struggle to understand digital pathways and escalation processes, highlighting the importance of co-production, accessible </w:t>
      </w:r>
      <w:r w:rsidR="00E55E27" w:rsidRPr="00EB1374">
        <w:rPr>
          <w:rFonts w:ascii="Arial" w:hAnsi="Arial" w:cs="Arial"/>
          <w:sz w:val="22"/>
          <w:szCs w:val="22"/>
        </w:rPr>
        <w:t>communication,</w:t>
      </w:r>
      <w:r w:rsidRPr="00EB1374">
        <w:rPr>
          <w:rFonts w:ascii="Arial" w:hAnsi="Arial" w:cs="Arial"/>
          <w:sz w:val="22"/>
          <w:szCs w:val="22"/>
        </w:rPr>
        <w:t xml:space="preserve"> and involvement of voluntary sector organisations in the design of remote monitoring and virtual ward services (Healthwatch England, 2024).</w:t>
      </w:r>
    </w:p>
    <w:p w14:paraId="3BAA45EB" w14:textId="77777777" w:rsidR="00D67DEB" w:rsidRDefault="00D67DEB" w:rsidP="00EB1374">
      <w:pPr>
        <w:spacing w:line="360" w:lineRule="auto"/>
        <w:rPr>
          <w:rFonts w:ascii="Arial" w:hAnsi="Arial" w:cs="Arial"/>
          <w:b/>
          <w:bCs/>
          <w:sz w:val="22"/>
          <w:szCs w:val="22"/>
        </w:rPr>
      </w:pPr>
    </w:p>
    <w:p w14:paraId="39EB9EAE" w14:textId="77777777" w:rsidR="0003414A" w:rsidRDefault="0003414A" w:rsidP="00EB1374">
      <w:pPr>
        <w:spacing w:line="360" w:lineRule="auto"/>
        <w:rPr>
          <w:rFonts w:ascii="Arial" w:hAnsi="Arial" w:cs="Arial"/>
          <w:b/>
          <w:bCs/>
          <w:sz w:val="22"/>
          <w:szCs w:val="22"/>
        </w:rPr>
      </w:pPr>
    </w:p>
    <w:p w14:paraId="0D6DBDC3" w14:textId="77777777" w:rsidR="0003414A" w:rsidRPr="00EB1374" w:rsidRDefault="0003414A" w:rsidP="00EB1374">
      <w:pPr>
        <w:spacing w:line="360" w:lineRule="auto"/>
        <w:rPr>
          <w:rFonts w:ascii="Arial" w:hAnsi="Arial" w:cs="Arial"/>
          <w:b/>
          <w:bCs/>
          <w:sz w:val="22"/>
          <w:szCs w:val="22"/>
        </w:rPr>
      </w:pPr>
    </w:p>
    <w:p w14:paraId="7397EBCF" w14:textId="5FD9A560" w:rsidR="006211C8" w:rsidRPr="00EB1374" w:rsidRDefault="006211C8" w:rsidP="00EB1374">
      <w:pPr>
        <w:spacing w:line="360" w:lineRule="auto"/>
        <w:rPr>
          <w:rFonts w:ascii="Arial" w:hAnsi="Arial" w:cs="Arial"/>
          <w:b/>
          <w:bCs/>
          <w:sz w:val="22"/>
          <w:szCs w:val="22"/>
        </w:rPr>
      </w:pPr>
      <w:r w:rsidRPr="00EB1374">
        <w:rPr>
          <w:rFonts w:ascii="Arial" w:hAnsi="Arial" w:cs="Arial"/>
          <w:b/>
          <w:bCs/>
          <w:sz w:val="22"/>
          <w:szCs w:val="22"/>
        </w:rPr>
        <w:lastRenderedPageBreak/>
        <w:t>4.4 Public health and safeguarding implications</w:t>
      </w:r>
    </w:p>
    <w:p w14:paraId="72045E32" w14:textId="77777777" w:rsidR="003353FD" w:rsidRPr="003353FD" w:rsidRDefault="003353FD" w:rsidP="00EB1374">
      <w:pPr>
        <w:spacing w:line="360" w:lineRule="auto"/>
        <w:rPr>
          <w:rFonts w:ascii="Arial" w:hAnsi="Arial" w:cs="Arial"/>
          <w:sz w:val="22"/>
          <w:szCs w:val="22"/>
        </w:rPr>
      </w:pPr>
      <w:r w:rsidRPr="003353FD">
        <w:rPr>
          <w:rFonts w:ascii="Arial" w:hAnsi="Arial" w:cs="Arial"/>
          <w:sz w:val="22"/>
          <w:szCs w:val="22"/>
        </w:rPr>
        <w:t>Remote monitoring has potential public health benefits through earlier detection of deterioration and improved long-term condition management (NICE, 2024). However, uneven uptake risks biasing population-level data towards younger and more digitally confident users, potentially masking unmet need in older or deprived populations and reinforcing existing health inequalities (Good Things Foundation, 2024). Such bias has implications for resource allocation and service planning within integrated care systems, particularly where performance metrics prioritise utilisation rather than equity-adjusted outcomes.</w:t>
      </w:r>
    </w:p>
    <w:p w14:paraId="2C9EA3D8" w14:textId="77777777" w:rsidR="003353FD" w:rsidRPr="003353FD" w:rsidRDefault="003353FD" w:rsidP="00EB1374">
      <w:pPr>
        <w:spacing w:line="360" w:lineRule="auto"/>
        <w:rPr>
          <w:rFonts w:ascii="Arial" w:hAnsi="Arial" w:cs="Arial"/>
          <w:sz w:val="22"/>
          <w:szCs w:val="22"/>
        </w:rPr>
      </w:pPr>
      <w:r w:rsidRPr="003353FD">
        <w:rPr>
          <w:rFonts w:ascii="Arial" w:hAnsi="Arial" w:cs="Arial"/>
          <w:sz w:val="22"/>
          <w:szCs w:val="22"/>
        </w:rPr>
        <w:t>Safeguarding represents a further concern. Reduced face-to-face contact may limit opportunities to identify abuse, neglect, or vulnerability, increasing reliance on clear escalation thresholds and multidisciplinary oversight within remote care pathways (Care Quality Commission, 2024).</w:t>
      </w:r>
    </w:p>
    <w:p w14:paraId="5D005CB9" w14:textId="77777777" w:rsidR="003353FD" w:rsidRPr="003353FD" w:rsidRDefault="003353FD" w:rsidP="00EB1374">
      <w:pPr>
        <w:spacing w:line="360" w:lineRule="auto"/>
        <w:rPr>
          <w:rFonts w:ascii="Arial" w:hAnsi="Arial" w:cs="Arial"/>
          <w:sz w:val="22"/>
          <w:szCs w:val="22"/>
        </w:rPr>
      </w:pPr>
      <w:r w:rsidRPr="003353FD">
        <w:rPr>
          <w:rFonts w:ascii="Arial" w:hAnsi="Arial" w:cs="Arial"/>
          <w:sz w:val="22"/>
          <w:szCs w:val="22"/>
        </w:rPr>
        <w:t>Information governance is integral to safeguarding in digitally enabled care. Virtual wards involve routine data sharing across NHS organisations, social care providers, and third-party technology suppliers. Under the UK General Data Protection Regulation (UK GDPR), such data sharing must be lawful, proportionate, and securely governed through clear information-sharing agreements. The Information Commissioner’s Office warns that inadequate controls over access, retention, or secondary use of health data may expose vulnerable individuals to privacy breaches and potential harm. In the context of reduced in-person contact, robust information governance is therefore essential to maintaining confidentiality, safeguarding oversight, and public trust in remote care models.</w:t>
      </w:r>
    </w:p>
    <w:p w14:paraId="46728610" w14:textId="77777777" w:rsidR="0003414A" w:rsidRDefault="0003414A" w:rsidP="00EB1374">
      <w:pPr>
        <w:spacing w:line="360" w:lineRule="auto"/>
        <w:rPr>
          <w:rFonts w:ascii="Arial" w:hAnsi="Arial" w:cs="Arial"/>
          <w:b/>
          <w:bCs/>
          <w:sz w:val="22"/>
          <w:szCs w:val="22"/>
        </w:rPr>
      </w:pPr>
    </w:p>
    <w:p w14:paraId="7518A061" w14:textId="46159E9B" w:rsidR="00635874" w:rsidRPr="00635874" w:rsidRDefault="00635874" w:rsidP="00EB1374">
      <w:pPr>
        <w:spacing w:line="360" w:lineRule="auto"/>
        <w:rPr>
          <w:rFonts w:ascii="Arial" w:hAnsi="Arial" w:cs="Arial"/>
          <w:b/>
          <w:bCs/>
          <w:sz w:val="22"/>
          <w:szCs w:val="22"/>
        </w:rPr>
      </w:pPr>
      <w:r w:rsidRPr="00635874">
        <w:rPr>
          <w:rFonts w:ascii="Arial" w:hAnsi="Arial" w:cs="Arial"/>
          <w:b/>
          <w:bCs/>
          <w:sz w:val="22"/>
          <w:szCs w:val="22"/>
        </w:rPr>
        <w:t>5. Critical Discussion</w:t>
      </w:r>
    </w:p>
    <w:p w14:paraId="4CCD9609" w14:textId="77777777" w:rsidR="00635874" w:rsidRPr="00635874" w:rsidRDefault="00635874" w:rsidP="00EB1374">
      <w:pPr>
        <w:spacing w:line="360" w:lineRule="auto"/>
        <w:rPr>
          <w:rFonts w:ascii="Arial" w:hAnsi="Arial" w:cs="Arial"/>
          <w:sz w:val="22"/>
          <w:szCs w:val="22"/>
        </w:rPr>
      </w:pPr>
      <w:r w:rsidRPr="00635874">
        <w:rPr>
          <w:rFonts w:ascii="Arial" w:hAnsi="Arial" w:cs="Arial"/>
          <w:sz w:val="22"/>
          <w:szCs w:val="22"/>
        </w:rPr>
        <w:t>Remote monitoring and virtual wards represent a complex digital transformation within UK health and social care. As socio-technical systems, they reshape professional roles, redistribute responsibility, and alter safeguarding practices rather than functioning as neutral technological interventions (Greenhalgh et al., 2017).</w:t>
      </w:r>
    </w:p>
    <w:p w14:paraId="0601A739" w14:textId="77777777" w:rsidR="00635874" w:rsidRPr="00635874" w:rsidRDefault="00635874" w:rsidP="00EB1374">
      <w:pPr>
        <w:spacing w:line="360" w:lineRule="auto"/>
        <w:rPr>
          <w:rFonts w:ascii="Arial" w:hAnsi="Arial" w:cs="Arial"/>
          <w:sz w:val="22"/>
          <w:szCs w:val="22"/>
        </w:rPr>
      </w:pPr>
      <w:r w:rsidRPr="00635874">
        <w:rPr>
          <w:rFonts w:ascii="Arial" w:hAnsi="Arial" w:cs="Arial"/>
          <w:sz w:val="22"/>
          <w:szCs w:val="22"/>
        </w:rPr>
        <w:t xml:space="preserve">UK policy has been a key driver of adoption. </w:t>
      </w:r>
      <w:r w:rsidRPr="00635874">
        <w:rPr>
          <w:rFonts w:ascii="Arial" w:hAnsi="Arial" w:cs="Arial"/>
          <w:i/>
          <w:iCs/>
          <w:sz w:val="22"/>
          <w:szCs w:val="22"/>
        </w:rPr>
        <w:t>The NHS Long Term Plan</w:t>
      </w:r>
      <w:r w:rsidRPr="00635874">
        <w:rPr>
          <w:rFonts w:ascii="Arial" w:hAnsi="Arial" w:cs="Arial"/>
          <w:sz w:val="22"/>
          <w:szCs w:val="22"/>
        </w:rPr>
        <w:t xml:space="preserve"> and the Health and Care Act 2022 promote digitally enabled, out-of-hospital care in response to rising demand and workforce shortages (NHS England, 2019). While this direction has supported rapid scale-up, activity and capacity metrics alone do not demonstrate improvements in care quality, safety, or equity. Emphasis on throughput risks obscuring patient experience and safeguarding, highlighting tensions between efficiency objectives and relational care.</w:t>
      </w:r>
    </w:p>
    <w:p w14:paraId="0878E1EB" w14:textId="77777777" w:rsidR="00635874" w:rsidRPr="00635874" w:rsidRDefault="00635874" w:rsidP="00EB1374">
      <w:pPr>
        <w:spacing w:line="360" w:lineRule="auto"/>
        <w:rPr>
          <w:rFonts w:ascii="Arial" w:hAnsi="Arial" w:cs="Arial"/>
          <w:sz w:val="22"/>
          <w:szCs w:val="22"/>
        </w:rPr>
      </w:pPr>
      <w:r w:rsidRPr="00635874">
        <w:rPr>
          <w:rFonts w:ascii="Arial" w:hAnsi="Arial" w:cs="Arial"/>
          <w:sz w:val="22"/>
          <w:szCs w:val="22"/>
        </w:rPr>
        <w:lastRenderedPageBreak/>
        <w:t>Information governance further illustrates the socio-technical nature of virtual wards. Although digital technologies enable remote oversight, they increase the complexity of data flows across organisational boundaries. Compliance with UK GDPR and NHS information governance standards is therefore central to safe service design rather than a technical add-on. Where governance arrangements are poorly operationalised, risks emerge relating to data security, accountability, and patient confidence, reinforcing the need to view virtual wards as whole-system transformations requiring ethical, legal, and organisational alignment.</w:t>
      </w:r>
    </w:p>
    <w:p w14:paraId="207FAE4B" w14:textId="77777777" w:rsidR="00635874" w:rsidRPr="00635874" w:rsidRDefault="00635874" w:rsidP="00EB1374">
      <w:pPr>
        <w:spacing w:line="360" w:lineRule="auto"/>
        <w:rPr>
          <w:rFonts w:ascii="Arial" w:hAnsi="Arial" w:cs="Arial"/>
          <w:sz w:val="22"/>
          <w:szCs w:val="22"/>
        </w:rPr>
      </w:pPr>
      <w:r w:rsidRPr="00635874">
        <w:rPr>
          <w:rFonts w:ascii="Arial" w:hAnsi="Arial" w:cs="Arial"/>
          <w:sz w:val="22"/>
          <w:szCs w:val="22"/>
        </w:rPr>
        <w:t>Evidence indicates that virtual wards can support admission avoidance when targeted towards appropriate cohorts, such as people living with frailty or respiratory illness (Nuffield Trust, 2022). However, reported efficiency gains depend on careful patient selection, reliable monitoring, and responsive escalation. Where these conditions are absent, risks to safety and confidence increase.</w:t>
      </w:r>
    </w:p>
    <w:p w14:paraId="5D4E3661" w14:textId="77777777" w:rsidR="00635874" w:rsidRPr="00EB1374" w:rsidRDefault="00635874" w:rsidP="00EB1374">
      <w:pPr>
        <w:spacing w:line="360" w:lineRule="auto"/>
        <w:rPr>
          <w:rFonts w:ascii="Arial" w:hAnsi="Arial" w:cs="Arial"/>
          <w:sz w:val="22"/>
          <w:szCs w:val="22"/>
        </w:rPr>
      </w:pPr>
      <w:r w:rsidRPr="00635874">
        <w:rPr>
          <w:rFonts w:ascii="Arial" w:hAnsi="Arial" w:cs="Arial"/>
          <w:sz w:val="22"/>
          <w:szCs w:val="22"/>
        </w:rPr>
        <w:t>Equity remains a persistent concern. An estimated 4.7 million people aged over 65 lack basic digital skills (Age UK, 2024), suggesting that those with the greatest health needs may be least able to access virtual ward models. Reduced face-to-face contact further alters safeguarding practices, increasing reliance on explicit governance and multidisciplinary oversight to identify risk and vulnerability (Care Quality Commission, 2024).</w:t>
      </w:r>
    </w:p>
    <w:p w14:paraId="570208C4" w14:textId="436B6EDE" w:rsidR="000A6B72" w:rsidRPr="00635874" w:rsidRDefault="000A6B72" w:rsidP="00EB1374">
      <w:pPr>
        <w:spacing w:line="360" w:lineRule="auto"/>
        <w:rPr>
          <w:rFonts w:ascii="Arial" w:hAnsi="Arial" w:cs="Arial"/>
          <w:sz w:val="22"/>
          <w:szCs w:val="22"/>
        </w:rPr>
      </w:pPr>
      <w:r w:rsidRPr="00EB1374">
        <w:rPr>
          <w:rFonts w:ascii="Arial" w:hAnsi="Arial" w:cs="Arial"/>
          <w:sz w:val="22"/>
          <w:szCs w:val="22"/>
        </w:rPr>
        <w:drawing>
          <wp:inline distT="0" distB="0" distL="0" distR="0" wp14:anchorId="0B89122B" wp14:editId="73B2B08A">
            <wp:extent cx="5731510" cy="3298825"/>
            <wp:effectExtent l="0" t="0" r="2540" b="0"/>
            <wp:docPr id="188880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80878" name=""/>
                    <pic:cNvPicPr/>
                  </pic:nvPicPr>
                  <pic:blipFill>
                    <a:blip r:embed="rId12"/>
                    <a:stretch>
                      <a:fillRect/>
                    </a:stretch>
                  </pic:blipFill>
                  <pic:spPr>
                    <a:xfrm>
                      <a:off x="0" y="0"/>
                      <a:ext cx="5731510" cy="3298825"/>
                    </a:xfrm>
                    <a:prstGeom prst="rect">
                      <a:avLst/>
                    </a:prstGeom>
                  </pic:spPr>
                </pic:pic>
              </a:graphicData>
            </a:graphic>
          </wp:inline>
        </w:drawing>
      </w:r>
    </w:p>
    <w:p w14:paraId="1C891DDA" w14:textId="77777777" w:rsidR="00635874" w:rsidRPr="00635874" w:rsidRDefault="00635874" w:rsidP="00EB1374">
      <w:pPr>
        <w:spacing w:line="360" w:lineRule="auto"/>
        <w:rPr>
          <w:rFonts w:ascii="Arial" w:hAnsi="Arial" w:cs="Arial"/>
          <w:sz w:val="22"/>
          <w:szCs w:val="22"/>
        </w:rPr>
      </w:pPr>
      <w:r w:rsidRPr="00635874">
        <w:rPr>
          <w:rFonts w:ascii="Arial" w:hAnsi="Arial" w:cs="Arial"/>
          <w:sz w:val="22"/>
          <w:szCs w:val="22"/>
        </w:rPr>
        <w:t xml:space="preserve">The redistribution of responsibility from professionals to patients and carers further complicates implementation. While self-monitoring may enhance autonomy for some, it can increase treatment burden and unpaid carer labour for others, particularly where training and </w:t>
      </w:r>
      <w:r w:rsidRPr="00635874">
        <w:rPr>
          <w:rFonts w:ascii="Arial" w:hAnsi="Arial" w:cs="Arial"/>
          <w:sz w:val="22"/>
          <w:szCs w:val="22"/>
        </w:rPr>
        <w:lastRenderedPageBreak/>
        <w:t>support are limited (Nuffield Trust, 2022). Overall, the impact of remote monitoring and virtual wards is shaped by governance quality, workforce capability, digital inclusion, and safeguarding arrangements rather than technology alone.</w:t>
      </w:r>
    </w:p>
    <w:p w14:paraId="5D76C78F" w14:textId="77777777" w:rsidR="00EF0E47" w:rsidRPr="00EB1374" w:rsidRDefault="00EF0E47" w:rsidP="00EB1374">
      <w:pPr>
        <w:spacing w:line="360" w:lineRule="auto"/>
        <w:rPr>
          <w:rFonts w:ascii="Arial" w:hAnsi="Arial" w:cs="Arial"/>
          <w:sz w:val="22"/>
          <w:szCs w:val="22"/>
        </w:rPr>
      </w:pPr>
    </w:p>
    <w:p w14:paraId="1A3C16B6" w14:textId="77777777" w:rsidR="00EF0E47" w:rsidRPr="00EB1374" w:rsidRDefault="00EF0E47" w:rsidP="00551BBC">
      <w:pPr>
        <w:spacing w:after="200" w:line="360" w:lineRule="auto"/>
        <w:rPr>
          <w:rFonts w:ascii="Arial" w:hAnsi="Arial" w:cs="Arial"/>
          <w:b/>
          <w:bCs/>
          <w:sz w:val="22"/>
          <w:szCs w:val="22"/>
        </w:rPr>
      </w:pPr>
      <w:r w:rsidRPr="00EB1374">
        <w:rPr>
          <w:rFonts w:ascii="Arial" w:hAnsi="Arial" w:cs="Arial"/>
          <w:b/>
          <w:bCs/>
          <w:sz w:val="22"/>
          <w:szCs w:val="22"/>
        </w:rPr>
        <w:t>Evidence-Base Studies Informing the Evaluation of Remote Monitoring and Virtual Wards</w:t>
      </w:r>
    </w:p>
    <w:p w14:paraId="0E4006BB" w14:textId="77777777" w:rsidR="00EF0E47" w:rsidRPr="00EB1374" w:rsidRDefault="00EF0E47" w:rsidP="00EB1374">
      <w:pPr>
        <w:spacing w:line="360" w:lineRule="auto"/>
        <w:rPr>
          <w:rFonts w:ascii="Arial" w:hAnsi="Arial" w:cs="Arial"/>
          <w:sz w:val="22"/>
          <w:szCs w:val="22"/>
        </w:rPr>
      </w:pPr>
      <w:r w:rsidRPr="00EB1374">
        <w:rPr>
          <w:rFonts w:ascii="Arial" w:hAnsi="Arial" w:cs="Arial"/>
          <w:sz w:val="22"/>
          <w:szCs w:val="22"/>
        </w:rPr>
        <w:drawing>
          <wp:inline distT="0" distB="0" distL="0" distR="0" wp14:anchorId="278E77C0" wp14:editId="1F94BCEB">
            <wp:extent cx="5731510" cy="3379470"/>
            <wp:effectExtent l="0" t="0" r="2540" b="0"/>
            <wp:docPr id="1900203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203787" name=""/>
                    <pic:cNvPicPr/>
                  </pic:nvPicPr>
                  <pic:blipFill>
                    <a:blip r:embed="rId13"/>
                    <a:stretch>
                      <a:fillRect/>
                    </a:stretch>
                  </pic:blipFill>
                  <pic:spPr>
                    <a:xfrm>
                      <a:off x="0" y="0"/>
                      <a:ext cx="5731510" cy="3379470"/>
                    </a:xfrm>
                    <a:prstGeom prst="rect">
                      <a:avLst/>
                    </a:prstGeom>
                  </pic:spPr>
                </pic:pic>
              </a:graphicData>
            </a:graphic>
          </wp:inline>
        </w:drawing>
      </w:r>
    </w:p>
    <w:p w14:paraId="494EF9C4" w14:textId="77777777" w:rsidR="00EF0E47" w:rsidRPr="00EB1374" w:rsidRDefault="00EF0E47" w:rsidP="00EB1374">
      <w:pPr>
        <w:spacing w:line="360" w:lineRule="auto"/>
        <w:rPr>
          <w:rFonts w:ascii="Arial" w:hAnsi="Arial" w:cs="Arial"/>
          <w:i/>
          <w:sz w:val="22"/>
          <w:szCs w:val="22"/>
        </w:rPr>
      </w:pPr>
    </w:p>
    <w:p w14:paraId="1AD1108C" w14:textId="0D369FEF" w:rsidR="008E5565" w:rsidRPr="00A03B57" w:rsidRDefault="008E5565" w:rsidP="00EB1374">
      <w:pPr>
        <w:spacing w:line="360" w:lineRule="auto"/>
        <w:rPr>
          <w:rFonts w:ascii="Arial" w:hAnsi="Arial" w:cs="Arial"/>
          <w:i/>
          <w:iCs/>
          <w:sz w:val="22"/>
          <w:szCs w:val="22"/>
        </w:rPr>
      </w:pPr>
      <w:r w:rsidRPr="00A03B57">
        <w:rPr>
          <w:rFonts w:ascii="Arial" w:hAnsi="Arial" w:cs="Arial"/>
          <w:i/>
          <w:iCs/>
          <w:sz w:val="22"/>
          <w:szCs w:val="22"/>
        </w:rPr>
        <w:t>The following recommendations are proposed to support safer, more equitable and sustainable implementation of remote monitoring and virtual wards within UK health and social care.</w:t>
      </w:r>
    </w:p>
    <w:p w14:paraId="635B1A87" w14:textId="77777777" w:rsidR="00EF0E47" w:rsidRPr="00EB1374" w:rsidRDefault="00EF0E47" w:rsidP="00EB1374">
      <w:pPr>
        <w:spacing w:line="360" w:lineRule="auto"/>
        <w:rPr>
          <w:rFonts w:ascii="Arial" w:hAnsi="Arial" w:cs="Arial"/>
          <w:sz w:val="22"/>
          <w:szCs w:val="22"/>
        </w:rPr>
      </w:pPr>
      <w:r w:rsidRPr="00EB1374">
        <w:rPr>
          <w:rFonts w:ascii="Arial" w:hAnsi="Arial" w:cs="Arial"/>
          <w:sz w:val="22"/>
          <w:szCs w:val="22"/>
        </w:rPr>
        <w:lastRenderedPageBreak/>
        <w:drawing>
          <wp:inline distT="0" distB="0" distL="0" distR="0" wp14:anchorId="282057BE" wp14:editId="7BD2DBBA">
            <wp:extent cx="5731510" cy="2854325"/>
            <wp:effectExtent l="0" t="0" r="2540" b="3175"/>
            <wp:docPr id="899149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149840" name=""/>
                    <pic:cNvPicPr/>
                  </pic:nvPicPr>
                  <pic:blipFill>
                    <a:blip r:embed="rId14"/>
                    <a:stretch>
                      <a:fillRect/>
                    </a:stretch>
                  </pic:blipFill>
                  <pic:spPr>
                    <a:xfrm>
                      <a:off x="0" y="0"/>
                      <a:ext cx="5731510" cy="2854325"/>
                    </a:xfrm>
                    <a:prstGeom prst="rect">
                      <a:avLst/>
                    </a:prstGeom>
                  </pic:spPr>
                </pic:pic>
              </a:graphicData>
            </a:graphic>
          </wp:inline>
        </w:drawing>
      </w:r>
    </w:p>
    <w:p w14:paraId="534AFC47" w14:textId="044F60F5" w:rsidR="00635874" w:rsidRPr="00635874" w:rsidRDefault="00635874" w:rsidP="00EB1374">
      <w:pPr>
        <w:spacing w:line="360" w:lineRule="auto"/>
        <w:rPr>
          <w:rFonts w:ascii="Arial" w:hAnsi="Arial" w:cs="Arial"/>
          <w:b/>
          <w:bCs/>
          <w:sz w:val="22"/>
          <w:szCs w:val="22"/>
        </w:rPr>
      </w:pPr>
    </w:p>
    <w:p w14:paraId="7EBCFF97" w14:textId="77777777" w:rsidR="00635874" w:rsidRPr="00635874" w:rsidRDefault="00635874" w:rsidP="00EB1374">
      <w:pPr>
        <w:spacing w:line="360" w:lineRule="auto"/>
        <w:rPr>
          <w:rFonts w:ascii="Arial" w:hAnsi="Arial" w:cs="Arial"/>
          <w:b/>
          <w:bCs/>
          <w:sz w:val="22"/>
          <w:szCs w:val="22"/>
        </w:rPr>
      </w:pPr>
      <w:r w:rsidRPr="00635874">
        <w:rPr>
          <w:rFonts w:ascii="Arial" w:hAnsi="Arial" w:cs="Arial"/>
          <w:b/>
          <w:bCs/>
          <w:sz w:val="22"/>
          <w:szCs w:val="22"/>
        </w:rPr>
        <w:t>6. Recommendations</w:t>
      </w:r>
    </w:p>
    <w:p w14:paraId="33A62EDB" w14:textId="77777777" w:rsidR="00635874" w:rsidRPr="00635874" w:rsidRDefault="00635874" w:rsidP="00EB1374">
      <w:pPr>
        <w:spacing w:line="360" w:lineRule="auto"/>
        <w:rPr>
          <w:rFonts w:ascii="Arial" w:hAnsi="Arial" w:cs="Arial"/>
          <w:sz w:val="22"/>
          <w:szCs w:val="22"/>
        </w:rPr>
      </w:pPr>
      <w:r w:rsidRPr="00635874">
        <w:rPr>
          <w:rFonts w:ascii="Arial" w:hAnsi="Arial" w:cs="Arial"/>
          <w:sz w:val="22"/>
          <w:szCs w:val="22"/>
        </w:rPr>
        <w:t>To support safer, more equitable, and sustainable implementation, several evidence-informed recommendations are proposed.</w:t>
      </w:r>
    </w:p>
    <w:p w14:paraId="096049B9" w14:textId="77777777" w:rsidR="00635874" w:rsidRPr="00635874" w:rsidRDefault="00635874" w:rsidP="00EB1374">
      <w:pPr>
        <w:spacing w:line="360" w:lineRule="auto"/>
        <w:rPr>
          <w:rFonts w:ascii="Arial" w:hAnsi="Arial" w:cs="Arial"/>
          <w:sz w:val="22"/>
          <w:szCs w:val="22"/>
        </w:rPr>
      </w:pPr>
      <w:r w:rsidRPr="00635874">
        <w:rPr>
          <w:rFonts w:ascii="Arial" w:hAnsi="Arial" w:cs="Arial"/>
          <w:sz w:val="22"/>
          <w:szCs w:val="22"/>
        </w:rPr>
        <w:t>First, inclusive access must be prioritised. Digital-first models should not become digital-only, and non-digital alternatives must remain available to prevent exclusion. This should be supported through device loan schemes, connectivity support, and community-based digital skills initiatives delivered in partnership with voluntary sector organisations (Good Things Foundation, 2024).</w:t>
      </w:r>
    </w:p>
    <w:p w14:paraId="4DF90098" w14:textId="77777777" w:rsidR="00635874" w:rsidRPr="00635874" w:rsidRDefault="00635874" w:rsidP="00EB1374">
      <w:pPr>
        <w:spacing w:line="360" w:lineRule="auto"/>
        <w:rPr>
          <w:rFonts w:ascii="Arial" w:hAnsi="Arial" w:cs="Arial"/>
          <w:sz w:val="22"/>
          <w:szCs w:val="22"/>
        </w:rPr>
      </w:pPr>
      <w:r w:rsidRPr="00635874">
        <w:rPr>
          <w:rFonts w:ascii="Arial" w:hAnsi="Arial" w:cs="Arial"/>
          <w:sz w:val="22"/>
          <w:szCs w:val="22"/>
        </w:rPr>
        <w:t>Second, patient and carer onboarding should be strengthened. Clear, accessible information on monitoring expectations and escalation routes, alongside structured onboarding and written escalation plans, can improve safety, confidence, and engagement (NICE, 2024).</w:t>
      </w:r>
    </w:p>
    <w:p w14:paraId="64989E82" w14:textId="77777777" w:rsidR="00635874" w:rsidRPr="00635874" w:rsidRDefault="00635874" w:rsidP="00EB1374">
      <w:pPr>
        <w:spacing w:line="360" w:lineRule="auto"/>
        <w:rPr>
          <w:rFonts w:ascii="Arial" w:hAnsi="Arial" w:cs="Arial"/>
          <w:sz w:val="22"/>
          <w:szCs w:val="22"/>
        </w:rPr>
      </w:pPr>
      <w:r w:rsidRPr="00635874">
        <w:rPr>
          <w:rFonts w:ascii="Arial" w:hAnsi="Arial" w:cs="Arial"/>
          <w:sz w:val="22"/>
          <w:szCs w:val="22"/>
        </w:rPr>
        <w:t>Third, safeguarding and information governance must be embedded within service design. Virtual ward pathways should include explicit thresholds for in-person review, routine safeguarding prompts, and multidisciplinary oversight. Compliance with UK GDPR and NHS information governance standards should be treated as integral to care quality (Care Quality Commission, 2024).</w:t>
      </w:r>
    </w:p>
    <w:p w14:paraId="4E05D285" w14:textId="77777777" w:rsidR="00635874" w:rsidRPr="00635874" w:rsidRDefault="00635874" w:rsidP="00EB1374">
      <w:pPr>
        <w:spacing w:line="360" w:lineRule="auto"/>
        <w:rPr>
          <w:rFonts w:ascii="Arial" w:hAnsi="Arial" w:cs="Arial"/>
          <w:sz w:val="22"/>
          <w:szCs w:val="22"/>
        </w:rPr>
      </w:pPr>
      <w:r w:rsidRPr="00635874">
        <w:rPr>
          <w:rFonts w:ascii="Arial" w:hAnsi="Arial" w:cs="Arial"/>
          <w:sz w:val="22"/>
          <w:szCs w:val="22"/>
        </w:rPr>
        <w:t>Finally, workforce capability and equity-adjusted outcomes require sustained attention. Staff need protected time and training to support safe remote assessment, while disaggregated data on uptake and outcomes should be used to identify exclusion early and adapt pathways accordingly (NHS Confederation, 2023; House of Commons POST, 2025).</w:t>
      </w:r>
    </w:p>
    <w:p w14:paraId="506A045E" w14:textId="16944A0C" w:rsidR="00635874" w:rsidRPr="00635874" w:rsidRDefault="00635874" w:rsidP="00EB1374">
      <w:pPr>
        <w:spacing w:line="360" w:lineRule="auto"/>
        <w:rPr>
          <w:rFonts w:ascii="Arial" w:hAnsi="Arial" w:cs="Arial"/>
          <w:b/>
          <w:bCs/>
          <w:sz w:val="22"/>
          <w:szCs w:val="22"/>
        </w:rPr>
      </w:pPr>
    </w:p>
    <w:p w14:paraId="0E367201" w14:textId="77777777" w:rsidR="00635874" w:rsidRPr="00635874" w:rsidRDefault="00635874" w:rsidP="00EB1374">
      <w:pPr>
        <w:spacing w:line="360" w:lineRule="auto"/>
        <w:rPr>
          <w:rFonts w:ascii="Arial" w:hAnsi="Arial" w:cs="Arial"/>
          <w:b/>
          <w:bCs/>
          <w:sz w:val="22"/>
          <w:szCs w:val="22"/>
        </w:rPr>
      </w:pPr>
      <w:r w:rsidRPr="00635874">
        <w:rPr>
          <w:rFonts w:ascii="Arial" w:hAnsi="Arial" w:cs="Arial"/>
          <w:b/>
          <w:bCs/>
          <w:sz w:val="22"/>
          <w:szCs w:val="22"/>
        </w:rPr>
        <w:t>7. Conclusion</w:t>
      </w:r>
    </w:p>
    <w:p w14:paraId="59C03A66" w14:textId="77777777" w:rsidR="00635874" w:rsidRPr="00635874" w:rsidRDefault="00635874" w:rsidP="00EB1374">
      <w:pPr>
        <w:spacing w:line="360" w:lineRule="auto"/>
        <w:rPr>
          <w:rFonts w:ascii="Arial" w:hAnsi="Arial" w:cs="Arial"/>
          <w:sz w:val="22"/>
          <w:szCs w:val="22"/>
        </w:rPr>
      </w:pPr>
      <w:r w:rsidRPr="00635874">
        <w:rPr>
          <w:rFonts w:ascii="Arial" w:hAnsi="Arial" w:cs="Arial"/>
          <w:sz w:val="22"/>
          <w:szCs w:val="22"/>
        </w:rPr>
        <w:t>Remote monitoring and virtual wards, accelerated between 2020 and 2022, have become central components of contemporary UK health and social care reform. They offer benefits in access, continuity, and delivery of care closer to home, and have demonstrated potential to support system resilience during periods of pressure.</w:t>
      </w:r>
    </w:p>
    <w:p w14:paraId="3E8D3113" w14:textId="77777777" w:rsidR="00635874" w:rsidRPr="00635874" w:rsidRDefault="00635874" w:rsidP="00EB1374">
      <w:pPr>
        <w:spacing w:line="360" w:lineRule="auto"/>
        <w:rPr>
          <w:rFonts w:ascii="Arial" w:hAnsi="Arial" w:cs="Arial"/>
          <w:sz w:val="22"/>
          <w:szCs w:val="22"/>
        </w:rPr>
      </w:pPr>
      <w:r w:rsidRPr="00635874">
        <w:rPr>
          <w:rFonts w:ascii="Arial" w:hAnsi="Arial" w:cs="Arial"/>
          <w:sz w:val="22"/>
          <w:szCs w:val="22"/>
        </w:rPr>
        <w:t>However, these benefits are accompanied by significant ethical, safety, and equity challenges. Digital exclusion, carer burden, altered safeguarding practices, and information governance risks demonstrate that technology alone cannot improve care outcomes. The value of remote monitoring and virtual wards lies not in technical capability, but in inclusive, ethically governed, and relational implementation.</w:t>
      </w:r>
    </w:p>
    <w:p w14:paraId="49A06D75" w14:textId="6C32B472" w:rsidR="00635874" w:rsidRPr="00635874" w:rsidRDefault="00635874" w:rsidP="00EB1374">
      <w:pPr>
        <w:spacing w:line="360" w:lineRule="auto"/>
        <w:rPr>
          <w:rFonts w:ascii="Arial" w:hAnsi="Arial" w:cs="Arial"/>
          <w:sz w:val="22"/>
          <w:szCs w:val="22"/>
        </w:rPr>
      </w:pPr>
      <w:r w:rsidRPr="00635874">
        <w:rPr>
          <w:rFonts w:ascii="Arial" w:hAnsi="Arial" w:cs="Arial"/>
          <w:sz w:val="22"/>
          <w:szCs w:val="22"/>
        </w:rPr>
        <w:t xml:space="preserve">When supported by robust governance, workforce development, and community engagement, virtual wards can contribute to more integrated and person-centred care. Without such safeguards, they risk reinforcing existing inequalities and depersonalising care. Their continued expansion must therefore be guided by critical evaluation, co-production, and a sustained commitment to equity and safety for patients, carers, and </w:t>
      </w:r>
      <w:r w:rsidR="00F57C47" w:rsidRPr="00EB1374">
        <w:rPr>
          <w:rFonts w:ascii="Arial" w:hAnsi="Arial" w:cs="Arial"/>
          <w:sz w:val="22"/>
          <w:szCs w:val="22"/>
        </w:rPr>
        <w:t>communities.</w:t>
      </w:r>
    </w:p>
    <w:p w14:paraId="4879653D" w14:textId="77777777" w:rsidR="00635874" w:rsidRPr="00EB1374" w:rsidRDefault="00635874" w:rsidP="00EB1374">
      <w:pPr>
        <w:spacing w:line="360" w:lineRule="auto"/>
        <w:rPr>
          <w:rFonts w:ascii="Arial" w:hAnsi="Arial" w:cs="Arial"/>
          <w:sz w:val="22"/>
          <w:szCs w:val="22"/>
        </w:rPr>
      </w:pPr>
    </w:p>
    <w:p w14:paraId="3BFCBA57" w14:textId="05D6F32C" w:rsidR="23B3028E" w:rsidRPr="00EB1374" w:rsidRDefault="23B3028E" w:rsidP="00763259">
      <w:pPr>
        <w:spacing w:line="360" w:lineRule="auto"/>
        <w:jc w:val="center"/>
        <w:rPr>
          <w:rStyle w:val="Strong"/>
          <w:rFonts w:ascii="Arial" w:hAnsi="Arial" w:cs="Arial"/>
          <w:sz w:val="22"/>
          <w:szCs w:val="22"/>
        </w:rPr>
      </w:pPr>
    </w:p>
    <w:p w14:paraId="13CF5A1C" w14:textId="77777777" w:rsidR="000C00C7" w:rsidRPr="00EB1374" w:rsidRDefault="000C00C7" w:rsidP="00EB1374">
      <w:pPr>
        <w:spacing w:line="360" w:lineRule="auto"/>
        <w:rPr>
          <w:rStyle w:val="Strong"/>
          <w:rFonts w:ascii="Arial" w:hAnsi="Arial" w:cs="Arial"/>
          <w:sz w:val="22"/>
          <w:szCs w:val="22"/>
        </w:rPr>
      </w:pPr>
    </w:p>
    <w:p w14:paraId="4F5280B1" w14:textId="77777777" w:rsidR="006E4B14" w:rsidRPr="00EB1374" w:rsidRDefault="006E4B14" w:rsidP="00EB1374">
      <w:pPr>
        <w:spacing w:line="360" w:lineRule="auto"/>
        <w:rPr>
          <w:rStyle w:val="Strong"/>
          <w:rFonts w:ascii="Arial" w:hAnsi="Arial" w:cs="Arial"/>
          <w:sz w:val="22"/>
          <w:szCs w:val="22"/>
        </w:rPr>
      </w:pPr>
    </w:p>
    <w:p w14:paraId="013CD2E0" w14:textId="77777777" w:rsidR="006E4B14" w:rsidRPr="00EB1374" w:rsidRDefault="006E4B14" w:rsidP="00EB1374">
      <w:pPr>
        <w:spacing w:line="360" w:lineRule="auto"/>
        <w:rPr>
          <w:rStyle w:val="Strong"/>
          <w:rFonts w:ascii="Arial" w:hAnsi="Arial" w:cs="Arial"/>
          <w:sz w:val="22"/>
          <w:szCs w:val="22"/>
        </w:rPr>
      </w:pPr>
    </w:p>
    <w:p w14:paraId="65862263" w14:textId="77777777" w:rsidR="006E4B14" w:rsidRPr="00EB1374" w:rsidRDefault="006E4B14" w:rsidP="00EB1374">
      <w:pPr>
        <w:spacing w:line="360" w:lineRule="auto"/>
        <w:rPr>
          <w:rStyle w:val="Strong"/>
          <w:rFonts w:ascii="Arial" w:hAnsi="Arial" w:cs="Arial"/>
          <w:sz w:val="22"/>
          <w:szCs w:val="22"/>
        </w:rPr>
      </w:pPr>
    </w:p>
    <w:p w14:paraId="2CA5F9B7" w14:textId="77777777" w:rsidR="006E4B14" w:rsidRPr="00EB1374" w:rsidRDefault="006E4B14" w:rsidP="00EB1374">
      <w:pPr>
        <w:spacing w:line="360" w:lineRule="auto"/>
        <w:rPr>
          <w:rStyle w:val="Strong"/>
          <w:rFonts w:ascii="Arial" w:hAnsi="Arial" w:cs="Arial"/>
          <w:sz w:val="22"/>
          <w:szCs w:val="22"/>
        </w:rPr>
      </w:pPr>
    </w:p>
    <w:p w14:paraId="4CF43C1F" w14:textId="77777777" w:rsidR="006E4B14" w:rsidRPr="00EB1374" w:rsidRDefault="006E4B14" w:rsidP="00EB1374">
      <w:pPr>
        <w:spacing w:line="360" w:lineRule="auto"/>
        <w:rPr>
          <w:rStyle w:val="Strong"/>
          <w:rFonts w:ascii="Arial" w:hAnsi="Arial" w:cs="Arial"/>
          <w:sz w:val="22"/>
          <w:szCs w:val="22"/>
        </w:rPr>
      </w:pPr>
    </w:p>
    <w:p w14:paraId="0AB96616" w14:textId="77777777" w:rsidR="006E4B14" w:rsidRPr="00EB1374" w:rsidRDefault="006E4B14" w:rsidP="00EB1374">
      <w:pPr>
        <w:spacing w:line="360" w:lineRule="auto"/>
        <w:rPr>
          <w:rStyle w:val="Strong"/>
          <w:rFonts w:ascii="Arial" w:hAnsi="Arial" w:cs="Arial"/>
          <w:sz w:val="22"/>
          <w:szCs w:val="22"/>
        </w:rPr>
      </w:pPr>
    </w:p>
    <w:p w14:paraId="33BEDC41" w14:textId="77777777" w:rsidR="006E4B14" w:rsidRPr="00EB1374" w:rsidRDefault="006E4B14" w:rsidP="00EB1374">
      <w:pPr>
        <w:spacing w:line="360" w:lineRule="auto"/>
        <w:rPr>
          <w:rStyle w:val="Strong"/>
          <w:rFonts w:ascii="Arial" w:hAnsi="Arial" w:cs="Arial"/>
          <w:sz w:val="22"/>
          <w:szCs w:val="22"/>
        </w:rPr>
      </w:pPr>
    </w:p>
    <w:p w14:paraId="75B3FC78" w14:textId="77777777" w:rsidR="006E4B14" w:rsidRPr="00EB1374" w:rsidRDefault="006E4B14" w:rsidP="00EB1374">
      <w:pPr>
        <w:spacing w:line="360" w:lineRule="auto"/>
        <w:rPr>
          <w:rStyle w:val="Strong"/>
          <w:rFonts w:ascii="Arial" w:hAnsi="Arial" w:cs="Arial"/>
          <w:sz w:val="22"/>
          <w:szCs w:val="22"/>
        </w:rPr>
      </w:pPr>
    </w:p>
    <w:p w14:paraId="5F6A1F14" w14:textId="77777777" w:rsidR="006E4B14" w:rsidRPr="00EB1374" w:rsidRDefault="006E4B14" w:rsidP="00EB1374">
      <w:pPr>
        <w:spacing w:line="360" w:lineRule="auto"/>
        <w:rPr>
          <w:rStyle w:val="Strong"/>
          <w:rFonts w:ascii="Arial" w:hAnsi="Arial" w:cs="Arial"/>
          <w:sz w:val="22"/>
          <w:szCs w:val="22"/>
        </w:rPr>
      </w:pPr>
    </w:p>
    <w:p w14:paraId="2E9CE537" w14:textId="77777777" w:rsidR="006E4B14" w:rsidRPr="00EB1374" w:rsidRDefault="006E4B14" w:rsidP="00EB1374">
      <w:pPr>
        <w:spacing w:line="360" w:lineRule="auto"/>
        <w:rPr>
          <w:rStyle w:val="Strong"/>
          <w:rFonts w:ascii="Arial" w:hAnsi="Arial" w:cs="Arial"/>
          <w:sz w:val="22"/>
          <w:szCs w:val="22"/>
        </w:rPr>
      </w:pPr>
    </w:p>
    <w:p w14:paraId="3B2C98D5" w14:textId="77777777" w:rsidR="00DB3B43" w:rsidRPr="00EB1374" w:rsidRDefault="00DB3B43" w:rsidP="00EB1374">
      <w:pPr>
        <w:spacing w:line="360" w:lineRule="auto"/>
        <w:rPr>
          <w:rFonts w:ascii="Arial" w:hAnsi="Arial" w:cs="Arial"/>
          <w:b/>
          <w:bCs/>
          <w:sz w:val="22"/>
          <w:szCs w:val="22"/>
        </w:rPr>
      </w:pPr>
      <w:r w:rsidRPr="00EB1374">
        <w:rPr>
          <w:rFonts w:ascii="Arial" w:hAnsi="Arial" w:cs="Arial"/>
          <w:b/>
          <w:bCs/>
          <w:sz w:val="22"/>
          <w:szCs w:val="22"/>
        </w:rPr>
        <w:lastRenderedPageBreak/>
        <w:t xml:space="preserve">References </w:t>
      </w:r>
    </w:p>
    <w:p w14:paraId="1A39B835" w14:textId="1E68F285"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Age UK (2024) </w:t>
      </w:r>
      <w:r w:rsidRPr="00EB1374">
        <w:rPr>
          <w:rFonts w:ascii="Arial" w:hAnsi="Arial" w:cs="Arial"/>
          <w:i/>
          <w:iCs/>
          <w:sz w:val="22"/>
          <w:szCs w:val="22"/>
        </w:rPr>
        <w:t>More than 1 in 3 over 65s (4.7 million) lack the basic skills to use the internet successfully</w:t>
      </w:r>
      <w:r w:rsidRPr="00EB1374">
        <w:rPr>
          <w:rFonts w:ascii="Arial" w:hAnsi="Arial" w:cs="Arial"/>
          <w:sz w:val="22"/>
          <w:szCs w:val="22"/>
        </w:rPr>
        <w:t xml:space="preserve">. Available at: </w:t>
      </w:r>
      <w:hyperlink r:id="rId15" w:tgtFrame="_new" w:history="1">
        <w:r w:rsidRPr="00EB1374">
          <w:rPr>
            <w:rFonts w:ascii="Arial" w:hAnsi="Arial" w:cs="Arial"/>
            <w:sz w:val="22"/>
            <w:szCs w:val="22"/>
          </w:rPr>
          <w:t>https://www.ageuk.org.uk</w:t>
        </w:r>
      </w:hyperlink>
      <w:r w:rsidRPr="00EB1374">
        <w:rPr>
          <w:rFonts w:ascii="Arial" w:hAnsi="Arial" w:cs="Arial"/>
          <w:sz w:val="22"/>
          <w:szCs w:val="22"/>
        </w:rPr>
        <w:t xml:space="preserve"> (Accessed: 1 February 2026).</w:t>
      </w:r>
    </w:p>
    <w:p w14:paraId="335C971B"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Care Quality Commission (2024) </w:t>
      </w:r>
      <w:r w:rsidRPr="00EB1374">
        <w:rPr>
          <w:rFonts w:ascii="Arial" w:hAnsi="Arial" w:cs="Arial"/>
          <w:i/>
          <w:iCs/>
          <w:sz w:val="22"/>
          <w:szCs w:val="22"/>
        </w:rPr>
        <w:t>Safeguarding (Safe: safeguarding)</w:t>
      </w:r>
      <w:r w:rsidRPr="00EB1374">
        <w:rPr>
          <w:rFonts w:ascii="Arial" w:hAnsi="Arial" w:cs="Arial"/>
          <w:sz w:val="22"/>
          <w:szCs w:val="22"/>
        </w:rPr>
        <w:t xml:space="preserve">. Available at: </w:t>
      </w:r>
      <w:hyperlink r:id="rId16" w:tgtFrame="_new" w:history="1">
        <w:r w:rsidRPr="00EB1374">
          <w:rPr>
            <w:rFonts w:ascii="Arial" w:hAnsi="Arial" w:cs="Arial"/>
            <w:sz w:val="22"/>
            <w:szCs w:val="22"/>
          </w:rPr>
          <w:t>https://www.cqc.org.uk</w:t>
        </w:r>
      </w:hyperlink>
      <w:r w:rsidRPr="00EB1374">
        <w:rPr>
          <w:rFonts w:ascii="Arial" w:hAnsi="Arial" w:cs="Arial"/>
          <w:sz w:val="22"/>
          <w:szCs w:val="22"/>
        </w:rPr>
        <w:t xml:space="preserve"> (Accessed: 1 February 2026).</w:t>
      </w:r>
    </w:p>
    <w:p w14:paraId="021DB616"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Department of Health and Social Care (2022) </w:t>
      </w:r>
      <w:r w:rsidRPr="00EB1374">
        <w:rPr>
          <w:rFonts w:ascii="Arial" w:hAnsi="Arial" w:cs="Arial"/>
          <w:i/>
          <w:iCs/>
          <w:sz w:val="22"/>
          <w:szCs w:val="22"/>
        </w:rPr>
        <w:t>A plan for digital health and social care</w:t>
      </w:r>
      <w:r w:rsidRPr="00EB1374">
        <w:rPr>
          <w:rFonts w:ascii="Arial" w:hAnsi="Arial" w:cs="Arial"/>
          <w:sz w:val="22"/>
          <w:szCs w:val="22"/>
        </w:rPr>
        <w:t xml:space="preserve">. London: DHSC. Available at: </w:t>
      </w:r>
      <w:hyperlink r:id="rId17" w:tgtFrame="_new" w:history="1">
        <w:r w:rsidRPr="00EB1374">
          <w:rPr>
            <w:rFonts w:ascii="Arial" w:hAnsi="Arial" w:cs="Arial"/>
            <w:sz w:val="22"/>
            <w:szCs w:val="22"/>
          </w:rPr>
          <w:t>https://www.gov.uk</w:t>
        </w:r>
      </w:hyperlink>
      <w:r w:rsidRPr="00EB1374">
        <w:rPr>
          <w:rFonts w:ascii="Arial" w:hAnsi="Arial" w:cs="Arial"/>
          <w:sz w:val="22"/>
          <w:szCs w:val="22"/>
        </w:rPr>
        <w:t xml:space="preserve"> (Accessed: 1 February 2026).</w:t>
      </w:r>
    </w:p>
    <w:p w14:paraId="48DF2436"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Getting It Right First Time (2024) </w:t>
      </w:r>
      <w:r w:rsidRPr="00EB1374">
        <w:rPr>
          <w:rFonts w:ascii="Arial" w:hAnsi="Arial" w:cs="Arial"/>
          <w:i/>
          <w:iCs/>
          <w:sz w:val="22"/>
          <w:szCs w:val="22"/>
        </w:rPr>
        <w:t>Making the most of virtual wards, including Hospital at Home</w:t>
      </w:r>
      <w:r w:rsidRPr="00EB1374">
        <w:rPr>
          <w:rFonts w:ascii="Arial" w:hAnsi="Arial" w:cs="Arial"/>
          <w:sz w:val="22"/>
          <w:szCs w:val="22"/>
        </w:rPr>
        <w:t xml:space="preserve">. London: NHS England. Available at: </w:t>
      </w:r>
      <w:hyperlink r:id="rId18" w:tgtFrame="_new" w:history="1">
        <w:r w:rsidRPr="00EB1374">
          <w:rPr>
            <w:rFonts w:ascii="Arial" w:hAnsi="Arial" w:cs="Arial"/>
            <w:sz w:val="22"/>
            <w:szCs w:val="22"/>
          </w:rPr>
          <w:t>https://www.gettingitrightfirsttime.co.uk</w:t>
        </w:r>
      </w:hyperlink>
      <w:r w:rsidRPr="00EB1374">
        <w:rPr>
          <w:rFonts w:ascii="Arial" w:hAnsi="Arial" w:cs="Arial"/>
          <w:sz w:val="22"/>
          <w:szCs w:val="22"/>
        </w:rPr>
        <w:t xml:space="preserve"> (Accessed: 1 February 2026).</w:t>
      </w:r>
    </w:p>
    <w:p w14:paraId="337D0AA1"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Good Things Foundation (2024) </w:t>
      </w:r>
      <w:r w:rsidRPr="00EB1374">
        <w:rPr>
          <w:rFonts w:ascii="Arial" w:hAnsi="Arial" w:cs="Arial"/>
          <w:i/>
          <w:iCs/>
          <w:sz w:val="22"/>
          <w:szCs w:val="22"/>
        </w:rPr>
        <w:t>Digital health and care: widening digital participation lessons</w:t>
      </w:r>
      <w:r w:rsidRPr="00EB1374">
        <w:rPr>
          <w:rFonts w:ascii="Arial" w:hAnsi="Arial" w:cs="Arial"/>
          <w:sz w:val="22"/>
          <w:szCs w:val="22"/>
        </w:rPr>
        <w:t xml:space="preserve">. Available at: </w:t>
      </w:r>
      <w:hyperlink r:id="rId19" w:tgtFrame="_new" w:history="1">
        <w:r w:rsidRPr="00EB1374">
          <w:rPr>
            <w:rFonts w:ascii="Arial" w:hAnsi="Arial" w:cs="Arial"/>
            <w:sz w:val="22"/>
            <w:szCs w:val="22"/>
          </w:rPr>
          <w:t>https://www.goodthingsfoundation.org</w:t>
        </w:r>
      </w:hyperlink>
      <w:r w:rsidRPr="00EB1374">
        <w:rPr>
          <w:rFonts w:ascii="Arial" w:hAnsi="Arial" w:cs="Arial"/>
          <w:sz w:val="22"/>
          <w:szCs w:val="22"/>
        </w:rPr>
        <w:t xml:space="preserve"> (Accessed: 1 February 2026).</w:t>
      </w:r>
    </w:p>
    <w:p w14:paraId="5F0D9941"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Good Things Foundation (2024) </w:t>
      </w:r>
      <w:r w:rsidRPr="00EB1374">
        <w:rPr>
          <w:rFonts w:ascii="Arial" w:hAnsi="Arial" w:cs="Arial"/>
          <w:i/>
          <w:iCs/>
          <w:sz w:val="22"/>
          <w:szCs w:val="22"/>
        </w:rPr>
        <w:t>Health inequalities and mitigating risks of digital exclusion</w:t>
      </w:r>
      <w:r w:rsidRPr="00EB1374">
        <w:rPr>
          <w:rFonts w:ascii="Arial" w:hAnsi="Arial" w:cs="Arial"/>
          <w:sz w:val="22"/>
          <w:szCs w:val="22"/>
        </w:rPr>
        <w:t xml:space="preserve">. Available at: </w:t>
      </w:r>
      <w:hyperlink r:id="rId20" w:tgtFrame="_new" w:history="1">
        <w:r w:rsidRPr="00EB1374">
          <w:rPr>
            <w:rFonts w:ascii="Arial" w:hAnsi="Arial" w:cs="Arial"/>
            <w:sz w:val="22"/>
            <w:szCs w:val="22"/>
          </w:rPr>
          <w:t>https://www.goodthingsfoundation.org</w:t>
        </w:r>
      </w:hyperlink>
      <w:r w:rsidRPr="00EB1374">
        <w:rPr>
          <w:rFonts w:ascii="Arial" w:hAnsi="Arial" w:cs="Arial"/>
          <w:sz w:val="22"/>
          <w:szCs w:val="22"/>
        </w:rPr>
        <w:t xml:space="preserve"> (Accessed: 1 February 2026).</w:t>
      </w:r>
    </w:p>
    <w:p w14:paraId="27BD397E"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Greenhalgh, T., Knight, M., Inda-Kim, M., Fulop, N.J. and Leach, J. (2021) ‘Remote management of COVID-19 using home pulse oximetry and virtual ward support’, </w:t>
      </w:r>
      <w:r w:rsidRPr="00EB1374">
        <w:rPr>
          <w:rFonts w:ascii="Arial" w:hAnsi="Arial" w:cs="Arial"/>
          <w:i/>
          <w:iCs/>
          <w:sz w:val="22"/>
          <w:szCs w:val="22"/>
        </w:rPr>
        <w:t>BMJ</w:t>
      </w:r>
      <w:r w:rsidRPr="00EB1374">
        <w:rPr>
          <w:rFonts w:ascii="Arial" w:hAnsi="Arial" w:cs="Arial"/>
          <w:sz w:val="22"/>
          <w:szCs w:val="22"/>
        </w:rPr>
        <w:t>, 372: n677. https://doi.org/10.1136/bmj.n677</w:t>
      </w:r>
    </w:p>
    <w:p w14:paraId="21535950"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Health Education England (2019) </w:t>
      </w:r>
      <w:r w:rsidRPr="00EB1374">
        <w:rPr>
          <w:rFonts w:ascii="Arial" w:hAnsi="Arial" w:cs="Arial"/>
          <w:i/>
          <w:iCs/>
          <w:sz w:val="22"/>
          <w:szCs w:val="22"/>
        </w:rPr>
        <w:t>The Topol Review: Preparing the Healthcare Workforce to Deliver the Digital Future</w:t>
      </w:r>
      <w:r w:rsidRPr="00EB1374">
        <w:rPr>
          <w:rFonts w:ascii="Arial" w:hAnsi="Arial" w:cs="Arial"/>
          <w:sz w:val="22"/>
          <w:szCs w:val="22"/>
        </w:rPr>
        <w:t xml:space="preserve">. London: NHS. Available at: </w:t>
      </w:r>
      <w:hyperlink r:id="rId21" w:tgtFrame="_new" w:history="1">
        <w:r w:rsidRPr="00EB1374">
          <w:rPr>
            <w:rFonts w:ascii="Arial" w:hAnsi="Arial" w:cs="Arial"/>
            <w:sz w:val="22"/>
            <w:szCs w:val="22"/>
          </w:rPr>
          <w:t>https://www.hee.nhs.uk</w:t>
        </w:r>
      </w:hyperlink>
      <w:r w:rsidRPr="00EB1374">
        <w:rPr>
          <w:rFonts w:ascii="Arial" w:hAnsi="Arial" w:cs="Arial"/>
          <w:sz w:val="22"/>
          <w:szCs w:val="22"/>
        </w:rPr>
        <w:t xml:space="preserve"> (Accessed: 1 February 2026).</w:t>
      </w:r>
    </w:p>
    <w:p w14:paraId="159610EE"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Health Services Safety Investigations Body (2025) </w:t>
      </w:r>
      <w:r w:rsidRPr="00EB1374">
        <w:rPr>
          <w:rFonts w:ascii="Arial" w:hAnsi="Arial" w:cs="Arial"/>
          <w:i/>
          <w:iCs/>
          <w:sz w:val="22"/>
          <w:szCs w:val="22"/>
        </w:rPr>
        <w:t>Digital tools for online consultation in general practice (second investigation report)</w:t>
      </w:r>
      <w:r w:rsidRPr="00EB1374">
        <w:rPr>
          <w:rFonts w:ascii="Arial" w:hAnsi="Arial" w:cs="Arial"/>
          <w:sz w:val="22"/>
          <w:szCs w:val="22"/>
        </w:rPr>
        <w:t xml:space="preserve">. Available at: </w:t>
      </w:r>
      <w:hyperlink r:id="rId22" w:tgtFrame="_new" w:history="1">
        <w:r w:rsidRPr="00EB1374">
          <w:rPr>
            <w:rFonts w:ascii="Arial" w:hAnsi="Arial" w:cs="Arial"/>
            <w:sz w:val="22"/>
            <w:szCs w:val="22"/>
          </w:rPr>
          <w:t>https://www.hssib.org.uk</w:t>
        </w:r>
      </w:hyperlink>
      <w:r w:rsidRPr="00EB1374">
        <w:rPr>
          <w:rFonts w:ascii="Arial" w:hAnsi="Arial" w:cs="Arial"/>
          <w:sz w:val="22"/>
          <w:szCs w:val="22"/>
        </w:rPr>
        <w:t xml:space="preserve"> (Accessed: 1 February 2026).</w:t>
      </w:r>
    </w:p>
    <w:p w14:paraId="39143D26"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Healthwatch England (2024) </w:t>
      </w:r>
      <w:r w:rsidRPr="00EB1374">
        <w:rPr>
          <w:rFonts w:ascii="Arial" w:hAnsi="Arial" w:cs="Arial"/>
          <w:i/>
          <w:iCs/>
          <w:sz w:val="22"/>
          <w:szCs w:val="22"/>
        </w:rPr>
        <w:t>Public experiences of digital health ser</w:t>
      </w:r>
      <w:r w:rsidRPr="00EB1374">
        <w:rPr>
          <w:rFonts w:ascii="Arial" w:hAnsi="Arial" w:cs="Arial"/>
          <w:sz w:val="22"/>
          <w:szCs w:val="22"/>
        </w:rPr>
        <w:t xml:space="preserve">vices. Available at: </w:t>
      </w:r>
      <w:hyperlink r:id="rId23" w:tgtFrame="_new" w:history="1">
        <w:r w:rsidRPr="00EB1374">
          <w:rPr>
            <w:rFonts w:ascii="Arial" w:hAnsi="Arial" w:cs="Arial"/>
            <w:sz w:val="22"/>
            <w:szCs w:val="22"/>
          </w:rPr>
          <w:t>https://www.healthwatch.co.uk</w:t>
        </w:r>
      </w:hyperlink>
      <w:r w:rsidRPr="00EB1374">
        <w:rPr>
          <w:rFonts w:ascii="Arial" w:hAnsi="Arial" w:cs="Arial"/>
          <w:sz w:val="22"/>
          <w:szCs w:val="22"/>
        </w:rPr>
        <w:t xml:space="preserve"> (Accessed: 1 February 2026).</w:t>
      </w:r>
    </w:p>
    <w:p w14:paraId="587AA79B"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House of Commons Parliamentary Office of Science and Technology (2025) </w:t>
      </w:r>
      <w:r w:rsidRPr="00EB1374">
        <w:rPr>
          <w:rFonts w:ascii="Arial" w:hAnsi="Arial" w:cs="Arial"/>
          <w:i/>
          <w:iCs/>
          <w:sz w:val="22"/>
          <w:szCs w:val="22"/>
        </w:rPr>
        <w:t>Virtual wards and hospital at home</w:t>
      </w:r>
      <w:r w:rsidRPr="00EB1374">
        <w:rPr>
          <w:rFonts w:ascii="Arial" w:hAnsi="Arial" w:cs="Arial"/>
          <w:sz w:val="22"/>
          <w:szCs w:val="22"/>
        </w:rPr>
        <w:t xml:space="preserve"> (POSTnote 0744). London: UK Parliament. Available at: </w:t>
      </w:r>
      <w:hyperlink r:id="rId24" w:tgtFrame="_new" w:history="1">
        <w:r w:rsidRPr="00EB1374">
          <w:rPr>
            <w:rFonts w:ascii="Arial" w:hAnsi="Arial" w:cs="Arial"/>
            <w:sz w:val="22"/>
            <w:szCs w:val="22"/>
          </w:rPr>
          <w:t>https://post.parliament.uk</w:t>
        </w:r>
      </w:hyperlink>
      <w:r w:rsidRPr="00EB1374">
        <w:rPr>
          <w:rFonts w:ascii="Arial" w:hAnsi="Arial" w:cs="Arial"/>
          <w:sz w:val="22"/>
          <w:szCs w:val="22"/>
        </w:rPr>
        <w:t xml:space="preserve"> (Accessed: 1 February 2026).</w:t>
      </w:r>
    </w:p>
    <w:p w14:paraId="30C09998" w14:textId="4811D80B" w:rsidR="007175E4" w:rsidRPr="00EB1374" w:rsidRDefault="007175E4" w:rsidP="00EB1374">
      <w:pPr>
        <w:spacing w:line="360" w:lineRule="auto"/>
        <w:rPr>
          <w:rFonts w:ascii="Arial" w:hAnsi="Arial" w:cs="Arial"/>
          <w:sz w:val="22"/>
          <w:szCs w:val="22"/>
        </w:rPr>
      </w:pPr>
      <w:r w:rsidRPr="00EB1374">
        <w:rPr>
          <w:rFonts w:ascii="Arial" w:hAnsi="Arial" w:cs="Arial"/>
          <w:sz w:val="22"/>
          <w:szCs w:val="22"/>
        </w:rPr>
        <w:t xml:space="preserve">Information Commissioner’s Office (2023) </w:t>
      </w:r>
      <w:r w:rsidRPr="00EB1374">
        <w:rPr>
          <w:rFonts w:ascii="Arial" w:hAnsi="Arial" w:cs="Arial"/>
          <w:i/>
          <w:iCs/>
          <w:sz w:val="22"/>
          <w:szCs w:val="22"/>
        </w:rPr>
        <w:t>Data protection and the use of health data</w:t>
      </w:r>
      <w:r w:rsidRPr="00EB1374">
        <w:rPr>
          <w:rFonts w:ascii="Arial" w:hAnsi="Arial" w:cs="Arial"/>
          <w:sz w:val="22"/>
          <w:szCs w:val="22"/>
        </w:rPr>
        <w:t xml:space="preserve">. Wilmslow: ICO. Available at: </w:t>
      </w:r>
      <w:hyperlink r:id="rId25" w:tgtFrame="_new" w:history="1">
        <w:r w:rsidRPr="00EB1374">
          <w:rPr>
            <w:rFonts w:ascii="Arial" w:hAnsi="Arial" w:cs="Arial"/>
            <w:sz w:val="22"/>
            <w:szCs w:val="22"/>
          </w:rPr>
          <w:t>https://ico.org.uk</w:t>
        </w:r>
      </w:hyperlink>
      <w:r w:rsidRPr="00EB1374">
        <w:rPr>
          <w:rFonts w:ascii="Arial" w:hAnsi="Arial" w:cs="Arial"/>
          <w:sz w:val="22"/>
          <w:szCs w:val="22"/>
        </w:rPr>
        <w:t xml:space="preserve"> (Accessed: 1 February 2026).</w:t>
      </w:r>
    </w:p>
    <w:p w14:paraId="747CC61D"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lastRenderedPageBreak/>
        <w:t xml:space="preserve">National Institute for Health and Care Excellence (2024) </w:t>
      </w:r>
      <w:r w:rsidRPr="00EB1374">
        <w:rPr>
          <w:rFonts w:ascii="Arial" w:hAnsi="Arial" w:cs="Arial"/>
          <w:i/>
          <w:iCs/>
          <w:sz w:val="22"/>
          <w:szCs w:val="22"/>
        </w:rPr>
        <w:t>Supporting the health and care system to implement virtual wards</w:t>
      </w:r>
      <w:r w:rsidRPr="00EB1374">
        <w:rPr>
          <w:rFonts w:ascii="Arial" w:hAnsi="Arial" w:cs="Arial"/>
          <w:sz w:val="22"/>
          <w:szCs w:val="22"/>
        </w:rPr>
        <w:t xml:space="preserve">. London: NICE. Available at: </w:t>
      </w:r>
      <w:hyperlink r:id="rId26" w:tgtFrame="_new" w:history="1">
        <w:r w:rsidRPr="00EB1374">
          <w:rPr>
            <w:rFonts w:ascii="Arial" w:hAnsi="Arial" w:cs="Arial"/>
            <w:sz w:val="22"/>
            <w:szCs w:val="22"/>
          </w:rPr>
          <w:t>https://www.nice.org.uk</w:t>
        </w:r>
      </w:hyperlink>
      <w:r w:rsidRPr="00EB1374">
        <w:rPr>
          <w:rFonts w:ascii="Arial" w:hAnsi="Arial" w:cs="Arial"/>
          <w:sz w:val="22"/>
          <w:szCs w:val="22"/>
        </w:rPr>
        <w:t xml:space="preserve"> (Accessed: 1 February 2026).</w:t>
      </w:r>
    </w:p>
    <w:p w14:paraId="71C93A72"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NHS Confederation (2023) </w:t>
      </w:r>
      <w:r w:rsidRPr="00EB1374">
        <w:rPr>
          <w:rFonts w:ascii="Arial" w:hAnsi="Arial" w:cs="Arial"/>
          <w:i/>
          <w:iCs/>
          <w:sz w:val="22"/>
          <w:szCs w:val="22"/>
        </w:rPr>
        <w:t>Realising the potential of virtual wards</w:t>
      </w:r>
      <w:r w:rsidRPr="00EB1374">
        <w:rPr>
          <w:rFonts w:ascii="Arial" w:hAnsi="Arial" w:cs="Arial"/>
          <w:sz w:val="22"/>
          <w:szCs w:val="22"/>
        </w:rPr>
        <w:t xml:space="preserve">. London: NHS Confederation. Available at: </w:t>
      </w:r>
      <w:hyperlink r:id="rId27" w:tgtFrame="_new" w:history="1">
        <w:r w:rsidRPr="00EB1374">
          <w:rPr>
            <w:rFonts w:ascii="Arial" w:hAnsi="Arial" w:cs="Arial"/>
            <w:sz w:val="22"/>
            <w:szCs w:val="22"/>
          </w:rPr>
          <w:t>https://www.nhsconfed.org</w:t>
        </w:r>
      </w:hyperlink>
      <w:r w:rsidRPr="00EB1374">
        <w:rPr>
          <w:rFonts w:ascii="Arial" w:hAnsi="Arial" w:cs="Arial"/>
          <w:sz w:val="22"/>
          <w:szCs w:val="22"/>
        </w:rPr>
        <w:t xml:space="preserve"> (Accessed: 1 February 2026).</w:t>
      </w:r>
    </w:p>
    <w:p w14:paraId="4FD4279E"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NHS England (2019) </w:t>
      </w:r>
      <w:r w:rsidRPr="00EB1374">
        <w:rPr>
          <w:rFonts w:ascii="Arial" w:hAnsi="Arial" w:cs="Arial"/>
          <w:i/>
          <w:iCs/>
          <w:sz w:val="22"/>
          <w:szCs w:val="22"/>
        </w:rPr>
        <w:t>The NHS Long Term Plan</w:t>
      </w:r>
      <w:r w:rsidRPr="00EB1374">
        <w:rPr>
          <w:rFonts w:ascii="Arial" w:hAnsi="Arial" w:cs="Arial"/>
          <w:sz w:val="22"/>
          <w:szCs w:val="22"/>
        </w:rPr>
        <w:t xml:space="preserve">. London: NHS England. Available at: </w:t>
      </w:r>
      <w:hyperlink r:id="rId28" w:tgtFrame="_new" w:history="1">
        <w:r w:rsidRPr="00EB1374">
          <w:rPr>
            <w:rFonts w:ascii="Arial" w:hAnsi="Arial" w:cs="Arial"/>
            <w:sz w:val="22"/>
            <w:szCs w:val="22"/>
          </w:rPr>
          <w:t>https://www.longtermplan.nhs.uk</w:t>
        </w:r>
      </w:hyperlink>
      <w:r w:rsidRPr="00EB1374">
        <w:rPr>
          <w:rFonts w:ascii="Arial" w:hAnsi="Arial" w:cs="Arial"/>
          <w:sz w:val="22"/>
          <w:szCs w:val="22"/>
        </w:rPr>
        <w:t xml:space="preserve"> (Accessed: 1 February 2026).</w:t>
      </w:r>
    </w:p>
    <w:p w14:paraId="1900AA26"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NHS England (2024) </w:t>
      </w:r>
      <w:r w:rsidRPr="00EB1374">
        <w:rPr>
          <w:rFonts w:ascii="Arial" w:hAnsi="Arial" w:cs="Arial"/>
          <w:i/>
          <w:iCs/>
          <w:sz w:val="22"/>
          <w:szCs w:val="22"/>
        </w:rPr>
        <w:t>Virtual wards operational framework</w:t>
      </w:r>
      <w:r w:rsidRPr="00EB1374">
        <w:rPr>
          <w:rFonts w:ascii="Arial" w:hAnsi="Arial" w:cs="Arial"/>
          <w:sz w:val="22"/>
          <w:szCs w:val="22"/>
        </w:rPr>
        <w:t xml:space="preserve">. London: NHS England. Available at: </w:t>
      </w:r>
      <w:hyperlink r:id="rId29" w:tgtFrame="_new" w:history="1">
        <w:r w:rsidRPr="00EB1374">
          <w:rPr>
            <w:rFonts w:ascii="Arial" w:hAnsi="Arial" w:cs="Arial"/>
            <w:sz w:val="22"/>
            <w:szCs w:val="22"/>
          </w:rPr>
          <w:t>https://www.england.nhs.uk</w:t>
        </w:r>
      </w:hyperlink>
      <w:r w:rsidRPr="00EB1374">
        <w:rPr>
          <w:rFonts w:ascii="Arial" w:hAnsi="Arial" w:cs="Arial"/>
          <w:sz w:val="22"/>
          <w:szCs w:val="22"/>
        </w:rPr>
        <w:t xml:space="preserve"> (Accessed: 1 February 2026).</w:t>
      </w:r>
    </w:p>
    <w:p w14:paraId="498C2DCD"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NHS England (2024) </w:t>
      </w:r>
      <w:r w:rsidRPr="00EB1374">
        <w:rPr>
          <w:rFonts w:ascii="Arial" w:hAnsi="Arial" w:cs="Arial"/>
          <w:i/>
          <w:iCs/>
          <w:sz w:val="22"/>
          <w:szCs w:val="22"/>
        </w:rPr>
        <w:t>Access to diagnostics on virtual wards</w:t>
      </w:r>
      <w:r w:rsidRPr="00EB1374">
        <w:rPr>
          <w:rFonts w:ascii="Arial" w:hAnsi="Arial" w:cs="Arial"/>
          <w:sz w:val="22"/>
          <w:szCs w:val="22"/>
        </w:rPr>
        <w:t xml:space="preserve">. London: NHS England. Available at: </w:t>
      </w:r>
      <w:hyperlink r:id="rId30" w:tgtFrame="_new" w:history="1">
        <w:r w:rsidRPr="00EB1374">
          <w:rPr>
            <w:rFonts w:ascii="Arial" w:hAnsi="Arial" w:cs="Arial"/>
            <w:sz w:val="22"/>
            <w:szCs w:val="22"/>
          </w:rPr>
          <w:t>https://www.england.nhs.uk</w:t>
        </w:r>
      </w:hyperlink>
      <w:r w:rsidRPr="00EB1374">
        <w:rPr>
          <w:rFonts w:ascii="Arial" w:hAnsi="Arial" w:cs="Arial"/>
          <w:sz w:val="22"/>
          <w:szCs w:val="22"/>
        </w:rPr>
        <w:t xml:space="preserve"> (Accessed: 1 February 2026).</w:t>
      </w:r>
    </w:p>
    <w:p w14:paraId="21C5DB94"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NHS England (2025) </w:t>
      </w:r>
      <w:r w:rsidRPr="00EB1374">
        <w:rPr>
          <w:rFonts w:ascii="Arial" w:hAnsi="Arial" w:cs="Arial"/>
          <w:i/>
          <w:iCs/>
          <w:sz w:val="22"/>
          <w:szCs w:val="22"/>
        </w:rPr>
        <w:t>Virtual wards: information governance guidance</w:t>
      </w:r>
      <w:r w:rsidRPr="00EB1374">
        <w:rPr>
          <w:rFonts w:ascii="Arial" w:hAnsi="Arial" w:cs="Arial"/>
          <w:sz w:val="22"/>
          <w:szCs w:val="22"/>
        </w:rPr>
        <w:t xml:space="preserve">. London: NHS England. Available at: </w:t>
      </w:r>
      <w:hyperlink r:id="rId31" w:tgtFrame="_new" w:history="1">
        <w:r w:rsidRPr="00EB1374">
          <w:rPr>
            <w:rFonts w:ascii="Arial" w:hAnsi="Arial" w:cs="Arial"/>
            <w:sz w:val="22"/>
            <w:szCs w:val="22"/>
          </w:rPr>
          <w:t>https://www.england.nhs.uk</w:t>
        </w:r>
      </w:hyperlink>
      <w:r w:rsidRPr="00EB1374">
        <w:rPr>
          <w:rFonts w:ascii="Arial" w:hAnsi="Arial" w:cs="Arial"/>
          <w:sz w:val="22"/>
          <w:szCs w:val="22"/>
        </w:rPr>
        <w:t xml:space="preserve"> (Accessed: 1 February 2026).</w:t>
      </w:r>
    </w:p>
    <w:p w14:paraId="3E8588E5"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Nuffield Trust (2020) </w:t>
      </w:r>
      <w:r w:rsidRPr="00EB1374">
        <w:rPr>
          <w:rFonts w:ascii="Arial" w:hAnsi="Arial" w:cs="Arial"/>
          <w:i/>
          <w:iCs/>
          <w:sz w:val="22"/>
          <w:szCs w:val="22"/>
        </w:rPr>
        <w:t>The state of digital health and care in England</w:t>
      </w:r>
      <w:r w:rsidRPr="00EB1374">
        <w:rPr>
          <w:rFonts w:ascii="Arial" w:hAnsi="Arial" w:cs="Arial"/>
          <w:sz w:val="22"/>
          <w:szCs w:val="22"/>
        </w:rPr>
        <w:t>. London: Nuffield Trust.</w:t>
      </w:r>
    </w:p>
    <w:p w14:paraId="23E181A6"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Nuffield Trust (2022) </w:t>
      </w:r>
      <w:r w:rsidRPr="00EB1374">
        <w:rPr>
          <w:rFonts w:ascii="Arial" w:hAnsi="Arial" w:cs="Arial"/>
          <w:i/>
          <w:iCs/>
          <w:sz w:val="22"/>
          <w:szCs w:val="22"/>
        </w:rPr>
        <w:t>Remote by default? The impact of remote consulting</w:t>
      </w:r>
      <w:r w:rsidRPr="00EB1374">
        <w:rPr>
          <w:rFonts w:ascii="Arial" w:hAnsi="Arial" w:cs="Arial"/>
          <w:sz w:val="22"/>
          <w:szCs w:val="22"/>
        </w:rPr>
        <w:t>. London: Nuffield Trust.</w:t>
      </w:r>
    </w:p>
    <w:p w14:paraId="1D378996" w14:textId="5170A975" w:rsidR="00276D86" w:rsidRPr="00EB1374" w:rsidRDefault="00264844" w:rsidP="00EB1374">
      <w:pPr>
        <w:spacing w:line="360" w:lineRule="auto"/>
        <w:rPr>
          <w:rFonts w:ascii="Arial" w:hAnsi="Arial" w:cs="Arial"/>
          <w:sz w:val="22"/>
          <w:szCs w:val="22"/>
        </w:rPr>
      </w:pPr>
      <w:r w:rsidRPr="00EB1374">
        <w:rPr>
          <w:rFonts w:ascii="Arial" w:hAnsi="Arial" w:cs="Arial"/>
          <w:sz w:val="22"/>
          <w:szCs w:val="22"/>
        </w:rPr>
        <w:t>Southwest</w:t>
      </w:r>
      <w:r w:rsidR="00276D86" w:rsidRPr="00EB1374">
        <w:rPr>
          <w:rFonts w:ascii="Arial" w:hAnsi="Arial" w:cs="Arial"/>
          <w:sz w:val="22"/>
          <w:szCs w:val="22"/>
        </w:rPr>
        <w:t xml:space="preserve"> London Integrated Care System (2022) </w:t>
      </w:r>
      <w:r w:rsidR="00276D86" w:rsidRPr="00EB1374">
        <w:rPr>
          <w:rFonts w:ascii="Arial" w:hAnsi="Arial" w:cs="Arial"/>
          <w:i/>
          <w:iCs/>
          <w:sz w:val="22"/>
          <w:szCs w:val="22"/>
        </w:rPr>
        <w:t>Croydon’s virtual ward: healthcare in the comfort of your home</w:t>
      </w:r>
      <w:r w:rsidR="00276D86" w:rsidRPr="00EB1374">
        <w:rPr>
          <w:rFonts w:ascii="Arial" w:hAnsi="Arial" w:cs="Arial"/>
          <w:sz w:val="22"/>
          <w:szCs w:val="22"/>
        </w:rPr>
        <w:t xml:space="preserve">. Available at: </w:t>
      </w:r>
      <w:hyperlink r:id="rId32" w:tgtFrame="_new" w:history="1">
        <w:r w:rsidR="00276D86" w:rsidRPr="00EB1374">
          <w:rPr>
            <w:rFonts w:ascii="Arial" w:hAnsi="Arial" w:cs="Arial"/>
            <w:sz w:val="22"/>
            <w:szCs w:val="22"/>
          </w:rPr>
          <w:t>https://www.southwestlondon.icb.nhs.uk</w:t>
        </w:r>
      </w:hyperlink>
      <w:r w:rsidR="00276D86" w:rsidRPr="00EB1374">
        <w:rPr>
          <w:rFonts w:ascii="Arial" w:hAnsi="Arial" w:cs="Arial"/>
          <w:sz w:val="22"/>
          <w:szCs w:val="22"/>
        </w:rPr>
        <w:t xml:space="preserve"> (Accessed: 14 February 2026).</w:t>
      </w:r>
    </w:p>
    <w:p w14:paraId="76A5EF85"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The King’s Fund (2021) </w:t>
      </w:r>
      <w:r w:rsidRPr="00EB1374">
        <w:rPr>
          <w:rFonts w:ascii="Arial" w:hAnsi="Arial" w:cs="Arial"/>
          <w:i/>
          <w:iCs/>
          <w:sz w:val="22"/>
          <w:szCs w:val="22"/>
        </w:rPr>
        <w:t>Shaping the future of digital technology in health and social care</w:t>
      </w:r>
      <w:r w:rsidRPr="00EB1374">
        <w:rPr>
          <w:rFonts w:ascii="Arial" w:hAnsi="Arial" w:cs="Arial"/>
          <w:sz w:val="22"/>
          <w:szCs w:val="22"/>
        </w:rPr>
        <w:t>. London: The King’s Fund.</w:t>
      </w:r>
    </w:p>
    <w:p w14:paraId="56E2ABB7"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The King’s Fund (2023) </w:t>
      </w:r>
      <w:r w:rsidRPr="00EB1374">
        <w:rPr>
          <w:rFonts w:ascii="Arial" w:hAnsi="Arial" w:cs="Arial"/>
          <w:i/>
          <w:iCs/>
          <w:sz w:val="22"/>
          <w:szCs w:val="22"/>
        </w:rPr>
        <w:t>Moving from exclusion to inclusion in digital health and care</w:t>
      </w:r>
      <w:r w:rsidRPr="00EB1374">
        <w:rPr>
          <w:rFonts w:ascii="Arial" w:hAnsi="Arial" w:cs="Arial"/>
          <w:sz w:val="22"/>
          <w:szCs w:val="22"/>
        </w:rPr>
        <w:t xml:space="preserve">. London: The King’s Fund. Available at: </w:t>
      </w:r>
      <w:hyperlink r:id="rId33" w:tgtFrame="_new" w:history="1">
        <w:r w:rsidRPr="00EB1374">
          <w:rPr>
            <w:rFonts w:ascii="Arial" w:hAnsi="Arial" w:cs="Arial"/>
            <w:sz w:val="22"/>
            <w:szCs w:val="22"/>
          </w:rPr>
          <w:t>https://www.kingsfund.org.uk</w:t>
        </w:r>
      </w:hyperlink>
      <w:r w:rsidRPr="00EB1374">
        <w:rPr>
          <w:rFonts w:ascii="Arial" w:hAnsi="Arial" w:cs="Arial"/>
          <w:sz w:val="22"/>
          <w:szCs w:val="22"/>
        </w:rPr>
        <w:t xml:space="preserve"> (Accessed: 1 February 2026).</w:t>
      </w:r>
    </w:p>
    <w:p w14:paraId="50E2629F" w14:textId="77777777" w:rsidR="00276D86" w:rsidRPr="00EB1374" w:rsidRDefault="00276D86" w:rsidP="00EB1374">
      <w:pPr>
        <w:spacing w:line="360" w:lineRule="auto"/>
        <w:rPr>
          <w:rFonts w:ascii="Arial" w:hAnsi="Arial" w:cs="Arial"/>
          <w:sz w:val="22"/>
          <w:szCs w:val="22"/>
        </w:rPr>
      </w:pPr>
      <w:r w:rsidRPr="00EB1374">
        <w:rPr>
          <w:rFonts w:ascii="Arial" w:hAnsi="Arial" w:cs="Arial"/>
          <w:sz w:val="22"/>
          <w:szCs w:val="22"/>
        </w:rPr>
        <w:t xml:space="preserve">Topol, E. (2019) </w:t>
      </w:r>
      <w:r w:rsidRPr="00EB1374">
        <w:rPr>
          <w:rFonts w:ascii="Arial" w:hAnsi="Arial" w:cs="Arial"/>
          <w:i/>
          <w:iCs/>
          <w:sz w:val="22"/>
          <w:szCs w:val="22"/>
        </w:rPr>
        <w:t>The Topol Review: Preparing the Healthcare Workforce to Deliver the Digital Future</w:t>
      </w:r>
      <w:r w:rsidRPr="00EB1374">
        <w:rPr>
          <w:rFonts w:ascii="Arial" w:hAnsi="Arial" w:cs="Arial"/>
          <w:sz w:val="22"/>
          <w:szCs w:val="22"/>
        </w:rPr>
        <w:t>. London: NHS.</w:t>
      </w:r>
    </w:p>
    <w:p w14:paraId="6AF370BA" w14:textId="32AAB66F" w:rsidR="00B81732" w:rsidRPr="00EB1374" w:rsidRDefault="00276D86" w:rsidP="00EB1374">
      <w:pPr>
        <w:spacing w:line="360" w:lineRule="auto"/>
        <w:rPr>
          <w:rStyle w:val="Strong"/>
          <w:rFonts w:ascii="Arial" w:hAnsi="Arial" w:cs="Arial"/>
          <w:sz w:val="22"/>
          <w:szCs w:val="22"/>
        </w:rPr>
      </w:pPr>
      <w:r w:rsidRPr="00EB1374">
        <w:rPr>
          <w:rFonts w:ascii="Arial" w:hAnsi="Arial" w:cs="Arial"/>
          <w:sz w:val="22"/>
          <w:szCs w:val="22"/>
        </w:rPr>
        <w:t xml:space="preserve">Wachter, R. (2016) </w:t>
      </w:r>
      <w:r w:rsidRPr="00EB1374">
        <w:rPr>
          <w:rFonts w:ascii="Arial" w:hAnsi="Arial" w:cs="Arial"/>
          <w:i/>
          <w:iCs/>
          <w:sz w:val="22"/>
          <w:szCs w:val="22"/>
        </w:rPr>
        <w:t>The Digital Doctor: Hope, Hype, and Harm at the Dawn of Medicine’s Computer Age</w:t>
      </w:r>
      <w:r w:rsidRPr="00EB1374">
        <w:rPr>
          <w:rFonts w:ascii="Arial" w:hAnsi="Arial" w:cs="Arial"/>
          <w:sz w:val="22"/>
          <w:szCs w:val="22"/>
        </w:rPr>
        <w:t>. New York: McGraw-Hill.</w:t>
      </w:r>
    </w:p>
    <w:p w14:paraId="7047F386" w14:textId="77777777" w:rsidR="003E4C66" w:rsidRPr="00EB1374" w:rsidRDefault="003E4C66" w:rsidP="00EB1374">
      <w:pPr>
        <w:spacing w:line="360" w:lineRule="auto"/>
        <w:jc w:val="center"/>
        <w:rPr>
          <w:rFonts w:ascii="Arial" w:hAnsi="Arial" w:cs="Arial"/>
          <w:sz w:val="22"/>
          <w:szCs w:val="22"/>
        </w:rPr>
      </w:pPr>
    </w:p>
    <w:sectPr w:rsidR="003E4C66" w:rsidRPr="00EB1374">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0B385" w14:textId="77777777" w:rsidR="005D6FFD" w:rsidRDefault="005D6FFD" w:rsidP="00DE67EC">
      <w:pPr>
        <w:spacing w:after="0" w:line="240" w:lineRule="auto"/>
      </w:pPr>
      <w:r>
        <w:separator/>
      </w:r>
    </w:p>
  </w:endnote>
  <w:endnote w:type="continuationSeparator" w:id="0">
    <w:p w14:paraId="7E612660" w14:textId="77777777" w:rsidR="005D6FFD" w:rsidRDefault="005D6FFD" w:rsidP="00DE6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7036291"/>
      <w:docPartObj>
        <w:docPartGallery w:val="Page Numbers (Bottom of Page)"/>
        <w:docPartUnique/>
      </w:docPartObj>
    </w:sdtPr>
    <w:sdtEndPr>
      <w:rPr>
        <w:noProof/>
      </w:rPr>
    </w:sdtEndPr>
    <w:sdtContent>
      <w:p w14:paraId="5B50504F" w14:textId="284EA315" w:rsidR="00E7452E" w:rsidRDefault="00E745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E1E54D" w14:textId="77777777" w:rsidR="00E7452E" w:rsidRDefault="00E745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B22F80" w14:textId="77777777" w:rsidR="005D6FFD" w:rsidRDefault="005D6FFD" w:rsidP="00DE67EC">
      <w:pPr>
        <w:spacing w:after="0" w:line="240" w:lineRule="auto"/>
      </w:pPr>
      <w:r>
        <w:separator/>
      </w:r>
    </w:p>
  </w:footnote>
  <w:footnote w:type="continuationSeparator" w:id="0">
    <w:p w14:paraId="1BD0B8F4" w14:textId="77777777" w:rsidR="005D6FFD" w:rsidRDefault="005D6FFD" w:rsidP="00DE67E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67XK4RQ7" int2:invalidationBookmarkName="" int2:hashCode="UCEKOrJLjkRMK3" int2:id="WQJFMby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C3FE4"/>
    <w:multiLevelType w:val="hybridMultilevel"/>
    <w:tmpl w:val="A1409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181E2C"/>
    <w:multiLevelType w:val="hybridMultilevel"/>
    <w:tmpl w:val="912CB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EA6412"/>
    <w:multiLevelType w:val="multilevel"/>
    <w:tmpl w:val="97F40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F30C61"/>
    <w:multiLevelType w:val="multilevel"/>
    <w:tmpl w:val="08A89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9050224">
    <w:abstractNumId w:val="3"/>
  </w:num>
  <w:num w:numId="2" w16cid:durableId="295263197">
    <w:abstractNumId w:val="2"/>
  </w:num>
  <w:num w:numId="3" w16cid:durableId="1180780600">
    <w:abstractNumId w:val="0"/>
  </w:num>
  <w:num w:numId="4" w16cid:durableId="9135148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CB1"/>
    <w:rsid w:val="00001FA3"/>
    <w:rsid w:val="000047C6"/>
    <w:rsid w:val="000076BE"/>
    <w:rsid w:val="00012D0A"/>
    <w:rsid w:val="00013AF0"/>
    <w:rsid w:val="00014130"/>
    <w:rsid w:val="00014811"/>
    <w:rsid w:val="00022F5E"/>
    <w:rsid w:val="00026C69"/>
    <w:rsid w:val="000274AD"/>
    <w:rsid w:val="000274B4"/>
    <w:rsid w:val="0003414A"/>
    <w:rsid w:val="00040B38"/>
    <w:rsid w:val="00041317"/>
    <w:rsid w:val="00042B1F"/>
    <w:rsid w:val="00042FF6"/>
    <w:rsid w:val="00046389"/>
    <w:rsid w:val="000526A6"/>
    <w:rsid w:val="00063A64"/>
    <w:rsid w:val="00066960"/>
    <w:rsid w:val="0007142D"/>
    <w:rsid w:val="000763D3"/>
    <w:rsid w:val="00076A25"/>
    <w:rsid w:val="00077C84"/>
    <w:rsid w:val="00080FB4"/>
    <w:rsid w:val="00084353"/>
    <w:rsid w:val="000852B1"/>
    <w:rsid w:val="000916EB"/>
    <w:rsid w:val="000943AB"/>
    <w:rsid w:val="00094F76"/>
    <w:rsid w:val="000A49FE"/>
    <w:rsid w:val="000A6B72"/>
    <w:rsid w:val="000B09DC"/>
    <w:rsid w:val="000B52A7"/>
    <w:rsid w:val="000B56F2"/>
    <w:rsid w:val="000B5C4F"/>
    <w:rsid w:val="000C00C7"/>
    <w:rsid w:val="000C101D"/>
    <w:rsid w:val="000D1618"/>
    <w:rsid w:val="000D3718"/>
    <w:rsid w:val="000D4B81"/>
    <w:rsid w:val="000D5230"/>
    <w:rsid w:val="000D5D72"/>
    <w:rsid w:val="000D614B"/>
    <w:rsid w:val="000E2D37"/>
    <w:rsid w:val="000E7201"/>
    <w:rsid w:val="000F20F7"/>
    <w:rsid w:val="000F3E28"/>
    <w:rsid w:val="00100ABA"/>
    <w:rsid w:val="00102E1D"/>
    <w:rsid w:val="001031D9"/>
    <w:rsid w:val="001067A9"/>
    <w:rsid w:val="0011298D"/>
    <w:rsid w:val="001163A1"/>
    <w:rsid w:val="00121385"/>
    <w:rsid w:val="001217EC"/>
    <w:rsid w:val="001256A9"/>
    <w:rsid w:val="0012682F"/>
    <w:rsid w:val="00136384"/>
    <w:rsid w:val="001472B4"/>
    <w:rsid w:val="00151C2C"/>
    <w:rsid w:val="0016542E"/>
    <w:rsid w:val="001662E4"/>
    <w:rsid w:val="00166395"/>
    <w:rsid w:val="00170F6F"/>
    <w:rsid w:val="00177557"/>
    <w:rsid w:val="00183813"/>
    <w:rsid w:val="00190E58"/>
    <w:rsid w:val="001A0A11"/>
    <w:rsid w:val="001A27C7"/>
    <w:rsid w:val="001A3E9D"/>
    <w:rsid w:val="001B16C0"/>
    <w:rsid w:val="001B391E"/>
    <w:rsid w:val="001B6CF4"/>
    <w:rsid w:val="001C41CB"/>
    <w:rsid w:val="001C53E6"/>
    <w:rsid w:val="001C6341"/>
    <w:rsid w:val="001D37D6"/>
    <w:rsid w:val="001F08D2"/>
    <w:rsid w:val="001F0D7D"/>
    <w:rsid w:val="00200601"/>
    <w:rsid w:val="00203B22"/>
    <w:rsid w:val="00204F53"/>
    <w:rsid w:val="002106F9"/>
    <w:rsid w:val="00217280"/>
    <w:rsid w:val="00222966"/>
    <w:rsid w:val="00227AD8"/>
    <w:rsid w:val="00232259"/>
    <w:rsid w:val="00232ECC"/>
    <w:rsid w:val="00234EDB"/>
    <w:rsid w:val="00252007"/>
    <w:rsid w:val="00254C19"/>
    <w:rsid w:val="0026376B"/>
    <w:rsid w:val="00264844"/>
    <w:rsid w:val="00267684"/>
    <w:rsid w:val="00276D86"/>
    <w:rsid w:val="00283B78"/>
    <w:rsid w:val="002924F9"/>
    <w:rsid w:val="0029420E"/>
    <w:rsid w:val="00295BC9"/>
    <w:rsid w:val="002A20AB"/>
    <w:rsid w:val="002A3344"/>
    <w:rsid w:val="002B0257"/>
    <w:rsid w:val="002B4D5D"/>
    <w:rsid w:val="002C29A3"/>
    <w:rsid w:val="002D03A0"/>
    <w:rsid w:val="002E0CB4"/>
    <w:rsid w:val="002E3D31"/>
    <w:rsid w:val="002E4B30"/>
    <w:rsid w:val="002E5A9A"/>
    <w:rsid w:val="002E6BCF"/>
    <w:rsid w:val="002F0148"/>
    <w:rsid w:val="002F0877"/>
    <w:rsid w:val="002F76DF"/>
    <w:rsid w:val="00303ED3"/>
    <w:rsid w:val="00312EA4"/>
    <w:rsid w:val="00313AE2"/>
    <w:rsid w:val="00316AC5"/>
    <w:rsid w:val="00320B30"/>
    <w:rsid w:val="00320B98"/>
    <w:rsid w:val="0033291F"/>
    <w:rsid w:val="00334FAE"/>
    <w:rsid w:val="003353FD"/>
    <w:rsid w:val="00335BA3"/>
    <w:rsid w:val="00335E7B"/>
    <w:rsid w:val="00335ECC"/>
    <w:rsid w:val="00345A22"/>
    <w:rsid w:val="00350155"/>
    <w:rsid w:val="003542B4"/>
    <w:rsid w:val="00355772"/>
    <w:rsid w:val="003578B5"/>
    <w:rsid w:val="00363D0E"/>
    <w:rsid w:val="00365A5C"/>
    <w:rsid w:val="00372F4D"/>
    <w:rsid w:val="0038044D"/>
    <w:rsid w:val="003807E2"/>
    <w:rsid w:val="00381732"/>
    <w:rsid w:val="00384BCE"/>
    <w:rsid w:val="0038593F"/>
    <w:rsid w:val="00395734"/>
    <w:rsid w:val="003B0D8F"/>
    <w:rsid w:val="003B14F6"/>
    <w:rsid w:val="003C341D"/>
    <w:rsid w:val="003C4D41"/>
    <w:rsid w:val="003C7BE5"/>
    <w:rsid w:val="003D7099"/>
    <w:rsid w:val="003E223D"/>
    <w:rsid w:val="003E4C66"/>
    <w:rsid w:val="00403A45"/>
    <w:rsid w:val="00405567"/>
    <w:rsid w:val="00406AE0"/>
    <w:rsid w:val="00412ABA"/>
    <w:rsid w:val="004137F6"/>
    <w:rsid w:val="00422DBB"/>
    <w:rsid w:val="0043167B"/>
    <w:rsid w:val="004356E5"/>
    <w:rsid w:val="00436D4A"/>
    <w:rsid w:val="00436F5F"/>
    <w:rsid w:val="004404D9"/>
    <w:rsid w:val="004407A3"/>
    <w:rsid w:val="00443B39"/>
    <w:rsid w:val="004524D1"/>
    <w:rsid w:val="00457AFE"/>
    <w:rsid w:val="00473473"/>
    <w:rsid w:val="00475230"/>
    <w:rsid w:val="00486840"/>
    <w:rsid w:val="00495A26"/>
    <w:rsid w:val="004A410F"/>
    <w:rsid w:val="004A4537"/>
    <w:rsid w:val="004B1D97"/>
    <w:rsid w:val="004C0095"/>
    <w:rsid w:val="004C12AA"/>
    <w:rsid w:val="004C149F"/>
    <w:rsid w:val="004D33A3"/>
    <w:rsid w:val="004E1E22"/>
    <w:rsid w:val="004E689F"/>
    <w:rsid w:val="005069D3"/>
    <w:rsid w:val="0051385F"/>
    <w:rsid w:val="0051421B"/>
    <w:rsid w:val="00514478"/>
    <w:rsid w:val="005168A0"/>
    <w:rsid w:val="005258D3"/>
    <w:rsid w:val="005304A4"/>
    <w:rsid w:val="00534F6D"/>
    <w:rsid w:val="005423CD"/>
    <w:rsid w:val="00551506"/>
    <w:rsid w:val="00551BBC"/>
    <w:rsid w:val="0055298A"/>
    <w:rsid w:val="00572F46"/>
    <w:rsid w:val="00574A20"/>
    <w:rsid w:val="00577B9F"/>
    <w:rsid w:val="0058394D"/>
    <w:rsid w:val="00583ADD"/>
    <w:rsid w:val="00583C9C"/>
    <w:rsid w:val="00583D0E"/>
    <w:rsid w:val="00586308"/>
    <w:rsid w:val="005914D4"/>
    <w:rsid w:val="0059174C"/>
    <w:rsid w:val="00594FE5"/>
    <w:rsid w:val="005A7F28"/>
    <w:rsid w:val="005B18DA"/>
    <w:rsid w:val="005B1F3E"/>
    <w:rsid w:val="005B2239"/>
    <w:rsid w:val="005B22AF"/>
    <w:rsid w:val="005B2D37"/>
    <w:rsid w:val="005B5847"/>
    <w:rsid w:val="005B61B2"/>
    <w:rsid w:val="005C7DDB"/>
    <w:rsid w:val="005D2960"/>
    <w:rsid w:val="005D5FD2"/>
    <w:rsid w:val="005D6FFD"/>
    <w:rsid w:val="005F2509"/>
    <w:rsid w:val="005F284D"/>
    <w:rsid w:val="005F2B0F"/>
    <w:rsid w:val="005F6287"/>
    <w:rsid w:val="0061528C"/>
    <w:rsid w:val="006211C8"/>
    <w:rsid w:val="0062410C"/>
    <w:rsid w:val="00627FCD"/>
    <w:rsid w:val="00631B7F"/>
    <w:rsid w:val="00635874"/>
    <w:rsid w:val="00635F1E"/>
    <w:rsid w:val="00637260"/>
    <w:rsid w:val="006613BE"/>
    <w:rsid w:val="006628C1"/>
    <w:rsid w:val="006664D3"/>
    <w:rsid w:val="00667138"/>
    <w:rsid w:val="00667481"/>
    <w:rsid w:val="006704BF"/>
    <w:rsid w:val="0069298B"/>
    <w:rsid w:val="0069772F"/>
    <w:rsid w:val="006A7AEC"/>
    <w:rsid w:val="006B0018"/>
    <w:rsid w:val="006B0584"/>
    <w:rsid w:val="006C4230"/>
    <w:rsid w:val="006D092A"/>
    <w:rsid w:val="006D144F"/>
    <w:rsid w:val="006D1A95"/>
    <w:rsid w:val="006E1E04"/>
    <w:rsid w:val="006E4B14"/>
    <w:rsid w:val="006F320B"/>
    <w:rsid w:val="00700F1C"/>
    <w:rsid w:val="00713C44"/>
    <w:rsid w:val="007175E4"/>
    <w:rsid w:val="0072311C"/>
    <w:rsid w:val="00727215"/>
    <w:rsid w:val="007274FD"/>
    <w:rsid w:val="00733C87"/>
    <w:rsid w:val="0073564C"/>
    <w:rsid w:val="0073657A"/>
    <w:rsid w:val="00740C08"/>
    <w:rsid w:val="00745CE5"/>
    <w:rsid w:val="00747909"/>
    <w:rsid w:val="00750CB3"/>
    <w:rsid w:val="00753AE7"/>
    <w:rsid w:val="0075497D"/>
    <w:rsid w:val="00763259"/>
    <w:rsid w:val="007652F1"/>
    <w:rsid w:val="007654B8"/>
    <w:rsid w:val="00772BA1"/>
    <w:rsid w:val="00780CB1"/>
    <w:rsid w:val="00784CD2"/>
    <w:rsid w:val="00786A0D"/>
    <w:rsid w:val="00795226"/>
    <w:rsid w:val="0079745E"/>
    <w:rsid w:val="007A0ACE"/>
    <w:rsid w:val="007A22CF"/>
    <w:rsid w:val="007A2FD6"/>
    <w:rsid w:val="007A69A3"/>
    <w:rsid w:val="007A6A6A"/>
    <w:rsid w:val="007B0830"/>
    <w:rsid w:val="007B0E59"/>
    <w:rsid w:val="007B56ED"/>
    <w:rsid w:val="007D18A5"/>
    <w:rsid w:val="007D3081"/>
    <w:rsid w:val="007D5C51"/>
    <w:rsid w:val="007E1998"/>
    <w:rsid w:val="007F29B1"/>
    <w:rsid w:val="007F7E44"/>
    <w:rsid w:val="007F7F1B"/>
    <w:rsid w:val="00801E4C"/>
    <w:rsid w:val="00820021"/>
    <w:rsid w:val="00824A6C"/>
    <w:rsid w:val="00833D60"/>
    <w:rsid w:val="008427F6"/>
    <w:rsid w:val="00842876"/>
    <w:rsid w:val="008430EF"/>
    <w:rsid w:val="00847247"/>
    <w:rsid w:val="00852A76"/>
    <w:rsid w:val="00852FF2"/>
    <w:rsid w:val="00857015"/>
    <w:rsid w:val="0086422E"/>
    <w:rsid w:val="00865E77"/>
    <w:rsid w:val="008757C6"/>
    <w:rsid w:val="00881361"/>
    <w:rsid w:val="0088174B"/>
    <w:rsid w:val="00893723"/>
    <w:rsid w:val="008A3DFE"/>
    <w:rsid w:val="008C158A"/>
    <w:rsid w:val="008C5757"/>
    <w:rsid w:val="008D6124"/>
    <w:rsid w:val="008D7310"/>
    <w:rsid w:val="008D7553"/>
    <w:rsid w:val="008E1079"/>
    <w:rsid w:val="008E5565"/>
    <w:rsid w:val="008E6726"/>
    <w:rsid w:val="008F1B95"/>
    <w:rsid w:val="008F38CD"/>
    <w:rsid w:val="008F7AB3"/>
    <w:rsid w:val="0090084F"/>
    <w:rsid w:val="00911EFF"/>
    <w:rsid w:val="009225FF"/>
    <w:rsid w:val="00932C9C"/>
    <w:rsid w:val="009376E4"/>
    <w:rsid w:val="00942E8C"/>
    <w:rsid w:val="00943966"/>
    <w:rsid w:val="00950C7C"/>
    <w:rsid w:val="009571AB"/>
    <w:rsid w:val="00973D94"/>
    <w:rsid w:val="009767DE"/>
    <w:rsid w:val="00981C10"/>
    <w:rsid w:val="0098427B"/>
    <w:rsid w:val="009940EA"/>
    <w:rsid w:val="009A0A3B"/>
    <w:rsid w:val="009A2D3D"/>
    <w:rsid w:val="009B1EF3"/>
    <w:rsid w:val="009B4F4E"/>
    <w:rsid w:val="009C1F0F"/>
    <w:rsid w:val="009C3598"/>
    <w:rsid w:val="009C694E"/>
    <w:rsid w:val="009D1FCA"/>
    <w:rsid w:val="009D3C02"/>
    <w:rsid w:val="009E102E"/>
    <w:rsid w:val="009E7B3A"/>
    <w:rsid w:val="009F260B"/>
    <w:rsid w:val="00A03B57"/>
    <w:rsid w:val="00A0649A"/>
    <w:rsid w:val="00A07DEF"/>
    <w:rsid w:val="00A103EE"/>
    <w:rsid w:val="00A1341B"/>
    <w:rsid w:val="00A1556C"/>
    <w:rsid w:val="00A204C2"/>
    <w:rsid w:val="00A2139B"/>
    <w:rsid w:val="00A251DE"/>
    <w:rsid w:val="00A34961"/>
    <w:rsid w:val="00A42FE5"/>
    <w:rsid w:val="00A4361F"/>
    <w:rsid w:val="00A4759E"/>
    <w:rsid w:val="00A47E0D"/>
    <w:rsid w:val="00A53D5E"/>
    <w:rsid w:val="00A5413E"/>
    <w:rsid w:val="00A55B0F"/>
    <w:rsid w:val="00A573B3"/>
    <w:rsid w:val="00A61006"/>
    <w:rsid w:val="00A61B80"/>
    <w:rsid w:val="00A6450E"/>
    <w:rsid w:val="00A716D2"/>
    <w:rsid w:val="00A71A8C"/>
    <w:rsid w:val="00A83D4C"/>
    <w:rsid w:val="00A83E87"/>
    <w:rsid w:val="00A86C33"/>
    <w:rsid w:val="00A92E37"/>
    <w:rsid w:val="00AA080E"/>
    <w:rsid w:val="00AA1FB1"/>
    <w:rsid w:val="00AA5BD0"/>
    <w:rsid w:val="00AA6D1F"/>
    <w:rsid w:val="00AB333E"/>
    <w:rsid w:val="00AC1F05"/>
    <w:rsid w:val="00AC6446"/>
    <w:rsid w:val="00AD405C"/>
    <w:rsid w:val="00AD6832"/>
    <w:rsid w:val="00AE1739"/>
    <w:rsid w:val="00AF0401"/>
    <w:rsid w:val="00AF2DD3"/>
    <w:rsid w:val="00AF33EA"/>
    <w:rsid w:val="00AF6206"/>
    <w:rsid w:val="00AF7383"/>
    <w:rsid w:val="00B00D65"/>
    <w:rsid w:val="00B0217A"/>
    <w:rsid w:val="00B05553"/>
    <w:rsid w:val="00B20F6E"/>
    <w:rsid w:val="00B20FF3"/>
    <w:rsid w:val="00B245B5"/>
    <w:rsid w:val="00B27D26"/>
    <w:rsid w:val="00B34298"/>
    <w:rsid w:val="00B41F38"/>
    <w:rsid w:val="00B51D5E"/>
    <w:rsid w:val="00B52745"/>
    <w:rsid w:val="00B53BB5"/>
    <w:rsid w:val="00B54848"/>
    <w:rsid w:val="00B54C1B"/>
    <w:rsid w:val="00B60FD8"/>
    <w:rsid w:val="00B64888"/>
    <w:rsid w:val="00B664BA"/>
    <w:rsid w:val="00B7069B"/>
    <w:rsid w:val="00B81732"/>
    <w:rsid w:val="00B90BA8"/>
    <w:rsid w:val="00B94888"/>
    <w:rsid w:val="00BA55CC"/>
    <w:rsid w:val="00BB4968"/>
    <w:rsid w:val="00BC28A8"/>
    <w:rsid w:val="00BC4A07"/>
    <w:rsid w:val="00BC5128"/>
    <w:rsid w:val="00BC7789"/>
    <w:rsid w:val="00BC7CBE"/>
    <w:rsid w:val="00BE42D3"/>
    <w:rsid w:val="00BF3140"/>
    <w:rsid w:val="00C060C0"/>
    <w:rsid w:val="00C2145D"/>
    <w:rsid w:val="00C22B64"/>
    <w:rsid w:val="00C24660"/>
    <w:rsid w:val="00C24DDE"/>
    <w:rsid w:val="00C266DF"/>
    <w:rsid w:val="00C26ECD"/>
    <w:rsid w:val="00C31362"/>
    <w:rsid w:val="00C36508"/>
    <w:rsid w:val="00C45060"/>
    <w:rsid w:val="00C502E8"/>
    <w:rsid w:val="00C53748"/>
    <w:rsid w:val="00C56560"/>
    <w:rsid w:val="00C6340D"/>
    <w:rsid w:val="00C71C8B"/>
    <w:rsid w:val="00C72766"/>
    <w:rsid w:val="00C74B10"/>
    <w:rsid w:val="00C82DB2"/>
    <w:rsid w:val="00C87F88"/>
    <w:rsid w:val="00CA1D9B"/>
    <w:rsid w:val="00CA237D"/>
    <w:rsid w:val="00CA26F1"/>
    <w:rsid w:val="00CA3849"/>
    <w:rsid w:val="00CA3D53"/>
    <w:rsid w:val="00CA7EF1"/>
    <w:rsid w:val="00CB36C7"/>
    <w:rsid w:val="00CB7712"/>
    <w:rsid w:val="00CC01C2"/>
    <w:rsid w:val="00CC4F40"/>
    <w:rsid w:val="00CD1DD8"/>
    <w:rsid w:val="00CD7807"/>
    <w:rsid w:val="00CE657A"/>
    <w:rsid w:val="00CF1302"/>
    <w:rsid w:val="00CF37EE"/>
    <w:rsid w:val="00D02094"/>
    <w:rsid w:val="00D03B28"/>
    <w:rsid w:val="00D04DE7"/>
    <w:rsid w:val="00D051FE"/>
    <w:rsid w:val="00D07BBE"/>
    <w:rsid w:val="00D30649"/>
    <w:rsid w:val="00D33789"/>
    <w:rsid w:val="00D40E72"/>
    <w:rsid w:val="00D43A7B"/>
    <w:rsid w:val="00D44750"/>
    <w:rsid w:val="00D45251"/>
    <w:rsid w:val="00D53765"/>
    <w:rsid w:val="00D54B8C"/>
    <w:rsid w:val="00D5660F"/>
    <w:rsid w:val="00D6132B"/>
    <w:rsid w:val="00D6479E"/>
    <w:rsid w:val="00D67DEB"/>
    <w:rsid w:val="00D723F5"/>
    <w:rsid w:val="00D75EF0"/>
    <w:rsid w:val="00D803D8"/>
    <w:rsid w:val="00D82C34"/>
    <w:rsid w:val="00D872E2"/>
    <w:rsid w:val="00D9578A"/>
    <w:rsid w:val="00DA1226"/>
    <w:rsid w:val="00DB3B43"/>
    <w:rsid w:val="00DC1947"/>
    <w:rsid w:val="00DC1AEE"/>
    <w:rsid w:val="00DC22CC"/>
    <w:rsid w:val="00DD06C0"/>
    <w:rsid w:val="00DD0ECA"/>
    <w:rsid w:val="00DD101E"/>
    <w:rsid w:val="00DD24A8"/>
    <w:rsid w:val="00DD353C"/>
    <w:rsid w:val="00DE102F"/>
    <w:rsid w:val="00DE4777"/>
    <w:rsid w:val="00DE4A02"/>
    <w:rsid w:val="00DE67EC"/>
    <w:rsid w:val="00DE7A1A"/>
    <w:rsid w:val="00DF14EE"/>
    <w:rsid w:val="00DF76F2"/>
    <w:rsid w:val="00E00ECA"/>
    <w:rsid w:val="00E1108F"/>
    <w:rsid w:val="00E24D22"/>
    <w:rsid w:val="00E26718"/>
    <w:rsid w:val="00E2710F"/>
    <w:rsid w:val="00E34091"/>
    <w:rsid w:val="00E35894"/>
    <w:rsid w:val="00E40D75"/>
    <w:rsid w:val="00E478E5"/>
    <w:rsid w:val="00E55E27"/>
    <w:rsid w:val="00E56A6C"/>
    <w:rsid w:val="00E57D85"/>
    <w:rsid w:val="00E62B74"/>
    <w:rsid w:val="00E63319"/>
    <w:rsid w:val="00E73AF6"/>
    <w:rsid w:val="00E7452E"/>
    <w:rsid w:val="00E81F30"/>
    <w:rsid w:val="00E8470C"/>
    <w:rsid w:val="00E85776"/>
    <w:rsid w:val="00EA3C5F"/>
    <w:rsid w:val="00EB1374"/>
    <w:rsid w:val="00EB4E94"/>
    <w:rsid w:val="00EC2284"/>
    <w:rsid w:val="00EE5C54"/>
    <w:rsid w:val="00EF0E47"/>
    <w:rsid w:val="00EF3CC4"/>
    <w:rsid w:val="00F10358"/>
    <w:rsid w:val="00F103F3"/>
    <w:rsid w:val="00F11E2A"/>
    <w:rsid w:val="00F161B2"/>
    <w:rsid w:val="00F25D38"/>
    <w:rsid w:val="00F365E6"/>
    <w:rsid w:val="00F436D1"/>
    <w:rsid w:val="00F5352E"/>
    <w:rsid w:val="00F544CD"/>
    <w:rsid w:val="00F57C47"/>
    <w:rsid w:val="00F617C6"/>
    <w:rsid w:val="00F70B72"/>
    <w:rsid w:val="00F73F80"/>
    <w:rsid w:val="00F81B8E"/>
    <w:rsid w:val="00F8445E"/>
    <w:rsid w:val="00F849A7"/>
    <w:rsid w:val="00F86118"/>
    <w:rsid w:val="00FA6264"/>
    <w:rsid w:val="00FB277C"/>
    <w:rsid w:val="00FD049A"/>
    <w:rsid w:val="00FD4E9E"/>
    <w:rsid w:val="00FD617C"/>
    <w:rsid w:val="00FE05CE"/>
    <w:rsid w:val="00FE1D24"/>
    <w:rsid w:val="00FE22A7"/>
    <w:rsid w:val="00FE550C"/>
    <w:rsid w:val="00FF0192"/>
    <w:rsid w:val="028F0CFC"/>
    <w:rsid w:val="067F3366"/>
    <w:rsid w:val="0DA00981"/>
    <w:rsid w:val="0E400DE1"/>
    <w:rsid w:val="0E705557"/>
    <w:rsid w:val="0E8F175F"/>
    <w:rsid w:val="159E5E8C"/>
    <w:rsid w:val="175CCD2B"/>
    <w:rsid w:val="18D69E77"/>
    <w:rsid w:val="2074DF89"/>
    <w:rsid w:val="207EB0FC"/>
    <w:rsid w:val="23B3028E"/>
    <w:rsid w:val="24388103"/>
    <w:rsid w:val="26D3EE7B"/>
    <w:rsid w:val="2A4DEB28"/>
    <w:rsid w:val="2AA9D8C7"/>
    <w:rsid w:val="2C2D8876"/>
    <w:rsid w:val="2CF97C8E"/>
    <w:rsid w:val="30DE5496"/>
    <w:rsid w:val="31AB8136"/>
    <w:rsid w:val="3401654D"/>
    <w:rsid w:val="34236D16"/>
    <w:rsid w:val="349755CE"/>
    <w:rsid w:val="3726FDA3"/>
    <w:rsid w:val="3B2B6679"/>
    <w:rsid w:val="3BC514DE"/>
    <w:rsid w:val="3BFB13B5"/>
    <w:rsid w:val="3E79E5A6"/>
    <w:rsid w:val="3F30C728"/>
    <w:rsid w:val="406FDEEA"/>
    <w:rsid w:val="48484F38"/>
    <w:rsid w:val="4CB5B42D"/>
    <w:rsid w:val="4D50DBDD"/>
    <w:rsid w:val="4D94B165"/>
    <w:rsid w:val="50717EA8"/>
    <w:rsid w:val="50AB764A"/>
    <w:rsid w:val="5125D72B"/>
    <w:rsid w:val="524A2BAE"/>
    <w:rsid w:val="528EBCC0"/>
    <w:rsid w:val="57F10FE0"/>
    <w:rsid w:val="587EBBA9"/>
    <w:rsid w:val="59A19302"/>
    <w:rsid w:val="61526867"/>
    <w:rsid w:val="621A4A58"/>
    <w:rsid w:val="622F2488"/>
    <w:rsid w:val="62883D04"/>
    <w:rsid w:val="653DA81C"/>
    <w:rsid w:val="69D71656"/>
    <w:rsid w:val="6AFB0A1D"/>
    <w:rsid w:val="6EF5DEA7"/>
    <w:rsid w:val="7126E2D1"/>
    <w:rsid w:val="7335B8FA"/>
    <w:rsid w:val="742D1F4E"/>
    <w:rsid w:val="766FC7B4"/>
    <w:rsid w:val="77F9DB70"/>
    <w:rsid w:val="7EAA4354"/>
    <w:rsid w:val="7F637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D2EAD"/>
  <w15:chartTrackingRefBased/>
  <w15:docId w15:val="{6C5F122B-A83C-4C5C-B5D4-20B443FF8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0C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0C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80C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0C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0C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0C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0C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0C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0C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C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0C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80C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0C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0C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0C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0C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0C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0CB1"/>
    <w:rPr>
      <w:rFonts w:eastAsiaTheme="majorEastAsia" w:cstheme="majorBidi"/>
      <w:color w:val="272727" w:themeColor="text1" w:themeTint="D8"/>
    </w:rPr>
  </w:style>
  <w:style w:type="paragraph" w:styleId="Title">
    <w:name w:val="Title"/>
    <w:basedOn w:val="Normal"/>
    <w:next w:val="Normal"/>
    <w:link w:val="TitleChar"/>
    <w:uiPriority w:val="10"/>
    <w:qFormat/>
    <w:rsid w:val="00780C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0C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0C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0C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0CB1"/>
    <w:pPr>
      <w:spacing w:before="160"/>
      <w:jc w:val="center"/>
    </w:pPr>
    <w:rPr>
      <w:i/>
      <w:iCs/>
      <w:color w:val="404040" w:themeColor="text1" w:themeTint="BF"/>
    </w:rPr>
  </w:style>
  <w:style w:type="character" w:customStyle="1" w:styleId="QuoteChar">
    <w:name w:val="Quote Char"/>
    <w:basedOn w:val="DefaultParagraphFont"/>
    <w:link w:val="Quote"/>
    <w:uiPriority w:val="29"/>
    <w:rsid w:val="00780CB1"/>
    <w:rPr>
      <w:i/>
      <w:iCs/>
      <w:color w:val="404040" w:themeColor="text1" w:themeTint="BF"/>
    </w:rPr>
  </w:style>
  <w:style w:type="paragraph" w:styleId="ListParagraph">
    <w:name w:val="List Paragraph"/>
    <w:basedOn w:val="Normal"/>
    <w:uiPriority w:val="34"/>
    <w:qFormat/>
    <w:rsid w:val="00780CB1"/>
    <w:pPr>
      <w:ind w:left="720"/>
      <w:contextualSpacing/>
    </w:pPr>
  </w:style>
  <w:style w:type="character" w:styleId="IntenseEmphasis">
    <w:name w:val="Intense Emphasis"/>
    <w:basedOn w:val="DefaultParagraphFont"/>
    <w:uiPriority w:val="21"/>
    <w:qFormat/>
    <w:rsid w:val="00780CB1"/>
    <w:rPr>
      <w:i/>
      <w:iCs/>
      <w:color w:val="0F4761" w:themeColor="accent1" w:themeShade="BF"/>
    </w:rPr>
  </w:style>
  <w:style w:type="paragraph" w:styleId="IntenseQuote">
    <w:name w:val="Intense Quote"/>
    <w:basedOn w:val="Normal"/>
    <w:next w:val="Normal"/>
    <w:link w:val="IntenseQuoteChar"/>
    <w:uiPriority w:val="30"/>
    <w:qFormat/>
    <w:rsid w:val="00780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0CB1"/>
    <w:rPr>
      <w:i/>
      <w:iCs/>
      <w:color w:val="0F4761" w:themeColor="accent1" w:themeShade="BF"/>
    </w:rPr>
  </w:style>
  <w:style w:type="character" w:styleId="IntenseReference">
    <w:name w:val="Intense Reference"/>
    <w:basedOn w:val="DefaultParagraphFont"/>
    <w:uiPriority w:val="32"/>
    <w:qFormat/>
    <w:rsid w:val="00780CB1"/>
    <w:rPr>
      <w:b/>
      <w:bCs/>
      <w:smallCaps/>
      <w:color w:val="0F4761" w:themeColor="accent1" w:themeShade="BF"/>
      <w:spacing w:val="5"/>
    </w:rPr>
  </w:style>
  <w:style w:type="character" w:styleId="Hyperlink">
    <w:name w:val="Hyperlink"/>
    <w:basedOn w:val="DefaultParagraphFont"/>
    <w:uiPriority w:val="99"/>
    <w:unhideWhenUsed/>
    <w:rsid w:val="00AF0401"/>
    <w:rPr>
      <w:color w:val="467886" w:themeColor="hyperlink"/>
      <w:u w:val="single"/>
    </w:rPr>
  </w:style>
  <w:style w:type="character" w:styleId="UnresolvedMention">
    <w:name w:val="Unresolved Mention"/>
    <w:basedOn w:val="DefaultParagraphFont"/>
    <w:uiPriority w:val="99"/>
    <w:semiHidden/>
    <w:unhideWhenUsed/>
    <w:rsid w:val="00AF0401"/>
    <w:rPr>
      <w:color w:val="605E5C"/>
      <w:shd w:val="clear" w:color="auto" w:fill="E1DFDD"/>
    </w:rPr>
  </w:style>
  <w:style w:type="table" w:styleId="TableGrid">
    <w:name w:val="Table Grid"/>
    <w:basedOn w:val="TableNormal"/>
    <w:uiPriority w:val="39"/>
    <w:rsid w:val="003804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804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1Light">
    <w:name w:val="List Table 1 Light"/>
    <w:basedOn w:val="TableNormal"/>
    <w:uiPriority w:val="46"/>
    <w:rsid w:val="0038044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DE6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7EC"/>
  </w:style>
  <w:style w:type="paragraph" w:styleId="Footer">
    <w:name w:val="footer"/>
    <w:basedOn w:val="Normal"/>
    <w:link w:val="FooterChar"/>
    <w:uiPriority w:val="99"/>
    <w:unhideWhenUsed/>
    <w:rsid w:val="00DE6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7EC"/>
  </w:style>
  <w:style w:type="paragraph" w:styleId="TOCHeading">
    <w:name w:val="TOC Heading"/>
    <w:basedOn w:val="Heading1"/>
    <w:next w:val="Normal"/>
    <w:uiPriority w:val="39"/>
    <w:unhideWhenUsed/>
    <w:qFormat/>
    <w:rsid w:val="00335ECC"/>
    <w:pPr>
      <w:spacing w:before="240" w:after="0" w:line="259" w:lineRule="auto"/>
      <w:outlineLvl w:val="9"/>
    </w:pPr>
    <w:rPr>
      <w:kern w:val="0"/>
      <w:sz w:val="32"/>
      <w:szCs w:val="32"/>
      <w:lang w:val="en-US"/>
      <w14:ligatures w14:val="none"/>
    </w:rPr>
  </w:style>
  <w:style w:type="character" w:styleId="Strong">
    <w:name w:val="Strong"/>
    <w:basedOn w:val="DefaultParagraphFont"/>
    <w:uiPriority w:val="22"/>
    <w:qFormat/>
    <w:rsid w:val="001A27C7"/>
    <w:rPr>
      <w:b/>
      <w:bCs/>
    </w:rPr>
  </w:style>
  <w:style w:type="paragraph" w:styleId="NormalWeb">
    <w:name w:val="Normal (Web)"/>
    <w:basedOn w:val="Normal"/>
    <w:uiPriority w:val="99"/>
    <w:semiHidden/>
    <w:unhideWhenUsed/>
    <w:rsid w:val="00E73AF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gettingitrightfirsttime.co.uk" TargetMode="External"/><Relationship Id="rId26" Type="http://schemas.openxmlformats.org/officeDocument/2006/relationships/hyperlink" Target="https://www.nice.org.uk" TargetMode="External"/><Relationship Id="rId21" Type="http://schemas.openxmlformats.org/officeDocument/2006/relationships/hyperlink" Target="https://www.hee.nhs.uk"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v.uk" TargetMode="External"/><Relationship Id="rId25" Type="http://schemas.openxmlformats.org/officeDocument/2006/relationships/hyperlink" Target="https://ico.org.uk" TargetMode="External"/><Relationship Id="rId33" Type="http://schemas.openxmlformats.org/officeDocument/2006/relationships/hyperlink" Target="https://www.kingsfund.org.uk" TargetMode="External"/><Relationship Id="rId2" Type="http://schemas.openxmlformats.org/officeDocument/2006/relationships/numbering" Target="numbering.xml"/><Relationship Id="rId16" Type="http://schemas.openxmlformats.org/officeDocument/2006/relationships/hyperlink" Target="https://www.cqc.org.uk" TargetMode="External"/><Relationship Id="rId20" Type="http://schemas.openxmlformats.org/officeDocument/2006/relationships/hyperlink" Target="https://www.goodthingsfoundation.org" TargetMode="External"/><Relationship Id="rId29" Type="http://schemas.openxmlformats.org/officeDocument/2006/relationships/hyperlink" Target="https://www.england.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ost.parliament.uk" TargetMode="External"/><Relationship Id="rId32" Type="http://schemas.openxmlformats.org/officeDocument/2006/relationships/hyperlink" Target="https://www.southwestlondon.icb.nhs.uk" TargetMode="External"/><Relationship Id="rId37"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www.ageuk.org.uk" TargetMode="External"/><Relationship Id="rId23" Type="http://schemas.openxmlformats.org/officeDocument/2006/relationships/hyperlink" Target="https://www.healthwatch.co.uk" TargetMode="External"/><Relationship Id="rId28" Type="http://schemas.openxmlformats.org/officeDocument/2006/relationships/hyperlink" Target="https://www.longtermplan.nhs.uk"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goodthingsfoundation.org" TargetMode="External"/><Relationship Id="rId31"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hssib.org.uk" TargetMode="External"/><Relationship Id="rId27" Type="http://schemas.openxmlformats.org/officeDocument/2006/relationships/hyperlink" Target="https://www.nhsconfed.org" TargetMode="External"/><Relationship Id="rId30" Type="http://schemas.openxmlformats.org/officeDocument/2006/relationships/hyperlink" Target="https://www.england.nhs.uk" TargetMode="External"/><Relationship Id="rId35"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C165DC-381B-4F8B-BFCA-FDCFF670E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1122</TotalTime>
  <Pages>13</Pages>
  <Words>3350</Words>
  <Characters>19098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22404</CharactersWithSpaces>
  <SharedDoc>false</SharedDoc>
  <HLinks>
    <vt:vector size="108" baseType="variant">
      <vt:variant>
        <vt:i4>5701722</vt:i4>
      </vt:variant>
      <vt:variant>
        <vt:i4>51</vt:i4>
      </vt:variant>
      <vt:variant>
        <vt:i4>0</vt:i4>
      </vt:variant>
      <vt:variant>
        <vt:i4>5</vt:i4>
      </vt:variant>
      <vt:variant>
        <vt:lpwstr>https://www.kingsfund.org.uk/</vt:lpwstr>
      </vt:variant>
      <vt:variant>
        <vt:lpwstr/>
      </vt:variant>
      <vt:variant>
        <vt:i4>7602233</vt:i4>
      </vt:variant>
      <vt:variant>
        <vt:i4>48</vt:i4>
      </vt:variant>
      <vt:variant>
        <vt:i4>0</vt:i4>
      </vt:variant>
      <vt:variant>
        <vt:i4>5</vt:i4>
      </vt:variant>
      <vt:variant>
        <vt:lpwstr>https://www.southwestlondon.icb.nhs.uk/</vt:lpwstr>
      </vt:variant>
      <vt:variant>
        <vt:lpwstr/>
      </vt:variant>
      <vt:variant>
        <vt:i4>2555951</vt:i4>
      </vt:variant>
      <vt:variant>
        <vt:i4>45</vt:i4>
      </vt:variant>
      <vt:variant>
        <vt:i4>0</vt:i4>
      </vt:variant>
      <vt:variant>
        <vt:i4>5</vt:i4>
      </vt:variant>
      <vt:variant>
        <vt:lpwstr>https://www.england.nhs.uk/</vt:lpwstr>
      </vt:variant>
      <vt:variant>
        <vt:lpwstr/>
      </vt:variant>
      <vt:variant>
        <vt:i4>2555951</vt:i4>
      </vt:variant>
      <vt:variant>
        <vt:i4>42</vt:i4>
      </vt:variant>
      <vt:variant>
        <vt:i4>0</vt:i4>
      </vt:variant>
      <vt:variant>
        <vt:i4>5</vt:i4>
      </vt:variant>
      <vt:variant>
        <vt:lpwstr>https://www.england.nhs.uk/</vt:lpwstr>
      </vt:variant>
      <vt:variant>
        <vt:lpwstr/>
      </vt:variant>
      <vt:variant>
        <vt:i4>2555951</vt:i4>
      </vt:variant>
      <vt:variant>
        <vt:i4>39</vt:i4>
      </vt:variant>
      <vt:variant>
        <vt:i4>0</vt:i4>
      </vt:variant>
      <vt:variant>
        <vt:i4>5</vt:i4>
      </vt:variant>
      <vt:variant>
        <vt:lpwstr>https://www.england.nhs.uk/</vt:lpwstr>
      </vt:variant>
      <vt:variant>
        <vt:lpwstr/>
      </vt:variant>
      <vt:variant>
        <vt:i4>852054</vt:i4>
      </vt:variant>
      <vt:variant>
        <vt:i4>36</vt:i4>
      </vt:variant>
      <vt:variant>
        <vt:i4>0</vt:i4>
      </vt:variant>
      <vt:variant>
        <vt:i4>5</vt:i4>
      </vt:variant>
      <vt:variant>
        <vt:lpwstr>https://www.longtermplan.nhs.uk/</vt:lpwstr>
      </vt:variant>
      <vt:variant>
        <vt:lpwstr/>
      </vt:variant>
      <vt:variant>
        <vt:i4>3866680</vt:i4>
      </vt:variant>
      <vt:variant>
        <vt:i4>33</vt:i4>
      </vt:variant>
      <vt:variant>
        <vt:i4>0</vt:i4>
      </vt:variant>
      <vt:variant>
        <vt:i4>5</vt:i4>
      </vt:variant>
      <vt:variant>
        <vt:lpwstr>https://www.nhsconfed.org/</vt:lpwstr>
      </vt:variant>
      <vt:variant>
        <vt:lpwstr/>
      </vt:variant>
      <vt:variant>
        <vt:i4>1441876</vt:i4>
      </vt:variant>
      <vt:variant>
        <vt:i4>30</vt:i4>
      </vt:variant>
      <vt:variant>
        <vt:i4>0</vt:i4>
      </vt:variant>
      <vt:variant>
        <vt:i4>5</vt:i4>
      </vt:variant>
      <vt:variant>
        <vt:lpwstr>https://www.nice.org.uk/</vt:lpwstr>
      </vt:variant>
      <vt:variant>
        <vt:lpwstr/>
      </vt:variant>
      <vt:variant>
        <vt:i4>2556005</vt:i4>
      </vt:variant>
      <vt:variant>
        <vt:i4>27</vt:i4>
      </vt:variant>
      <vt:variant>
        <vt:i4>0</vt:i4>
      </vt:variant>
      <vt:variant>
        <vt:i4>5</vt:i4>
      </vt:variant>
      <vt:variant>
        <vt:lpwstr>https://post.parliament.uk/</vt:lpwstr>
      </vt:variant>
      <vt:variant>
        <vt:lpwstr/>
      </vt:variant>
      <vt:variant>
        <vt:i4>3145840</vt:i4>
      </vt:variant>
      <vt:variant>
        <vt:i4>24</vt:i4>
      </vt:variant>
      <vt:variant>
        <vt:i4>0</vt:i4>
      </vt:variant>
      <vt:variant>
        <vt:i4>5</vt:i4>
      </vt:variant>
      <vt:variant>
        <vt:lpwstr>https://www.healthwatch.co.uk/</vt:lpwstr>
      </vt:variant>
      <vt:variant>
        <vt:lpwstr/>
      </vt:variant>
      <vt:variant>
        <vt:i4>4915268</vt:i4>
      </vt:variant>
      <vt:variant>
        <vt:i4>21</vt:i4>
      </vt:variant>
      <vt:variant>
        <vt:i4>0</vt:i4>
      </vt:variant>
      <vt:variant>
        <vt:i4>5</vt:i4>
      </vt:variant>
      <vt:variant>
        <vt:lpwstr>https://www.hssib.org.uk/</vt:lpwstr>
      </vt:variant>
      <vt:variant>
        <vt:lpwstr/>
      </vt:variant>
      <vt:variant>
        <vt:i4>3014693</vt:i4>
      </vt:variant>
      <vt:variant>
        <vt:i4>18</vt:i4>
      </vt:variant>
      <vt:variant>
        <vt:i4>0</vt:i4>
      </vt:variant>
      <vt:variant>
        <vt:i4>5</vt:i4>
      </vt:variant>
      <vt:variant>
        <vt:lpwstr>https://www.hee.nhs.uk/</vt:lpwstr>
      </vt:variant>
      <vt:variant>
        <vt:lpwstr/>
      </vt:variant>
      <vt:variant>
        <vt:i4>5832706</vt:i4>
      </vt:variant>
      <vt:variant>
        <vt:i4>15</vt:i4>
      </vt:variant>
      <vt:variant>
        <vt:i4>0</vt:i4>
      </vt:variant>
      <vt:variant>
        <vt:i4>5</vt:i4>
      </vt:variant>
      <vt:variant>
        <vt:lpwstr>https://www.goodthingsfoundation.org/</vt:lpwstr>
      </vt:variant>
      <vt:variant>
        <vt:lpwstr/>
      </vt:variant>
      <vt:variant>
        <vt:i4>5832706</vt:i4>
      </vt:variant>
      <vt:variant>
        <vt:i4>12</vt:i4>
      </vt:variant>
      <vt:variant>
        <vt:i4>0</vt:i4>
      </vt:variant>
      <vt:variant>
        <vt:i4>5</vt:i4>
      </vt:variant>
      <vt:variant>
        <vt:lpwstr>https://www.goodthingsfoundation.org/</vt:lpwstr>
      </vt:variant>
      <vt:variant>
        <vt:lpwstr/>
      </vt:variant>
      <vt:variant>
        <vt:i4>2556002</vt:i4>
      </vt:variant>
      <vt:variant>
        <vt:i4>9</vt:i4>
      </vt:variant>
      <vt:variant>
        <vt:i4>0</vt:i4>
      </vt:variant>
      <vt:variant>
        <vt:i4>5</vt:i4>
      </vt:variant>
      <vt:variant>
        <vt:lpwstr>https://www.gettingitrightfirsttime.co.uk/</vt:lpwstr>
      </vt:variant>
      <vt:variant>
        <vt:lpwstr/>
      </vt:variant>
      <vt:variant>
        <vt:i4>6422564</vt:i4>
      </vt:variant>
      <vt:variant>
        <vt:i4>6</vt:i4>
      </vt:variant>
      <vt:variant>
        <vt:i4>0</vt:i4>
      </vt:variant>
      <vt:variant>
        <vt:i4>5</vt:i4>
      </vt:variant>
      <vt:variant>
        <vt:lpwstr>https://www.gov.uk/</vt:lpwstr>
      </vt:variant>
      <vt:variant>
        <vt:lpwstr/>
      </vt:variant>
      <vt:variant>
        <vt:i4>2097213</vt:i4>
      </vt:variant>
      <vt:variant>
        <vt:i4>3</vt:i4>
      </vt:variant>
      <vt:variant>
        <vt:i4>0</vt:i4>
      </vt:variant>
      <vt:variant>
        <vt:i4>5</vt:i4>
      </vt:variant>
      <vt:variant>
        <vt:lpwstr>https://www.cqc.org.uk/</vt:lpwstr>
      </vt:variant>
      <vt:variant>
        <vt:lpwstr/>
      </vt:variant>
      <vt:variant>
        <vt:i4>4390994</vt:i4>
      </vt:variant>
      <vt:variant>
        <vt:i4>0</vt:i4>
      </vt:variant>
      <vt:variant>
        <vt:i4>0</vt:i4>
      </vt:variant>
      <vt:variant>
        <vt:i4>5</vt:i4>
      </vt:variant>
      <vt:variant>
        <vt:lpwstr>https://www.ageuk.org.uk/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Kareemot Tijani Tijani (2320438)</dc:creator>
  <cp:keywords/>
  <dc:description/>
  <cp:lastModifiedBy>Kareemot Tijani Tijani (2320438)</cp:lastModifiedBy>
  <cp:revision>487</cp:revision>
  <dcterms:created xsi:type="dcterms:W3CDTF">2026-02-01T22:32:00Z</dcterms:created>
  <dcterms:modified xsi:type="dcterms:W3CDTF">2026-02-28T23:04:00Z</dcterms:modified>
</cp:coreProperties>
</file>