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8A026A" w14:textId="77777777" w:rsidR="006E41E8" w:rsidRPr="00A807EB" w:rsidRDefault="006E41E8" w:rsidP="00A807EB">
      <w:pPr>
        <w:jc w:val="center"/>
        <w:rPr>
          <w:b/>
          <w:u w:val="single"/>
        </w:rPr>
      </w:pPr>
      <w:r w:rsidRPr="00A807EB">
        <w:rPr>
          <w:b/>
          <w:u w:val="single"/>
        </w:rPr>
        <w:t>Literary R</w:t>
      </w:r>
      <w:bookmarkStart w:id="0" w:name="_GoBack"/>
      <w:bookmarkEnd w:id="0"/>
      <w:r w:rsidRPr="00A807EB">
        <w:rPr>
          <w:b/>
          <w:u w:val="single"/>
        </w:rPr>
        <w:t>eview of “Citizens, Foreigners and Slaves in Greek Society” written by Nick Fisher</w:t>
      </w:r>
    </w:p>
    <w:p w14:paraId="028B4306" w14:textId="77777777" w:rsidR="006E41E8" w:rsidRDefault="006E41E8">
      <w:r>
        <w:t>The text “Citizens, Foreigners and Slaved in Greek Society” begins with the assessment that in most societies “Citizenship was tightly defined and regulated”</w:t>
      </w:r>
      <w:r>
        <w:rPr>
          <w:rStyle w:val="FootnoteReference"/>
        </w:rPr>
        <w:footnoteReference w:id="1"/>
      </w:r>
      <w:r>
        <w:t xml:space="preserve"> and all “states depended on exploited non-citizen labour forces”</w:t>
      </w:r>
      <w:r>
        <w:rPr>
          <w:rStyle w:val="FootnoteReference"/>
        </w:rPr>
        <w:footnoteReference w:id="2"/>
      </w:r>
      <w:r>
        <w:t>. In some cases these forces were known as “community slaves” the best known were the Spartan Helots. These forces were excluded from political life and are put at a legal disadvantage</w:t>
      </w:r>
      <w:r>
        <w:rPr>
          <w:rStyle w:val="FootnoteReference"/>
        </w:rPr>
        <w:footnoteReference w:id="3"/>
      </w:r>
      <w:r>
        <w:t>.</w:t>
      </w:r>
    </w:p>
    <w:p w14:paraId="3396FE98" w14:textId="77777777" w:rsidR="006E41E8" w:rsidRDefault="006E41E8">
      <w:r>
        <w:t>The next section focuses on slave societies which the text defines as “a society where slaves formed a significant proportion of the labouring population”</w:t>
      </w:r>
      <w:r>
        <w:rPr>
          <w:rStyle w:val="FootnoteReference"/>
        </w:rPr>
        <w:footnoteReference w:id="4"/>
      </w:r>
      <w:r>
        <w:t>. The author highlights the dual perceptions of slaves as both human and a tool owned by another</w:t>
      </w:r>
      <w:r>
        <w:rPr>
          <w:rStyle w:val="FootnoteReference"/>
        </w:rPr>
        <w:footnoteReference w:id="5"/>
      </w:r>
      <w:r>
        <w:t xml:space="preserve"> as a key contradiction that engenders many problems in a slave society</w:t>
      </w:r>
      <w:r>
        <w:rPr>
          <w:rStyle w:val="FootnoteReference"/>
        </w:rPr>
        <w:footnoteReference w:id="6"/>
      </w:r>
      <w:r>
        <w:t xml:space="preserve">. These problems being how their treatments is justified and how their institution can still be accepted. The author insists on the distinction between the free and the slave, commenting on </w:t>
      </w:r>
      <w:r w:rsidR="00DF7D80">
        <w:t>Aristotle’s</w:t>
      </w:r>
      <w:r>
        <w:t xml:space="preserve"> attempted justification in </w:t>
      </w:r>
      <w:r>
        <w:rPr>
          <w:i/>
        </w:rPr>
        <w:t>Politics</w:t>
      </w:r>
      <w:r>
        <w:rPr>
          <w:rStyle w:val="FootnoteReference"/>
          <w:i/>
        </w:rPr>
        <w:footnoteReference w:id="7"/>
      </w:r>
      <w:r>
        <w:t xml:space="preserve">, calling it “absurd” to refer to slavery as natural. The </w:t>
      </w:r>
      <w:r w:rsidR="00DF7D80">
        <w:t>author notes that some modern definitions follow Aristotle’s lead where as others attempt to develop analysis of the master-slave relationship</w:t>
      </w:r>
      <w:r w:rsidR="00DF7D80">
        <w:rPr>
          <w:rStyle w:val="FootnoteReference"/>
        </w:rPr>
        <w:footnoteReference w:id="8"/>
      </w:r>
      <w:r w:rsidR="00DF7D80">
        <w:t>. Key points raised are the consequence of absolute power exercised over an alienated person and the regular imposition of shame through force</w:t>
      </w:r>
      <w:r w:rsidR="00DF7D80">
        <w:rPr>
          <w:rStyle w:val="FootnoteReference"/>
        </w:rPr>
        <w:footnoteReference w:id="9"/>
      </w:r>
      <w:r w:rsidR="00DF7D80">
        <w:t>.</w:t>
      </w:r>
    </w:p>
    <w:p w14:paraId="42B1D6A7" w14:textId="77777777" w:rsidR="00DF7D80" w:rsidRDefault="00DF7D80">
      <w:r>
        <w:t>The third section concerns Sparta and Helots specifically. The author highlights that the Helots didn’t belong to a specific master and that they lived with their families in local communities. Because of this the author highlights the treatment of the Helots was contradictory “mixing elements of integration and encouragement with terror and savagery”</w:t>
      </w:r>
      <w:r>
        <w:rPr>
          <w:rStyle w:val="FootnoteReference"/>
        </w:rPr>
        <w:footnoteReference w:id="10"/>
      </w:r>
      <w:r>
        <w:t>. The latter is shown through how Spartan youths completing their education were sent out with daggers at night to cull wandering Helots. The author proposes this both imposes a curfew as well as killing Helots who were considered strong or brave. These targeted killings were authorised suggesting the Helots were a constant threat to the Spartans and Aristotle reported upon the election of five new Ephors each year, they would declare war on the Helots in order to cull them without religious pollution</w:t>
      </w:r>
      <w:r>
        <w:rPr>
          <w:rStyle w:val="FootnoteReference"/>
        </w:rPr>
        <w:footnoteReference w:id="11"/>
      </w:r>
      <w:r>
        <w:t>. The author also highlights the contradictory treatment recorded by Thucydides in that 2,000 of the bravest Helots were ‘set free’ yet disappeared but also recorded that during the Peloponnesian War the Helots were armed and trained as Hoplites with the promise of liberation</w:t>
      </w:r>
      <w:r>
        <w:rPr>
          <w:rStyle w:val="FootnoteReference"/>
        </w:rPr>
        <w:footnoteReference w:id="12"/>
      </w:r>
      <w:r>
        <w:t>.</w:t>
      </w:r>
    </w:p>
    <w:p w14:paraId="3B848F72" w14:textId="77777777" w:rsidR="00DF7D80" w:rsidRDefault="00DF7D80">
      <w:r>
        <w:t xml:space="preserve">The fourth section concerns slaves and ex-slaves in Athens. The author comments that </w:t>
      </w:r>
      <w:r w:rsidR="00A807EB">
        <w:t>it’s</w:t>
      </w:r>
      <w:r>
        <w:t xml:space="preserve"> an indication of severe poverty if one did not own a slave and that many would one day aspire to be able to. Evidence from the military suggests that slaves attended their masters and fought on campaign</w:t>
      </w:r>
      <w:r>
        <w:rPr>
          <w:rStyle w:val="FootnoteReference"/>
        </w:rPr>
        <w:footnoteReference w:id="13"/>
      </w:r>
      <w:r>
        <w:t>. An account from Thucydides states that men were expected to take a slave as a baggage carrier in the Peloponnesian War</w:t>
      </w:r>
      <w:r w:rsidR="00A807EB">
        <w:rPr>
          <w:rStyle w:val="FootnoteReference"/>
        </w:rPr>
        <w:footnoteReference w:id="14"/>
      </w:r>
      <w:r>
        <w:t xml:space="preserve">. The Old Oligarch stated that the freedom of richer slaves </w:t>
      </w:r>
      <w:r>
        <w:lastRenderedPageBreak/>
        <w:t>sometimes made it hard to distinguish them from free men</w:t>
      </w:r>
      <w:r w:rsidR="00A807EB">
        <w:rPr>
          <w:rStyle w:val="FootnoteReference"/>
        </w:rPr>
        <w:footnoteReference w:id="15"/>
      </w:r>
      <w:r>
        <w:t>. The author records the laws acknowledgement of the need to provide slaves with some protection. Homicide, by a slave owner, could be prosecuted by another citizen, but this seemed unlikely due to the solidarity between slave owners</w:t>
      </w:r>
      <w:r>
        <w:rPr>
          <w:rStyle w:val="FootnoteReference"/>
        </w:rPr>
        <w:footnoteReference w:id="16"/>
      </w:r>
      <w:r w:rsidR="00A807EB">
        <w:t>. Athenian juries did lean towards protecting a slave’s honour in the case of insult or sexual assault</w:t>
      </w:r>
      <w:r w:rsidR="00A807EB">
        <w:rPr>
          <w:rStyle w:val="FootnoteReference"/>
        </w:rPr>
        <w:footnoteReference w:id="17"/>
      </w:r>
      <w:r w:rsidR="00A807EB">
        <w:t xml:space="preserve"> showing the contradiction between seeing the slaves as property or as human. The author also records that ex-slaves were still expected to show respect and offer economic services to their former masters who would now act as their legal champion and protector</w:t>
      </w:r>
      <w:r w:rsidR="00A807EB">
        <w:rPr>
          <w:rStyle w:val="FootnoteReference"/>
        </w:rPr>
        <w:footnoteReference w:id="18"/>
      </w:r>
      <w:r w:rsidR="00A807EB">
        <w:t>.</w:t>
      </w:r>
    </w:p>
    <w:p w14:paraId="677FECE4" w14:textId="77777777" w:rsidR="00A807EB" w:rsidRDefault="00A807EB">
      <w:r>
        <w:t>The final section of this text focuses on metics and foreigners in Athens. The author notes that there were associations committed to encouraging the integration and interaction of metics and foreigners with the Athenian citizenry</w:t>
      </w:r>
      <w:r>
        <w:rPr>
          <w:rStyle w:val="FootnoteReference"/>
        </w:rPr>
        <w:footnoteReference w:id="19"/>
      </w:r>
      <w:r>
        <w:t>. This was a result of fluctuating attitudes between acceptance and hostility towards metics and foreigners</w:t>
      </w:r>
      <w:r>
        <w:rPr>
          <w:rStyle w:val="FootnoteReference"/>
        </w:rPr>
        <w:footnoteReference w:id="20"/>
      </w:r>
      <w:r>
        <w:t>. The author detailed a type of hierarchy slaves which developed as the Greek state developed their definition of citizenship</w:t>
      </w:r>
      <w:r>
        <w:rPr>
          <w:rStyle w:val="FootnoteReference"/>
        </w:rPr>
        <w:footnoteReference w:id="21"/>
      </w:r>
      <w:r>
        <w:t>. Those who had rights in all fields were held above slaves and helots and the free outsiders were held below this.</w:t>
      </w:r>
    </w:p>
    <w:p w14:paraId="31AFD6EC" w14:textId="77777777" w:rsidR="00A807EB" w:rsidRPr="006E41E8" w:rsidRDefault="00A807EB">
      <w:r>
        <w:t>To conclude, the text “Citizens, Foreigners and Slaves in Greek Society” presents a balanced account of the position of slaves and other groups in Greek society, the author draws on substantial contradictions in the view of slave treatment and uses the authors Aristotle and Thucydides to highlight these further using the contradictions in their own works.</w:t>
      </w:r>
    </w:p>
    <w:p w14:paraId="41D4EB62" w14:textId="77777777" w:rsidR="006E41E8" w:rsidRDefault="00A807EB">
      <w:r>
        <w:tab/>
      </w:r>
      <w:r>
        <w:tab/>
      </w:r>
      <w:r>
        <w:tab/>
      </w:r>
      <w:r>
        <w:tab/>
      </w:r>
      <w:r>
        <w:tab/>
      </w:r>
      <w:r>
        <w:tab/>
      </w:r>
      <w:r>
        <w:tab/>
      </w:r>
      <w:r>
        <w:tab/>
      </w:r>
      <w:r>
        <w:tab/>
      </w:r>
      <w:r>
        <w:tab/>
        <w:t>(734 Words)</w:t>
      </w:r>
    </w:p>
    <w:p w14:paraId="2056EBAA" w14:textId="77777777" w:rsidR="006E41E8" w:rsidRDefault="006E41E8"/>
    <w:p w14:paraId="419BA329" w14:textId="77777777" w:rsidR="00A807EB" w:rsidRDefault="00A807EB"/>
    <w:p w14:paraId="0ACF43E6" w14:textId="77777777" w:rsidR="00A807EB" w:rsidRDefault="00A807EB"/>
    <w:p w14:paraId="4C6C8687" w14:textId="77777777" w:rsidR="00A807EB" w:rsidRDefault="00A807EB"/>
    <w:p w14:paraId="7A71B6D1" w14:textId="77777777" w:rsidR="00A807EB" w:rsidRDefault="00A807EB"/>
    <w:p w14:paraId="777F5E98" w14:textId="77777777" w:rsidR="00A807EB" w:rsidRDefault="00A807EB"/>
    <w:p w14:paraId="6C5CD1FF" w14:textId="77777777" w:rsidR="00A807EB" w:rsidRDefault="00A807EB"/>
    <w:p w14:paraId="3FF10951" w14:textId="77777777" w:rsidR="00A807EB" w:rsidRDefault="00A807EB"/>
    <w:p w14:paraId="1CFF2EA3" w14:textId="77777777" w:rsidR="00A807EB" w:rsidRDefault="00A807EB"/>
    <w:p w14:paraId="04ACDE43" w14:textId="77777777" w:rsidR="00A807EB" w:rsidRDefault="00A807EB"/>
    <w:p w14:paraId="76D768E8" w14:textId="77777777" w:rsidR="00A807EB" w:rsidRDefault="00A807EB"/>
    <w:p w14:paraId="40E091CE" w14:textId="77777777" w:rsidR="00A807EB" w:rsidRDefault="00A807EB"/>
    <w:p w14:paraId="024659B1" w14:textId="77777777" w:rsidR="006E41E8" w:rsidRDefault="006E41E8"/>
    <w:p w14:paraId="5FEB8436" w14:textId="77777777" w:rsidR="006E41E8" w:rsidRPr="00A807EB" w:rsidRDefault="006E41E8" w:rsidP="00A807EB">
      <w:pPr>
        <w:jc w:val="center"/>
        <w:rPr>
          <w:b/>
          <w:u w:val="single"/>
        </w:rPr>
      </w:pPr>
      <w:r w:rsidRPr="00A807EB">
        <w:rPr>
          <w:b/>
          <w:u w:val="single"/>
        </w:rPr>
        <w:lastRenderedPageBreak/>
        <w:t>Bibliography:</w:t>
      </w:r>
    </w:p>
    <w:p w14:paraId="693BEC33" w14:textId="77777777" w:rsidR="006E41E8" w:rsidRDefault="006E41E8" w:rsidP="006E41E8">
      <w:pPr>
        <w:widowControl w:val="0"/>
        <w:autoSpaceDE w:val="0"/>
        <w:autoSpaceDN w:val="0"/>
        <w:adjustRightInd w:val="0"/>
        <w:rPr>
          <w:rFonts w:ascii="Helvetica" w:hAnsi="Helvetica" w:cs="Helvetica"/>
          <w:i/>
          <w:iCs/>
          <w:color w:val="000000"/>
          <w:lang w:val="en-US"/>
        </w:rPr>
      </w:pPr>
    </w:p>
    <w:p w14:paraId="3AE1568A" w14:textId="77777777" w:rsidR="006E41E8" w:rsidRPr="004A0A22" w:rsidRDefault="006E41E8" w:rsidP="006E41E8">
      <w:pPr>
        <w:widowControl w:val="0"/>
        <w:autoSpaceDE w:val="0"/>
        <w:autoSpaceDN w:val="0"/>
        <w:adjustRightInd w:val="0"/>
        <w:ind w:left="720" w:hanging="720"/>
        <w:rPr>
          <w:rFonts w:ascii="Helvetica" w:hAnsi="Helvetica" w:cs="Helvetica"/>
          <w:iCs/>
          <w:color w:val="000000"/>
          <w:lang w:val="en-US"/>
        </w:rPr>
      </w:pPr>
      <w:r>
        <w:rPr>
          <w:rFonts w:ascii="Helvetica" w:hAnsi="Helvetica" w:cs="Helvetica"/>
          <w:iCs/>
          <w:color w:val="000000"/>
          <w:lang w:val="en-US"/>
        </w:rPr>
        <w:t>Fisher, Nick (2006) ‘</w:t>
      </w:r>
      <w:r w:rsidRPr="000C0C40">
        <w:rPr>
          <w:rFonts w:ascii="Helvetica" w:hAnsi="Helvetica" w:cs="Helvetica"/>
          <w:iCs/>
          <w:color w:val="000000"/>
          <w:lang w:val="en-US"/>
        </w:rPr>
        <w:t>Citizens, Foreigners and Slaves in Greek Society’</w:t>
      </w:r>
      <w:r>
        <w:rPr>
          <w:rFonts w:ascii="Helvetica" w:hAnsi="Helvetica" w:cs="Helvetica"/>
          <w:iCs/>
          <w:color w:val="000000"/>
          <w:lang w:val="en-US"/>
        </w:rPr>
        <w:t xml:space="preserve"> </w:t>
      </w:r>
      <w:r>
        <w:rPr>
          <w:rFonts w:ascii="Helvetica" w:hAnsi="Helvetica" w:cs="Helvetica"/>
          <w:i/>
          <w:iCs/>
          <w:color w:val="000000"/>
          <w:lang w:val="en-US"/>
        </w:rPr>
        <w:t>Blackwell Companion to the Classical Greek World</w:t>
      </w:r>
      <w:r>
        <w:rPr>
          <w:rFonts w:ascii="Helvetica" w:hAnsi="Helvetica" w:cs="Helvetica"/>
          <w:iCs/>
          <w:color w:val="000000"/>
          <w:lang w:val="en-US"/>
        </w:rPr>
        <w:t xml:space="preserve">, </w:t>
      </w:r>
      <w:r>
        <w:rPr>
          <w:rFonts w:ascii="Helvetica" w:hAnsi="Helvetica" w:cs="Helvetica"/>
          <w:lang w:val="en-US"/>
        </w:rPr>
        <w:t xml:space="preserve">Konrad H. </w:t>
      </w:r>
      <w:proofErr w:type="spellStart"/>
      <w:r>
        <w:rPr>
          <w:rFonts w:ascii="Helvetica" w:hAnsi="Helvetica" w:cs="Helvetica"/>
          <w:lang w:val="en-US"/>
        </w:rPr>
        <w:t>Kinzl</w:t>
      </w:r>
      <w:proofErr w:type="spellEnd"/>
      <w:r>
        <w:rPr>
          <w:rFonts w:ascii="Helvetica" w:hAnsi="Helvetica" w:cs="Helvetica"/>
          <w:lang w:val="en-US"/>
        </w:rPr>
        <w:t xml:space="preserve"> (ed.) Wiley-Blackwell</w:t>
      </w:r>
      <w:r>
        <w:rPr>
          <w:rFonts w:ascii="Helvetica" w:hAnsi="Helvetica" w:cs="Helvetica"/>
          <w:iCs/>
          <w:color w:val="000000"/>
          <w:lang w:val="en-US"/>
        </w:rPr>
        <w:t xml:space="preserve"> (938 COM)</w:t>
      </w:r>
    </w:p>
    <w:p w14:paraId="71C1C931" w14:textId="77777777" w:rsidR="006E41E8" w:rsidRDefault="006E41E8"/>
    <w:sectPr w:rsidR="006E41E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7A9B30" w14:textId="77777777" w:rsidR="006E41E8" w:rsidRDefault="006E41E8" w:rsidP="006E41E8">
      <w:pPr>
        <w:spacing w:after="0" w:line="240" w:lineRule="auto"/>
      </w:pPr>
      <w:r>
        <w:separator/>
      </w:r>
    </w:p>
  </w:endnote>
  <w:endnote w:type="continuationSeparator" w:id="0">
    <w:p w14:paraId="5E7E0C73" w14:textId="77777777" w:rsidR="006E41E8" w:rsidRDefault="006E41E8" w:rsidP="006E4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A196D0" w14:textId="77777777" w:rsidR="006E41E8" w:rsidRDefault="006E41E8" w:rsidP="006E41E8">
      <w:pPr>
        <w:spacing w:after="0" w:line="240" w:lineRule="auto"/>
      </w:pPr>
      <w:r>
        <w:separator/>
      </w:r>
    </w:p>
  </w:footnote>
  <w:footnote w:type="continuationSeparator" w:id="0">
    <w:p w14:paraId="2B7992D9" w14:textId="77777777" w:rsidR="006E41E8" w:rsidRDefault="006E41E8" w:rsidP="006E41E8">
      <w:pPr>
        <w:spacing w:after="0" w:line="240" w:lineRule="auto"/>
      </w:pPr>
      <w:r>
        <w:continuationSeparator/>
      </w:r>
    </w:p>
  </w:footnote>
  <w:footnote w:id="1">
    <w:p w14:paraId="5189DD01" w14:textId="77777777" w:rsidR="006E41E8" w:rsidRDefault="006E41E8">
      <w:pPr>
        <w:pStyle w:val="FootnoteText"/>
      </w:pPr>
      <w:r>
        <w:rPr>
          <w:rStyle w:val="FootnoteReference"/>
        </w:rPr>
        <w:footnoteRef/>
      </w:r>
      <w:r>
        <w:t xml:space="preserve"> </w:t>
      </w:r>
      <w:r w:rsidR="00A807EB">
        <w:t>Fisher, (2006)</w:t>
      </w:r>
    </w:p>
  </w:footnote>
  <w:footnote w:id="2">
    <w:p w14:paraId="30F04E39" w14:textId="77777777" w:rsidR="006E41E8" w:rsidRDefault="006E41E8">
      <w:pPr>
        <w:pStyle w:val="FootnoteText"/>
      </w:pPr>
      <w:r>
        <w:rPr>
          <w:rStyle w:val="FootnoteReference"/>
        </w:rPr>
        <w:footnoteRef/>
      </w:r>
      <w:r>
        <w:t xml:space="preserve"> </w:t>
      </w:r>
      <w:r w:rsidR="00A807EB">
        <w:t>Fisher, (2006)</w:t>
      </w:r>
    </w:p>
  </w:footnote>
  <w:footnote w:id="3">
    <w:p w14:paraId="0DF5B8E7" w14:textId="77777777" w:rsidR="006E41E8" w:rsidRDefault="006E41E8">
      <w:pPr>
        <w:pStyle w:val="FootnoteText"/>
      </w:pPr>
      <w:r>
        <w:rPr>
          <w:rStyle w:val="FootnoteReference"/>
        </w:rPr>
        <w:footnoteRef/>
      </w:r>
      <w:r>
        <w:t xml:space="preserve"> </w:t>
      </w:r>
      <w:r w:rsidR="00A807EB">
        <w:t>Fisher, (2006)</w:t>
      </w:r>
    </w:p>
  </w:footnote>
  <w:footnote w:id="4">
    <w:p w14:paraId="26C32161" w14:textId="77777777" w:rsidR="006E41E8" w:rsidRDefault="006E41E8">
      <w:pPr>
        <w:pStyle w:val="FootnoteText"/>
      </w:pPr>
      <w:r>
        <w:rPr>
          <w:rStyle w:val="FootnoteReference"/>
        </w:rPr>
        <w:footnoteRef/>
      </w:r>
      <w:r>
        <w:t xml:space="preserve"> </w:t>
      </w:r>
      <w:r w:rsidR="00A807EB">
        <w:t>Fisher, (2006)</w:t>
      </w:r>
    </w:p>
  </w:footnote>
  <w:footnote w:id="5">
    <w:p w14:paraId="26E44734" w14:textId="77777777" w:rsidR="006E41E8" w:rsidRDefault="006E41E8">
      <w:pPr>
        <w:pStyle w:val="FootnoteText"/>
      </w:pPr>
      <w:r>
        <w:rPr>
          <w:rStyle w:val="FootnoteReference"/>
        </w:rPr>
        <w:footnoteRef/>
      </w:r>
      <w:r>
        <w:t xml:space="preserve"> </w:t>
      </w:r>
      <w:r w:rsidR="00A807EB">
        <w:t>Fisher, (2006)</w:t>
      </w:r>
    </w:p>
  </w:footnote>
  <w:footnote w:id="6">
    <w:p w14:paraId="1E8C5BE0" w14:textId="77777777" w:rsidR="006E41E8" w:rsidRDefault="006E41E8">
      <w:pPr>
        <w:pStyle w:val="FootnoteText"/>
      </w:pPr>
      <w:r>
        <w:rPr>
          <w:rStyle w:val="FootnoteReference"/>
        </w:rPr>
        <w:footnoteRef/>
      </w:r>
      <w:r>
        <w:t xml:space="preserve"> </w:t>
      </w:r>
      <w:r w:rsidR="00A807EB">
        <w:t>Fisher, (2006)</w:t>
      </w:r>
    </w:p>
  </w:footnote>
  <w:footnote w:id="7">
    <w:p w14:paraId="09AD6CE1" w14:textId="77777777" w:rsidR="006E41E8" w:rsidRDefault="006E41E8">
      <w:pPr>
        <w:pStyle w:val="FootnoteText"/>
      </w:pPr>
      <w:r>
        <w:rPr>
          <w:rStyle w:val="FootnoteReference"/>
        </w:rPr>
        <w:footnoteRef/>
      </w:r>
      <w:r>
        <w:t xml:space="preserve"> </w:t>
      </w:r>
      <w:r w:rsidR="00A807EB">
        <w:t>Fisher, (2006)</w:t>
      </w:r>
    </w:p>
  </w:footnote>
  <w:footnote w:id="8">
    <w:p w14:paraId="5D36B8AC" w14:textId="77777777" w:rsidR="00DF7D80" w:rsidRDefault="00DF7D80">
      <w:pPr>
        <w:pStyle w:val="FootnoteText"/>
      </w:pPr>
      <w:r>
        <w:rPr>
          <w:rStyle w:val="FootnoteReference"/>
        </w:rPr>
        <w:footnoteRef/>
      </w:r>
      <w:r>
        <w:t xml:space="preserve"> </w:t>
      </w:r>
      <w:r w:rsidR="00A807EB">
        <w:t>Fisher, (2006)</w:t>
      </w:r>
    </w:p>
  </w:footnote>
  <w:footnote w:id="9">
    <w:p w14:paraId="17577C86" w14:textId="77777777" w:rsidR="00DF7D80" w:rsidRDefault="00DF7D80">
      <w:pPr>
        <w:pStyle w:val="FootnoteText"/>
      </w:pPr>
      <w:r>
        <w:rPr>
          <w:rStyle w:val="FootnoteReference"/>
        </w:rPr>
        <w:footnoteRef/>
      </w:r>
      <w:r>
        <w:t xml:space="preserve"> </w:t>
      </w:r>
      <w:r w:rsidR="00A807EB">
        <w:t>Fisher, (2006)</w:t>
      </w:r>
    </w:p>
  </w:footnote>
  <w:footnote w:id="10">
    <w:p w14:paraId="1250D296" w14:textId="77777777" w:rsidR="00DF7D80" w:rsidRDefault="00DF7D80">
      <w:pPr>
        <w:pStyle w:val="FootnoteText"/>
      </w:pPr>
      <w:r>
        <w:rPr>
          <w:rStyle w:val="FootnoteReference"/>
        </w:rPr>
        <w:footnoteRef/>
      </w:r>
      <w:r>
        <w:t xml:space="preserve"> </w:t>
      </w:r>
      <w:r w:rsidR="00A807EB">
        <w:t>Fisher, (2006)</w:t>
      </w:r>
    </w:p>
  </w:footnote>
  <w:footnote w:id="11">
    <w:p w14:paraId="41AB76EB" w14:textId="77777777" w:rsidR="00DF7D80" w:rsidRDefault="00DF7D80">
      <w:pPr>
        <w:pStyle w:val="FootnoteText"/>
      </w:pPr>
      <w:r>
        <w:rPr>
          <w:rStyle w:val="FootnoteReference"/>
        </w:rPr>
        <w:footnoteRef/>
      </w:r>
      <w:r>
        <w:t xml:space="preserve"> </w:t>
      </w:r>
      <w:r w:rsidR="00A807EB">
        <w:t>Fisher, (2006)</w:t>
      </w:r>
    </w:p>
  </w:footnote>
  <w:footnote w:id="12">
    <w:p w14:paraId="69FDF893" w14:textId="77777777" w:rsidR="00DF7D80" w:rsidRDefault="00DF7D80">
      <w:pPr>
        <w:pStyle w:val="FootnoteText"/>
      </w:pPr>
      <w:r>
        <w:rPr>
          <w:rStyle w:val="FootnoteReference"/>
        </w:rPr>
        <w:footnoteRef/>
      </w:r>
      <w:r>
        <w:t xml:space="preserve"> </w:t>
      </w:r>
      <w:r w:rsidR="00A807EB">
        <w:t>Fisher, (2006)</w:t>
      </w:r>
    </w:p>
  </w:footnote>
  <w:footnote w:id="13">
    <w:p w14:paraId="4F360C1F" w14:textId="77777777" w:rsidR="00DF7D80" w:rsidRDefault="00DF7D80">
      <w:pPr>
        <w:pStyle w:val="FootnoteText"/>
      </w:pPr>
      <w:r>
        <w:rPr>
          <w:rStyle w:val="FootnoteReference"/>
        </w:rPr>
        <w:footnoteRef/>
      </w:r>
      <w:r>
        <w:t xml:space="preserve"> </w:t>
      </w:r>
      <w:r w:rsidR="00A807EB">
        <w:t>Fisher, (2006)</w:t>
      </w:r>
    </w:p>
  </w:footnote>
  <w:footnote w:id="14">
    <w:p w14:paraId="677BF09A" w14:textId="77777777" w:rsidR="00A807EB" w:rsidRDefault="00A807EB">
      <w:pPr>
        <w:pStyle w:val="FootnoteText"/>
      </w:pPr>
      <w:r>
        <w:rPr>
          <w:rStyle w:val="FootnoteReference"/>
        </w:rPr>
        <w:footnoteRef/>
      </w:r>
      <w:r>
        <w:t xml:space="preserve"> </w:t>
      </w:r>
      <w:r>
        <w:t>Fisher, (2006)</w:t>
      </w:r>
    </w:p>
  </w:footnote>
  <w:footnote w:id="15">
    <w:p w14:paraId="18CA4101" w14:textId="77777777" w:rsidR="00A807EB" w:rsidRDefault="00A807EB">
      <w:pPr>
        <w:pStyle w:val="FootnoteText"/>
      </w:pPr>
      <w:r>
        <w:rPr>
          <w:rStyle w:val="FootnoteReference"/>
        </w:rPr>
        <w:footnoteRef/>
      </w:r>
      <w:r>
        <w:t xml:space="preserve"> </w:t>
      </w:r>
      <w:r>
        <w:t>Fisher, (2006)</w:t>
      </w:r>
    </w:p>
  </w:footnote>
  <w:footnote w:id="16">
    <w:p w14:paraId="222C7CE9" w14:textId="77777777" w:rsidR="00DF7D80" w:rsidRDefault="00DF7D80">
      <w:pPr>
        <w:pStyle w:val="FootnoteText"/>
      </w:pPr>
      <w:r>
        <w:rPr>
          <w:rStyle w:val="FootnoteReference"/>
        </w:rPr>
        <w:footnoteRef/>
      </w:r>
      <w:r>
        <w:t xml:space="preserve"> </w:t>
      </w:r>
      <w:r w:rsidR="00A807EB">
        <w:t>Fisher, (2006)</w:t>
      </w:r>
    </w:p>
  </w:footnote>
  <w:footnote w:id="17">
    <w:p w14:paraId="1FC0BD4E" w14:textId="77777777" w:rsidR="00A807EB" w:rsidRDefault="00A807EB">
      <w:pPr>
        <w:pStyle w:val="FootnoteText"/>
      </w:pPr>
      <w:r>
        <w:rPr>
          <w:rStyle w:val="FootnoteReference"/>
        </w:rPr>
        <w:footnoteRef/>
      </w:r>
      <w:r>
        <w:t xml:space="preserve"> </w:t>
      </w:r>
      <w:r>
        <w:t>Fisher, (2006)</w:t>
      </w:r>
    </w:p>
  </w:footnote>
  <w:footnote w:id="18">
    <w:p w14:paraId="402B17D4" w14:textId="77777777" w:rsidR="00A807EB" w:rsidRDefault="00A807EB">
      <w:pPr>
        <w:pStyle w:val="FootnoteText"/>
      </w:pPr>
      <w:r>
        <w:rPr>
          <w:rStyle w:val="FootnoteReference"/>
        </w:rPr>
        <w:footnoteRef/>
      </w:r>
      <w:r>
        <w:t xml:space="preserve"> </w:t>
      </w:r>
      <w:r>
        <w:t>Fisher, (2006)</w:t>
      </w:r>
    </w:p>
  </w:footnote>
  <w:footnote w:id="19">
    <w:p w14:paraId="503DE639" w14:textId="77777777" w:rsidR="00A807EB" w:rsidRDefault="00A807EB">
      <w:pPr>
        <w:pStyle w:val="FootnoteText"/>
      </w:pPr>
      <w:r>
        <w:rPr>
          <w:rStyle w:val="FootnoteReference"/>
        </w:rPr>
        <w:footnoteRef/>
      </w:r>
      <w:r>
        <w:t xml:space="preserve"> </w:t>
      </w:r>
      <w:r>
        <w:t>Fisher, (2006)</w:t>
      </w:r>
    </w:p>
  </w:footnote>
  <w:footnote w:id="20">
    <w:p w14:paraId="71B5FA1C" w14:textId="77777777" w:rsidR="00A807EB" w:rsidRDefault="00A807EB">
      <w:pPr>
        <w:pStyle w:val="FootnoteText"/>
      </w:pPr>
      <w:r>
        <w:rPr>
          <w:rStyle w:val="FootnoteReference"/>
        </w:rPr>
        <w:footnoteRef/>
      </w:r>
      <w:r>
        <w:t xml:space="preserve"> </w:t>
      </w:r>
      <w:r>
        <w:t>Fisher, (2006)</w:t>
      </w:r>
    </w:p>
  </w:footnote>
  <w:footnote w:id="21">
    <w:p w14:paraId="6D490978" w14:textId="77777777" w:rsidR="00A807EB" w:rsidRDefault="00A807EB">
      <w:pPr>
        <w:pStyle w:val="FootnoteText"/>
      </w:pPr>
      <w:r>
        <w:rPr>
          <w:rStyle w:val="FootnoteReference"/>
        </w:rPr>
        <w:footnoteRef/>
      </w:r>
      <w:r>
        <w:t xml:space="preserve"> </w:t>
      </w:r>
      <w:r>
        <w:t>Fisher, (2006)</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9DCFF" w14:textId="77777777" w:rsidR="006E41E8" w:rsidRDefault="006E41E8">
    <w:pPr>
      <w:pStyle w:val="Header"/>
    </w:pPr>
    <w:r>
      <w:t>Tamara Bowie</w:t>
    </w:r>
    <w:r>
      <w:tab/>
      <w:t xml:space="preserve">     Methods and Approaches: Exploring Sustainability in the Ancient World</w:t>
    </w:r>
    <w:r>
      <w:tab/>
      <w:t>1601293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1E8"/>
    <w:rsid w:val="000851A2"/>
    <w:rsid w:val="006E41E8"/>
    <w:rsid w:val="00A807EB"/>
    <w:rsid w:val="00DF7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3E906"/>
  <w15:chartTrackingRefBased/>
  <w15:docId w15:val="{2A0A8BC1-740B-4A3D-84D4-7965D040C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4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1E8"/>
  </w:style>
  <w:style w:type="paragraph" w:styleId="Footer">
    <w:name w:val="footer"/>
    <w:basedOn w:val="Normal"/>
    <w:link w:val="FooterChar"/>
    <w:uiPriority w:val="99"/>
    <w:unhideWhenUsed/>
    <w:rsid w:val="006E4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1E8"/>
  </w:style>
  <w:style w:type="paragraph" w:styleId="FootnoteText">
    <w:name w:val="footnote text"/>
    <w:basedOn w:val="Normal"/>
    <w:link w:val="FootnoteTextChar"/>
    <w:uiPriority w:val="99"/>
    <w:semiHidden/>
    <w:unhideWhenUsed/>
    <w:rsid w:val="006E41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41E8"/>
    <w:rPr>
      <w:sz w:val="20"/>
      <w:szCs w:val="20"/>
    </w:rPr>
  </w:style>
  <w:style w:type="character" w:styleId="FootnoteReference">
    <w:name w:val="footnote reference"/>
    <w:basedOn w:val="DefaultParagraphFont"/>
    <w:uiPriority w:val="99"/>
    <w:semiHidden/>
    <w:unhideWhenUsed/>
    <w:rsid w:val="006E41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05E63-AB59-40A4-AFC1-E2EFD79D7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722</Words>
  <Characters>4120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dc:creator>
  <cp:keywords/>
  <dc:description/>
  <cp:lastModifiedBy>Tamara Bowie (1601293)</cp:lastModifiedBy>
  <cp:revision>2</cp:revision>
  <dcterms:created xsi:type="dcterms:W3CDTF">2017-11-27T15:26:00Z</dcterms:created>
  <dcterms:modified xsi:type="dcterms:W3CDTF">2017-11-27T15:26:00Z</dcterms:modified>
</cp:coreProperties>
</file>