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7CEE8E" w14:textId="77777777" w:rsidR="004619AB" w:rsidRPr="00EF1BA3" w:rsidRDefault="004619AB" w:rsidP="00724846">
      <w:pPr>
        <w:tabs>
          <w:tab w:val="left" w:pos="90"/>
        </w:tabs>
        <w:spacing w:after="0" w:line="480" w:lineRule="auto"/>
        <w:jc w:val="center"/>
        <w:rPr>
          <w:rFonts w:ascii="Times New Roman" w:hAnsi="Times New Roman" w:cs="Times New Roman"/>
          <w:sz w:val="32"/>
          <w:szCs w:val="32"/>
        </w:rPr>
      </w:pPr>
      <w:bookmarkStart w:id="0" w:name="code"/>
      <w:r w:rsidRPr="00EF1BA3">
        <w:rPr>
          <w:rFonts w:ascii="Times New Roman" w:hAnsi="Times New Roman" w:cs="Times New Roman"/>
          <w:b/>
          <w:sz w:val="32"/>
          <w:szCs w:val="32"/>
          <w:lang w:eastAsia="zh-CN"/>
        </w:rPr>
        <w:t>Financial Management</w:t>
      </w:r>
      <w:r w:rsidRPr="00EF1BA3">
        <w:rPr>
          <w:rFonts w:ascii="Times New Roman" w:hAnsi="Times New Roman" w:cs="Times New Roman"/>
          <w:b/>
          <w:bCs/>
          <w:sz w:val="32"/>
          <w:szCs w:val="32"/>
        </w:rPr>
        <w:t xml:space="preserve"> (</w:t>
      </w:r>
      <w:r w:rsidRPr="00EF1BA3">
        <w:rPr>
          <w:rFonts w:ascii="Times New Roman" w:hAnsi="Times New Roman" w:cs="Times New Roman"/>
          <w:b/>
          <w:sz w:val="32"/>
          <w:szCs w:val="32"/>
          <w:lang w:eastAsia="zh-CN"/>
        </w:rPr>
        <w:t>SBMA7100D</w:t>
      </w:r>
      <w:r w:rsidRPr="00EF1BA3">
        <w:rPr>
          <w:rFonts w:ascii="Times New Roman" w:hAnsi="Times New Roman" w:cs="Times New Roman"/>
          <w:b/>
          <w:bCs/>
          <w:sz w:val="32"/>
          <w:szCs w:val="32"/>
          <w:lang w:val="en-CA"/>
        </w:rPr>
        <w:t>)</w:t>
      </w:r>
    </w:p>
    <w:p w14:paraId="02D8AFB5" w14:textId="77777777" w:rsidR="004619AB" w:rsidRPr="00EF1BA3" w:rsidRDefault="004619AB" w:rsidP="00724846">
      <w:pPr>
        <w:tabs>
          <w:tab w:val="left" w:pos="90"/>
        </w:tabs>
        <w:spacing w:after="0" w:line="480" w:lineRule="auto"/>
        <w:jc w:val="center"/>
        <w:rPr>
          <w:rFonts w:ascii="Times New Roman" w:hAnsi="Times New Roman" w:cs="Times New Roman"/>
          <w:b/>
          <w:bCs/>
          <w:sz w:val="32"/>
          <w:szCs w:val="32"/>
          <w:lang w:val="en-CA"/>
        </w:rPr>
      </w:pPr>
      <w:r w:rsidRPr="00AC365A">
        <w:rPr>
          <w:rFonts w:ascii="Times New Roman" w:hAnsi="Times New Roman" w:cs="Times New Roman"/>
          <w:b/>
          <w:sz w:val="32"/>
          <w:szCs w:val="32"/>
          <w:lang w:eastAsia="zh-CN"/>
        </w:rPr>
        <w:t>Ratio Analysis of BHP Billiton PLC</w:t>
      </w:r>
    </w:p>
    <w:p w14:paraId="4DD95871" w14:textId="77777777" w:rsidR="004619AB" w:rsidRPr="00EF1BA3" w:rsidRDefault="004619AB" w:rsidP="00724846">
      <w:pPr>
        <w:spacing w:after="0" w:line="480" w:lineRule="auto"/>
        <w:jc w:val="center"/>
        <w:rPr>
          <w:rFonts w:ascii="Times New Roman" w:hAnsi="Times New Roman" w:cs="Times New Roman"/>
          <w:b/>
          <w:bCs/>
          <w:sz w:val="32"/>
          <w:szCs w:val="32"/>
        </w:rPr>
      </w:pPr>
      <w:r>
        <w:rPr>
          <w:rFonts w:ascii="Times New Roman" w:hAnsi="Times New Roman" w:cs="Times New Roman"/>
          <w:b/>
          <w:bCs/>
          <w:sz w:val="32"/>
          <w:szCs w:val="32"/>
        </w:rPr>
        <w:t>Assignment Part 1</w:t>
      </w:r>
    </w:p>
    <w:p w14:paraId="2622CEE8" w14:textId="77777777" w:rsidR="004619AB" w:rsidRPr="00EF1BA3" w:rsidRDefault="004619AB" w:rsidP="00724846">
      <w:pPr>
        <w:spacing w:after="0" w:line="480" w:lineRule="auto"/>
        <w:jc w:val="center"/>
        <w:rPr>
          <w:rFonts w:ascii="Times New Roman" w:hAnsi="Times New Roman" w:cs="Times New Roman"/>
          <w:b/>
          <w:bCs/>
          <w:sz w:val="32"/>
          <w:szCs w:val="32"/>
        </w:rPr>
      </w:pPr>
      <w:r w:rsidRPr="00EF1BA3">
        <w:rPr>
          <w:rFonts w:ascii="Times New Roman" w:hAnsi="Times New Roman" w:cs="Times New Roman"/>
          <w:b/>
          <w:bCs/>
          <w:sz w:val="32"/>
          <w:szCs w:val="32"/>
        </w:rPr>
        <w:t>Aqeel Shakir</w:t>
      </w:r>
    </w:p>
    <w:p w14:paraId="20685B52" w14:textId="77777777" w:rsidR="004619AB" w:rsidRPr="00EF1BA3" w:rsidRDefault="004619AB" w:rsidP="00724846">
      <w:pPr>
        <w:spacing w:line="480" w:lineRule="auto"/>
        <w:jc w:val="center"/>
        <w:rPr>
          <w:rFonts w:ascii="Times New Roman" w:hAnsi="Times New Roman" w:cs="Times New Roman"/>
          <w:b/>
          <w:bCs/>
          <w:sz w:val="28"/>
          <w:szCs w:val="28"/>
        </w:rPr>
      </w:pPr>
      <w:r w:rsidRPr="00EF1BA3">
        <w:rPr>
          <w:rFonts w:ascii="Times New Roman" w:hAnsi="Times New Roman" w:cs="Times New Roman"/>
          <w:b/>
          <w:bCs/>
          <w:sz w:val="32"/>
          <w:szCs w:val="32"/>
        </w:rPr>
        <w:t>January 1</w:t>
      </w:r>
      <w:r>
        <w:rPr>
          <w:rFonts w:ascii="Times New Roman" w:hAnsi="Times New Roman" w:cs="Times New Roman"/>
          <w:b/>
          <w:bCs/>
          <w:sz w:val="32"/>
          <w:szCs w:val="32"/>
        </w:rPr>
        <w:t>6</w:t>
      </w:r>
      <w:r w:rsidRPr="00EF1BA3">
        <w:rPr>
          <w:rFonts w:ascii="Times New Roman" w:hAnsi="Times New Roman" w:cs="Times New Roman"/>
          <w:b/>
          <w:bCs/>
          <w:sz w:val="32"/>
          <w:szCs w:val="32"/>
        </w:rPr>
        <w:t>, 2019</w:t>
      </w:r>
      <w:r w:rsidRPr="00EF1BA3">
        <w:rPr>
          <w:rFonts w:ascii="Times New Roman" w:hAnsi="Times New Roman" w:cs="Times New Roman"/>
          <w:b/>
          <w:bCs/>
          <w:sz w:val="28"/>
          <w:szCs w:val="28"/>
        </w:rPr>
        <w:t xml:space="preserve"> </w:t>
      </w:r>
    </w:p>
    <w:p w14:paraId="5E8425BD" w14:textId="77777777" w:rsidR="004619AB" w:rsidRPr="00EF1BA3" w:rsidRDefault="004619AB">
      <w:pPr>
        <w:spacing w:after="160" w:line="259" w:lineRule="auto"/>
        <w:jc w:val="left"/>
        <w:rPr>
          <w:rFonts w:ascii="Times New Roman" w:hAnsi="Times New Roman" w:cs="Times New Roman"/>
        </w:rPr>
      </w:pPr>
    </w:p>
    <w:p w14:paraId="0EA8B268" w14:textId="77777777" w:rsidR="004619AB" w:rsidRPr="00EF1BA3" w:rsidRDefault="004619AB" w:rsidP="00724846">
      <w:pPr>
        <w:spacing w:line="480" w:lineRule="auto"/>
        <w:rPr>
          <w:rFonts w:ascii="Times New Roman" w:hAnsi="Times New Roman" w:cs="Times New Roman"/>
        </w:rPr>
        <w:sectPr w:rsidR="004619AB" w:rsidRPr="00EF1BA3" w:rsidSect="00724846">
          <w:pgSz w:w="12240" w:h="15840" w:code="1"/>
          <w:pgMar w:top="1440" w:right="1440" w:bottom="1440" w:left="1440" w:header="720" w:footer="720" w:gutter="0"/>
          <w:cols w:space="720"/>
          <w:vAlign w:val="center"/>
          <w:docGrid w:linePitch="360"/>
        </w:sectPr>
      </w:pPr>
    </w:p>
    <w:sdt>
      <w:sdtPr>
        <w:rPr>
          <w:rFonts w:ascii="Times New Roman" w:hAnsi="Times New Roman" w:cs="Times New Roman"/>
        </w:rPr>
        <w:id w:val="-273097851"/>
        <w:docPartObj>
          <w:docPartGallery w:val="Table of Contents"/>
          <w:docPartUnique/>
        </w:docPartObj>
      </w:sdtPr>
      <w:sdtEndPr>
        <w:rPr>
          <w:b/>
          <w:bCs/>
          <w:noProof/>
        </w:rPr>
      </w:sdtEndPr>
      <w:sdtContent>
        <w:p w14:paraId="78D10516" w14:textId="77777777" w:rsidR="004619AB" w:rsidRPr="00BB5FF4" w:rsidRDefault="004619AB" w:rsidP="007C77DB">
          <w:pPr>
            <w:spacing w:after="0" w:line="480" w:lineRule="auto"/>
            <w:rPr>
              <w:rFonts w:ascii="Times New Roman" w:eastAsia="Times New Roman" w:hAnsi="Times New Roman" w:cs="Times New Roman"/>
              <w:color w:val="2E74B5"/>
              <w:sz w:val="32"/>
              <w:szCs w:val="32"/>
            </w:rPr>
          </w:pPr>
          <w:r w:rsidRPr="00BB5FF4">
            <w:rPr>
              <w:rFonts w:ascii="Times New Roman" w:eastAsia="Times New Roman" w:hAnsi="Times New Roman" w:cs="Times New Roman"/>
              <w:color w:val="2E74B5"/>
              <w:sz w:val="32"/>
              <w:szCs w:val="32"/>
            </w:rPr>
            <w:t>Table of Contents</w:t>
          </w:r>
        </w:p>
        <w:p w14:paraId="05BD1DDF" w14:textId="77777777" w:rsidR="004619AB" w:rsidRPr="00821548" w:rsidRDefault="004619AB" w:rsidP="00821548">
          <w:pPr>
            <w:pStyle w:val="TOC1"/>
            <w:tabs>
              <w:tab w:val="right" w:leader="dot" w:pos="9350"/>
            </w:tabs>
            <w:spacing w:after="0" w:line="480" w:lineRule="auto"/>
            <w:rPr>
              <w:rFonts w:ascii="Times New Roman" w:eastAsiaTheme="minorEastAsia" w:hAnsi="Times New Roman" w:cs="Times New Roman"/>
              <w:noProof/>
              <w:sz w:val="22"/>
              <w:lang w:val="en-CA" w:eastAsia="en-CA"/>
            </w:rPr>
          </w:pPr>
          <w:r w:rsidRPr="00821548">
            <w:rPr>
              <w:rFonts w:ascii="Times New Roman" w:hAnsi="Times New Roman" w:cs="Times New Roman"/>
            </w:rPr>
            <w:fldChar w:fldCharType="begin"/>
          </w:r>
          <w:r w:rsidRPr="00821548">
            <w:rPr>
              <w:rFonts w:ascii="Times New Roman" w:hAnsi="Times New Roman" w:cs="Times New Roman"/>
            </w:rPr>
            <w:instrText xml:space="preserve"> TOC \o "1-3" \h \z \u </w:instrText>
          </w:r>
          <w:r w:rsidRPr="00821548">
            <w:rPr>
              <w:rFonts w:ascii="Times New Roman" w:hAnsi="Times New Roman" w:cs="Times New Roman"/>
            </w:rPr>
            <w:fldChar w:fldCharType="separate"/>
          </w:r>
          <w:hyperlink w:anchor="_Toc535367187" w:history="1">
            <w:r w:rsidRPr="00821548">
              <w:rPr>
                <w:rStyle w:val="Hyperlink"/>
                <w:rFonts w:ascii="Times New Roman" w:hAnsi="Times New Roman" w:cs="Times New Roman"/>
                <w:noProof/>
              </w:rPr>
              <w:t>Introduction</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_Toc535367187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w:t>
            </w:r>
            <w:r w:rsidRPr="00821548">
              <w:rPr>
                <w:rFonts w:ascii="Times New Roman" w:hAnsi="Times New Roman" w:cs="Times New Roman"/>
                <w:noProof/>
                <w:webHidden/>
              </w:rPr>
              <w:fldChar w:fldCharType="end"/>
            </w:r>
          </w:hyperlink>
        </w:p>
        <w:p w14:paraId="432FB7AC" w14:textId="77777777" w:rsidR="004619AB" w:rsidRPr="00821548" w:rsidRDefault="004619AB" w:rsidP="00821548">
          <w:pPr>
            <w:pStyle w:val="TOC1"/>
            <w:tabs>
              <w:tab w:val="right" w:leader="dot" w:pos="9350"/>
            </w:tabs>
            <w:spacing w:after="0" w:line="480" w:lineRule="auto"/>
            <w:rPr>
              <w:rFonts w:ascii="Times New Roman" w:eastAsiaTheme="minorEastAsia" w:hAnsi="Times New Roman" w:cs="Times New Roman"/>
              <w:noProof/>
              <w:sz w:val="22"/>
              <w:lang w:val="en-CA" w:eastAsia="en-CA"/>
            </w:rPr>
          </w:pPr>
          <w:hyperlink w:anchor="_Toc535367188" w:history="1">
            <w:r w:rsidRPr="00821548">
              <w:rPr>
                <w:rStyle w:val="Hyperlink"/>
                <w:rFonts w:ascii="Times New Roman" w:hAnsi="Times New Roman" w:cs="Times New Roman"/>
                <w:noProof/>
              </w:rPr>
              <w:t>Analysis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_Toc535367188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w:t>
            </w:r>
            <w:r w:rsidRPr="00821548">
              <w:rPr>
                <w:rFonts w:ascii="Times New Roman" w:hAnsi="Times New Roman" w:cs="Times New Roman"/>
                <w:noProof/>
                <w:webHidden/>
              </w:rPr>
              <w:fldChar w:fldCharType="end"/>
            </w:r>
          </w:hyperlink>
        </w:p>
        <w:p w14:paraId="18A61C26" w14:textId="77777777" w:rsidR="004619AB" w:rsidRPr="00821548" w:rsidRDefault="004619AB" w:rsidP="00821548">
          <w:pPr>
            <w:pStyle w:val="TOC2"/>
            <w:spacing w:after="0" w:line="480" w:lineRule="auto"/>
            <w:rPr>
              <w:rFonts w:ascii="Times New Roman" w:eastAsiaTheme="minorEastAsia" w:hAnsi="Times New Roman" w:cs="Times New Roman"/>
              <w:noProof/>
              <w:sz w:val="22"/>
              <w:lang w:val="en-CA" w:eastAsia="en-CA"/>
            </w:rPr>
          </w:pPr>
          <w:hyperlink w:anchor="_Toc535367189" w:history="1">
            <w:r w:rsidRPr="00821548">
              <w:rPr>
                <w:rStyle w:val="Hyperlink"/>
                <w:rFonts w:ascii="Times New Roman" w:hAnsi="Times New Roman" w:cs="Times New Roman"/>
                <w:noProof/>
              </w:rPr>
              <w:t>a.</w:t>
            </w:r>
            <w:r w:rsidRPr="00821548">
              <w:rPr>
                <w:rFonts w:ascii="Times New Roman" w:eastAsiaTheme="minorEastAsia" w:hAnsi="Times New Roman" w:cs="Times New Roman"/>
                <w:noProof/>
                <w:sz w:val="22"/>
                <w:lang w:val="en-CA" w:eastAsia="en-CA"/>
              </w:rPr>
              <w:tab/>
            </w:r>
            <w:r w:rsidRPr="00821548">
              <w:rPr>
                <w:rStyle w:val="Hyperlink"/>
                <w:rFonts w:ascii="Times New Roman" w:hAnsi="Times New Roman" w:cs="Times New Roman"/>
                <w:noProof/>
              </w:rPr>
              <w:t>Profitability Ratios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_Toc535367189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w:t>
            </w:r>
            <w:r w:rsidRPr="00821548">
              <w:rPr>
                <w:rFonts w:ascii="Times New Roman" w:hAnsi="Times New Roman" w:cs="Times New Roman"/>
                <w:noProof/>
                <w:webHidden/>
              </w:rPr>
              <w:fldChar w:fldCharType="end"/>
            </w:r>
          </w:hyperlink>
        </w:p>
        <w:p w14:paraId="3792AF67" w14:textId="77777777" w:rsidR="004619AB" w:rsidRPr="00821548" w:rsidRDefault="004619AB" w:rsidP="00821548">
          <w:pPr>
            <w:pStyle w:val="TOC2"/>
            <w:spacing w:after="0" w:line="480" w:lineRule="auto"/>
            <w:rPr>
              <w:rFonts w:ascii="Times New Roman" w:eastAsiaTheme="minorEastAsia" w:hAnsi="Times New Roman" w:cs="Times New Roman"/>
              <w:noProof/>
              <w:sz w:val="22"/>
              <w:lang w:val="en-CA" w:eastAsia="en-CA"/>
            </w:rPr>
          </w:pPr>
          <w:hyperlink w:anchor="_Toc535367190" w:history="1">
            <w:r w:rsidRPr="00821548">
              <w:rPr>
                <w:rStyle w:val="Hyperlink"/>
                <w:rFonts w:ascii="Times New Roman" w:hAnsi="Times New Roman" w:cs="Times New Roman"/>
                <w:noProof/>
              </w:rPr>
              <w:t>b.</w:t>
            </w:r>
            <w:r w:rsidRPr="00821548">
              <w:rPr>
                <w:rFonts w:ascii="Times New Roman" w:eastAsiaTheme="minorEastAsia" w:hAnsi="Times New Roman" w:cs="Times New Roman"/>
                <w:noProof/>
                <w:sz w:val="22"/>
                <w:lang w:val="en-CA" w:eastAsia="en-CA"/>
              </w:rPr>
              <w:tab/>
            </w:r>
            <w:r w:rsidRPr="00821548">
              <w:rPr>
                <w:rStyle w:val="Hyperlink"/>
                <w:rFonts w:ascii="Times New Roman" w:hAnsi="Times New Roman" w:cs="Times New Roman"/>
                <w:noProof/>
              </w:rPr>
              <w:t>Liquidity Ratios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_Toc535367190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3</w:t>
            </w:r>
            <w:r w:rsidRPr="00821548">
              <w:rPr>
                <w:rFonts w:ascii="Times New Roman" w:hAnsi="Times New Roman" w:cs="Times New Roman"/>
                <w:noProof/>
                <w:webHidden/>
              </w:rPr>
              <w:fldChar w:fldCharType="end"/>
            </w:r>
          </w:hyperlink>
        </w:p>
        <w:p w14:paraId="115FD4D8" w14:textId="77777777" w:rsidR="004619AB" w:rsidRPr="00821548" w:rsidRDefault="004619AB" w:rsidP="00821548">
          <w:pPr>
            <w:pStyle w:val="TOC2"/>
            <w:spacing w:after="0" w:line="480" w:lineRule="auto"/>
            <w:rPr>
              <w:rFonts w:ascii="Times New Roman" w:eastAsiaTheme="minorEastAsia" w:hAnsi="Times New Roman" w:cs="Times New Roman"/>
              <w:noProof/>
              <w:sz w:val="22"/>
              <w:lang w:val="en-CA" w:eastAsia="en-CA"/>
            </w:rPr>
          </w:pPr>
          <w:hyperlink w:anchor="_Toc535367191" w:history="1">
            <w:r w:rsidRPr="00821548">
              <w:rPr>
                <w:rStyle w:val="Hyperlink"/>
                <w:rFonts w:ascii="Times New Roman" w:hAnsi="Times New Roman" w:cs="Times New Roman"/>
                <w:noProof/>
              </w:rPr>
              <w:t>c.</w:t>
            </w:r>
            <w:r w:rsidRPr="00821548">
              <w:rPr>
                <w:rFonts w:ascii="Times New Roman" w:eastAsiaTheme="minorEastAsia" w:hAnsi="Times New Roman" w:cs="Times New Roman"/>
                <w:noProof/>
                <w:sz w:val="22"/>
                <w:lang w:val="en-CA" w:eastAsia="en-CA"/>
              </w:rPr>
              <w:tab/>
            </w:r>
            <w:r w:rsidRPr="00821548">
              <w:rPr>
                <w:rStyle w:val="Hyperlink"/>
                <w:rFonts w:ascii="Times New Roman" w:hAnsi="Times New Roman" w:cs="Times New Roman"/>
                <w:noProof/>
              </w:rPr>
              <w:t>Efficiency Ratios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_Toc535367191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5</w:t>
            </w:r>
            <w:r w:rsidRPr="00821548">
              <w:rPr>
                <w:rFonts w:ascii="Times New Roman" w:hAnsi="Times New Roman" w:cs="Times New Roman"/>
                <w:noProof/>
                <w:webHidden/>
              </w:rPr>
              <w:fldChar w:fldCharType="end"/>
            </w:r>
          </w:hyperlink>
        </w:p>
        <w:p w14:paraId="24750E74" w14:textId="77777777" w:rsidR="004619AB" w:rsidRPr="00821548" w:rsidRDefault="004619AB" w:rsidP="00821548">
          <w:pPr>
            <w:pStyle w:val="TOC2"/>
            <w:spacing w:after="0" w:line="480" w:lineRule="auto"/>
            <w:rPr>
              <w:rFonts w:ascii="Times New Roman" w:eastAsiaTheme="minorEastAsia" w:hAnsi="Times New Roman" w:cs="Times New Roman"/>
              <w:noProof/>
              <w:sz w:val="22"/>
              <w:lang w:val="en-CA" w:eastAsia="en-CA"/>
            </w:rPr>
          </w:pPr>
          <w:hyperlink w:anchor="_Toc535367192" w:history="1">
            <w:r w:rsidRPr="00821548">
              <w:rPr>
                <w:rStyle w:val="Hyperlink"/>
                <w:rFonts w:ascii="Times New Roman" w:hAnsi="Times New Roman" w:cs="Times New Roman"/>
                <w:noProof/>
              </w:rPr>
              <w:t>d.</w:t>
            </w:r>
            <w:r w:rsidRPr="00821548">
              <w:rPr>
                <w:rFonts w:ascii="Times New Roman" w:eastAsiaTheme="minorEastAsia" w:hAnsi="Times New Roman" w:cs="Times New Roman"/>
                <w:noProof/>
                <w:sz w:val="22"/>
                <w:lang w:val="en-CA" w:eastAsia="en-CA"/>
              </w:rPr>
              <w:tab/>
            </w:r>
            <w:r w:rsidRPr="00821548">
              <w:rPr>
                <w:rStyle w:val="Hyperlink"/>
                <w:rFonts w:ascii="Times New Roman" w:hAnsi="Times New Roman" w:cs="Times New Roman"/>
                <w:noProof/>
              </w:rPr>
              <w:t>Gearing or Solvency Ratios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_Toc535367192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7</w:t>
            </w:r>
            <w:r w:rsidRPr="00821548">
              <w:rPr>
                <w:rFonts w:ascii="Times New Roman" w:hAnsi="Times New Roman" w:cs="Times New Roman"/>
                <w:noProof/>
                <w:webHidden/>
              </w:rPr>
              <w:fldChar w:fldCharType="end"/>
            </w:r>
          </w:hyperlink>
        </w:p>
        <w:p w14:paraId="39B84385" w14:textId="77777777" w:rsidR="004619AB" w:rsidRPr="00821548" w:rsidRDefault="004619AB" w:rsidP="00821548">
          <w:pPr>
            <w:pStyle w:val="TOC2"/>
            <w:spacing w:after="0" w:line="480" w:lineRule="auto"/>
            <w:rPr>
              <w:rFonts w:ascii="Times New Roman" w:eastAsiaTheme="minorEastAsia" w:hAnsi="Times New Roman" w:cs="Times New Roman"/>
              <w:noProof/>
              <w:sz w:val="22"/>
              <w:lang w:val="en-CA" w:eastAsia="en-CA"/>
            </w:rPr>
          </w:pPr>
          <w:hyperlink w:anchor="_Toc535367193" w:history="1">
            <w:r w:rsidRPr="00821548">
              <w:rPr>
                <w:rStyle w:val="Hyperlink"/>
                <w:rFonts w:ascii="Times New Roman" w:hAnsi="Times New Roman" w:cs="Times New Roman"/>
                <w:noProof/>
              </w:rPr>
              <w:t>e.</w:t>
            </w:r>
            <w:r w:rsidRPr="00821548">
              <w:rPr>
                <w:rFonts w:ascii="Times New Roman" w:eastAsiaTheme="minorEastAsia" w:hAnsi="Times New Roman" w:cs="Times New Roman"/>
                <w:noProof/>
                <w:sz w:val="22"/>
                <w:lang w:val="en-CA" w:eastAsia="en-CA"/>
              </w:rPr>
              <w:tab/>
            </w:r>
            <w:r w:rsidRPr="00821548">
              <w:rPr>
                <w:rStyle w:val="Hyperlink"/>
                <w:rFonts w:ascii="Times New Roman" w:hAnsi="Times New Roman" w:cs="Times New Roman"/>
                <w:noProof/>
              </w:rPr>
              <w:t>Investor Ratios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_Toc535367193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9</w:t>
            </w:r>
            <w:r w:rsidRPr="00821548">
              <w:rPr>
                <w:rFonts w:ascii="Times New Roman" w:hAnsi="Times New Roman" w:cs="Times New Roman"/>
                <w:noProof/>
                <w:webHidden/>
              </w:rPr>
              <w:fldChar w:fldCharType="end"/>
            </w:r>
          </w:hyperlink>
        </w:p>
        <w:p w14:paraId="6D0314D0" w14:textId="77777777" w:rsidR="004619AB" w:rsidRPr="00821548" w:rsidRDefault="004619AB" w:rsidP="00821548">
          <w:pPr>
            <w:pStyle w:val="TOC1"/>
            <w:tabs>
              <w:tab w:val="right" w:leader="dot" w:pos="9350"/>
            </w:tabs>
            <w:spacing w:after="0" w:line="480" w:lineRule="auto"/>
            <w:rPr>
              <w:rFonts w:ascii="Times New Roman" w:eastAsiaTheme="minorEastAsia" w:hAnsi="Times New Roman" w:cs="Times New Roman"/>
              <w:noProof/>
              <w:sz w:val="22"/>
              <w:lang w:val="en-CA" w:eastAsia="en-CA"/>
            </w:rPr>
          </w:pPr>
          <w:hyperlink w:anchor="_Toc535367194" w:history="1">
            <w:r w:rsidRPr="00821548">
              <w:rPr>
                <w:rStyle w:val="Hyperlink"/>
                <w:rFonts w:ascii="Times New Roman" w:hAnsi="Times New Roman" w:cs="Times New Roman"/>
                <w:noProof/>
              </w:rPr>
              <w:t>Conclusion</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_Toc535367194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10</w:t>
            </w:r>
            <w:r w:rsidRPr="00821548">
              <w:rPr>
                <w:rFonts w:ascii="Times New Roman" w:hAnsi="Times New Roman" w:cs="Times New Roman"/>
                <w:noProof/>
                <w:webHidden/>
              </w:rPr>
              <w:fldChar w:fldCharType="end"/>
            </w:r>
          </w:hyperlink>
        </w:p>
        <w:p w14:paraId="2A42650D" w14:textId="77777777" w:rsidR="004619AB" w:rsidRPr="00821548" w:rsidRDefault="004619AB" w:rsidP="00821548">
          <w:pPr>
            <w:pStyle w:val="TOC1"/>
            <w:tabs>
              <w:tab w:val="right" w:leader="dot" w:pos="9350"/>
            </w:tabs>
            <w:spacing w:after="0" w:line="480" w:lineRule="auto"/>
            <w:rPr>
              <w:rFonts w:ascii="Times New Roman" w:eastAsiaTheme="minorEastAsia" w:hAnsi="Times New Roman" w:cs="Times New Roman"/>
              <w:noProof/>
              <w:sz w:val="22"/>
              <w:lang w:val="en-CA" w:eastAsia="en-CA"/>
            </w:rPr>
          </w:pPr>
          <w:hyperlink w:anchor="_Toc535367195" w:history="1">
            <w:r w:rsidRPr="00821548">
              <w:rPr>
                <w:rStyle w:val="Hyperlink"/>
                <w:rFonts w:ascii="Times New Roman" w:hAnsi="Times New Roman" w:cs="Times New Roman"/>
                <w:noProof/>
              </w:rPr>
              <w:t>Recommendations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_Toc535367195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11</w:t>
            </w:r>
            <w:r w:rsidRPr="00821548">
              <w:rPr>
                <w:rFonts w:ascii="Times New Roman" w:hAnsi="Times New Roman" w:cs="Times New Roman"/>
                <w:noProof/>
                <w:webHidden/>
              </w:rPr>
              <w:fldChar w:fldCharType="end"/>
            </w:r>
          </w:hyperlink>
        </w:p>
        <w:p w14:paraId="502B765E" w14:textId="77777777" w:rsidR="004619AB" w:rsidRPr="00821548" w:rsidRDefault="004619AB" w:rsidP="00821548">
          <w:pPr>
            <w:pStyle w:val="TOC1"/>
            <w:tabs>
              <w:tab w:val="right" w:leader="dot" w:pos="9350"/>
            </w:tabs>
            <w:spacing w:after="0" w:line="480" w:lineRule="auto"/>
            <w:rPr>
              <w:rFonts w:ascii="Times New Roman" w:eastAsiaTheme="minorEastAsia" w:hAnsi="Times New Roman" w:cs="Times New Roman"/>
              <w:noProof/>
              <w:sz w:val="22"/>
              <w:lang w:val="en-CA" w:eastAsia="en-CA"/>
            </w:rPr>
          </w:pPr>
          <w:hyperlink w:anchor="_Toc535367196" w:history="1">
            <w:r w:rsidRPr="00821548">
              <w:rPr>
                <w:rStyle w:val="Hyperlink"/>
                <w:rFonts w:ascii="Times New Roman" w:hAnsi="Times New Roman" w:cs="Times New Roman"/>
                <w:noProof/>
              </w:rPr>
              <w:t>References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_Toc535367196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13</w:t>
            </w:r>
            <w:r w:rsidRPr="00821548">
              <w:rPr>
                <w:rFonts w:ascii="Times New Roman" w:hAnsi="Times New Roman" w:cs="Times New Roman"/>
                <w:noProof/>
                <w:webHidden/>
              </w:rPr>
              <w:fldChar w:fldCharType="end"/>
            </w:r>
          </w:hyperlink>
        </w:p>
        <w:p w14:paraId="2E68DB67" w14:textId="77777777" w:rsidR="004619AB" w:rsidRPr="00821548" w:rsidRDefault="004619AB" w:rsidP="00821548">
          <w:pPr>
            <w:pStyle w:val="TOC1"/>
            <w:tabs>
              <w:tab w:val="right" w:leader="dot" w:pos="9350"/>
            </w:tabs>
            <w:spacing w:after="0" w:line="480" w:lineRule="auto"/>
            <w:rPr>
              <w:rFonts w:ascii="Times New Roman" w:eastAsiaTheme="minorEastAsia" w:hAnsi="Times New Roman" w:cs="Times New Roman"/>
              <w:noProof/>
              <w:sz w:val="22"/>
              <w:lang w:val="en-CA" w:eastAsia="en-CA"/>
            </w:rPr>
          </w:pPr>
          <w:hyperlink w:anchor="_Toc535367197" w:history="1">
            <w:r w:rsidRPr="00821548">
              <w:rPr>
                <w:rStyle w:val="Hyperlink"/>
                <w:rFonts w:ascii="Times New Roman" w:hAnsi="Times New Roman" w:cs="Times New Roman"/>
                <w:noProof/>
              </w:rPr>
              <w:t>BHP Billiton’s Financial Information &amp; Ratios Calculations</w:t>
            </w:r>
            <w:r w:rsidRPr="00821548">
              <w:rPr>
                <w:rFonts w:ascii="Times New Roman" w:hAnsi="Times New Roman" w:cs="Times New Roman"/>
                <w:noProof/>
                <w:webHidden/>
              </w:rPr>
              <w:tab/>
            </w:r>
            <w:r w:rsidRPr="00821548">
              <w:rPr>
                <w:rFonts w:ascii="Times New Roman" w:hAnsi="Times New Roman" w:cs="Times New Roman"/>
                <w:noProof/>
                <w:webHidden/>
              </w:rPr>
              <w:fldChar w:fldCharType="begin"/>
            </w:r>
            <w:r w:rsidRPr="00821548">
              <w:rPr>
                <w:rFonts w:ascii="Times New Roman" w:hAnsi="Times New Roman" w:cs="Times New Roman"/>
                <w:noProof/>
                <w:webHidden/>
              </w:rPr>
              <w:instrText xml:space="preserve"> PAGEREF _Toc535367197 \h </w:instrText>
            </w:r>
            <w:r w:rsidRPr="00821548">
              <w:rPr>
                <w:rFonts w:ascii="Times New Roman" w:hAnsi="Times New Roman" w:cs="Times New Roman"/>
                <w:noProof/>
                <w:webHidden/>
              </w:rPr>
            </w:r>
            <w:r w:rsidRPr="00821548">
              <w:rPr>
                <w:rFonts w:ascii="Times New Roman" w:hAnsi="Times New Roman" w:cs="Times New Roman"/>
                <w:noProof/>
                <w:webHidden/>
              </w:rPr>
              <w:fldChar w:fldCharType="separate"/>
            </w:r>
            <w:r>
              <w:rPr>
                <w:rFonts w:ascii="Times New Roman" w:hAnsi="Times New Roman" w:cs="Times New Roman"/>
                <w:noProof/>
                <w:webHidden/>
              </w:rPr>
              <w:t>15</w:t>
            </w:r>
            <w:r w:rsidRPr="00821548">
              <w:rPr>
                <w:rFonts w:ascii="Times New Roman" w:hAnsi="Times New Roman" w:cs="Times New Roman"/>
                <w:noProof/>
                <w:webHidden/>
              </w:rPr>
              <w:fldChar w:fldCharType="end"/>
            </w:r>
          </w:hyperlink>
        </w:p>
        <w:p w14:paraId="07B5BD70" w14:textId="77777777" w:rsidR="004619AB" w:rsidRPr="00BB5FF4" w:rsidRDefault="004619AB" w:rsidP="00821548">
          <w:pPr>
            <w:pStyle w:val="TOC1"/>
            <w:tabs>
              <w:tab w:val="right" w:leader="dot" w:pos="9350"/>
            </w:tabs>
            <w:spacing w:after="0" w:line="480" w:lineRule="auto"/>
            <w:rPr>
              <w:rFonts w:ascii="Times New Roman" w:hAnsi="Times New Roman" w:cs="Times New Roman"/>
            </w:rPr>
          </w:pPr>
          <w:r w:rsidRPr="00821548">
            <w:rPr>
              <w:rFonts w:ascii="Times New Roman" w:hAnsi="Times New Roman" w:cs="Times New Roman"/>
              <w:b/>
              <w:bCs/>
              <w:noProof/>
            </w:rPr>
            <w:fldChar w:fldCharType="end"/>
          </w:r>
        </w:p>
      </w:sdtContent>
    </w:sdt>
    <w:p w14:paraId="62311BF2" w14:textId="77777777" w:rsidR="004619AB" w:rsidRPr="00BB5FF4" w:rsidRDefault="004619AB" w:rsidP="00A72468">
      <w:pPr>
        <w:spacing w:line="480" w:lineRule="auto"/>
        <w:rPr>
          <w:rFonts w:ascii="Times New Roman" w:hAnsi="Times New Roman" w:cs="Times New Roman"/>
        </w:rPr>
      </w:pPr>
    </w:p>
    <w:p w14:paraId="1109FDD7" w14:textId="77777777" w:rsidR="004619AB" w:rsidRPr="00BB5FF4" w:rsidRDefault="004619AB" w:rsidP="00A72468">
      <w:pPr>
        <w:spacing w:line="480" w:lineRule="auto"/>
        <w:rPr>
          <w:rFonts w:ascii="Times New Roman" w:hAnsi="Times New Roman" w:cs="Times New Roman"/>
        </w:rPr>
      </w:pPr>
    </w:p>
    <w:p w14:paraId="475BDC4C" w14:textId="77777777" w:rsidR="004619AB" w:rsidRPr="00BB5FF4" w:rsidRDefault="004619AB" w:rsidP="00F761A4">
      <w:pPr>
        <w:pStyle w:val="Heading1"/>
        <w:spacing w:before="0" w:line="480" w:lineRule="auto"/>
        <w:rPr>
          <w:rFonts w:ascii="Times New Roman" w:hAnsi="Times New Roman" w:cs="Times New Roman"/>
        </w:rPr>
        <w:sectPr w:rsidR="004619AB" w:rsidRPr="00BB5FF4" w:rsidSect="007C77DB">
          <w:headerReference w:type="default" r:id="rId8"/>
          <w:footerReference w:type="default" r:id="rId9"/>
          <w:pgSz w:w="12240" w:h="15840" w:code="1"/>
          <w:pgMar w:top="1440" w:right="1440" w:bottom="1440" w:left="1440" w:header="720" w:footer="720" w:gutter="0"/>
          <w:pgNumType w:fmt="lowerRoman" w:start="1"/>
          <w:cols w:space="720"/>
          <w:docGrid w:linePitch="360"/>
        </w:sectPr>
      </w:pPr>
    </w:p>
    <w:p w14:paraId="2A1F3C7B" w14:textId="77777777" w:rsidR="004619AB" w:rsidRPr="00BB5FF4" w:rsidRDefault="004619AB" w:rsidP="008D546A">
      <w:pPr>
        <w:pStyle w:val="Heading1"/>
        <w:spacing w:before="0" w:line="480" w:lineRule="auto"/>
        <w:rPr>
          <w:rFonts w:ascii="Times New Roman" w:hAnsi="Times New Roman" w:cs="Times New Roman"/>
        </w:rPr>
      </w:pPr>
      <w:bookmarkStart w:id="1" w:name="_Toc535367187"/>
      <w:r w:rsidRPr="00BB5FF4">
        <w:rPr>
          <w:rFonts w:ascii="Times New Roman" w:hAnsi="Times New Roman" w:cs="Times New Roman"/>
        </w:rPr>
        <w:lastRenderedPageBreak/>
        <w:t>Introduction</w:t>
      </w:r>
      <w:bookmarkEnd w:id="1"/>
    </w:p>
    <w:p w14:paraId="0B60119B" w14:textId="77777777" w:rsidR="004619AB" w:rsidRPr="00BB5FF4" w:rsidRDefault="004619AB" w:rsidP="008D546A">
      <w:pPr>
        <w:spacing w:after="0" w:line="480" w:lineRule="auto"/>
        <w:rPr>
          <w:rFonts w:ascii="Times New Roman" w:hAnsi="Times New Roman" w:cs="Times New Roman"/>
        </w:rPr>
      </w:pPr>
      <w:r>
        <w:rPr>
          <w:rFonts w:ascii="Times New Roman" w:hAnsi="Times New Roman" w:cs="Times New Roman"/>
        </w:rPr>
        <w:t>The report analyz</w:t>
      </w:r>
      <w:r w:rsidRPr="00BB5FF4">
        <w:rPr>
          <w:rFonts w:ascii="Times New Roman" w:hAnsi="Times New Roman" w:cs="Times New Roman"/>
        </w:rPr>
        <w:t>es the financial performance and position of BHP Billiton</w:t>
      </w:r>
      <w:r>
        <w:rPr>
          <w:rFonts w:ascii="Times New Roman" w:hAnsi="Times New Roman" w:cs="Times New Roman"/>
        </w:rPr>
        <w:t xml:space="preserve"> PLC</w:t>
      </w:r>
      <w:r w:rsidRPr="00BB5FF4">
        <w:rPr>
          <w:rFonts w:ascii="Times New Roman" w:hAnsi="Times New Roman" w:cs="Times New Roman"/>
        </w:rPr>
        <w:t xml:space="preserve"> using ratio analysis. The </w:t>
      </w:r>
      <w:r>
        <w:rPr>
          <w:rFonts w:ascii="Times New Roman" w:hAnsi="Times New Roman" w:cs="Times New Roman"/>
        </w:rPr>
        <w:t>c</w:t>
      </w:r>
      <w:r w:rsidRPr="00BB5FF4">
        <w:rPr>
          <w:rFonts w:ascii="Times New Roman" w:hAnsi="Times New Roman" w:cs="Times New Roman"/>
        </w:rPr>
        <w:t>ompany is an Anglo-Australian based multinational company focused on mining and meta</w:t>
      </w:r>
      <w:r>
        <w:rPr>
          <w:rFonts w:ascii="Times New Roman" w:hAnsi="Times New Roman" w:cs="Times New Roman"/>
        </w:rPr>
        <w:t xml:space="preserve">ls as their core business area. </w:t>
      </w:r>
      <w:r w:rsidRPr="00BB5FF4">
        <w:rPr>
          <w:rFonts w:ascii="Times New Roman" w:hAnsi="Times New Roman" w:cs="Times New Roman"/>
        </w:rPr>
        <w:t>BHP Billiton</w:t>
      </w:r>
      <w:r>
        <w:rPr>
          <w:rFonts w:ascii="Times New Roman" w:hAnsi="Times New Roman" w:cs="Times New Roman"/>
        </w:rPr>
        <w:t xml:space="preserve"> </w:t>
      </w:r>
      <w:r w:rsidRPr="00BB5FF4">
        <w:rPr>
          <w:rFonts w:ascii="Times New Roman" w:hAnsi="Times New Roman" w:cs="Times New Roman"/>
        </w:rPr>
        <w:t>is one of the largest mining companies around the globe and has a dual primary listing on London Stock Exchange (LSE) and Australian Securiti</w:t>
      </w:r>
      <w:r>
        <w:rPr>
          <w:rFonts w:ascii="Times New Roman" w:hAnsi="Times New Roman" w:cs="Times New Roman"/>
        </w:rPr>
        <w:t xml:space="preserve">es Exchange (ASX). </w:t>
      </w:r>
      <w:r w:rsidRPr="00BB5FF4">
        <w:rPr>
          <w:rFonts w:ascii="Times New Roman" w:hAnsi="Times New Roman" w:cs="Times New Roman"/>
        </w:rPr>
        <w:t xml:space="preserve">Additionally, it is </w:t>
      </w:r>
      <w:r>
        <w:rPr>
          <w:rFonts w:ascii="Times New Roman" w:hAnsi="Times New Roman" w:cs="Times New Roman"/>
        </w:rPr>
        <w:t>noteworthy to mention that the c</w:t>
      </w:r>
      <w:r w:rsidRPr="00BB5FF4">
        <w:rPr>
          <w:rFonts w:ascii="Times New Roman" w:hAnsi="Times New Roman" w:cs="Times New Roman"/>
        </w:rPr>
        <w:t xml:space="preserve">ompany is one of the top constituents </w:t>
      </w:r>
      <w:r>
        <w:rPr>
          <w:rFonts w:ascii="Times New Roman" w:hAnsi="Times New Roman" w:cs="Times New Roman"/>
        </w:rPr>
        <w:t xml:space="preserve">of FTSE-100 index as well. </w:t>
      </w:r>
      <w:r w:rsidRPr="00BB5FF4">
        <w:rPr>
          <w:rFonts w:ascii="Times New Roman" w:hAnsi="Times New Roman" w:cs="Times New Roman"/>
        </w:rPr>
        <w:t xml:space="preserve">BHP Billiton’s revenue in 2018 amounted to $43,638 million and the net profits during the year amounted to $4,823 </w:t>
      </w:r>
      <w:r w:rsidRPr="00155BB5">
        <w:rPr>
          <w:rFonts w:ascii="Times New Roman" w:hAnsi="Times New Roman" w:cs="Times New Roman"/>
        </w:rPr>
        <w:t>million (BHP Billiton, 2018). The business’ profitability is directly linked with the commodity markets as it deals</w:t>
      </w:r>
      <w:r w:rsidRPr="00BB5FF4">
        <w:rPr>
          <w:rFonts w:ascii="Times New Roman" w:hAnsi="Times New Roman" w:cs="Times New Roman"/>
        </w:rPr>
        <w:t xml:space="preserve"> in mines and metals; therefore, the business profitability varies significantly based on the commodity prices and global trends relating to oil and other commodities (BHP Billiton, 2018). In this report, the financial analysis of BHP Billiton is conducted for </w:t>
      </w:r>
      <w:r>
        <w:rPr>
          <w:rFonts w:ascii="Times New Roman" w:hAnsi="Times New Roman" w:cs="Times New Roman"/>
        </w:rPr>
        <w:t>the l</w:t>
      </w:r>
      <w:r w:rsidRPr="00BB5FF4">
        <w:rPr>
          <w:rFonts w:ascii="Times New Roman" w:hAnsi="Times New Roman" w:cs="Times New Roman"/>
        </w:rPr>
        <w:t>ast 4 years i.e. 2015-2018 and recommendations are provided to improve t</w:t>
      </w:r>
      <w:r>
        <w:rPr>
          <w:rFonts w:ascii="Times New Roman" w:hAnsi="Times New Roman" w:cs="Times New Roman"/>
        </w:rPr>
        <w:t>he financial management at the c</w:t>
      </w:r>
      <w:r w:rsidRPr="00BB5FF4">
        <w:rPr>
          <w:rFonts w:ascii="Times New Roman" w:hAnsi="Times New Roman" w:cs="Times New Roman"/>
        </w:rPr>
        <w:t>ompany. In addition, the limitations of ratio analysis are also illustrated in this report.</w:t>
      </w:r>
    </w:p>
    <w:p w14:paraId="7F900F64" w14:textId="77777777" w:rsidR="004619AB" w:rsidRPr="00BB5FF4" w:rsidRDefault="004619AB" w:rsidP="003A3D17">
      <w:pPr>
        <w:pStyle w:val="Heading1"/>
        <w:spacing w:before="0" w:line="480" w:lineRule="auto"/>
        <w:rPr>
          <w:rFonts w:ascii="Times New Roman" w:hAnsi="Times New Roman" w:cs="Times New Roman"/>
        </w:rPr>
      </w:pPr>
      <w:bookmarkStart w:id="2" w:name="_Toc535367188"/>
      <w:r w:rsidRPr="00BB5FF4">
        <w:rPr>
          <w:rFonts w:ascii="Times New Roman" w:hAnsi="Times New Roman" w:cs="Times New Roman"/>
        </w:rPr>
        <w:t>Analysis</w:t>
      </w:r>
      <w:bookmarkEnd w:id="2"/>
    </w:p>
    <w:p w14:paraId="54AB7659" w14:textId="77777777" w:rsidR="004619AB" w:rsidRPr="00BB5FF4" w:rsidRDefault="004619AB" w:rsidP="00A15CA8">
      <w:pPr>
        <w:spacing w:after="0" w:line="480" w:lineRule="auto"/>
        <w:rPr>
          <w:rFonts w:ascii="Times New Roman" w:hAnsi="Times New Roman" w:cs="Times New Roman"/>
        </w:rPr>
      </w:pPr>
      <w:r w:rsidRPr="00BB5FF4">
        <w:rPr>
          <w:rFonts w:ascii="Times New Roman" w:hAnsi="Times New Roman" w:cs="Times New Roman"/>
        </w:rPr>
        <w:t>The ratios are generally divided into five categories i.e. profitability, liquidity, efficiency, solvency and investor ratios. Therefore, the analysis section is divided into five sub-sections as well as illustrated below.</w:t>
      </w:r>
    </w:p>
    <w:p w14:paraId="50E81A75" w14:textId="77777777" w:rsidR="004619AB" w:rsidRPr="00BB5FF4" w:rsidRDefault="004619AB" w:rsidP="008D546A">
      <w:pPr>
        <w:pStyle w:val="Heading2"/>
        <w:numPr>
          <w:ilvl w:val="0"/>
          <w:numId w:val="3"/>
        </w:numPr>
        <w:spacing w:before="0" w:line="480" w:lineRule="auto"/>
        <w:rPr>
          <w:rFonts w:ascii="Times New Roman" w:hAnsi="Times New Roman" w:cs="Times New Roman"/>
        </w:rPr>
      </w:pPr>
      <w:bookmarkStart w:id="3" w:name="_Toc535361344"/>
      <w:bookmarkStart w:id="4" w:name="_Toc535367189"/>
      <w:r w:rsidRPr="00BB5FF4">
        <w:rPr>
          <w:rFonts w:ascii="Times New Roman" w:hAnsi="Times New Roman" w:cs="Times New Roman"/>
        </w:rPr>
        <w:t>Profitability Ratios</w:t>
      </w:r>
      <w:bookmarkEnd w:id="3"/>
      <w:bookmarkEnd w:id="4"/>
    </w:p>
    <w:p w14:paraId="734BEA72" w14:textId="77777777" w:rsidR="004619AB" w:rsidRPr="00BB5FF4" w:rsidRDefault="004619AB" w:rsidP="004D7D4F">
      <w:pPr>
        <w:spacing w:line="480" w:lineRule="auto"/>
        <w:rPr>
          <w:rFonts w:ascii="Times New Roman" w:hAnsi="Times New Roman" w:cs="Times New Roman"/>
        </w:rPr>
      </w:pPr>
      <w:r w:rsidRPr="00155BB5">
        <w:rPr>
          <w:rFonts w:ascii="Times New Roman" w:hAnsi="Times New Roman" w:cs="Times New Roman"/>
        </w:rPr>
        <w:t>In the view of Brealey et al. (2012), the</w:t>
      </w:r>
      <w:r w:rsidRPr="00BB5FF4">
        <w:rPr>
          <w:rFonts w:ascii="Times New Roman" w:hAnsi="Times New Roman" w:cs="Times New Roman"/>
        </w:rPr>
        <w:t xml:space="preserve"> main purpose of profitability ratios is to evaluate the profit margins and prof</w:t>
      </w:r>
      <w:r>
        <w:rPr>
          <w:rFonts w:ascii="Times New Roman" w:hAnsi="Times New Roman" w:cs="Times New Roman"/>
        </w:rPr>
        <w:t xml:space="preserve">it potential of the businesses. </w:t>
      </w:r>
      <w:r w:rsidRPr="00BB5FF4">
        <w:rPr>
          <w:rFonts w:ascii="Times New Roman" w:hAnsi="Times New Roman" w:cs="Times New Roman"/>
        </w:rPr>
        <w:t xml:space="preserve">The profitability ratios included in this analysis are net profit margin, operating profit margin and return on capital employed (ROCE). These ratios for </w:t>
      </w:r>
      <w:r>
        <w:rPr>
          <w:rFonts w:ascii="Times New Roman" w:hAnsi="Times New Roman" w:cs="Times New Roman"/>
        </w:rPr>
        <w:t xml:space="preserve">the </w:t>
      </w:r>
      <w:r w:rsidRPr="00BB5FF4">
        <w:rPr>
          <w:rFonts w:ascii="Times New Roman" w:hAnsi="Times New Roman" w:cs="Times New Roman"/>
        </w:rPr>
        <w:t>last four years are indicated in the figure below:</w:t>
      </w:r>
    </w:p>
    <w:p w14:paraId="426DFF7D" w14:textId="77777777" w:rsidR="004619AB" w:rsidRPr="00BB5FF4" w:rsidRDefault="004619AB" w:rsidP="004F438A">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lastRenderedPageBreak/>
        <w:drawing>
          <wp:inline distT="0" distB="0" distL="0" distR="0" wp14:anchorId="3D14A372" wp14:editId="5BCF1FCF">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0EF43CB" w14:textId="77777777" w:rsidR="004619AB" w:rsidRPr="00BB5FF4" w:rsidRDefault="004619AB" w:rsidP="00AF5076">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sidRPr="00BB5FF4">
        <w:rPr>
          <w:rFonts w:ascii="Times New Roman" w:hAnsi="Times New Roman" w:cs="Times New Roman"/>
          <w:noProof/>
        </w:rPr>
        <w:fldChar w:fldCharType="begin"/>
      </w:r>
      <w:r w:rsidRPr="00BB5FF4">
        <w:rPr>
          <w:rFonts w:ascii="Times New Roman" w:hAnsi="Times New Roman" w:cs="Times New Roman"/>
          <w:noProof/>
        </w:rPr>
        <w:instrText xml:space="preserve"> SEQ Figure \* ARABIC </w:instrText>
      </w:r>
      <w:r w:rsidRPr="00BB5FF4">
        <w:rPr>
          <w:rFonts w:ascii="Times New Roman" w:hAnsi="Times New Roman" w:cs="Times New Roman"/>
          <w:noProof/>
        </w:rPr>
        <w:fldChar w:fldCharType="separate"/>
      </w:r>
      <w:r w:rsidRPr="00BB5FF4">
        <w:rPr>
          <w:rFonts w:ascii="Times New Roman" w:hAnsi="Times New Roman" w:cs="Times New Roman"/>
          <w:noProof/>
        </w:rPr>
        <w:t>1</w:t>
      </w:r>
      <w:r w:rsidRPr="00BB5FF4">
        <w:rPr>
          <w:rFonts w:ascii="Times New Roman" w:hAnsi="Times New Roman" w:cs="Times New Roman"/>
          <w:noProof/>
        </w:rPr>
        <w:fldChar w:fldCharType="end"/>
      </w:r>
      <w:r w:rsidRPr="00BB5FF4">
        <w:rPr>
          <w:rFonts w:ascii="Times New Roman" w:hAnsi="Times New Roman" w:cs="Times New Roman"/>
        </w:rPr>
        <w:t xml:space="preserve"> - Profitability Ratios</w:t>
      </w:r>
    </w:p>
    <w:p w14:paraId="46086D01" w14:textId="77777777" w:rsidR="004619AB" w:rsidRPr="00BB5FF4" w:rsidRDefault="004619AB" w:rsidP="004B3648">
      <w:pPr>
        <w:spacing w:after="0" w:line="480" w:lineRule="auto"/>
        <w:rPr>
          <w:rFonts w:ascii="Times New Roman" w:hAnsi="Times New Roman" w:cs="Times New Roman"/>
        </w:rPr>
      </w:pPr>
      <w:r w:rsidRPr="00BB5FF4">
        <w:rPr>
          <w:rFonts w:ascii="Times New Roman" w:hAnsi="Times New Roman" w:cs="Times New Roman"/>
        </w:rPr>
        <w:t xml:space="preserve">As illustrated in the figure above, the operating profit margin of the business fluctuated in 2015 but gained back strongly in the year 2017 and 2018. Firstly, it must be noted that the fluctuation in operating profit margin in 2016 was due to the 33% decline in top line of the business, which was caused by reduction in the prices of nickel, iron, gold and almost every other commodity due to global trends. As the sales declined, the operating profit margin fell significantly despite the downfall in operating expenses as well. Conversely, the sales improved in 2017 and 2018 as the global commodity prices surged and BHP Billiton was also able to control its operating expenses in line with lower sales as compared to 2015. This improved the operating profit margin in these years by a significant margin to 30.7% and 36.66% in 2017 and 2018 respectively. While comparing with the industry average, the ratio stood at 27% in 2018 suggesting that the profitability of BHP Billiton is better than the industry average. </w:t>
      </w:r>
    </w:p>
    <w:p w14:paraId="4C4AAA49" w14:textId="77777777" w:rsidR="004619AB" w:rsidRPr="00BB5FF4" w:rsidRDefault="004619AB" w:rsidP="004B3648">
      <w:pPr>
        <w:spacing w:after="0" w:line="480" w:lineRule="auto"/>
        <w:rPr>
          <w:rFonts w:ascii="Times New Roman" w:hAnsi="Times New Roman" w:cs="Times New Roman"/>
        </w:rPr>
      </w:pPr>
      <w:r w:rsidRPr="00BB5FF4">
        <w:rPr>
          <w:rFonts w:ascii="Times New Roman" w:hAnsi="Times New Roman" w:cs="Times New Roman"/>
        </w:rPr>
        <w:t xml:space="preserve">With respect to the net profit margin (NPM), it can be noted that it has depicted an exactly same trend as operating profit margin. Besides the same reasons accounting for NPM, the loss from equity investments in 2016 amounting to more than $2 billion also amounted to the sharp decline </w:t>
      </w:r>
      <w:r w:rsidRPr="00BB5FF4">
        <w:rPr>
          <w:rFonts w:ascii="Times New Roman" w:hAnsi="Times New Roman" w:cs="Times New Roman"/>
        </w:rPr>
        <w:lastRenderedPageBreak/>
        <w:t>in NPM. Conversely, the industry revived in 2017 and 2018 leading to a positive NPM as well, which was well supported by the revival of gain from equity investments as in the year 2015. In addition, the finance cost of the business remained stable in 2017 and 2018 after an increase of $40</w:t>
      </w:r>
      <w:r>
        <w:rPr>
          <w:rFonts w:ascii="Times New Roman" w:hAnsi="Times New Roman" w:cs="Times New Roman"/>
        </w:rPr>
        <w:t xml:space="preserve">0 million in the year 2016. </w:t>
      </w:r>
      <w:r w:rsidRPr="00BB5FF4">
        <w:rPr>
          <w:rFonts w:ascii="Times New Roman" w:hAnsi="Times New Roman" w:cs="Times New Roman"/>
        </w:rPr>
        <w:t xml:space="preserve">NPM of the industry is 13.5% in 2018, </w:t>
      </w:r>
      <w:r>
        <w:rPr>
          <w:rFonts w:ascii="Times New Roman" w:hAnsi="Times New Roman" w:cs="Times New Roman"/>
        </w:rPr>
        <w:t xml:space="preserve">which is lower than that of </w:t>
      </w:r>
      <w:r w:rsidRPr="00BB5FF4">
        <w:rPr>
          <w:rFonts w:ascii="Times New Roman" w:hAnsi="Times New Roman" w:cs="Times New Roman"/>
        </w:rPr>
        <w:t xml:space="preserve">BHP Billiton’s 17.75% during the same </w:t>
      </w:r>
      <w:r>
        <w:rPr>
          <w:rFonts w:ascii="Times New Roman" w:hAnsi="Times New Roman" w:cs="Times New Roman"/>
        </w:rPr>
        <w:t>period. It highlights that the c</w:t>
      </w:r>
      <w:r w:rsidRPr="00BB5FF4">
        <w:rPr>
          <w:rFonts w:ascii="Times New Roman" w:hAnsi="Times New Roman" w:cs="Times New Roman"/>
        </w:rPr>
        <w:t xml:space="preserve">ompany performed better than its </w:t>
      </w:r>
      <w:r w:rsidRPr="00155BB5">
        <w:rPr>
          <w:rFonts w:ascii="Times New Roman" w:hAnsi="Times New Roman" w:cs="Times New Roman"/>
        </w:rPr>
        <w:t>industry peers on average in 2018 (CSI Market, 2018).</w:t>
      </w:r>
    </w:p>
    <w:p w14:paraId="67739413" w14:textId="77777777" w:rsidR="004619AB" w:rsidRPr="00BB5FF4" w:rsidRDefault="004619AB" w:rsidP="00BB5FF4">
      <w:pPr>
        <w:spacing w:after="0" w:line="480" w:lineRule="auto"/>
        <w:rPr>
          <w:rFonts w:ascii="Times New Roman" w:hAnsi="Times New Roman" w:cs="Times New Roman"/>
        </w:rPr>
      </w:pPr>
      <w:r w:rsidRPr="00BB5FF4">
        <w:rPr>
          <w:rFonts w:ascii="Times New Roman" w:hAnsi="Times New Roman" w:cs="Times New Roman"/>
        </w:rPr>
        <w:t xml:space="preserve">The third ratio analyzed with respect to profitability is the ROCE, which highlights the company’s performance with respect to the equity and long-term liabilities employed by the </w:t>
      </w:r>
      <w:r w:rsidRPr="00155BB5">
        <w:rPr>
          <w:rFonts w:ascii="Times New Roman" w:hAnsi="Times New Roman" w:cs="Times New Roman"/>
        </w:rPr>
        <w:t>business (Tirole, 2010; Brigham and Daves, 2012). Since ROCE is directly linked to NPM, it</w:t>
      </w:r>
      <w:r w:rsidRPr="00BB5FF4">
        <w:rPr>
          <w:rFonts w:ascii="Times New Roman" w:hAnsi="Times New Roman" w:cs="Times New Roman"/>
        </w:rPr>
        <w:t xml:space="preserve"> shows exactly </w:t>
      </w:r>
      <w:r>
        <w:rPr>
          <w:rFonts w:ascii="Times New Roman" w:hAnsi="Times New Roman" w:cs="Times New Roman"/>
        </w:rPr>
        <w:t xml:space="preserve">the </w:t>
      </w:r>
      <w:r w:rsidRPr="00BB5FF4">
        <w:rPr>
          <w:rFonts w:ascii="Times New Roman" w:hAnsi="Times New Roman" w:cs="Times New Roman"/>
        </w:rPr>
        <w:t>same trend as NPM over the four year period. It is mainly indicating that there was no significant increase or decrease in the non-current liabilities and equity of the BHP Billiton as evident from the balan</w:t>
      </w:r>
      <w:r>
        <w:rPr>
          <w:rFonts w:ascii="Times New Roman" w:hAnsi="Times New Roman" w:cs="Times New Roman"/>
        </w:rPr>
        <w:t>ce sheet of the c</w:t>
      </w:r>
      <w:r w:rsidRPr="00BB5FF4">
        <w:rPr>
          <w:rFonts w:ascii="Times New Roman" w:hAnsi="Times New Roman" w:cs="Times New Roman"/>
        </w:rPr>
        <w:t xml:space="preserve">ompany over four years as well. </w:t>
      </w:r>
    </w:p>
    <w:p w14:paraId="580489C6" w14:textId="77777777" w:rsidR="004619AB" w:rsidRPr="00155BB5" w:rsidRDefault="004619AB" w:rsidP="00BB5FF4">
      <w:pPr>
        <w:pStyle w:val="Heading2"/>
        <w:numPr>
          <w:ilvl w:val="0"/>
          <w:numId w:val="3"/>
        </w:numPr>
        <w:spacing w:line="480" w:lineRule="auto"/>
        <w:rPr>
          <w:rFonts w:ascii="Times New Roman" w:hAnsi="Times New Roman" w:cs="Times New Roman"/>
        </w:rPr>
      </w:pPr>
      <w:bookmarkStart w:id="5" w:name="_Toc535361345"/>
      <w:bookmarkStart w:id="6" w:name="_Toc535367190"/>
      <w:r w:rsidRPr="00155BB5">
        <w:rPr>
          <w:rFonts w:ascii="Times New Roman" w:hAnsi="Times New Roman" w:cs="Times New Roman"/>
        </w:rPr>
        <w:t>Liquidity Ratios</w:t>
      </w:r>
      <w:bookmarkEnd w:id="5"/>
      <w:bookmarkEnd w:id="6"/>
    </w:p>
    <w:p w14:paraId="412647D9" w14:textId="77777777" w:rsidR="004619AB" w:rsidRPr="00BB5FF4" w:rsidRDefault="004619AB" w:rsidP="004D7D4F">
      <w:pPr>
        <w:spacing w:line="480" w:lineRule="auto"/>
        <w:rPr>
          <w:rFonts w:ascii="Times New Roman" w:hAnsi="Times New Roman" w:cs="Times New Roman"/>
        </w:rPr>
      </w:pPr>
      <w:r w:rsidRPr="00155BB5">
        <w:rPr>
          <w:rFonts w:ascii="Times New Roman" w:hAnsi="Times New Roman" w:cs="Times New Roman"/>
        </w:rPr>
        <w:t>According to Brooks and Mukherjee (2013), the liquidity ratios are used to measure the ability of</w:t>
      </w:r>
      <w:r w:rsidRPr="00BB5FF4">
        <w:rPr>
          <w:rFonts w:ascii="Times New Roman" w:hAnsi="Times New Roman" w:cs="Times New Roman"/>
        </w:rPr>
        <w:t xml:space="preserve"> a business to pay off its debt obligations timely and comfortably. The current ratio and quick ratio have been calculated for this purpose as illustrated in the graph below:</w:t>
      </w:r>
    </w:p>
    <w:p w14:paraId="749F1E47" w14:textId="77777777" w:rsidR="004619AB" w:rsidRPr="00BB5FF4" w:rsidRDefault="004619AB" w:rsidP="004D7D4F">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drawing>
          <wp:inline distT="0" distB="0" distL="0" distR="0" wp14:anchorId="34042868" wp14:editId="1E8F0050">
            <wp:extent cx="4133850" cy="19431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75990D1" w14:textId="77777777" w:rsidR="004619AB" w:rsidRPr="00BB5FF4" w:rsidRDefault="004619AB" w:rsidP="00AF5076">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sidRPr="00BB5FF4">
        <w:rPr>
          <w:rFonts w:ascii="Times New Roman" w:hAnsi="Times New Roman" w:cs="Times New Roman"/>
          <w:noProof/>
        </w:rPr>
        <w:fldChar w:fldCharType="begin"/>
      </w:r>
      <w:r w:rsidRPr="00BB5FF4">
        <w:rPr>
          <w:rFonts w:ascii="Times New Roman" w:hAnsi="Times New Roman" w:cs="Times New Roman"/>
          <w:noProof/>
        </w:rPr>
        <w:instrText xml:space="preserve"> SEQ Figure \* ARABIC </w:instrText>
      </w:r>
      <w:r w:rsidRPr="00BB5FF4">
        <w:rPr>
          <w:rFonts w:ascii="Times New Roman" w:hAnsi="Times New Roman" w:cs="Times New Roman"/>
          <w:noProof/>
        </w:rPr>
        <w:fldChar w:fldCharType="separate"/>
      </w:r>
      <w:r w:rsidRPr="00BB5FF4">
        <w:rPr>
          <w:rFonts w:ascii="Times New Roman" w:hAnsi="Times New Roman" w:cs="Times New Roman"/>
          <w:noProof/>
        </w:rPr>
        <w:t>2</w:t>
      </w:r>
      <w:r w:rsidRPr="00BB5FF4">
        <w:rPr>
          <w:rFonts w:ascii="Times New Roman" w:hAnsi="Times New Roman" w:cs="Times New Roman"/>
          <w:noProof/>
        </w:rPr>
        <w:fldChar w:fldCharType="end"/>
      </w:r>
      <w:r w:rsidRPr="00BB5FF4">
        <w:rPr>
          <w:rFonts w:ascii="Times New Roman" w:hAnsi="Times New Roman" w:cs="Times New Roman"/>
        </w:rPr>
        <w:t xml:space="preserve"> - Liquidity Ratios</w:t>
      </w:r>
    </w:p>
    <w:p w14:paraId="621561B0" w14:textId="77777777" w:rsidR="004619AB" w:rsidRPr="00BB5FF4" w:rsidRDefault="004619AB" w:rsidP="00C25809">
      <w:pPr>
        <w:spacing w:after="0" w:line="480" w:lineRule="auto"/>
        <w:rPr>
          <w:rFonts w:ascii="Times New Roman" w:hAnsi="Times New Roman" w:cs="Times New Roman"/>
        </w:rPr>
      </w:pPr>
      <w:r>
        <w:rPr>
          <w:rFonts w:ascii="Times New Roman" w:hAnsi="Times New Roman" w:cs="Times New Roman"/>
        </w:rPr>
        <w:lastRenderedPageBreak/>
        <w:t xml:space="preserve">The current ratio for </w:t>
      </w:r>
      <w:r w:rsidRPr="00BB5FF4">
        <w:rPr>
          <w:rFonts w:ascii="Times New Roman" w:hAnsi="Times New Roman" w:cs="Times New Roman"/>
        </w:rPr>
        <w:t>BHP Billiton was 1.27 times in 2015, which is higher than 1 and suggests the business’ ability to pay off its short-term debt with ease. Further, the ratio improved to 1.44 times in 2016; the core reason behind improvement in ratio was the acquisition of additional financing as part of it was held as cash to be invested in the periods to come. The ratio further improved in 2017, which was due to further improvement in cash and cash equivalents by $4 billion. The significant increase in liquidity in 2018 was due to the assets held for sale by the BHP Billiton, which increased the amount of current assets to a significant extent. Overall, the ratio has remained sufficient to indicate that BHP Billiton can meet its debt obligations easily. However, when we compare the ratio with industry average of 2.86 times in 2018, it can be stated that BHP Billiton still has a lower liquidity when compared to its industry peers’ average (CSI Market, 2018</w:t>
      </w:r>
      <w:r>
        <w:rPr>
          <w:rFonts w:ascii="Times New Roman" w:hAnsi="Times New Roman" w:cs="Times New Roman"/>
        </w:rPr>
        <w:t>; Penman, 2015</w:t>
      </w:r>
      <w:r w:rsidRPr="00BB5FF4">
        <w:rPr>
          <w:rFonts w:ascii="Times New Roman" w:hAnsi="Times New Roman" w:cs="Times New Roman"/>
        </w:rPr>
        <w:t>).</w:t>
      </w:r>
    </w:p>
    <w:p w14:paraId="69518CE1" w14:textId="77777777" w:rsidR="004619AB" w:rsidRPr="00BB5FF4" w:rsidRDefault="004619AB" w:rsidP="006B1397">
      <w:pPr>
        <w:spacing w:after="0" w:line="480" w:lineRule="auto"/>
        <w:rPr>
          <w:rFonts w:ascii="Times New Roman" w:hAnsi="Times New Roman" w:cs="Times New Roman"/>
        </w:rPr>
      </w:pPr>
      <w:r w:rsidRPr="00BB5FF4">
        <w:rPr>
          <w:rFonts w:ascii="Times New Roman" w:hAnsi="Times New Roman" w:cs="Times New Roman"/>
        </w:rPr>
        <w:t xml:space="preserve">The second ratio calculated for liquidity analysis is quick ratio; which suggests whether a business’ current assets excluding inventories can meet the company’s short-term liquidity needs because inventory is considered illiquid </w:t>
      </w:r>
      <w:r w:rsidRPr="00155BB5">
        <w:rPr>
          <w:rFonts w:ascii="Times New Roman" w:hAnsi="Times New Roman" w:cs="Times New Roman"/>
        </w:rPr>
        <w:t>at times (Brigham and Houston, 2012). The quick ratio</w:t>
      </w:r>
      <w:r w:rsidRPr="00BB5FF4">
        <w:rPr>
          <w:rFonts w:ascii="Times New Roman" w:hAnsi="Times New Roman" w:cs="Times New Roman"/>
        </w:rPr>
        <w:t xml:space="preserve"> for BHP Billiton was 0.94 times in 2015, which suggests slight illiquid nature of the business. However, the ratio increased in line with current ratio in the three years following and the ratio stood at 2.24 times in 2018 suggesting that the business has become highly liquid and can pay its short-term debt obligations with ease. On the other hand, the industry average for quick ratio in 2018 is 1.33 times suggesting that BHP Billiton has a significantly high liquidity when compared to the industry average (CSI Market, 2018).</w:t>
      </w:r>
    </w:p>
    <w:p w14:paraId="78967BD0" w14:textId="77777777" w:rsidR="004619AB" w:rsidRPr="00BB5FF4" w:rsidRDefault="004619AB" w:rsidP="00BB5FF4">
      <w:pPr>
        <w:spacing w:after="0" w:line="480" w:lineRule="auto"/>
        <w:rPr>
          <w:rFonts w:ascii="Times New Roman" w:hAnsi="Times New Roman" w:cs="Times New Roman"/>
        </w:rPr>
      </w:pPr>
      <w:r w:rsidRPr="00BB5FF4">
        <w:rPr>
          <w:rFonts w:ascii="Times New Roman" w:hAnsi="Times New Roman" w:cs="Times New Roman"/>
        </w:rPr>
        <w:t>Overall, the liquidity ratios suggest that BHP Billiton has improved over the four year period and it has sufficient liquidity to pay off its short-term debts as of 2018.</w:t>
      </w:r>
    </w:p>
    <w:p w14:paraId="4018BFDE" w14:textId="77777777" w:rsidR="004619AB" w:rsidRPr="00BB5FF4" w:rsidRDefault="004619AB" w:rsidP="00BB5FF4">
      <w:pPr>
        <w:pStyle w:val="Heading2"/>
        <w:numPr>
          <w:ilvl w:val="0"/>
          <w:numId w:val="3"/>
        </w:numPr>
        <w:spacing w:before="0" w:line="480" w:lineRule="auto"/>
        <w:ind w:left="714" w:hanging="357"/>
        <w:rPr>
          <w:rFonts w:ascii="Times New Roman" w:hAnsi="Times New Roman" w:cs="Times New Roman"/>
        </w:rPr>
      </w:pPr>
      <w:bookmarkStart w:id="7" w:name="_Toc535361346"/>
      <w:bookmarkStart w:id="8" w:name="_Toc535367191"/>
      <w:r w:rsidRPr="00BB5FF4">
        <w:rPr>
          <w:rFonts w:ascii="Times New Roman" w:hAnsi="Times New Roman" w:cs="Times New Roman"/>
        </w:rPr>
        <w:lastRenderedPageBreak/>
        <w:t>Efficiency Ratios</w:t>
      </w:r>
      <w:bookmarkEnd w:id="7"/>
      <w:bookmarkEnd w:id="8"/>
      <w:r w:rsidRPr="00BB5FF4">
        <w:rPr>
          <w:rFonts w:ascii="Times New Roman" w:hAnsi="Times New Roman" w:cs="Times New Roman"/>
        </w:rPr>
        <w:t xml:space="preserve"> </w:t>
      </w:r>
    </w:p>
    <w:p w14:paraId="1085714E" w14:textId="77777777" w:rsidR="004619AB" w:rsidRPr="00BB5FF4" w:rsidRDefault="004619AB" w:rsidP="00BB5FF4">
      <w:pPr>
        <w:spacing w:after="0" w:line="480" w:lineRule="auto"/>
        <w:rPr>
          <w:rFonts w:ascii="Times New Roman" w:hAnsi="Times New Roman" w:cs="Times New Roman"/>
        </w:rPr>
      </w:pPr>
      <w:r w:rsidRPr="00BB5FF4">
        <w:rPr>
          <w:rFonts w:ascii="Times New Roman" w:hAnsi="Times New Roman" w:cs="Times New Roman"/>
        </w:rPr>
        <w:t xml:space="preserve">The efficiency ratios are calculated to measure the efficiency of asset and liability management </w:t>
      </w:r>
      <w:r w:rsidRPr="007840B6">
        <w:rPr>
          <w:rFonts w:ascii="Times New Roman" w:hAnsi="Times New Roman" w:cs="Times New Roman"/>
        </w:rPr>
        <w:t>of a business (Penman, 2007; Fridson and Alvarez, 2011). In this regard, the</w:t>
      </w:r>
      <w:r w:rsidRPr="00BB5FF4">
        <w:rPr>
          <w:rFonts w:ascii="Times New Roman" w:hAnsi="Times New Roman" w:cs="Times New Roman"/>
        </w:rPr>
        <w:t xml:space="preserve"> analysis is carried out by analyzing</w:t>
      </w:r>
      <w:r>
        <w:rPr>
          <w:rFonts w:ascii="Times New Roman" w:hAnsi="Times New Roman" w:cs="Times New Roman"/>
        </w:rPr>
        <w:t xml:space="preserve"> the Total Asset T</w:t>
      </w:r>
      <w:r w:rsidRPr="00BB5FF4">
        <w:rPr>
          <w:rFonts w:ascii="Times New Roman" w:hAnsi="Times New Roman" w:cs="Times New Roman"/>
        </w:rPr>
        <w:t>urnover</w:t>
      </w:r>
      <w:r>
        <w:rPr>
          <w:rFonts w:ascii="Times New Roman" w:hAnsi="Times New Roman" w:cs="Times New Roman"/>
        </w:rPr>
        <w:t xml:space="preserve"> (TAT)</w:t>
      </w:r>
      <w:r w:rsidRPr="00BB5FF4">
        <w:rPr>
          <w:rFonts w:ascii="Times New Roman" w:hAnsi="Times New Roman" w:cs="Times New Roman"/>
        </w:rPr>
        <w:t xml:space="preserve"> and Cash Conversion Cycle</w:t>
      </w:r>
      <w:r>
        <w:rPr>
          <w:rFonts w:ascii="Times New Roman" w:hAnsi="Times New Roman" w:cs="Times New Roman"/>
        </w:rPr>
        <w:t xml:space="preserve"> (CCC)</w:t>
      </w:r>
      <w:r w:rsidRPr="00BB5FF4">
        <w:rPr>
          <w:rFonts w:ascii="Times New Roman" w:hAnsi="Times New Roman" w:cs="Times New Roman"/>
        </w:rPr>
        <w:t xml:space="preserve"> of BHP Billiton. </w:t>
      </w:r>
      <w:r>
        <w:rPr>
          <w:rFonts w:ascii="Times New Roman" w:hAnsi="Times New Roman" w:cs="Times New Roman"/>
        </w:rPr>
        <w:t xml:space="preserve">TAT </w:t>
      </w:r>
      <w:r w:rsidRPr="00BB5FF4">
        <w:rPr>
          <w:rFonts w:ascii="Times New Roman" w:hAnsi="Times New Roman" w:cs="Times New Roman"/>
        </w:rPr>
        <w:t>over the four years is shown in the graph below:</w:t>
      </w:r>
    </w:p>
    <w:p w14:paraId="6A588604" w14:textId="77777777" w:rsidR="004619AB" w:rsidRPr="00BB5FF4" w:rsidRDefault="004619AB" w:rsidP="004D7D4F">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drawing>
          <wp:inline distT="0" distB="0" distL="0" distR="0" wp14:anchorId="6F0BD16E" wp14:editId="336E5708">
            <wp:extent cx="4962525" cy="25146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11A28A2" w14:textId="77777777" w:rsidR="004619AB" w:rsidRPr="00BB5FF4" w:rsidRDefault="004619AB" w:rsidP="00B67357">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sidRPr="00BB5FF4">
        <w:rPr>
          <w:rFonts w:ascii="Times New Roman" w:hAnsi="Times New Roman" w:cs="Times New Roman"/>
          <w:noProof/>
        </w:rPr>
        <w:fldChar w:fldCharType="begin"/>
      </w:r>
      <w:r w:rsidRPr="00BB5FF4">
        <w:rPr>
          <w:rFonts w:ascii="Times New Roman" w:hAnsi="Times New Roman" w:cs="Times New Roman"/>
          <w:noProof/>
        </w:rPr>
        <w:instrText xml:space="preserve"> SEQ Figure \* ARABIC </w:instrText>
      </w:r>
      <w:r w:rsidRPr="00BB5FF4">
        <w:rPr>
          <w:rFonts w:ascii="Times New Roman" w:hAnsi="Times New Roman" w:cs="Times New Roman"/>
          <w:noProof/>
        </w:rPr>
        <w:fldChar w:fldCharType="separate"/>
      </w:r>
      <w:r w:rsidRPr="00BB5FF4">
        <w:rPr>
          <w:rFonts w:ascii="Times New Roman" w:hAnsi="Times New Roman" w:cs="Times New Roman"/>
          <w:noProof/>
        </w:rPr>
        <w:t>3</w:t>
      </w:r>
      <w:r w:rsidRPr="00BB5FF4">
        <w:rPr>
          <w:rFonts w:ascii="Times New Roman" w:hAnsi="Times New Roman" w:cs="Times New Roman"/>
          <w:noProof/>
        </w:rPr>
        <w:fldChar w:fldCharType="end"/>
      </w:r>
      <w:r w:rsidRPr="00BB5FF4">
        <w:rPr>
          <w:rFonts w:ascii="Times New Roman" w:hAnsi="Times New Roman" w:cs="Times New Roman"/>
        </w:rPr>
        <w:t xml:space="preserve"> - Total Asset Turnover</w:t>
      </w:r>
    </w:p>
    <w:p w14:paraId="4395BF3E" w14:textId="77777777" w:rsidR="004619AB" w:rsidRPr="00BB5FF4" w:rsidRDefault="004619AB" w:rsidP="004D7D4F">
      <w:pPr>
        <w:spacing w:line="480" w:lineRule="auto"/>
        <w:rPr>
          <w:rFonts w:ascii="Times New Roman" w:hAnsi="Times New Roman" w:cs="Times New Roman"/>
        </w:rPr>
      </w:pPr>
      <w:r w:rsidRPr="00BB5FF4">
        <w:rPr>
          <w:rFonts w:ascii="Times New Roman" w:hAnsi="Times New Roman" w:cs="Times New Roman"/>
        </w:rPr>
        <w:t>T</w:t>
      </w:r>
      <w:r>
        <w:rPr>
          <w:rFonts w:ascii="Times New Roman" w:hAnsi="Times New Roman" w:cs="Times New Roman"/>
        </w:rPr>
        <w:t xml:space="preserve">he figure above highlights that TAT of </w:t>
      </w:r>
      <w:r w:rsidRPr="00BB5FF4">
        <w:rPr>
          <w:rFonts w:ascii="Times New Roman" w:hAnsi="Times New Roman" w:cs="Times New Roman"/>
        </w:rPr>
        <w:t>BHP Billiton declined from 0.36 times in 2015 to 0.26 times in 2016 hig</w:t>
      </w:r>
      <w:r>
        <w:rPr>
          <w:rFonts w:ascii="Times New Roman" w:hAnsi="Times New Roman" w:cs="Times New Roman"/>
        </w:rPr>
        <w:t xml:space="preserve">hlighting the decline in sales </w:t>
      </w:r>
      <w:r w:rsidRPr="00BB5FF4">
        <w:rPr>
          <w:rFonts w:ascii="Times New Roman" w:hAnsi="Times New Roman" w:cs="Times New Roman"/>
        </w:rPr>
        <w:t xml:space="preserve">of 33% over the year, where the assets of the business declined by a smaller percentage (5%). It is noteworthy to mention that </w:t>
      </w:r>
      <w:r>
        <w:rPr>
          <w:rFonts w:ascii="Times New Roman" w:hAnsi="Times New Roman" w:cs="Times New Roman"/>
        </w:rPr>
        <w:t>TAT</w:t>
      </w:r>
      <w:r w:rsidRPr="00BB5FF4">
        <w:rPr>
          <w:rFonts w:ascii="Times New Roman" w:hAnsi="Times New Roman" w:cs="Times New Roman"/>
        </w:rPr>
        <w:t xml:space="preserve"> of the business has been lower across the four years, which is mainly due to the fact that the mining is a capital intensive industry and the investment in fixed assets required is significant to generate sales. The asset turnover ratio for capital intensive industries is generally lower as compared to services or retail sector. Further, the analysis suggests that as the industry revived in 2017 and 2018, the total asset turnover also improved and stood at 0.39 times in 2018, which is slightly better than 2015 despite lower sales in comparison over four year period. It is because of the fact that total assets of business have declined by 10% over the four year period. In comparison to industry </w:t>
      </w:r>
      <w:r w:rsidRPr="00BB5FF4">
        <w:rPr>
          <w:rFonts w:ascii="Times New Roman" w:hAnsi="Times New Roman" w:cs="Times New Roman"/>
        </w:rPr>
        <w:lastRenderedPageBreak/>
        <w:t>average total asset turnover in 2018, it can be noted that BHP Billiton’s efficiency is lower as the industry ratio is 0.48 times as determined by CSI Market (2018).</w:t>
      </w:r>
    </w:p>
    <w:p w14:paraId="62D6990B" w14:textId="77777777" w:rsidR="004619AB" w:rsidRPr="00BB5FF4" w:rsidRDefault="004619AB" w:rsidP="004D7D4F">
      <w:pPr>
        <w:spacing w:line="480" w:lineRule="auto"/>
        <w:rPr>
          <w:rFonts w:ascii="Times New Roman" w:hAnsi="Times New Roman" w:cs="Times New Roman"/>
        </w:rPr>
      </w:pPr>
      <w:r w:rsidRPr="00BB5FF4">
        <w:rPr>
          <w:rFonts w:ascii="Times New Roman" w:hAnsi="Times New Roman" w:cs="Times New Roman"/>
        </w:rPr>
        <w:t xml:space="preserve">In the </w:t>
      </w:r>
      <w:r w:rsidRPr="007840B6">
        <w:rPr>
          <w:rFonts w:ascii="Times New Roman" w:hAnsi="Times New Roman" w:cs="Times New Roman"/>
        </w:rPr>
        <w:t>view of Palepu and Healy (2007), CCC is calculated</w:t>
      </w:r>
      <w:r w:rsidRPr="00BB5FF4">
        <w:rPr>
          <w:rFonts w:ascii="Times New Roman" w:hAnsi="Times New Roman" w:cs="Times New Roman"/>
        </w:rPr>
        <w:t xml:space="preserve"> to evaluate the payment cycle of the business and highlight its efficiency in managing the current assets and liabilities. The businesses desire smaller CCC because of the fact that it indicates the higher efficiency in turning the raw ma</w:t>
      </w:r>
      <w:r>
        <w:rPr>
          <w:rFonts w:ascii="Times New Roman" w:hAnsi="Times New Roman" w:cs="Times New Roman"/>
        </w:rPr>
        <w:t xml:space="preserve">terials to cash from sales. CCC for </w:t>
      </w:r>
      <w:r w:rsidRPr="00BB5FF4">
        <w:rPr>
          <w:rFonts w:ascii="Times New Roman" w:hAnsi="Times New Roman" w:cs="Times New Roman"/>
        </w:rPr>
        <w:t>BHP Billiton is illustrated in the figure below:</w:t>
      </w:r>
    </w:p>
    <w:p w14:paraId="5DBA2DEF" w14:textId="77777777" w:rsidR="004619AB" w:rsidRPr="00BB5FF4" w:rsidRDefault="004619AB" w:rsidP="004D7D4F">
      <w:pPr>
        <w:spacing w:line="480" w:lineRule="auto"/>
        <w:rPr>
          <w:rFonts w:ascii="Times New Roman" w:hAnsi="Times New Roman" w:cs="Times New Roman"/>
        </w:rPr>
      </w:pPr>
      <w:r w:rsidRPr="00BB5FF4">
        <w:rPr>
          <w:rFonts w:ascii="Times New Roman" w:hAnsi="Times New Roman" w:cs="Times New Roman"/>
          <w:noProof/>
          <w:lang w:val="en-CA" w:eastAsia="en-CA"/>
        </w:rPr>
        <w:drawing>
          <wp:inline distT="0" distB="0" distL="0" distR="0" wp14:anchorId="2B0DA14E" wp14:editId="44F1E72E">
            <wp:extent cx="5238750" cy="26955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A811C17" w14:textId="77777777" w:rsidR="004619AB" w:rsidRDefault="004619AB" w:rsidP="00B67357">
      <w:pPr>
        <w:spacing w:after="0" w:line="480" w:lineRule="auto"/>
        <w:jc w:val="center"/>
        <w:rPr>
          <w:rFonts w:ascii="Times New Roman" w:hAnsi="Times New Roman" w:cs="Times New Roman"/>
        </w:rPr>
      </w:pPr>
      <w:r w:rsidRPr="00B67357">
        <w:rPr>
          <w:rFonts w:ascii="Times New Roman" w:hAnsi="Times New Roman" w:cs="Times New Roman"/>
          <w:i/>
          <w:iCs/>
          <w:color w:val="44546A" w:themeColor="text2"/>
          <w:sz w:val="18"/>
          <w:szCs w:val="18"/>
        </w:rPr>
        <w:t xml:space="preserve">Figure </w:t>
      </w:r>
      <w:r w:rsidRPr="00B67357">
        <w:rPr>
          <w:rFonts w:ascii="Times New Roman" w:hAnsi="Times New Roman" w:cs="Times New Roman"/>
          <w:i/>
          <w:iCs/>
          <w:color w:val="44546A" w:themeColor="text2"/>
          <w:sz w:val="18"/>
          <w:szCs w:val="18"/>
        </w:rPr>
        <w:fldChar w:fldCharType="begin"/>
      </w:r>
      <w:r w:rsidRPr="00B67357">
        <w:rPr>
          <w:rFonts w:ascii="Times New Roman" w:hAnsi="Times New Roman" w:cs="Times New Roman"/>
          <w:i/>
          <w:iCs/>
          <w:color w:val="44546A" w:themeColor="text2"/>
          <w:sz w:val="18"/>
          <w:szCs w:val="18"/>
        </w:rPr>
        <w:instrText xml:space="preserve"> SEQ Figure \* ARABIC </w:instrText>
      </w:r>
      <w:r w:rsidRPr="00B67357">
        <w:rPr>
          <w:rFonts w:ascii="Times New Roman" w:hAnsi="Times New Roman" w:cs="Times New Roman"/>
          <w:i/>
          <w:iCs/>
          <w:color w:val="44546A" w:themeColor="text2"/>
          <w:sz w:val="18"/>
          <w:szCs w:val="18"/>
        </w:rPr>
        <w:fldChar w:fldCharType="separate"/>
      </w:r>
      <w:r w:rsidRPr="00B67357">
        <w:rPr>
          <w:rFonts w:ascii="Times New Roman" w:hAnsi="Times New Roman" w:cs="Times New Roman"/>
          <w:i/>
          <w:iCs/>
          <w:color w:val="44546A" w:themeColor="text2"/>
          <w:sz w:val="18"/>
          <w:szCs w:val="18"/>
        </w:rPr>
        <w:t>3</w:t>
      </w:r>
      <w:r w:rsidRPr="00B67357">
        <w:rPr>
          <w:rFonts w:ascii="Times New Roman" w:hAnsi="Times New Roman" w:cs="Times New Roman"/>
          <w:i/>
          <w:iCs/>
          <w:color w:val="44546A" w:themeColor="text2"/>
          <w:sz w:val="18"/>
          <w:szCs w:val="18"/>
        </w:rPr>
        <w:fldChar w:fldCharType="end"/>
      </w:r>
      <w:r w:rsidRPr="00B67357">
        <w:rPr>
          <w:rFonts w:ascii="Times New Roman" w:hAnsi="Times New Roman" w:cs="Times New Roman"/>
          <w:i/>
          <w:iCs/>
          <w:color w:val="44546A" w:themeColor="text2"/>
          <w:sz w:val="18"/>
          <w:szCs w:val="18"/>
        </w:rPr>
        <w:t xml:space="preserve"> </w:t>
      </w:r>
      <w:r>
        <w:rPr>
          <w:rFonts w:ascii="Times New Roman" w:hAnsi="Times New Roman" w:cs="Times New Roman"/>
          <w:i/>
          <w:iCs/>
          <w:color w:val="44546A" w:themeColor="text2"/>
          <w:sz w:val="18"/>
          <w:szCs w:val="18"/>
        </w:rPr>
        <w:t>-</w:t>
      </w:r>
      <w:r w:rsidRPr="00B67357">
        <w:rPr>
          <w:rFonts w:ascii="Times New Roman" w:hAnsi="Times New Roman" w:cs="Times New Roman"/>
          <w:i/>
          <w:iCs/>
          <w:color w:val="44546A" w:themeColor="text2"/>
          <w:sz w:val="18"/>
          <w:szCs w:val="18"/>
        </w:rPr>
        <w:t xml:space="preserve"> </w:t>
      </w:r>
      <w:r>
        <w:rPr>
          <w:rFonts w:ascii="Times New Roman" w:hAnsi="Times New Roman" w:cs="Times New Roman"/>
          <w:i/>
          <w:iCs/>
          <w:color w:val="44546A" w:themeColor="text2"/>
          <w:sz w:val="18"/>
          <w:szCs w:val="18"/>
        </w:rPr>
        <w:t>Cash Conversion Cycle</w:t>
      </w:r>
    </w:p>
    <w:p w14:paraId="561F7845" w14:textId="77777777" w:rsidR="004619AB" w:rsidRPr="00BB5FF4" w:rsidRDefault="004619AB" w:rsidP="00BB5FF4">
      <w:pPr>
        <w:spacing w:after="0" w:line="480" w:lineRule="auto"/>
        <w:rPr>
          <w:rFonts w:ascii="Times New Roman" w:hAnsi="Times New Roman" w:cs="Times New Roman"/>
        </w:rPr>
      </w:pPr>
      <w:r>
        <w:rPr>
          <w:rFonts w:ascii="Times New Roman" w:hAnsi="Times New Roman" w:cs="Times New Roman"/>
        </w:rPr>
        <w:t>CCC</w:t>
      </w:r>
      <w:r w:rsidRPr="00BB5FF4">
        <w:rPr>
          <w:rFonts w:ascii="Times New Roman" w:hAnsi="Times New Roman" w:cs="Times New Roman"/>
        </w:rPr>
        <w:t xml:space="preserve"> of BHP </w:t>
      </w:r>
      <w:r>
        <w:rPr>
          <w:rFonts w:ascii="Times New Roman" w:hAnsi="Times New Roman" w:cs="Times New Roman"/>
        </w:rPr>
        <w:t xml:space="preserve">Billiton was highly smooth i.e. </w:t>
      </w:r>
      <w:r w:rsidRPr="00BB5FF4">
        <w:rPr>
          <w:rFonts w:ascii="Times New Roman" w:hAnsi="Times New Roman" w:cs="Times New Roman"/>
        </w:rPr>
        <w:t xml:space="preserve">4.79 days in 2015, which was mainly due to the higher payable period supported by lower average collection period and inventory cycle. However, the ratio increased significantly in 2016 as the inventory cycle increased from 35 to 42 days and payable period reduced from 72 days to 55 days; it was mainly due to the fact that the amounts of inventory and payables outstanding remained </w:t>
      </w:r>
      <w:r>
        <w:rPr>
          <w:rFonts w:ascii="Times New Roman" w:hAnsi="Times New Roman" w:cs="Times New Roman"/>
        </w:rPr>
        <w:t xml:space="preserve">the </w:t>
      </w:r>
      <w:r w:rsidRPr="00BB5FF4">
        <w:rPr>
          <w:rFonts w:ascii="Times New Roman" w:hAnsi="Times New Roman" w:cs="Times New Roman"/>
        </w:rPr>
        <w:t>same despite a significant fall in cost of sales as the size of operations was smaller in 2016 due to global industry trends and</w:t>
      </w:r>
      <w:r>
        <w:rPr>
          <w:rFonts w:ascii="Times New Roman" w:hAnsi="Times New Roman" w:cs="Times New Roman"/>
        </w:rPr>
        <w:t xml:space="preserve"> commodity prices. In 2017, </w:t>
      </w:r>
      <w:r w:rsidRPr="00BB5FF4">
        <w:rPr>
          <w:rFonts w:ascii="Times New Roman" w:hAnsi="Times New Roman" w:cs="Times New Roman"/>
        </w:rPr>
        <w:t xml:space="preserve">CCC improved to 2.15 days and went to negative in 2018, which was due to the revival of </w:t>
      </w:r>
      <w:r w:rsidRPr="00BB5FF4">
        <w:rPr>
          <w:rFonts w:ascii="Times New Roman" w:hAnsi="Times New Roman" w:cs="Times New Roman"/>
        </w:rPr>
        <w:lastRenderedPageBreak/>
        <w:t xml:space="preserve">industry and BHP Billiton’s ability to maintain inventories and payables at </w:t>
      </w:r>
      <w:r>
        <w:rPr>
          <w:rFonts w:ascii="Times New Roman" w:hAnsi="Times New Roman" w:cs="Times New Roman"/>
        </w:rPr>
        <w:t xml:space="preserve">the </w:t>
      </w:r>
      <w:r w:rsidRPr="00BB5FF4">
        <w:rPr>
          <w:rFonts w:ascii="Times New Roman" w:hAnsi="Times New Roman" w:cs="Times New Roman"/>
        </w:rPr>
        <w:t xml:space="preserve">same level when the business sales and cost of sales resurged in these two years. Overall, the performance with respect to CCC suggests high efficiency on part of BHP Billiton when analyzed in isolation. The industry ratios suggest that BHP Billiton’s CCC has been at par with its industry peers on average (CSI Market, 2018). </w:t>
      </w:r>
    </w:p>
    <w:p w14:paraId="1055C7B6" w14:textId="77777777" w:rsidR="004619AB" w:rsidRPr="00BB5FF4" w:rsidRDefault="004619AB" w:rsidP="00BB5FF4">
      <w:pPr>
        <w:pStyle w:val="Heading2"/>
        <w:numPr>
          <w:ilvl w:val="0"/>
          <w:numId w:val="3"/>
        </w:numPr>
        <w:spacing w:before="0" w:line="480" w:lineRule="auto"/>
        <w:ind w:left="714" w:hanging="357"/>
        <w:rPr>
          <w:rFonts w:ascii="Times New Roman" w:hAnsi="Times New Roman" w:cs="Times New Roman"/>
        </w:rPr>
      </w:pPr>
      <w:bookmarkStart w:id="9" w:name="_Toc535361347"/>
      <w:bookmarkStart w:id="10" w:name="_Toc535367192"/>
      <w:r w:rsidRPr="00BB5FF4">
        <w:rPr>
          <w:rFonts w:ascii="Times New Roman" w:hAnsi="Times New Roman" w:cs="Times New Roman"/>
        </w:rPr>
        <w:t>Gearing or Solvency Ratios</w:t>
      </w:r>
      <w:bookmarkEnd w:id="9"/>
      <w:bookmarkEnd w:id="10"/>
    </w:p>
    <w:p w14:paraId="45DB4006" w14:textId="77777777" w:rsidR="004619AB" w:rsidRPr="00BB5FF4" w:rsidRDefault="004619AB" w:rsidP="00BB5FF4">
      <w:pPr>
        <w:spacing w:after="0" w:line="480" w:lineRule="auto"/>
        <w:rPr>
          <w:rFonts w:ascii="Times New Roman" w:hAnsi="Times New Roman" w:cs="Times New Roman"/>
        </w:rPr>
      </w:pPr>
      <w:r w:rsidRPr="00BB5FF4">
        <w:rPr>
          <w:rFonts w:ascii="Times New Roman" w:hAnsi="Times New Roman" w:cs="Times New Roman"/>
        </w:rPr>
        <w:t xml:space="preserve">In the </w:t>
      </w:r>
      <w:r w:rsidRPr="007840B6">
        <w:rPr>
          <w:rFonts w:ascii="Times New Roman" w:hAnsi="Times New Roman" w:cs="Times New Roman"/>
        </w:rPr>
        <w:t>view of Chandra (2011)</w:t>
      </w:r>
      <w:r>
        <w:rPr>
          <w:rFonts w:ascii="Times New Roman" w:hAnsi="Times New Roman" w:cs="Times New Roman"/>
        </w:rPr>
        <w:t xml:space="preserve"> and Brigham et al. (2016)</w:t>
      </w:r>
      <w:r w:rsidRPr="007840B6">
        <w:rPr>
          <w:rFonts w:ascii="Times New Roman" w:hAnsi="Times New Roman" w:cs="Times New Roman"/>
        </w:rPr>
        <w:t>, the</w:t>
      </w:r>
      <w:r w:rsidRPr="00BB5FF4">
        <w:rPr>
          <w:rFonts w:ascii="Times New Roman" w:hAnsi="Times New Roman" w:cs="Times New Roman"/>
        </w:rPr>
        <w:t xml:space="preserve"> solvency ratios are analyzed to evaluate the financial risk associated with a business especially the solvency risk. First solvency ratio i.e. Long-term Debt to equity ratio is indicated in the figure below:</w:t>
      </w:r>
    </w:p>
    <w:p w14:paraId="0733F4C9" w14:textId="77777777" w:rsidR="004619AB" w:rsidRPr="00BB5FF4" w:rsidRDefault="004619AB" w:rsidP="004D7D4F">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drawing>
          <wp:inline distT="0" distB="0" distL="0" distR="0" wp14:anchorId="0F3EB23F" wp14:editId="7348C8E4">
            <wp:extent cx="5229225" cy="312420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F4264E2" w14:textId="77777777" w:rsidR="004619AB" w:rsidRPr="00BB5FF4" w:rsidRDefault="004619AB" w:rsidP="00BE68B5">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Pr>
          <w:rFonts w:ascii="Times New Roman" w:hAnsi="Times New Roman" w:cs="Times New Roman"/>
          <w:noProof/>
        </w:rPr>
        <w:t>5</w:t>
      </w:r>
      <w:r w:rsidRPr="00BB5FF4">
        <w:rPr>
          <w:rFonts w:ascii="Times New Roman" w:hAnsi="Times New Roman" w:cs="Times New Roman"/>
        </w:rPr>
        <w:t xml:space="preserve"> - Long-Term Debt to Equity</w:t>
      </w:r>
    </w:p>
    <w:p w14:paraId="61253633" w14:textId="77777777" w:rsidR="004619AB" w:rsidRPr="00BB5FF4" w:rsidRDefault="004619AB" w:rsidP="00BE68B5">
      <w:pPr>
        <w:spacing w:after="0" w:line="480" w:lineRule="auto"/>
        <w:rPr>
          <w:rFonts w:ascii="Times New Roman" w:hAnsi="Times New Roman" w:cs="Times New Roman"/>
        </w:rPr>
      </w:pPr>
      <w:r>
        <w:rPr>
          <w:rFonts w:ascii="Times New Roman" w:hAnsi="Times New Roman" w:cs="Times New Roman"/>
        </w:rPr>
        <w:t xml:space="preserve">Long-term Debt </w:t>
      </w:r>
      <w:r w:rsidRPr="00BB5FF4">
        <w:rPr>
          <w:rFonts w:ascii="Times New Roman" w:hAnsi="Times New Roman" w:cs="Times New Roman"/>
        </w:rPr>
        <w:t>to equity ratio for BHP Billiton was 58% in 2015 which increased to 77% in 2016 mainly because of additional financing acquired to explore new sites in some emerging economies including China. The ratio increased as there was a decline in equity over the same period as well. The ratio decli</w:t>
      </w:r>
      <w:r>
        <w:rPr>
          <w:rFonts w:ascii="Times New Roman" w:hAnsi="Times New Roman" w:cs="Times New Roman"/>
        </w:rPr>
        <w:t>ned to 68% in 2017 because the c</w:t>
      </w:r>
      <w:r w:rsidRPr="00BB5FF4">
        <w:rPr>
          <w:rFonts w:ascii="Times New Roman" w:hAnsi="Times New Roman" w:cs="Times New Roman"/>
        </w:rPr>
        <w:t xml:space="preserve">ompany paid off part of its long-term debt by </w:t>
      </w:r>
      <w:r w:rsidRPr="00BB5FF4">
        <w:rPr>
          <w:rFonts w:ascii="Times New Roman" w:hAnsi="Times New Roman" w:cs="Times New Roman"/>
        </w:rPr>
        <w:lastRenderedPageBreak/>
        <w:t>means of debt servicing and the ratio further declined in 2018 due to the same reason. Overall, it sug</w:t>
      </w:r>
      <w:r>
        <w:rPr>
          <w:rFonts w:ascii="Times New Roman" w:hAnsi="Times New Roman" w:cs="Times New Roman"/>
        </w:rPr>
        <w:t>gests a stable position of the c</w:t>
      </w:r>
      <w:r w:rsidRPr="00BB5FF4">
        <w:rPr>
          <w:rFonts w:ascii="Times New Roman" w:hAnsi="Times New Roman" w:cs="Times New Roman"/>
        </w:rPr>
        <w:t xml:space="preserve">ompany over the four year period. However, it must be noted that the ratio is much higher than the industry average suggested by CSI Market (2018), which eventually suggests that the industry has lower financial risk as compared to BHP Billiton. </w:t>
      </w:r>
    </w:p>
    <w:p w14:paraId="6B9D255B" w14:textId="77777777" w:rsidR="004619AB" w:rsidRPr="00BB5FF4" w:rsidRDefault="004619AB" w:rsidP="004D7D4F">
      <w:pPr>
        <w:spacing w:line="480" w:lineRule="auto"/>
        <w:rPr>
          <w:rFonts w:ascii="Times New Roman" w:hAnsi="Times New Roman" w:cs="Times New Roman"/>
        </w:rPr>
      </w:pPr>
      <w:r w:rsidRPr="00BB5FF4">
        <w:rPr>
          <w:rFonts w:ascii="Times New Roman" w:hAnsi="Times New Roman" w:cs="Times New Roman"/>
        </w:rPr>
        <w:t>The times interest earned ratio is illustrated in the figure below:</w:t>
      </w:r>
    </w:p>
    <w:p w14:paraId="06AF044E" w14:textId="77777777" w:rsidR="004619AB" w:rsidRPr="00BB5FF4" w:rsidRDefault="004619AB" w:rsidP="004D7D4F">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drawing>
          <wp:inline distT="0" distB="0" distL="0" distR="0" wp14:anchorId="4A4FC0E6" wp14:editId="70A80AF2">
            <wp:extent cx="5257800" cy="28956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344DBB6" w14:textId="77777777" w:rsidR="004619AB" w:rsidRPr="00BB5FF4" w:rsidRDefault="004619AB" w:rsidP="00BE68B5">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Pr>
          <w:rFonts w:ascii="Times New Roman" w:hAnsi="Times New Roman" w:cs="Times New Roman"/>
          <w:noProof/>
        </w:rPr>
        <w:t>6</w:t>
      </w:r>
      <w:r w:rsidRPr="00BB5FF4">
        <w:rPr>
          <w:rFonts w:ascii="Times New Roman" w:hAnsi="Times New Roman" w:cs="Times New Roman"/>
        </w:rPr>
        <w:t xml:space="preserve"> - Times Interest Earned Ratio</w:t>
      </w:r>
    </w:p>
    <w:p w14:paraId="03AD9183" w14:textId="77777777" w:rsidR="004619AB" w:rsidRPr="00BB5FF4" w:rsidRDefault="004619AB" w:rsidP="00BB5FF4">
      <w:pPr>
        <w:spacing w:after="0" w:line="480" w:lineRule="auto"/>
        <w:rPr>
          <w:rFonts w:ascii="Times New Roman" w:hAnsi="Times New Roman" w:cs="Times New Roman"/>
        </w:rPr>
      </w:pPr>
      <w:r>
        <w:rPr>
          <w:rFonts w:ascii="Times New Roman" w:hAnsi="Times New Roman" w:cs="Times New Roman"/>
        </w:rPr>
        <w:t>The t</w:t>
      </w:r>
      <w:r w:rsidRPr="00BB5FF4">
        <w:rPr>
          <w:rFonts w:ascii="Times New Roman" w:hAnsi="Times New Roman" w:cs="Times New Roman"/>
        </w:rPr>
        <w:t xml:space="preserve">imes </w:t>
      </w:r>
      <w:r>
        <w:rPr>
          <w:rFonts w:ascii="Times New Roman" w:hAnsi="Times New Roman" w:cs="Times New Roman"/>
        </w:rPr>
        <w:t>i</w:t>
      </w:r>
      <w:r w:rsidRPr="00BB5FF4">
        <w:rPr>
          <w:rFonts w:ascii="Times New Roman" w:hAnsi="Times New Roman" w:cs="Times New Roman"/>
        </w:rPr>
        <w:t xml:space="preserve">nterest </w:t>
      </w:r>
      <w:r>
        <w:rPr>
          <w:rFonts w:ascii="Times New Roman" w:hAnsi="Times New Roman" w:cs="Times New Roman"/>
        </w:rPr>
        <w:t>earned r</w:t>
      </w:r>
      <w:r w:rsidRPr="00BB5FF4">
        <w:rPr>
          <w:rFonts w:ascii="Times New Roman" w:hAnsi="Times New Roman" w:cs="Times New Roman"/>
        </w:rPr>
        <w:t xml:space="preserve">atio illustrated in figure above highlights that the business had operating income significantly above its finance cost as indicated by a ratio of 12.35 times in 2015. The ratio deteriorated significantly in 2016 mainly because of sales decline of 33% due to industry trends. The business revived its profitability in 2017 and 2018 but its finance cost has increased due to additional borrowings in 2016, which eventually led to a lower </w:t>
      </w:r>
      <w:r>
        <w:rPr>
          <w:rFonts w:ascii="Times New Roman" w:hAnsi="Times New Roman" w:cs="Times New Roman"/>
        </w:rPr>
        <w:t>times i</w:t>
      </w:r>
      <w:r w:rsidRPr="00BB5FF4">
        <w:rPr>
          <w:rFonts w:ascii="Times New Roman" w:hAnsi="Times New Roman" w:cs="Times New Roman"/>
        </w:rPr>
        <w:t xml:space="preserve">nterest </w:t>
      </w:r>
      <w:r>
        <w:rPr>
          <w:rFonts w:ascii="Times New Roman" w:hAnsi="Times New Roman" w:cs="Times New Roman"/>
        </w:rPr>
        <w:t>e</w:t>
      </w:r>
      <w:r w:rsidRPr="00BB5FF4">
        <w:rPr>
          <w:rFonts w:ascii="Times New Roman" w:hAnsi="Times New Roman" w:cs="Times New Roman"/>
        </w:rPr>
        <w:t>arned ratio in comparison to 2015 suggesting a decline over the four year period suggesting a deterioration in terms of gearing of BHP Billiton.</w:t>
      </w:r>
    </w:p>
    <w:p w14:paraId="34B41181" w14:textId="77777777" w:rsidR="004619AB" w:rsidRPr="00BB5FF4" w:rsidRDefault="004619AB" w:rsidP="00BB5FF4">
      <w:pPr>
        <w:pStyle w:val="Heading2"/>
        <w:numPr>
          <w:ilvl w:val="0"/>
          <w:numId w:val="3"/>
        </w:numPr>
        <w:spacing w:line="480" w:lineRule="auto"/>
        <w:rPr>
          <w:rFonts w:ascii="Times New Roman" w:hAnsi="Times New Roman" w:cs="Times New Roman"/>
        </w:rPr>
      </w:pPr>
      <w:bookmarkStart w:id="11" w:name="_Toc535361348"/>
      <w:bookmarkStart w:id="12" w:name="_Toc535367193"/>
      <w:r w:rsidRPr="00BB5FF4">
        <w:rPr>
          <w:rFonts w:ascii="Times New Roman" w:hAnsi="Times New Roman" w:cs="Times New Roman"/>
        </w:rPr>
        <w:lastRenderedPageBreak/>
        <w:t>Investor Ratios</w:t>
      </w:r>
      <w:bookmarkEnd w:id="11"/>
      <w:bookmarkEnd w:id="12"/>
    </w:p>
    <w:p w14:paraId="7B105432" w14:textId="77777777" w:rsidR="004619AB" w:rsidRPr="00BB5FF4" w:rsidRDefault="004619AB" w:rsidP="00BB5FF4">
      <w:pPr>
        <w:spacing w:after="0" w:line="480" w:lineRule="auto"/>
        <w:rPr>
          <w:rFonts w:ascii="Times New Roman" w:hAnsi="Times New Roman" w:cs="Times New Roman"/>
        </w:rPr>
      </w:pPr>
      <w:r w:rsidRPr="00BB5FF4">
        <w:rPr>
          <w:rFonts w:ascii="Times New Roman" w:hAnsi="Times New Roman" w:cs="Times New Roman"/>
        </w:rPr>
        <w:t xml:space="preserve">The investors’ ratios highlight the performance of a company from investors’ point of view. The </w:t>
      </w:r>
      <w:r>
        <w:rPr>
          <w:rFonts w:ascii="Times New Roman" w:hAnsi="Times New Roman" w:cs="Times New Roman"/>
        </w:rPr>
        <w:t>Earnings per Share (</w:t>
      </w:r>
      <w:r w:rsidRPr="00BB5FF4">
        <w:rPr>
          <w:rFonts w:ascii="Times New Roman" w:hAnsi="Times New Roman" w:cs="Times New Roman"/>
        </w:rPr>
        <w:t>EPS</w:t>
      </w:r>
      <w:r>
        <w:rPr>
          <w:rFonts w:ascii="Times New Roman" w:hAnsi="Times New Roman" w:cs="Times New Roman"/>
        </w:rPr>
        <w:t>)</w:t>
      </w:r>
      <w:r w:rsidRPr="00BB5FF4">
        <w:rPr>
          <w:rFonts w:ascii="Times New Roman" w:hAnsi="Times New Roman" w:cs="Times New Roman"/>
        </w:rPr>
        <w:t xml:space="preserve"> of the business is indicated in the figure below:</w:t>
      </w:r>
    </w:p>
    <w:p w14:paraId="3C7B0B05" w14:textId="77777777" w:rsidR="004619AB" w:rsidRPr="00BB5FF4" w:rsidRDefault="004619AB" w:rsidP="004D7D4F">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drawing>
          <wp:inline distT="0" distB="0" distL="0" distR="0" wp14:anchorId="79B8EC7B" wp14:editId="46553394">
            <wp:extent cx="5191125" cy="25527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762A2FF" w14:textId="77777777" w:rsidR="004619AB" w:rsidRPr="00BB5FF4" w:rsidRDefault="004619AB" w:rsidP="00BE68B5">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Pr>
          <w:rFonts w:ascii="Times New Roman" w:hAnsi="Times New Roman" w:cs="Times New Roman"/>
          <w:noProof/>
        </w:rPr>
        <w:t>7</w:t>
      </w:r>
      <w:r w:rsidRPr="00BB5FF4">
        <w:rPr>
          <w:rFonts w:ascii="Times New Roman" w:hAnsi="Times New Roman" w:cs="Times New Roman"/>
        </w:rPr>
        <w:t xml:space="preserve"> </w:t>
      </w:r>
      <w:r>
        <w:rPr>
          <w:rFonts w:ascii="Times New Roman" w:hAnsi="Times New Roman" w:cs="Times New Roman"/>
        </w:rPr>
        <w:t>-</w:t>
      </w:r>
      <w:r w:rsidRPr="00BB5FF4">
        <w:rPr>
          <w:rFonts w:ascii="Times New Roman" w:hAnsi="Times New Roman" w:cs="Times New Roman"/>
        </w:rPr>
        <w:t xml:space="preserve"> </w:t>
      </w:r>
      <w:r>
        <w:rPr>
          <w:rFonts w:ascii="Times New Roman" w:hAnsi="Times New Roman" w:cs="Times New Roman"/>
        </w:rPr>
        <w:t>Earnings per Share Ratio</w:t>
      </w:r>
    </w:p>
    <w:p w14:paraId="7E13E4DA" w14:textId="77777777" w:rsidR="004619AB" w:rsidRPr="00BB5FF4" w:rsidRDefault="004619AB" w:rsidP="00E10799">
      <w:pPr>
        <w:spacing w:after="0" w:line="480" w:lineRule="auto"/>
        <w:rPr>
          <w:rFonts w:ascii="Times New Roman" w:hAnsi="Times New Roman" w:cs="Times New Roman"/>
        </w:rPr>
      </w:pPr>
      <w:r w:rsidRPr="00BB5FF4">
        <w:rPr>
          <w:rFonts w:ascii="Times New Roman" w:hAnsi="Times New Roman" w:cs="Times New Roman"/>
        </w:rPr>
        <w:t xml:space="preserve">The EPS of BHP Billiton suggests that the business earned $0.66 per share in 2015, which went to $-1.20 in 2016. It is mainly due to the losses incurred in 2016 as the shares outstanding remained </w:t>
      </w:r>
      <w:r>
        <w:rPr>
          <w:rFonts w:ascii="Times New Roman" w:hAnsi="Times New Roman" w:cs="Times New Roman"/>
        </w:rPr>
        <w:t xml:space="preserve">the </w:t>
      </w:r>
      <w:r w:rsidRPr="00BB5FF4">
        <w:rPr>
          <w:rFonts w:ascii="Times New Roman" w:hAnsi="Times New Roman" w:cs="Times New Roman"/>
        </w:rPr>
        <w:t>same througho</w:t>
      </w:r>
      <w:r>
        <w:rPr>
          <w:rFonts w:ascii="Times New Roman" w:hAnsi="Times New Roman" w:cs="Times New Roman"/>
        </w:rPr>
        <w:t xml:space="preserve">ut four years. In addition, </w:t>
      </w:r>
      <w:r w:rsidRPr="00BB5FF4">
        <w:rPr>
          <w:rFonts w:ascii="Times New Roman" w:hAnsi="Times New Roman" w:cs="Times New Roman"/>
        </w:rPr>
        <w:t>EPS increased to $1.11 and $1.25 in 2017 and 2018 mainly due to increase in profitability.</w:t>
      </w:r>
    </w:p>
    <w:p w14:paraId="5C3F85B1" w14:textId="77777777" w:rsidR="004619AB" w:rsidRPr="00BB5FF4" w:rsidRDefault="004619AB" w:rsidP="004D7D4F">
      <w:pPr>
        <w:spacing w:line="480" w:lineRule="auto"/>
        <w:rPr>
          <w:rFonts w:ascii="Times New Roman" w:hAnsi="Times New Roman" w:cs="Times New Roman"/>
        </w:rPr>
      </w:pPr>
      <w:r w:rsidRPr="00BB5FF4">
        <w:rPr>
          <w:rFonts w:ascii="Times New Roman" w:hAnsi="Times New Roman" w:cs="Times New Roman"/>
        </w:rPr>
        <w:t>The Price to Earnings ratio is indicated in the graph below:</w:t>
      </w:r>
    </w:p>
    <w:p w14:paraId="0BF8B2F1" w14:textId="77777777" w:rsidR="004619AB" w:rsidRPr="00BB5FF4" w:rsidRDefault="004619AB" w:rsidP="00E10799">
      <w:pPr>
        <w:keepNext/>
        <w:spacing w:line="480" w:lineRule="auto"/>
        <w:jc w:val="center"/>
        <w:rPr>
          <w:rFonts w:ascii="Times New Roman" w:hAnsi="Times New Roman" w:cs="Times New Roman"/>
        </w:rPr>
      </w:pPr>
      <w:r w:rsidRPr="00BB5FF4">
        <w:rPr>
          <w:rFonts w:ascii="Times New Roman" w:hAnsi="Times New Roman" w:cs="Times New Roman"/>
          <w:noProof/>
          <w:lang w:val="en-CA" w:eastAsia="en-CA"/>
        </w:rPr>
        <w:lastRenderedPageBreak/>
        <w:drawing>
          <wp:inline distT="0" distB="0" distL="0" distR="0" wp14:anchorId="4DA88936" wp14:editId="55A4AB4A">
            <wp:extent cx="5572125" cy="3028950"/>
            <wp:effectExtent l="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EF580A5" w14:textId="77777777" w:rsidR="004619AB" w:rsidRPr="00BB5FF4" w:rsidRDefault="004619AB" w:rsidP="00E10799">
      <w:pPr>
        <w:pStyle w:val="Caption"/>
        <w:spacing w:after="0" w:line="480" w:lineRule="auto"/>
        <w:jc w:val="center"/>
        <w:rPr>
          <w:rFonts w:ascii="Times New Roman" w:hAnsi="Times New Roman" w:cs="Times New Roman"/>
        </w:rPr>
      </w:pPr>
      <w:r w:rsidRPr="00BB5FF4">
        <w:rPr>
          <w:rFonts w:ascii="Times New Roman" w:hAnsi="Times New Roman" w:cs="Times New Roman"/>
        </w:rPr>
        <w:t xml:space="preserve">Figure </w:t>
      </w:r>
      <w:r>
        <w:rPr>
          <w:rFonts w:ascii="Times New Roman" w:hAnsi="Times New Roman" w:cs="Times New Roman"/>
          <w:noProof/>
        </w:rPr>
        <w:t>8</w:t>
      </w:r>
      <w:r w:rsidRPr="00BB5FF4">
        <w:rPr>
          <w:rFonts w:ascii="Times New Roman" w:hAnsi="Times New Roman" w:cs="Times New Roman"/>
        </w:rPr>
        <w:t xml:space="preserve"> - Price to Earnings Ratio</w:t>
      </w:r>
    </w:p>
    <w:p w14:paraId="0B552385" w14:textId="77777777" w:rsidR="004619AB" w:rsidRPr="00BB5FF4" w:rsidRDefault="004619AB" w:rsidP="00E10799">
      <w:pPr>
        <w:spacing w:after="0" w:line="480" w:lineRule="auto"/>
        <w:rPr>
          <w:rFonts w:ascii="Times New Roman" w:hAnsi="Times New Roman" w:cs="Times New Roman"/>
        </w:rPr>
      </w:pPr>
      <w:r w:rsidRPr="00BB5FF4">
        <w:rPr>
          <w:rFonts w:ascii="Times New Roman" w:hAnsi="Times New Roman" w:cs="Times New Roman"/>
        </w:rPr>
        <w:t xml:space="preserve">The price to earnings ratio of EPS was 18.05 times in 2015 suggesting that the share price was significantly higher than the earnings per share. The ratio was negative in 2016 due to negative EPS and it suggests that the investors yielded negative returns. The </w:t>
      </w:r>
      <w:r>
        <w:rPr>
          <w:rFonts w:ascii="Times New Roman" w:hAnsi="Times New Roman" w:cs="Times New Roman"/>
        </w:rPr>
        <w:t>p</w:t>
      </w:r>
      <w:r w:rsidRPr="00BB5FF4">
        <w:rPr>
          <w:rFonts w:ascii="Times New Roman" w:hAnsi="Times New Roman" w:cs="Times New Roman"/>
        </w:rPr>
        <w:t>rice to earnings went up to 12.45 times in 2017 and further 14.04 times in 2018 as the price of shares increased in these years in line with the increase in EPS of BHP Billiton. The price to earnings ratio for the industry is 11.37 times in 2018 highlighting that the industry’s share price is lower in comparison to the earnings; therefore, the potential investors are recommended to buy other mining companies’ shares against BHP Billiton.</w:t>
      </w:r>
    </w:p>
    <w:p w14:paraId="5C40562B" w14:textId="77777777" w:rsidR="004619AB" w:rsidRPr="00BB5FF4" w:rsidRDefault="004619AB" w:rsidP="008D546A">
      <w:pPr>
        <w:pStyle w:val="Heading1"/>
        <w:spacing w:before="0" w:line="480" w:lineRule="auto"/>
        <w:rPr>
          <w:rFonts w:ascii="Times New Roman" w:hAnsi="Times New Roman" w:cs="Times New Roman"/>
        </w:rPr>
      </w:pPr>
      <w:bookmarkStart w:id="13" w:name="_Toc535367194"/>
      <w:r w:rsidRPr="00BB5FF4">
        <w:rPr>
          <w:rFonts w:ascii="Times New Roman" w:hAnsi="Times New Roman" w:cs="Times New Roman"/>
        </w:rPr>
        <w:t>Conclusion</w:t>
      </w:r>
      <w:bookmarkEnd w:id="13"/>
      <w:r w:rsidRPr="00BB5FF4">
        <w:rPr>
          <w:rFonts w:ascii="Times New Roman" w:hAnsi="Times New Roman" w:cs="Times New Roman"/>
        </w:rPr>
        <w:t xml:space="preserve"> </w:t>
      </w:r>
    </w:p>
    <w:p w14:paraId="2B3699F2" w14:textId="77777777" w:rsidR="004619AB" w:rsidRDefault="004619AB" w:rsidP="00BB5FF4">
      <w:pPr>
        <w:spacing w:after="0" w:line="480" w:lineRule="auto"/>
        <w:rPr>
          <w:rFonts w:ascii="Times New Roman" w:hAnsi="Times New Roman" w:cs="Times New Roman"/>
        </w:rPr>
      </w:pPr>
      <w:r w:rsidRPr="00BB5FF4">
        <w:rPr>
          <w:rFonts w:ascii="Times New Roman" w:hAnsi="Times New Roman" w:cs="Times New Roman"/>
        </w:rPr>
        <w:t xml:space="preserve">On the basis of analysis carried out in this </w:t>
      </w:r>
      <w:r>
        <w:rPr>
          <w:rFonts w:ascii="Times New Roman" w:hAnsi="Times New Roman" w:cs="Times New Roman"/>
        </w:rPr>
        <w:t>repor</w:t>
      </w:r>
      <w:r w:rsidRPr="00BB5FF4">
        <w:rPr>
          <w:rFonts w:ascii="Times New Roman" w:hAnsi="Times New Roman" w:cs="Times New Roman"/>
        </w:rPr>
        <w:t>t, several conclusions can be drawn. It can be concluded that the financial performance and position of BHP Billiton declined significantly in the year 2016 but recovered in the years following and has remained stable over the four year period.</w:t>
      </w:r>
      <w:r>
        <w:rPr>
          <w:rFonts w:ascii="Times New Roman" w:hAnsi="Times New Roman" w:cs="Times New Roman"/>
        </w:rPr>
        <w:t xml:space="preserve"> However, it can be noted that the sales growth for the four years as a whole is negative and </w:t>
      </w:r>
      <w:r>
        <w:rPr>
          <w:rFonts w:ascii="Times New Roman" w:hAnsi="Times New Roman" w:cs="Times New Roman"/>
        </w:rPr>
        <w:lastRenderedPageBreak/>
        <w:t>business has been able to sustain profitability by ensuring the austerity measures undertaken in line with declining sales.</w:t>
      </w:r>
      <w:r w:rsidRPr="00BB5FF4">
        <w:rPr>
          <w:rFonts w:ascii="Times New Roman" w:hAnsi="Times New Roman" w:cs="Times New Roman"/>
        </w:rPr>
        <w:t xml:space="preserve"> It can also be concluded that the business segments of BHP Billiton are highly volatile as these have a high dependence on the global commodity prices and economic trends in general. It can also be concluded that the asset size of BHP Billiton is huge considering that it is a capital intensive business to mine the metals. </w:t>
      </w:r>
    </w:p>
    <w:p w14:paraId="68BCA916" w14:textId="77777777" w:rsidR="004619AB" w:rsidRPr="00BB5FF4" w:rsidRDefault="004619AB" w:rsidP="00BB5FF4">
      <w:pPr>
        <w:spacing w:after="0" w:line="480" w:lineRule="auto"/>
        <w:rPr>
          <w:rFonts w:ascii="Times New Roman" w:hAnsi="Times New Roman" w:cs="Times New Roman"/>
        </w:rPr>
      </w:pPr>
      <w:r>
        <w:rPr>
          <w:rFonts w:ascii="Times New Roman" w:hAnsi="Times New Roman" w:cs="Times New Roman"/>
        </w:rPr>
        <w:t xml:space="preserve">It is also drawn that BHP Billiton has significant potential to service its debt as the times earned ratio suggests that the operating profit is multiple times of the finance cost of the business. It also suggests a lower degree of financial or solvency risk associated with the company. In addition, it has been noted that the share price of the company dropped in 2016 following the losses faced during the year. However, with the improved performance, the business has been able to revive its share price and price to earnings ratio depicting significant returns for the investors as well. </w:t>
      </w:r>
      <w:r w:rsidRPr="00BB5FF4">
        <w:rPr>
          <w:rFonts w:ascii="Times New Roman" w:hAnsi="Times New Roman" w:cs="Times New Roman"/>
        </w:rPr>
        <w:t xml:space="preserve">Further, the recommendations are provided in the section below.  </w:t>
      </w:r>
    </w:p>
    <w:p w14:paraId="28AF9878" w14:textId="77777777" w:rsidR="004619AB" w:rsidRPr="00BB5FF4" w:rsidRDefault="004619AB" w:rsidP="004D7D4F">
      <w:pPr>
        <w:pStyle w:val="Heading1"/>
        <w:spacing w:before="0" w:line="480" w:lineRule="auto"/>
        <w:rPr>
          <w:rFonts w:ascii="Times New Roman" w:hAnsi="Times New Roman" w:cs="Times New Roman"/>
        </w:rPr>
      </w:pPr>
      <w:bookmarkStart w:id="14" w:name="_Toc535361350"/>
      <w:bookmarkStart w:id="15" w:name="_Toc535367195"/>
      <w:r w:rsidRPr="00BB5FF4">
        <w:rPr>
          <w:rFonts w:ascii="Times New Roman" w:hAnsi="Times New Roman" w:cs="Times New Roman"/>
        </w:rPr>
        <w:t>Recommendations</w:t>
      </w:r>
      <w:bookmarkEnd w:id="14"/>
      <w:bookmarkEnd w:id="15"/>
    </w:p>
    <w:p w14:paraId="73790783" w14:textId="77777777" w:rsidR="004619AB" w:rsidRPr="00BB5FF4" w:rsidRDefault="004619AB" w:rsidP="00BB5FF4">
      <w:pPr>
        <w:spacing w:after="0" w:line="480" w:lineRule="auto"/>
        <w:rPr>
          <w:rFonts w:ascii="Times New Roman" w:hAnsi="Times New Roman" w:cs="Times New Roman"/>
        </w:rPr>
      </w:pPr>
      <w:r w:rsidRPr="00BB5FF4">
        <w:rPr>
          <w:rFonts w:ascii="Times New Roman" w:hAnsi="Times New Roman" w:cs="Times New Roman"/>
        </w:rPr>
        <w:t>The management of BHP Billiton is recommended the following:</w:t>
      </w:r>
    </w:p>
    <w:p w14:paraId="05221737" w14:textId="77777777" w:rsidR="004619AB" w:rsidRPr="00BB5FF4" w:rsidRDefault="004619AB" w:rsidP="004D7D4F">
      <w:pPr>
        <w:pStyle w:val="ListParagraph"/>
        <w:numPr>
          <w:ilvl w:val="0"/>
          <w:numId w:val="7"/>
        </w:numPr>
        <w:spacing w:after="160" w:line="480" w:lineRule="auto"/>
        <w:rPr>
          <w:rFonts w:ascii="Times New Roman" w:hAnsi="Times New Roman" w:cs="Times New Roman"/>
        </w:rPr>
      </w:pPr>
      <w:r w:rsidRPr="00BB5FF4">
        <w:rPr>
          <w:rFonts w:ascii="Times New Roman" w:hAnsi="Times New Roman" w:cs="Times New Roman"/>
        </w:rPr>
        <w:t xml:space="preserve">BHP Billiton is recommended to diversify its product portfolio so that it can absorb the commodity prices shock in a better way. </w:t>
      </w:r>
    </w:p>
    <w:p w14:paraId="07E15EBE" w14:textId="77777777" w:rsidR="004619AB" w:rsidRPr="00BB5FF4" w:rsidRDefault="004619AB" w:rsidP="004D7D4F">
      <w:pPr>
        <w:pStyle w:val="ListParagraph"/>
        <w:numPr>
          <w:ilvl w:val="0"/>
          <w:numId w:val="7"/>
        </w:numPr>
        <w:spacing w:after="160" w:line="480" w:lineRule="auto"/>
        <w:rPr>
          <w:rFonts w:ascii="Times New Roman" w:hAnsi="Times New Roman" w:cs="Times New Roman"/>
        </w:rPr>
      </w:pPr>
      <w:r w:rsidRPr="00BB5FF4">
        <w:rPr>
          <w:rFonts w:ascii="Times New Roman" w:hAnsi="Times New Roman" w:cs="Times New Roman"/>
        </w:rPr>
        <w:t>The company’s liquidity ratios have turned out to be high in 2017 and 2018 with high amount of cash and its equivalents suggesting idle resources. Therefore, the business is recommended to invest that cash in short-term or long-term avenues as per the liquidity needs.</w:t>
      </w:r>
    </w:p>
    <w:p w14:paraId="6B10E84C" w14:textId="77777777" w:rsidR="004619AB" w:rsidRDefault="004619AB" w:rsidP="00796958">
      <w:pPr>
        <w:pStyle w:val="ListParagraph"/>
        <w:numPr>
          <w:ilvl w:val="0"/>
          <w:numId w:val="7"/>
        </w:numPr>
        <w:spacing w:after="0" w:line="480" w:lineRule="auto"/>
        <w:ind w:left="714" w:hanging="357"/>
        <w:contextualSpacing w:val="0"/>
        <w:rPr>
          <w:rFonts w:ascii="Times New Roman" w:hAnsi="Times New Roman" w:cs="Times New Roman"/>
        </w:rPr>
      </w:pPr>
      <w:r w:rsidRPr="004619AB">
        <w:rPr>
          <w:rFonts w:ascii="Times New Roman" w:hAnsi="Times New Roman" w:cs="Times New Roman"/>
        </w:rPr>
        <w:t xml:space="preserve">The Total Assets Turnover can be improved by getting involved in other related businesses where the capital intensity is low. </w:t>
      </w:r>
    </w:p>
    <w:p w14:paraId="4A93E30F" w14:textId="02ACAF1D" w:rsidR="004619AB" w:rsidRPr="004619AB" w:rsidRDefault="004619AB" w:rsidP="00796958">
      <w:pPr>
        <w:pStyle w:val="ListParagraph"/>
        <w:numPr>
          <w:ilvl w:val="0"/>
          <w:numId w:val="7"/>
        </w:numPr>
        <w:spacing w:after="0" w:line="480" w:lineRule="auto"/>
        <w:ind w:left="714" w:hanging="357"/>
        <w:contextualSpacing w:val="0"/>
        <w:rPr>
          <w:rFonts w:ascii="Times New Roman" w:hAnsi="Times New Roman" w:cs="Times New Roman"/>
        </w:rPr>
      </w:pPr>
      <w:r w:rsidRPr="004619AB">
        <w:rPr>
          <w:rFonts w:ascii="Times New Roman" w:hAnsi="Times New Roman" w:cs="Times New Roman"/>
        </w:rPr>
        <w:lastRenderedPageBreak/>
        <w:t>The business must reduce its long-term debt as it is quite high when compared to the industry average.</w:t>
      </w:r>
    </w:p>
    <w:p w14:paraId="267A9370" w14:textId="77777777" w:rsidR="004619AB" w:rsidRPr="00BB5FF4" w:rsidRDefault="004619AB" w:rsidP="00BB5FF4">
      <w:pPr>
        <w:spacing w:after="160" w:line="480" w:lineRule="auto"/>
        <w:rPr>
          <w:rFonts w:ascii="Times New Roman" w:hAnsi="Times New Roman" w:cs="Times New Roman"/>
        </w:rPr>
      </w:pPr>
      <w:r w:rsidRPr="00BB5FF4">
        <w:rPr>
          <w:rFonts w:ascii="Times New Roman" w:hAnsi="Times New Roman" w:cs="Times New Roman"/>
        </w:rPr>
        <w:t>Other than these areas, the performance and position of the business is quite satisfactory from all perspective</w:t>
      </w:r>
      <w:r>
        <w:rPr>
          <w:rFonts w:ascii="Times New Roman" w:hAnsi="Times New Roman" w:cs="Times New Roman"/>
        </w:rPr>
        <w:t>s</w:t>
      </w:r>
      <w:r w:rsidRPr="00BB5FF4">
        <w:rPr>
          <w:rFonts w:ascii="Times New Roman" w:hAnsi="Times New Roman" w:cs="Times New Roman"/>
        </w:rPr>
        <w:t xml:space="preserve">. </w:t>
      </w:r>
    </w:p>
    <w:p w14:paraId="4776F31F" w14:textId="77777777" w:rsidR="004619AB" w:rsidRPr="00BB5FF4" w:rsidRDefault="004619AB" w:rsidP="008D546A">
      <w:pPr>
        <w:spacing w:after="0" w:line="480" w:lineRule="auto"/>
        <w:rPr>
          <w:rFonts w:ascii="Times New Roman" w:hAnsi="Times New Roman" w:cs="Times New Roman"/>
        </w:rPr>
      </w:pPr>
    </w:p>
    <w:p w14:paraId="3959D862" w14:textId="77777777" w:rsidR="004619AB" w:rsidRDefault="004619AB">
      <w:pPr>
        <w:spacing w:after="160" w:line="259" w:lineRule="auto"/>
        <w:jc w:val="left"/>
        <w:rPr>
          <w:rFonts w:ascii="Times New Roman" w:eastAsiaTheme="majorEastAsia" w:hAnsi="Times New Roman" w:cs="Times New Roman"/>
          <w:color w:val="2E74B5" w:themeColor="accent1" w:themeShade="BF"/>
          <w:sz w:val="32"/>
          <w:szCs w:val="32"/>
        </w:rPr>
      </w:pPr>
      <w:bookmarkStart w:id="16" w:name="_Toc535367196"/>
      <w:r>
        <w:rPr>
          <w:rFonts w:ascii="Times New Roman" w:hAnsi="Times New Roman" w:cs="Times New Roman"/>
        </w:rPr>
        <w:br w:type="page"/>
      </w:r>
    </w:p>
    <w:p w14:paraId="46CF0590" w14:textId="77777777" w:rsidR="004619AB" w:rsidRPr="00BB5FF4" w:rsidRDefault="004619AB" w:rsidP="008D546A">
      <w:pPr>
        <w:pStyle w:val="Heading1"/>
        <w:spacing w:before="0" w:line="480" w:lineRule="auto"/>
        <w:rPr>
          <w:rFonts w:ascii="Times New Roman" w:hAnsi="Times New Roman" w:cs="Times New Roman"/>
        </w:rPr>
      </w:pPr>
      <w:r w:rsidRPr="00BB5FF4">
        <w:rPr>
          <w:rFonts w:ascii="Times New Roman" w:hAnsi="Times New Roman" w:cs="Times New Roman"/>
        </w:rPr>
        <w:lastRenderedPageBreak/>
        <w:t>References</w:t>
      </w:r>
      <w:bookmarkEnd w:id="16"/>
    </w:p>
    <w:p w14:paraId="0F15369D" w14:textId="77777777" w:rsidR="004619AB" w:rsidRPr="007840B6" w:rsidRDefault="004619AB" w:rsidP="002761E1">
      <w:pPr>
        <w:spacing w:after="0" w:line="480" w:lineRule="auto"/>
        <w:ind w:left="720" w:hanging="720"/>
        <w:rPr>
          <w:rFonts w:ascii="Times New Roman" w:hAnsi="Times New Roman" w:cs="Times New Roman"/>
        </w:rPr>
      </w:pPr>
      <w:r w:rsidRPr="007840B6">
        <w:rPr>
          <w:rFonts w:ascii="Times New Roman" w:hAnsi="Times New Roman" w:cs="Times New Roman"/>
        </w:rPr>
        <w:t xml:space="preserve">BHP Billiton. (2018). </w:t>
      </w:r>
      <w:r w:rsidRPr="00505010">
        <w:rPr>
          <w:rFonts w:ascii="Times New Roman" w:hAnsi="Times New Roman" w:cs="Times New Roman"/>
          <w:i/>
        </w:rPr>
        <w:t>Annual report</w:t>
      </w:r>
      <w:r>
        <w:rPr>
          <w:rFonts w:ascii="Times New Roman" w:hAnsi="Times New Roman" w:cs="Times New Roman"/>
        </w:rPr>
        <w:t xml:space="preserve">. [online] Available at: </w:t>
      </w:r>
      <w:r w:rsidRPr="007840B6">
        <w:rPr>
          <w:rFonts w:ascii="Times New Roman" w:hAnsi="Times New Roman" w:cs="Times New Roman"/>
        </w:rPr>
        <w:t>https://www.bhp.com/media-and-insights/reports-and-presentations?q0</w:t>
      </w:r>
      <w:r>
        <w:rPr>
          <w:rFonts w:ascii="Times New Roman" w:hAnsi="Times New Roman" w:cs="Times New Roman"/>
        </w:rPr>
        <w:t xml:space="preserve">_r=category%3DAnnual%2BReports </w:t>
      </w:r>
      <w:r w:rsidRPr="007840B6">
        <w:rPr>
          <w:rFonts w:ascii="Times New Roman" w:hAnsi="Times New Roman" w:cs="Times New Roman"/>
        </w:rPr>
        <w:t xml:space="preserve">[Accessed </w:t>
      </w:r>
      <w:r>
        <w:rPr>
          <w:rFonts w:ascii="Times New Roman" w:hAnsi="Times New Roman" w:cs="Times New Roman"/>
        </w:rPr>
        <w:t xml:space="preserve">14 Jan. </w:t>
      </w:r>
      <w:r w:rsidRPr="007840B6">
        <w:rPr>
          <w:rFonts w:ascii="Times New Roman" w:hAnsi="Times New Roman" w:cs="Times New Roman"/>
        </w:rPr>
        <w:t>2019].</w:t>
      </w:r>
    </w:p>
    <w:p w14:paraId="3BDCDB95" w14:textId="77777777" w:rsidR="004619AB" w:rsidRPr="007840B6" w:rsidRDefault="004619AB" w:rsidP="002761E1">
      <w:pPr>
        <w:spacing w:after="0" w:line="480" w:lineRule="auto"/>
        <w:ind w:left="720" w:hanging="720"/>
        <w:rPr>
          <w:rFonts w:ascii="Times New Roman" w:hAnsi="Times New Roman" w:cs="Times New Roman"/>
        </w:rPr>
      </w:pPr>
      <w:r>
        <w:rPr>
          <w:rFonts w:ascii="Times New Roman" w:hAnsi="Times New Roman" w:cs="Times New Roman"/>
        </w:rPr>
        <w:t>Brealey, R., Myers, S.</w:t>
      </w:r>
      <w:r w:rsidRPr="007840B6">
        <w:rPr>
          <w:rFonts w:ascii="Times New Roman" w:hAnsi="Times New Roman" w:cs="Times New Roman"/>
        </w:rPr>
        <w:t xml:space="preserve">, Allen, F. and Mohanty, P. (2012). </w:t>
      </w:r>
      <w:r w:rsidRPr="007840B6">
        <w:rPr>
          <w:rFonts w:ascii="Times New Roman" w:hAnsi="Times New Roman" w:cs="Times New Roman"/>
          <w:i/>
          <w:iCs/>
        </w:rPr>
        <w:t xml:space="preserve">Principles of </w:t>
      </w:r>
      <w:r>
        <w:rPr>
          <w:rFonts w:ascii="Times New Roman" w:hAnsi="Times New Roman" w:cs="Times New Roman"/>
          <w:i/>
          <w:iCs/>
        </w:rPr>
        <w:t>C</w:t>
      </w:r>
      <w:r w:rsidRPr="007840B6">
        <w:rPr>
          <w:rFonts w:ascii="Times New Roman" w:hAnsi="Times New Roman" w:cs="Times New Roman"/>
          <w:i/>
          <w:iCs/>
        </w:rPr>
        <w:t xml:space="preserve">orporate </w:t>
      </w:r>
      <w:r>
        <w:rPr>
          <w:rFonts w:ascii="Times New Roman" w:hAnsi="Times New Roman" w:cs="Times New Roman"/>
          <w:i/>
          <w:iCs/>
        </w:rPr>
        <w:t>F</w:t>
      </w:r>
      <w:r w:rsidRPr="007840B6">
        <w:rPr>
          <w:rFonts w:ascii="Times New Roman" w:hAnsi="Times New Roman" w:cs="Times New Roman"/>
          <w:i/>
          <w:iCs/>
        </w:rPr>
        <w:t>inance</w:t>
      </w:r>
      <w:r w:rsidRPr="007840B6">
        <w:rPr>
          <w:rFonts w:ascii="Times New Roman" w:hAnsi="Times New Roman" w:cs="Times New Roman"/>
        </w:rPr>
        <w:t xml:space="preserve">. </w:t>
      </w:r>
      <w:r>
        <w:rPr>
          <w:rFonts w:ascii="Times New Roman" w:hAnsi="Times New Roman" w:cs="Times New Roman"/>
        </w:rPr>
        <w:t xml:space="preserve">10th ed. </w:t>
      </w:r>
      <w:r w:rsidRPr="007840B6">
        <w:rPr>
          <w:rFonts w:ascii="Times New Roman" w:hAnsi="Times New Roman" w:cs="Times New Roman"/>
        </w:rPr>
        <w:t>Tata McGraw-Hill Education.</w:t>
      </w:r>
    </w:p>
    <w:p w14:paraId="22E0C5F6" w14:textId="77777777" w:rsidR="004619AB" w:rsidRPr="007840B6" w:rsidRDefault="004619AB" w:rsidP="002761E1">
      <w:pPr>
        <w:spacing w:after="0" w:line="480" w:lineRule="auto"/>
        <w:ind w:left="720" w:hanging="720"/>
        <w:rPr>
          <w:rFonts w:ascii="Times New Roman" w:hAnsi="Times New Roman" w:cs="Times New Roman"/>
        </w:rPr>
      </w:pPr>
      <w:r w:rsidRPr="007840B6">
        <w:rPr>
          <w:rFonts w:ascii="Times New Roman" w:hAnsi="Times New Roman" w:cs="Times New Roman"/>
        </w:rPr>
        <w:t xml:space="preserve">Brigham, E. and Daves, P. (2012). </w:t>
      </w:r>
      <w:r w:rsidRPr="007840B6">
        <w:rPr>
          <w:rFonts w:ascii="Times New Roman" w:hAnsi="Times New Roman" w:cs="Times New Roman"/>
          <w:i/>
          <w:iCs/>
        </w:rPr>
        <w:t xml:space="preserve">Intermediate </w:t>
      </w:r>
      <w:r>
        <w:rPr>
          <w:rFonts w:ascii="Times New Roman" w:hAnsi="Times New Roman" w:cs="Times New Roman"/>
          <w:i/>
          <w:iCs/>
        </w:rPr>
        <w:t>F</w:t>
      </w:r>
      <w:r w:rsidRPr="007840B6">
        <w:rPr>
          <w:rFonts w:ascii="Times New Roman" w:hAnsi="Times New Roman" w:cs="Times New Roman"/>
          <w:i/>
          <w:iCs/>
        </w:rPr>
        <w:t xml:space="preserve">inancial </w:t>
      </w:r>
      <w:r>
        <w:rPr>
          <w:rFonts w:ascii="Times New Roman" w:hAnsi="Times New Roman" w:cs="Times New Roman"/>
          <w:i/>
          <w:iCs/>
        </w:rPr>
        <w:t>M</w:t>
      </w:r>
      <w:r w:rsidRPr="007840B6">
        <w:rPr>
          <w:rFonts w:ascii="Times New Roman" w:hAnsi="Times New Roman" w:cs="Times New Roman"/>
          <w:i/>
          <w:iCs/>
        </w:rPr>
        <w:t>anagement</w:t>
      </w:r>
      <w:r w:rsidRPr="007840B6">
        <w:rPr>
          <w:rFonts w:ascii="Times New Roman" w:hAnsi="Times New Roman" w:cs="Times New Roman"/>
        </w:rPr>
        <w:t xml:space="preserve">. </w:t>
      </w:r>
      <w:r>
        <w:rPr>
          <w:rFonts w:ascii="Times New Roman" w:hAnsi="Times New Roman" w:cs="Times New Roman"/>
        </w:rPr>
        <w:t xml:space="preserve">11th ed. </w:t>
      </w:r>
      <w:r w:rsidRPr="00102884">
        <w:rPr>
          <w:rFonts w:ascii="Times New Roman" w:hAnsi="Times New Roman" w:cs="Times New Roman"/>
        </w:rPr>
        <w:t>South-Western College Pub</w:t>
      </w:r>
      <w:r w:rsidRPr="007840B6">
        <w:rPr>
          <w:rFonts w:ascii="Times New Roman" w:hAnsi="Times New Roman" w:cs="Times New Roman"/>
        </w:rPr>
        <w:t>.</w:t>
      </w:r>
    </w:p>
    <w:p w14:paraId="24173840" w14:textId="77777777" w:rsidR="004619AB" w:rsidRPr="007840B6" w:rsidRDefault="004619AB" w:rsidP="002761E1">
      <w:pPr>
        <w:spacing w:after="0" w:line="480" w:lineRule="auto"/>
        <w:ind w:left="720" w:hanging="720"/>
        <w:rPr>
          <w:rFonts w:ascii="Times New Roman" w:hAnsi="Times New Roman" w:cs="Times New Roman"/>
        </w:rPr>
      </w:pPr>
      <w:r w:rsidRPr="007840B6">
        <w:rPr>
          <w:rFonts w:ascii="Times New Roman" w:hAnsi="Times New Roman" w:cs="Times New Roman"/>
        </w:rPr>
        <w:t xml:space="preserve">Brigham, E. and Houston, J. (2012). </w:t>
      </w:r>
      <w:r w:rsidRPr="007840B6">
        <w:rPr>
          <w:rFonts w:ascii="Times New Roman" w:hAnsi="Times New Roman" w:cs="Times New Roman"/>
          <w:i/>
          <w:iCs/>
        </w:rPr>
        <w:t xml:space="preserve">Fundamentals of </w:t>
      </w:r>
      <w:r>
        <w:rPr>
          <w:rFonts w:ascii="Times New Roman" w:hAnsi="Times New Roman" w:cs="Times New Roman"/>
          <w:i/>
          <w:iCs/>
        </w:rPr>
        <w:t>F</w:t>
      </w:r>
      <w:r w:rsidRPr="007840B6">
        <w:rPr>
          <w:rFonts w:ascii="Times New Roman" w:hAnsi="Times New Roman" w:cs="Times New Roman"/>
          <w:i/>
          <w:iCs/>
        </w:rPr>
        <w:t xml:space="preserve">inancial </w:t>
      </w:r>
      <w:r>
        <w:rPr>
          <w:rFonts w:ascii="Times New Roman" w:hAnsi="Times New Roman" w:cs="Times New Roman"/>
          <w:i/>
          <w:iCs/>
        </w:rPr>
        <w:t>M</w:t>
      </w:r>
      <w:r w:rsidRPr="007840B6">
        <w:rPr>
          <w:rFonts w:ascii="Times New Roman" w:hAnsi="Times New Roman" w:cs="Times New Roman"/>
          <w:i/>
          <w:iCs/>
        </w:rPr>
        <w:t>anagement</w:t>
      </w:r>
      <w:r w:rsidRPr="007840B6">
        <w:rPr>
          <w:rFonts w:ascii="Times New Roman" w:hAnsi="Times New Roman" w:cs="Times New Roman"/>
        </w:rPr>
        <w:t xml:space="preserve">. </w:t>
      </w:r>
      <w:r>
        <w:rPr>
          <w:rFonts w:ascii="Times New Roman" w:hAnsi="Times New Roman" w:cs="Times New Roman"/>
        </w:rPr>
        <w:t xml:space="preserve">13th ed. </w:t>
      </w:r>
      <w:r w:rsidRPr="00102884">
        <w:rPr>
          <w:rFonts w:ascii="Times New Roman" w:hAnsi="Times New Roman" w:cs="Times New Roman"/>
        </w:rPr>
        <w:t>South-Western College Pub</w:t>
      </w:r>
      <w:r w:rsidRPr="007840B6">
        <w:rPr>
          <w:rFonts w:ascii="Times New Roman" w:hAnsi="Times New Roman" w:cs="Times New Roman"/>
        </w:rPr>
        <w:t>.</w:t>
      </w:r>
    </w:p>
    <w:p w14:paraId="29D5A679" w14:textId="77777777" w:rsidR="004619AB" w:rsidRPr="00C23402" w:rsidRDefault="004619AB">
      <w:pPr>
        <w:spacing w:after="0" w:line="480" w:lineRule="auto"/>
        <w:ind w:left="720" w:hanging="720"/>
        <w:rPr>
          <w:rFonts w:ascii="Times New Roman" w:hAnsi="Times New Roman" w:cs="Times New Roman"/>
          <w:iCs/>
          <w:lang w:val="en-GB"/>
        </w:rPr>
      </w:pPr>
      <w:r>
        <w:rPr>
          <w:rFonts w:ascii="Times New Roman" w:hAnsi="Times New Roman" w:cs="Times New Roman"/>
          <w:lang w:val="en-GB"/>
        </w:rPr>
        <w:t>Brigham, E.</w:t>
      </w:r>
      <w:r w:rsidRPr="007A3388">
        <w:rPr>
          <w:rFonts w:ascii="Times New Roman" w:hAnsi="Times New Roman" w:cs="Times New Roman"/>
          <w:lang w:val="en-GB"/>
        </w:rPr>
        <w:t xml:space="preserve">, </w:t>
      </w:r>
      <w:r>
        <w:rPr>
          <w:rFonts w:ascii="Times New Roman" w:hAnsi="Times New Roman" w:cs="Times New Roman"/>
          <w:lang w:val="en-GB"/>
        </w:rPr>
        <w:t xml:space="preserve">Ehrhardt, M., </w:t>
      </w:r>
      <w:r w:rsidRPr="007A3388">
        <w:rPr>
          <w:rFonts w:ascii="Times New Roman" w:hAnsi="Times New Roman" w:cs="Times New Roman"/>
          <w:lang w:val="en-GB"/>
        </w:rPr>
        <w:t>Gessaroli, J.</w:t>
      </w:r>
      <w:r>
        <w:rPr>
          <w:rFonts w:ascii="Times New Roman" w:hAnsi="Times New Roman" w:cs="Times New Roman"/>
          <w:lang w:val="en-GB"/>
        </w:rPr>
        <w:t xml:space="preserve"> and Nason, R. </w:t>
      </w:r>
      <w:r w:rsidRPr="007A3388">
        <w:rPr>
          <w:rFonts w:ascii="Times New Roman" w:hAnsi="Times New Roman" w:cs="Times New Roman"/>
          <w:lang w:val="en-GB"/>
        </w:rPr>
        <w:t xml:space="preserve">(2016). </w:t>
      </w:r>
      <w:r w:rsidRPr="007A3388">
        <w:rPr>
          <w:rFonts w:ascii="Times New Roman" w:hAnsi="Times New Roman" w:cs="Times New Roman"/>
          <w:i/>
          <w:iCs/>
          <w:lang w:val="en-GB"/>
        </w:rPr>
        <w:t>Financial Management</w:t>
      </w:r>
      <w:r>
        <w:rPr>
          <w:rFonts w:ascii="Times New Roman" w:hAnsi="Times New Roman" w:cs="Times New Roman"/>
          <w:i/>
          <w:iCs/>
          <w:lang w:val="en-GB"/>
        </w:rPr>
        <w:t xml:space="preserve">: Theory And </w:t>
      </w:r>
      <w:r w:rsidRPr="00C23402">
        <w:rPr>
          <w:rFonts w:ascii="Times New Roman" w:hAnsi="Times New Roman" w:cs="Times New Roman"/>
          <w:iCs/>
          <w:lang w:val="en-GB"/>
        </w:rPr>
        <w:t>Practice</w:t>
      </w:r>
      <w:r>
        <w:rPr>
          <w:rFonts w:ascii="Times New Roman" w:hAnsi="Times New Roman" w:cs="Times New Roman"/>
          <w:iCs/>
          <w:lang w:val="en-GB"/>
        </w:rPr>
        <w:t xml:space="preserve">. Third </w:t>
      </w:r>
      <w:r w:rsidRPr="00C23402">
        <w:rPr>
          <w:rFonts w:ascii="Times New Roman" w:hAnsi="Times New Roman" w:cs="Times New Roman"/>
          <w:iCs/>
          <w:lang w:val="en-GB"/>
        </w:rPr>
        <w:t>Canadian</w:t>
      </w:r>
      <w:r w:rsidRPr="007A3388">
        <w:rPr>
          <w:rFonts w:ascii="Times New Roman" w:hAnsi="Times New Roman" w:cs="Times New Roman"/>
          <w:i/>
          <w:iCs/>
          <w:lang w:val="en-GB"/>
        </w:rPr>
        <w:t xml:space="preserve"> </w:t>
      </w:r>
      <w:r w:rsidRPr="00C23402">
        <w:rPr>
          <w:rFonts w:ascii="Times New Roman" w:hAnsi="Times New Roman" w:cs="Times New Roman"/>
          <w:iCs/>
          <w:lang w:val="en-GB"/>
        </w:rPr>
        <w:t>Edition. Nelson College Indigenous.</w:t>
      </w:r>
    </w:p>
    <w:p w14:paraId="046044C8" w14:textId="77777777" w:rsidR="004619AB" w:rsidRPr="007840B6" w:rsidRDefault="004619AB" w:rsidP="002761E1">
      <w:pPr>
        <w:spacing w:after="0" w:line="480" w:lineRule="auto"/>
        <w:ind w:left="720" w:hanging="720"/>
        <w:rPr>
          <w:rFonts w:ascii="Times New Roman" w:hAnsi="Times New Roman" w:cs="Times New Roman"/>
        </w:rPr>
      </w:pPr>
      <w:r>
        <w:rPr>
          <w:rFonts w:ascii="Times New Roman" w:hAnsi="Times New Roman" w:cs="Times New Roman"/>
        </w:rPr>
        <w:t xml:space="preserve">Brooks, R. and Mukherjee, A. </w:t>
      </w:r>
      <w:r w:rsidRPr="007840B6">
        <w:rPr>
          <w:rFonts w:ascii="Times New Roman" w:hAnsi="Times New Roman" w:cs="Times New Roman"/>
        </w:rPr>
        <w:t xml:space="preserve">(2013). </w:t>
      </w:r>
      <w:r w:rsidRPr="007840B6">
        <w:rPr>
          <w:rFonts w:ascii="Times New Roman" w:hAnsi="Times New Roman" w:cs="Times New Roman"/>
          <w:i/>
          <w:iCs/>
        </w:rPr>
        <w:t xml:space="preserve">Financial </w:t>
      </w:r>
      <w:r>
        <w:rPr>
          <w:rFonts w:ascii="Times New Roman" w:hAnsi="Times New Roman" w:cs="Times New Roman"/>
          <w:i/>
          <w:iCs/>
        </w:rPr>
        <w:t>Management: Core C</w:t>
      </w:r>
      <w:r w:rsidRPr="007840B6">
        <w:rPr>
          <w:rFonts w:ascii="Times New Roman" w:hAnsi="Times New Roman" w:cs="Times New Roman"/>
          <w:i/>
          <w:iCs/>
        </w:rPr>
        <w:t>oncepts</w:t>
      </w:r>
      <w:r w:rsidRPr="007840B6">
        <w:rPr>
          <w:rFonts w:ascii="Times New Roman" w:hAnsi="Times New Roman" w:cs="Times New Roman"/>
        </w:rPr>
        <w:t>. Pearson.</w:t>
      </w:r>
    </w:p>
    <w:p w14:paraId="7C3B5171" w14:textId="77777777" w:rsidR="004619AB" w:rsidRPr="007840B6" w:rsidRDefault="004619AB" w:rsidP="002761E1">
      <w:pPr>
        <w:spacing w:after="0" w:line="480" w:lineRule="auto"/>
        <w:ind w:left="720" w:hanging="720"/>
        <w:rPr>
          <w:rFonts w:ascii="Times New Roman" w:hAnsi="Times New Roman" w:cs="Times New Roman"/>
        </w:rPr>
      </w:pPr>
      <w:r w:rsidRPr="007840B6">
        <w:rPr>
          <w:rFonts w:ascii="Times New Roman" w:hAnsi="Times New Roman" w:cs="Times New Roman"/>
        </w:rPr>
        <w:t xml:space="preserve">Chandra, P. (2011). </w:t>
      </w:r>
      <w:r>
        <w:rPr>
          <w:rFonts w:ascii="Times New Roman" w:hAnsi="Times New Roman" w:cs="Times New Roman"/>
          <w:i/>
          <w:iCs/>
        </w:rPr>
        <w:t>Financial M</w:t>
      </w:r>
      <w:r w:rsidRPr="007840B6">
        <w:rPr>
          <w:rFonts w:ascii="Times New Roman" w:hAnsi="Times New Roman" w:cs="Times New Roman"/>
          <w:i/>
          <w:iCs/>
        </w:rPr>
        <w:t>anagement</w:t>
      </w:r>
      <w:r w:rsidRPr="007840B6">
        <w:rPr>
          <w:rFonts w:ascii="Times New Roman" w:hAnsi="Times New Roman" w:cs="Times New Roman"/>
        </w:rPr>
        <w:t xml:space="preserve">. </w:t>
      </w:r>
      <w:r>
        <w:rPr>
          <w:rFonts w:ascii="Times New Roman" w:hAnsi="Times New Roman" w:cs="Times New Roman"/>
        </w:rPr>
        <w:t xml:space="preserve">8th ed. </w:t>
      </w:r>
      <w:r w:rsidRPr="007840B6">
        <w:rPr>
          <w:rFonts w:ascii="Times New Roman" w:hAnsi="Times New Roman" w:cs="Times New Roman"/>
        </w:rPr>
        <w:t>Tata McGraw-Hill.</w:t>
      </w:r>
    </w:p>
    <w:p w14:paraId="0AB06360" w14:textId="77777777" w:rsidR="004619AB" w:rsidRPr="007840B6" w:rsidRDefault="004619AB" w:rsidP="002761E1">
      <w:pPr>
        <w:spacing w:after="0" w:line="480" w:lineRule="auto"/>
        <w:ind w:left="720" w:hanging="720"/>
        <w:rPr>
          <w:rFonts w:ascii="Times New Roman" w:hAnsi="Times New Roman" w:cs="Times New Roman"/>
        </w:rPr>
      </w:pPr>
      <w:r>
        <w:rPr>
          <w:rFonts w:ascii="Times New Roman" w:hAnsi="Times New Roman" w:cs="Times New Roman"/>
        </w:rPr>
        <w:t xml:space="preserve">CSI Market. (2018). </w:t>
      </w:r>
      <w:r w:rsidRPr="00AF3B0B">
        <w:rPr>
          <w:rFonts w:ascii="Times New Roman" w:hAnsi="Times New Roman" w:cs="Times New Roman"/>
          <w:i/>
        </w:rPr>
        <w:t>Metals and Mining Industry</w:t>
      </w:r>
      <w:r w:rsidRPr="007840B6">
        <w:rPr>
          <w:rFonts w:ascii="Times New Roman" w:hAnsi="Times New Roman" w:cs="Times New Roman"/>
        </w:rPr>
        <w:t>. [</w:t>
      </w:r>
      <w:r>
        <w:rPr>
          <w:rFonts w:ascii="Times New Roman" w:hAnsi="Times New Roman" w:cs="Times New Roman"/>
        </w:rPr>
        <w:t>o</w:t>
      </w:r>
      <w:r w:rsidRPr="007840B6">
        <w:rPr>
          <w:rFonts w:ascii="Times New Roman" w:hAnsi="Times New Roman" w:cs="Times New Roman"/>
        </w:rPr>
        <w:t>nline] Available at</w:t>
      </w:r>
      <w:r>
        <w:rPr>
          <w:rFonts w:ascii="Times New Roman" w:hAnsi="Times New Roman" w:cs="Times New Roman"/>
        </w:rPr>
        <w:t xml:space="preserve">: </w:t>
      </w:r>
      <w:r w:rsidRPr="007840B6">
        <w:rPr>
          <w:rFonts w:ascii="Times New Roman" w:hAnsi="Times New Roman" w:cs="Times New Roman"/>
        </w:rPr>
        <w:t>https://csimarket.com/Industry/indust</w:t>
      </w:r>
      <w:r>
        <w:rPr>
          <w:rFonts w:ascii="Times New Roman" w:hAnsi="Times New Roman" w:cs="Times New Roman"/>
        </w:rPr>
        <w:t xml:space="preserve">ry_valuation_ttm.php?pe&amp;ind=108 </w:t>
      </w:r>
      <w:r w:rsidRPr="007840B6">
        <w:rPr>
          <w:rFonts w:ascii="Times New Roman" w:hAnsi="Times New Roman" w:cs="Times New Roman"/>
        </w:rPr>
        <w:t xml:space="preserve">[Accessed </w:t>
      </w:r>
      <w:r>
        <w:rPr>
          <w:rFonts w:ascii="Times New Roman" w:hAnsi="Times New Roman" w:cs="Times New Roman"/>
        </w:rPr>
        <w:t xml:space="preserve">14 Jan. </w:t>
      </w:r>
      <w:r w:rsidRPr="007840B6">
        <w:rPr>
          <w:rFonts w:ascii="Times New Roman" w:hAnsi="Times New Roman" w:cs="Times New Roman"/>
        </w:rPr>
        <w:t>2019</w:t>
      </w:r>
      <w:r>
        <w:rPr>
          <w:rFonts w:ascii="Times New Roman" w:hAnsi="Times New Roman" w:cs="Times New Roman"/>
        </w:rPr>
        <w:t>]</w:t>
      </w:r>
      <w:r w:rsidRPr="007840B6">
        <w:rPr>
          <w:rFonts w:ascii="Times New Roman" w:hAnsi="Times New Roman" w:cs="Times New Roman"/>
        </w:rPr>
        <w:t>.</w:t>
      </w:r>
    </w:p>
    <w:p w14:paraId="2BE10F27" w14:textId="77777777" w:rsidR="004619AB" w:rsidRPr="007840B6" w:rsidRDefault="004619AB" w:rsidP="002761E1">
      <w:pPr>
        <w:spacing w:after="0" w:line="480" w:lineRule="auto"/>
        <w:ind w:left="720" w:hanging="720"/>
        <w:rPr>
          <w:rFonts w:ascii="Times New Roman" w:hAnsi="Times New Roman" w:cs="Times New Roman"/>
        </w:rPr>
      </w:pPr>
      <w:r>
        <w:rPr>
          <w:rFonts w:ascii="Times New Roman" w:hAnsi="Times New Roman" w:cs="Times New Roman"/>
        </w:rPr>
        <w:t xml:space="preserve">Fridson, M. </w:t>
      </w:r>
      <w:r w:rsidRPr="007840B6">
        <w:rPr>
          <w:rFonts w:ascii="Times New Roman" w:hAnsi="Times New Roman" w:cs="Times New Roman"/>
        </w:rPr>
        <w:t xml:space="preserve">and Alvarez, F. (2011). </w:t>
      </w:r>
      <w:r>
        <w:rPr>
          <w:rFonts w:ascii="Times New Roman" w:hAnsi="Times New Roman" w:cs="Times New Roman"/>
          <w:i/>
          <w:iCs/>
        </w:rPr>
        <w:t>Financial S</w:t>
      </w:r>
      <w:r w:rsidRPr="007840B6">
        <w:rPr>
          <w:rFonts w:ascii="Times New Roman" w:hAnsi="Times New Roman" w:cs="Times New Roman"/>
          <w:i/>
          <w:iCs/>
        </w:rPr>
        <w:t xml:space="preserve">tatement </w:t>
      </w:r>
      <w:r>
        <w:rPr>
          <w:rFonts w:ascii="Times New Roman" w:hAnsi="Times New Roman" w:cs="Times New Roman"/>
          <w:i/>
          <w:iCs/>
        </w:rPr>
        <w:t>A</w:t>
      </w:r>
      <w:r w:rsidRPr="007840B6">
        <w:rPr>
          <w:rFonts w:ascii="Times New Roman" w:hAnsi="Times New Roman" w:cs="Times New Roman"/>
          <w:i/>
          <w:iCs/>
        </w:rPr>
        <w:t xml:space="preserve">nalysis: </w:t>
      </w:r>
      <w:r>
        <w:rPr>
          <w:rFonts w:ascii="Times New Roman" w:hAnsi="Times New Roman" w:cs="Times New Roman"/>
          <w:i/>
          <w:iCs/>
        </w:rPr>
        <w:t>A P</w:t>
      </w:r>
      <w:r w:rsidRPr="007840B6">
        <w:rPr>
          <w:rFonts w:ascii="Times New Roman" w:hAnsi="Times New Roman" w:cs="Times New Roman"/>
          <w:i/>
          <w:iCs/>
        </w:rPr>
        <w:t xml:space="preserve">ractitioner's </w:t>
      </w:r>
      <w:r>
        <w:rPr>
          <w:rFonts w:ascii="Times New Roman" w:hAnsi="Times New Roman" w:cs="Times New Roman"/>
          <w:i/>
          <w:iCs/>
        </w:rPr>
        <w:t>G</w:t>
      </w:r>
      <w:r w:rsidRPr="007840B6">
        <w:rPr>
          <w:rFonts w:ascii="Times New Roman" w:hAnsi="Times New Roman" w:cs="Times New Roman"/>
          <w:i/>
          <w:iCs/>
        </w:rPr>
        <w:t>uide</w:t>
      </w:r>
      <w:r w:rsidRPr="007840B6">
        <w:rPr>
          <w:rFonts w:ascii="Times New Roman" w:hAnsi="Times New Roman" w:cs="Times New Roman"/>
        </w:rPr>
        <w:t xml:space="preserve">. </w:t>
      </w:r>
      <w:r>
        <w:rPr>
          <w:rFonts w:ascii="Times New Roman" w:hAnsi="Times New Roman" w:cs="Times New Roman"/>
        </w:rPr>
        <w:t>4</w:t>
      </w:r>
      <w:r w:rsidRPr="000F127F">
        <w:rPr>
          <w:rFonts w:ascii="Times New Roman" w:hAnsi="Times New Roman" w:cs="Times New Roman"/>
          <w:vertAlign w:val="superscript"/>
        </w:rPr>
        <w:t>th</w:t>
      </w:r>
      <w:r>
        <w:rPr>
          <w:rFonts w:ascii="Times New Roman" w:hAnsi="Times New Roman" w:cs="Times New Roman"/>
        </w:rPr>
        <w:t xml:space="preserve"> ed. Wiley</w:t>
      </w:r>
      <w:r w:rsidRPr="007840B6">
        <w:rPr>
          <w:rFonts w:ascii="Times New Roman" w:hAnsi="Times New Roman" w:cs="Times New Roman"/>
        </w:rPr>
        <w:t>.</w:t>
      </w:r>
    </w:p>
    <w:p w14:paraId="740F0443" w14:textId="77777777" w:rsidR="004619AB" w:rsidRPr="007840B6" w:rsidRDefault="004619AB" w:rsidP="002761E1">
      <w:pPr>
        <w:spacing w:after="0" w:line="480" w:lineRule="auto"/>
        <w:ind w:left="720" w:hanging="720"/>
        <w:rPr>
          <w:rFonts w:ascii="Times New Roman" w:hAnsi="Times New Roman" w:cs="Times New Roman"/>
        </w:rPr>
      </w:pPr>
      <w:r w:rsidRPr="007840B6">
        <w:rPr>
          <w:rFonts w:ascii="Times New Roman" w:hAnsi="Times New Roman" w:cs="Times New Roman"/>
        </w:rPr>
        <w:t xml:space="preserve">Palepu, K. </w:t>
      </w:r>
      <w:r>
        <w:rPr>
          <w:rFonts w:ascii="Times New Roman" w:hAnsi="Times New Roman" w:cs="Times New Roman"/>
        </w:rPr>
        <w:t xml:space="preserve">and Healy, P. </w:t>
      </w:r>
      <w:r w:rsidRPr="007840B6">
        <w:rPr>
          <w:rFonts w:ascii="Times New Roman" w:hAnsi="Times New Roman" w:cs="Times New Roman"/>
        </w:rPr>
        <w:t xml:space="preserve">(2007). </w:t>
      </w:r>
      <w:r w:rsidRPr="007840B6">
        <w:rPr>
          <w:rFonts w:ascii="Times New Roman" w:hAnsi="Times New Roman" w:cs="Times New Roman"/>
          <w:i/>
          <w:iCs/>
        </w:rPr>
        <w:t xml:space="preserve">Business </w:t>
      </w:r>
      <w:r>
        <w:rPr>
          <w:rFonts w:ascii="Times New Roman" w:hAnsi="Times New Roman" w:cs="Times New Roman"/>
          <w:i/>
          <w:iCs/>
        </w:rPr>
        <w:t>A</w:t>
      </w:r>
      <w:r w:rsidRPr="007840B6">
        <w:rPr>
          <w:rFonts w:ascii="Times New Roman" w:hAnsi="Times New Roman" w:cs="Times New Roman"/>
          <w:i/>
          <w:iCs/>
        </w:rPr>
        <w:t xml:space="preserve">nalysis and </w:t>
      </w:r>
      <w:r>
        <w:rPr>
          <w:rFonts w:ascii="Times New Roman" w:hAnsi="Times New Roman" w:cs="Times New Roman"/>
          <w:i/>
          <w:iCs/>
        </w:rPr>
        <w:t>V</w:t>
      </w:r>
      <w:r w:rsidRPr="007840B6">
        <w:rPr>
          <w:rFonts w:ascii="Times New Roman" w:hAnsi="Times New Roman" w:cs="Times New Roman"/>
          <w:i/>
          <w:iCs/>
        </w:rPr>
        <w:t>aluation</w:t>
      </w:r>
      <w:r>
        <w:rPr>
          <w:rFonts w:ascii="Times New Roman" w:hAnsi="Times New Roman" w:cs="Times New Roman"/>
          <w:i/>
          <w:iCs/>
        </w:rPr>
        <w:t>: Using Financial Statements</w:t>
      </w:r>
      <w:r w:rsidRPr="007840B6">
        <w:rPr>
          <w:rFonts w:ascii="Times New Roman" w:hAnsi="Times New Roman" w:cs="Times New Roman"/>
        </w:rPr>
        <w:t>.</w:t>
      </w:r>
      <w:r>
        <w:rPr>
          <w:rFonts w:ascii="Times New Roman" w:hAnsi="Times New Roman" w:cs="Times New Roman"/>
        </w:rPr>
        <w:t xml:space="preserve"> 4th revised ed.</w:t>
      </w:r>
      <w:r w:rsidRPr="007840B6">
        <w:rPr>
          <w:rFonts w:ascii="Times New Roman" w:hAnsi="Times New Roman" w:cs="Times New Roman"/>
        </w:rPr>
        <w:t xml:space="preserve"> </w:t>
      </w:r>
      <w:r w:rsidRPr="00411192">
        <w:rPr>
          <w:rFonts w:ascii="Times New Roman" w:hAnsi="Times New Roman" w:cs="Times New Roman"/>
        </w:rPr>
        <w:t>South-Western College Pub</w:t>
      </w:r>
      <w:r w:rsidRPr="007840B6">
        <w:rPr>
          <w:rFonts w:ascii="Times New Roman" w:hAnsi="Times New Roman" w:cs="Times New Roman"/>
        </w:rPr>
        <w:t>.</w:t>
      </w:r>
    </w:p>
    <w:p w14:paraId="7F2367E9" w14:textId="77777777" w:rsidR="004619AB" w:rsidRPr="007A3388" w:rsidRDefault="004619AB" w:rsidP="002761E1">
      <w:pPr>
        <w:spacing w:after="0" w:line="480" w:lineRule="auto"/>
        <w:ind w:left="720" w:hanging="720"/>
        <w:rPr>
          <w:rFonts w:ascii="Times New Roman" w:hAnsi="Times New Roman" w:cs="Times New Roman"/>
          <w:lang w:val="en-GB"/>
        </w:rPr>
      </w:pPr>
      <w:r>
        <w:rPr>
          <w:rFonts w:ascii="Times New Roman" w:hAnsi="Times New Roman" w:cs="Times New Roman"/>
          <w:lang w:val="en-GB"/>
        </w:rPr>
        <w:t xml:space="preserve">Penman, S. </w:t>
      </w:r>
      <w:r w:rsidRPr="007A3388">
        <w:rPr>
          <w:rFonts w:ascii="Times New Roman" w:hAnsi="Times New Roman" w:cs="Times New Roman"/>
          <w:lang w:val="en-GB"/>
        </w:rPr>
        <w:t xml:space="preserve">(2015). Financial Ratios and Equity Valuation. </w:t>
      </w:r>
      <w:r w:rsidRPr="007A3388">
        <w:rPr>
          <w:rFonts w:ascii="Times New Roman" w:hAnsi="Times New Roman" w:cs="Times New Roman"/>
          <w:i/>
          <w:iCs/>
          <w:lang w:val="en-GB"/>
        </w:rPr>
        <w:t>Wiley Encyclopedia of Management</w:t>
      </w:r>
      <w:r w:rsidRPr="007A3388">
        <w:rPr>
          <w:rFonts w:ascii="Times New Roman" w:hAnsi="Times New Roman" w:cs="Times New Roman"/>
          <w:lang w:val="en-GB"/>
        </w:rPr>
        <w:t xml:space="preserve">, </w:t>
      </w:r>
      <w:r>
        <w:rPr>
          <w:rFonts w:ascii="Times New Roman" w:hAnsi="Times New Roman" w:cs="Times New Roman"/>
          <w:lang w:val="en-GB"/>
        </w:rPr>
        <w:t xml:space="preserve">vol. </w:t>
      </w:r>
      <w:r w:rsidRPr="007A3388">
        <w:rPr>
          <w:rFonts w:ascii="Times New Roman" w:hAnsi="Times New Roman" w:cs="Times New Roman"/>
          <w:lang w:val="en-GB"/>
        </w:rPr>
        <w:t>1-7.</w:t>
      </w:r>
    </w:p>
    <w:p w14:paraId="0C56534E" w14:textId="77777777" w:rsidR="004619AB" w:rsidRPr="007840B6" w:rsidRDefault="004619AB" w:rsidP="002761E1">
      <w:pPr>
        <w:spacing w:after="0" w:line="480" w:lineRule="auto"/>
        <w:ind w:left="720" w:hanging="720"/>
        <w:rPr>
          <w:rFonts w:ascii="Times New Roman" w:hAnsi="Times New Roman" w:cs="Times New Roman"/>
        </w:rPr>
      </w:pPr>
      <w:r>
        <w:rPr>
          <w:rFonts w:ascii="Times New Roman" w:hAnsi="Times New Roman" w:cs="Times New Roman"/>
        </w:rPr>
        <w:lastRenderedPageBreak/>
        <w:t xml:space="preserve">Penman, S. </w:t>
      </w:r>
      <w:r w:rsidRPr="007840B6">
        <w:rPr>
          <w:rFonts w:ascii="Times New Roman" w:hAnsi="Times New Roman" w:cs="Times New Roman"/>
        </w:rPr>
        <w:t xml:space="preserve">(2007). </w:t>
      </w:r>
      <w:r w:rsidRPr="007840B6">
        <w:rPr>
          <w:rFonts w:ascii="Times New Roman" w:hAnsi="Times New Roman" w:cs="Times New Roman"/>
          <w:i/>
          <w:iCs/>
        </w:rPr>
        <w:t>Fina</w:t>
      </w:r>
      <w:bookmarkStart w:id="17" w:name="_GoBack"/>
      <w:bookmarkEnd w:id="17"/>
      <w:r w:rsidRPr="007840B6">
        <w:rPr>
          <w:rFonts w:ascii="Times New Roman" w:hAnsi="Times New Roman" w:cs="Times New Roman"/>
          <w:i/>
          <w:iCs/>
        </w:rPr>
        <w:t xml:space="preserve">ncial </w:t>
      </w:r>
      <w:r>
        <w:rPr>
          <w:rFonts w:ascii="Times New Roman" w:hAnsi="Times New Roman" w:cs="Times New Roman"/>
          <w:i/>
          <w:iCs/>
        </w:rPr>
        <w:t>S</w:t>
      </w:r>
      <w:r w:rsidRPr="007840B6">
        <w:rPr>
          <w:rFonts w:ascii="Times New Roman" w:hAnsi="Times New Roman" w:cs="Times New Roman"/>
          <w:i/>
          <w:iCs/>
        </w:rPr>
        <w:t xml:space="preserve">tatement </w:t>
      </w:r>
      <w:r>
        <w:rPr>
          <w:rFonts w:ascii="Times New Roman" w:hAnsi="Times New Roman" w:cs="Times New Roman"/>
          <w:i/>
          <w:iCs/>
        </w:rPr>
        <w:t>A</w:t>
      </w:r>
      <w:r w:rsidRPr="007840B6">
        <w:rPr>
          <w:rFonts w:ascii="Times New Roman" w:hAnsi="Times New Roman" w:cs="Times New Roman"/>
          <w:i/>
          <w:iCs/>
        </w:rPr>
        <w:t xml:space="preserve">nalysis and </w:t>
      </w:r>
      <w:r>
        <w:rPr>
          <w:rFonts w:ascii="Times New Roman" w:hAnsi="Times New Roman" w:cs="Times New Roman"/>
          <w:i/>
          <w:iCs/>
        </w:rPr>
        <w:t>S</w:t>
      </w:r>
      <w:r w:rsidRPr="007840B6">
        <w:rPr>
          <w:rFonts w:ascii="Times New Roman" w:hAnsi="Times New Roman" w:cs="Times New Roman"/>
          <w:i/>
          <w:iCs/>
        </w:rPr>
        <w:t xml:space="preserve">ecurity </w:t>
      </w:r>
      <w:r w:rsidRPr="00297901">
        <w:rPr>
          <w:rFonts w:ascii="Times New Roman" w:hAnsi="Times New Roman" w:cs="Times New Roman"/>
          <w:i/>
          <w:iCs/>
        </w:rPr>
        <w:t>Valuation</w:t>
      </w:r>
      <w:r>
        <w:rPr>
          <w:rFonts w:ascii="Times New Roman" w:hAnsi="Times New Roman" w:cs="Times New Roman"/>
          <w:iCs/>
        </w:rPr>
        <w:t xml:space="preserve">. 3rd ed. </w:t>
      </w:r>
      <w:r w:rsidRPr="00297901">
        <w:rPr>
          <w:rFonts w:ascii="Times New Roman" w:hAnsi="Times New Roman" w:cs="Times New Roman"/>
        </w:rPr>
        <w:t>New</w:t>
      </w:r>
      <w:r w:rsidRPr="007840B6">
        <w:rPr>
          <w:rFonts w:ascii="Times New Roman" w:hAnsi="Times New Roman" w:cs="Times New Roman"/>
        </w:rPr>
        <w:t xml:space="preserve"> York: McGraw-Hill.</w:t>
      </w:r>
    </w:p>
    <w:p w14:paraId="66C67BF9" w14:textId="77777777" w:rsidR="004619AB" w:rsidRDefault="004619AB" w:rsidP="002761E1">
      <w:pPr>
        <w:spacing w:after="0" w:line="480" w:lineRule="auto"/>
        <w:ind w:left="720" w:hanging="720"/>
        <w:rPr>
          <w:rFonts w:ascii="Times New Roman" w:hAnsi="Times New Roman" w:cs="Times New Roman"/>
        </w:rPr>
      </w:pPr>
      <w:r w:rsidRPr="007840B6">
        <w:rPr>
          <w:rFonts w:ascii="Times New Roman" w:hAnsi="Times New Roman" w:cs="Times New Roman"/>
        </w:rPr>
        <w:t xml:space="preserve">Tirole, J. (2010). </w:t>
      </w:r>
      <w:r w:rsidRPr="007840B6">
        <w:rPr>
          <w:rFonts w:ascii="Times New Roman" w:hAnsi="Times New Roman" w:cs="Times New Roman"/>
          <w:i/>
          <w:iCs/>
        </w:rPr>
        <w:t xml:space="preserve">The theory of </w:t>
      </w:r>
      <w:r>
        <w:rPr>
          <w:rFonts w:ascii="Times New Roman" w:hAnsi="Times New Roman" w:cs="Times New Roman"/>
          <w:i/>
          <w:iCs/>
        </w:rPr>
        <w:t>C</w:t>
      </w:r>
      <w:r w:rsidRPr="007840B6">
        <w:rPr>
          <w:rFonts w:ascii="Times New Roman" w:hAnsi="Times New Roman" w:cs="Times New Roman"/>
          <w:i/>
          <w:iCs/>
        </w:rPr>
        <w:t xml:space="preserve">orporate </w:t>
      </w:r>
      <w:r>
        <w:rPr>
          <w:rFonts w:ascii="Times New Roman" w:hAnsi="Times New Roman" w:cs="Times New Roman"/>
          <w:i/>
          <w:iCs/>
        </w:rPr>
        <w:t>F</w:t>
      </w:r>
      <w:r w:rsidRPr="007840B6">
        <w:rPr>
          <w:rFonts w:ascii="Times New Roman" w:hAnsi="Times New Roman" w:cs="Times New Roman"/>
          <w:i/>
          <w:iCs/>
        </w:rPr>
        <w:t>inance</w:t>
      </w:r>
      <w:r w:rsidRPr="007840B6">
        <w:rPr>
          <w:rFonts w:ascii="Times New Roman" w:hAnsi="Times New Roman" w:cs="Times New Roman"/>
        </w:rPr>
        <w:t>. Princeton University Press.</w:t>
      </w:r>
    </w:p>
    <w:p w14:paraId="678EF8D7" w14:textId="77777777" w:rsidR="004619AB" w:rsidRDefault="004619AB" w:rsidP="002761E1">
      <w:pPr>
        <w:spacing w:after="160" w:line="259" w:lineRule="auto"/>
        <w:ind w:left="720" w:hanging="720"/>
        <w:jc w:val="left"/>
        <w:rPr>
          <w:rFonts w:ascii="Times New Roman" w:hAnsi="Times New Roman" w:cs="Times New Roman"/>
        </w:rPr>
      </w:pPr>
      <w:r>
        <w:rPr>
          <w:rFonts w:ascii="Times New Roman" w:hAnsi="Times New Roman" w:cs="Times New Roman"/>
        </w:rPr>
        <w:br w:type="page"/>
      </w:r>
    </w:p>
    <w:p w14:paraId="72ED33D5" w14:textId="77777777" w:rsidR="004619AB" w:rsidRDefault="004619AB" w:rsidP="002A6669">
      <w:pPr>
        <w:pStyle w:val="Heading1"/>
        <w:spacing w:before="0" w:line="240" w:lineRule="auto"/>
        <w:rPr>
          <w:rFonts w:ascii="Times New Roman" w:hAnsi="Times New Roman" w:cs="Times New Roman"/>
        </w:rPr>
      </w:pPr>
      <w:bookmarkStart w:id="18" w:name="_Toc535367197"/>
      <w:r>
        <w:rPr>
          <w:rFonts w:ascii="Times New Roman" w:hAnsi="Times New Roman" w:cs="Times New Roman"/>
        </w:rPr>
        <w:lastRenderedPageBreak/>
        <w:t>BHP Billiton’s Financial Information &amp; Ratios Calculations</w:t>
      </w:r>
      <w:bookmarkEnd w:id="18"/>
    </w:p>
    <w:p w14:paraId="10EA6985" w14:textId="77777777" w:rsidR="004619AB" w:rsidRPr="002A6669" w:rsidRDefault="004619AB" w:rsidP="002A6669">
      <w:pPr>
        <w:pStyle w:val="Heading2"/>
        <w:spacing w:before="240" w:after="240" w:line="240" w:lineRule="auto"/>
        <w:rPr>
          <w:rFonts w:ascii="Times New Roman" w:hAnsi="Times New Roman" w:cs="Times New Roman"/>
        </w:rPr>
      </w:pPr>
      <w:r w:rsidRPr="002A6669">
        <w:rPr>
          <w:rFonts w:ascii="Times New Roman" w:hAnsi="Times New Roman" w:cs="Times New Roman"/>
        </w:rPr>
        <w:t>Income Statement</w:t>
      </w:r>
    </w:p>
    <w:p w14:paraId="0BDEBF9A" w14:textId="77777777" w:rsidR="004619AB" w:rsidRDefault="004619AB" w:rsidP="002A6669">
      <w:pPr>
        <w:jc w:val="center"/>
      </w:pPr>
      <w:r w:rsidRPr="00820206">
        <w:rPr>
          <w:noProof/>
          <w:lang w:val="en-CA" w:eastAsia="en-CA"/>
        </w:rPr>
        <w:drawing>
          <wp:inline distT="0" distB="0" distL="0" distR="0" wp14:anchorId="294C2B72" wp14:editId="6A2B8E07">
            <wp:extent cx="5819775" cy="59150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19775" cy="5915025"/>
                    </a:xfrm>
                    <a:prstGeom prst="rect">
                      <a:avLst/>
                    </a:prstGeom>
                    <a:noFill/>
                    <a:ln>
                      <a:noFill/>
                    </a:ln>
                  </pic:spPr>
                </pic:pic>
              </a:graphicData>
            </a:graphic>
          </wp:inline>
        </w:drawing>
      </w:r>
    </w:p>
    <w:p w14:paraId="7B6937D4" w14:textId="77777777" w:rsidR="004619AB" w:rsidRPr="002A6669" w:rsidRDefault="004619AB" w:rsidP="002A6669">
      <w:pPr>
        <w:pStyle w:val="Heading2"/>
        <w:spacing w:before="0" w:after="240" w:line="240" w:lineRule="auto"/>
        <w:rPr>
          <w:rFonts w:ascii="Times New Roman" w:hAnsi="Times New Roman" w:cs="Times New Roman"/>
        </w:rPr>
      </w:pPr>
      <w:r>
        <w:br w:type="column"/>
      </w:r>
      <w:r w:rsidRPr="002A6669">
        <w:rPr>
          <w:rFonts w:ascii="Times New Roman" w:hAnsi="Times New Roman" w:cs="Times New Roman"/>
        </w:rPr>
        <w:lastRenderedPageBreak/>
        <w:t>Balance Sheet</w:t>
      </w:r>
    </w:p>
    <w:p w14:paraId="0E8FCBC3" w14:textId="77777777" w:rsidR="004619AB" w:rsidRDefault="004619AB" w:rsidP="002A6669">
      <w:pPr>
        <w:jc w:val="center"/>
      </w:pPr>
      <w:r w:rsidRPr="00F4078A">
        <w:rPr>
          <w:noProof/>
          <w:lang w:val="en-CA" w:eastAsia="en-CA"/>
        </w:rPr>
        <w:drawing>
          <wp:inline distT="0" distB="0" distL="0" distR="0" wp14:anchorId="23F485AD" wp14:editId="76B8FD3C">
            <wp:extent cx="6042097" cy="75914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5363" cy="7658349"/>
                    </a:xfrm>
                    <a:prstGeom prst="rect">
                      <a:avLst/>
                    </a:prstGeom>
                    <a:noFill/>
                    <a:ln>
                      <a:noFill/>
                    </a:ln>
                  </pic:spPr>
                </pic:pic>
              </a:graphicData>
            </a:graphic>
          </wp:inline>
        </w:drawing>
      </w:r>
    </w:p>
    <w:p w14:paraId="3D88A22D" w14:textId="77777777" w:rsidR="004619AB" w:rsidRPr="002A6669" w:rsidRDefault="004619AB" w:rsidP="002A6669">
      <w:pPr>
        <w:pStyle w:val="Heading2"/>
        <w:spacing w:before="0" w:after="240" w:line="240" w:lineRule="auto"/>
        <w:rPr>
          <w:rFonts w:ascii="Times New Roman" w:hAnsi="Times New Roman" w:cs="Times New Roman"/>
        </w:rPr>
      </w:pPr>
      <w:r>
        <w:br w:type="column"/>
      </w:r>
      <w:r w:rsidRPr="002A6669">
        <w:rPr>
          <w:rFonts w:ascii="Times New Roman" w:hAnsi="Times New Roman" w:cs="Times New Roman"/>
        </w:rPr>
        <w:lastRenderedPageBreak/>
        <w:t>Ratio Calculations</w:t>
      </w:r>
    </w:p>
    <w:p w14:paraId="3DC263E0" w14:textId="77777777" w:rsidR="004619AB" w:rsidRDefault="004619AB" w:rsidP="005A0B3A">
      <w:pPr>
        <w:jc w:val="center"/>
      </w:pPr>
      <w:r w:rsidRPr="00D6423B">
        <w:rPr>
          <w:noProof/>
          <w:lang w:val="en-CA" w:eastAsia="en-CA"/>
        </w:rPr>
        <w:drawing>
          <wp:inline distT="0" distB="0" distL="0" distR="0" wp14:anchorId="31D7DA43" wp14:editId="40DD12BC">
            <wp:extent cx="5467350" cy="6800178"/>
            <wp:effectExtent l="0" t="0" r="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8971" cy="6814632"/>
                    </a:xfrm>
                    <a:prstGeom prst="rect">
                      <a:avLst/>
                    </a:prstGeom>
                    <a:noFill/>
                    <a:ln>
                      <a:noFill/>
                    </a:ln>
                  </pic:spPr>
                </pic:pic>
              </a:graphicData>
            </a:graphic>
          </wp:inline>
        </w:drawing>
      </w:r>
    </w:p>
    <w:p w14:paraId="657E65CF" w14:textId="77777777" w:rsidR="004619AB" w:rsidRPr="0096683D" w:rsidRDefault="004619AB" w:rsidP="005A0B3A">
      <w:pPr>
        <w:jc w:val="center"/>
      </w:pPr>
      <w:r>
        <w:br w:type="column"/>
      </w:r>
      <w:r w:rsidRPr="00D6423B">
        <w:rPr>
          <w:noProof/>
          <w:lang w:val="en-CA" w:eastAsia="en-CA"/>
        </w:rPr>
        <w:lastRenderedPageBreak/>
        <w:drawing>
          <wp:inline distT="0" distB="0" distL="0" distR="0" wp14:anchorId="7C247A54" wp14:editId="1E75E606">
            <wp:extent cx="5572125" cy="366689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92721" cy="3680452"/>
                    </a:xfrm>
                    <a:prstGeom prst="rect">
                      <a:avLst/>
                    </a:prstGeom>
                    <a:noFill/>
                    <a:ln>
                      <a:noFill/>
                    </a:ln>
                  </pic:spPr>
                </pic:pic>
              </a:graphicData>
            </a:graphic>
          </wp:inline>
        </w:drawing>
      </w:r>
    </w:p>
    <w:p w14:paraId="35C6969F"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1E8D1640"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259B607B"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54D1103F"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73691840"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21D44783"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67C83498"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06969A6B"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5AAE9D43" w14:textId="77777777" w:rsidR="004619AB" w:rsidRDefault="004619AB" w:rsidP="00724846">
      <w:pPr>
        <w:tabs>
          <w:tab w:val="left" w:pos="90"/>
        </w:tabs>
        <w:spacing w:after="0" w:line="480" w:lineRule="auto"/>
        <w:jc w:val="center"/>
        <w:rPr>
          <w:rFonts w:ascii="Times New Roman" w:hAnsi="Times New Roman" w:cs="Times New Roman"/>
          <w:b/>
          <w:sz w:val="32"/>
          <w:szCs w:val="32"/>
          <w:lang w:eastAsia="zh-CN"/>
        </w:rPr>
      </w:pPr>
    </w:p>
    <w:p w14:paraId="0BCEADA3" w14:textId="523D1257" w:rsidR="00724846" w:rsidRPr="00EF1BA3" w:rsidRDefault="006C1923" w:rsidP="00724846">
      <w:pPr>
        <w:tabs>
          <w:tab w:val="left" w:pos="90"/>
        </w:tabs>
        <w:spacing w:after="0" w:line="480" w:lineRule="auto"/>
        <w:jc w:val="center"/>
        <w:rPr>
          <w:rFonts w:ascii="Times New Roman" w:hAnsi="Times New Roman" w:cs="Times New Roman"/>
          <w:sz w:val="32"/>
          <w:szCs w:val="32"/>
        </w:rPr>
      </w:pPr>
      <w:r w:rsidRPr="00EF1BA3">
        <w:rPr>
          <w:rFonts w:ascii="Times New Roman" w:hAnsi="Times New Roman" w:cs="Times New Roman"/>
          <w:b/>
          <w:sz w:val="32"/>
          <w:szCs w:val="32"/>
          <w:lang w:eastAsia="zh-CN"/>
        </w:rPr>
        <w:lastRenderedPageBreak/>
        <w:t xml:space="preserve">Financial </w:t>
      </w:r>
      <w:r w:rsidR="00724846" w:rsidRPr="00EF1BA3">
        <w:rPr>
          <w:rFonts w:ascii="Times New Roman" w:hAnsi="Times New Roman" w:cs="Times New Roman"/>
          <w:b/>
          <w:sz w:val="32"/>
          <w:szCs w:val="32"/>
          <w:lang w:eastAsia="zh-CN"/>
        </w:rPr>
        <w:t>Management</w:t>
      </w:r>
      <w:r w:rsidR="00724846" w:rsidRPr="00EF1BA3">
        <w:rPr>
          <w:rFonts w:ascii="Times New Roman" w:hAnsi="Times New Roman" w:cs="Times New Roman"/>
          <w:b/>
          <w:bCs/>
          <w:sz w:val="32"/>
          <w:szCs w:val="32"/>
        </w:rPr>
        <w:t xml:space="preserve"> (</w:t>
      </w:r>
      <w:r w:rsidR="00724846" w:rsidRPr="00EF1BA3">
        <w:rPr>
          <w:rFonts w:ascii="Times New Roman" w:hAnsi="Times New Roman" w:cs="Times New Roman"/>
          <w:b/>
          <w:sz w:val="32"/>
          <w:szCs w:val="32"/>
          <w:lang w:eastAsia="zh-CN"/>
        </w:rPr>
        <w:t>SBMA710</w:t>
      </w:r>
      <w:r w:rsidRPr="00EF1BA3">
        <w:rPr>
          <w:rFonts w:ascii="Times New Roman" w:hAnsi="Times New Roman" w:cs="Times New Roman"/>
          <w:b/>
          <w:sz w:val="32"/>
          <w:szCs w:val="32"/>
          <w:lang w:eastAsia="zh-CN"/>
        </w:rPr>
        <w:t>0</w:t>
      </w:r>
      <w:r w:rsidR="00724846" w:rsidRPr="00EF1BA3">
        <w:rPr>
          <w:rFonts w:ascii="Times New Roman" w:hAnsi="Times New Roman" w:cs="Times New Roman"/>
          <w:b/>
          <w:sz w:val="32"/>
          <w:szCs w:val="32"/>
          <w:lang w:eastAsia="zh-CN"/>
        </w:rPr>
        <w:t>D</w:t>
      </w:r>
      <w:r w:rsidR="00724846" w:rsidRPr="00EF1BA3">
        <w:rPr>
          <w:rFonts w:ascii="Times New Roman" w:hAnsi="Times New Roman" w:cs="Times New Roman"/>
          <w:b/>
          <w:bCs/>
          <w:sz w:val="32"/>
          <w:szCs w:val="32"/>
          <w:lang w:val="en-CA"/>
        </w:rPr>
        <w:t>)</w:t>
      </w:r>
    </w:p>
    <w:p w14:paraId="12E7F798" w14:textId="664814C2" w:rsidR="00724846" w:rsidRPr="00EF1BA3" w:rsidRDefault="004D1DC5" w:rsidP="00724846">
      <w:pPr>
        <w:tabs>
          <w:tab w:val="left" w:pos="90"/>
        </w:tabs>
        <w:spacing w:after="0" w:line="480" w:lineRule="auto"/>
        <w:jc w:val="center"/>
        <w:rPr>
          <w:rFonts w:ascii="Times New Roman" w:hAnsi="Times New Roman" w:cs="Times New Roman"/>
          <w:b/>
          <w:bCs/>
          <w:sz w:val="32"/>
          <w:szCs w:val="32"/>
          <w:lang w:val="en-CA"/>
        </w:rPr>
      </w:pPr>
      <w:r>
        <w:rPr>
          <w:rFonts w:ascii="Times New Roman" w:hAnsi="Times New Roman" w:cs="Times New Roman"/>
          <w:b/>
          <w:bCs/>
          <w:sz w:val="32"/>
          <w:szCs w:val="32"/>
          <w:lang w:val="en-CA"/>
        </w:rPr>
        <w:t>James PLC</w:t>
      </w:r>
      <w:r w:rsidR="00724846" w:rsidRPr="00EF1BA3">
        <w:rPr>
          <w:rFonts w:ascii="Times New Roman" w:hAnsi="Times New Roman" w:cs="Times New Roman"/>
          <w:b/>
          <w:bCs/>
          <w:sz w:val="32"/>
          <w:szCs w:val="32"/>
          <w:lang w:val="en-CA"/>
        </w:rPr>
        <w:t xml:space="preserve">: </w:t>
      </w:r>
      <w:r w:rsidR="00EF1BA3">
        <w:rPr>
          <w:rFonts w:ascii="Times New Roman" w:hAnsi="Times New Roman" w:cs="Times New Roman"/>
          <w:b/>
          <w:bCs/>
          <w:sz w:val="32"/>
          <w:szCs w:val="32"/>
          <w:lang w:val="en-CA"/>
        </w:rPr>
        <w:t xml:space="preserve">Business </w:t>
      </w:r>
      <w:r w:rsidR="0020493B">
        <w:rPr>
          <w:rFonts w:ascii="Times New Roman" w:hAnsi="Times New Roman" w:cs="Times New Roman"/>
          <w:b/>
          <w:bCs/>
          <w:sz w:val="32"/>
          <w:szCs w:val="32"/>
          <w:lang w:val="en-CA"/>
        </w:rPr>
        <w:t>Investment</w:t>
      </w:r>
      <w:r w:rsidR="00EF1BA3">
        <w:rPr>
          <w:rFonts w:ascii="Times New Roman" w:hAnsi="Times New Roman" w:cs="Times New Roman"/>
          <w:b/>
          <w:bCs/>
          <w:sz w:val="32"/>
          <w:szCs w:val="32"/>
          <w:lang w:val="en-CA"/>
        </w:rPr>
        <w:t xml:space="preserve"> Proposal</w:t>
      </w:r>
    </w:p>
    <w:p w14:paraId="68125097" w14:textId="77777777" w:rsidR="00724846" w:rsidRPr="00EF1BA3" w:rsidRDefault="00724846" w:rsidP="00724846">
      <w:pPr>
        <w:spacing w:after="0" w:line="480" w:lineRule="auto"/>
        <w:jc w:val="center"/>
        <w:rPr>
          <w:rFonts w:ascii="Times New Roman" w:hAnsi="Times New Roman" w:cs="Times New Roman"/>
          <w:b/>
          <w:bCs/>
          <w:sz w:val="32"/>
          <w:szCs w:val="32"/>
        </w:rPr>
      </w:pPr>
      <w:r w:rsidRPr="00EF1BA3">
        <w:rPr>
          <w:rFonts w:ascii="Times New Roman" w:hAnsi="Times New Roman" w:cs="Times New Roman"/>
          <w:b/>
          <w:bCs/>
          <w:sz w:val="32"/>
          <w:szCs w:val="32"/>
        </w:rPr>
        <w:t>Assignment Part 2</w:t>
      </w:r>
    </w:p>
    <w:p w14:paraId="21AAB0E9" w14:textId="77777777" w:rsidR="00724846" w:rsidRPr="00EF1BA3" w:rsidRDefault="00724846" w:rsidP="00724846">
      <w:pPr>
        <w:spacing w:after="0" w:line="480" w:lineRule="auto"/>
        <w:jc w:val="center"/>
        <w:rPr>
          <w:rFonts w:ascii="Times New Roman" w:hAnsi="Times New Roman" w:cs="Times New Roman"/>
          <w:b/>
          <w:bCs/>
          <w:sz w:val="32"/>
          <w:szCs w:val="32"/>
        </w:rPr>
      </w:pPr>
      <w:r w:rsidRPr="00EF1BA3">
        <w:rPr>
          <w:rFonts w:ascii="Times New Roman" w:hAnsi="Times New Roman" w:cs="Times New Roman"/>
          <w:b/>
          <w:bCs/>
          <w:sz w:val="32"/>
          <w:szCs w:val="32"/>
        </w:rPr>
        <w:t>Aqeel Shakir</w:t>
      </w:r>
    </w:p>
    <w:p w14:paraId="550674F4" w14:textId="5A564CEF" w:rsidR="00C27A27" w:rsidRPr="00EF1BA3" w:rsidRDefault="006C1923" w:rsidP="00724846">
      <w:pPr>
        <w:spacing w:line="480" w:lineRule="auto"/>
        <w:jc w:val="center"/>
        <w:rPr>
          <w:rFonts w:ascii="Times New Roman" w:hAnsi="Times New Roman" w:cs="Times New Roman"/>
          <w:b/>
          <w:bCs/>
          <w:sz w:val="28"/>
          <w:szCs w:val="28"/>
        </w:rPr>
      </w:pPr>
      <w:r w:rsidRPr="00EF1BA3">
        <w:rPr>
          <w:rFonts w:ascii="Times New Roman" w:hAnsi="Times New Roman" w:cs="Times New Roman"/>
          <w:b/>
          <w:bCs/>
          <w:sz w:val="32"/>
          <w:szCs w:val="32"/>
        </w:rPr>
        <w:t>January 1</w:t>
      </w:r>
      <w:r w:rsidR="00596085">
        <w:rPr>
          <w:rFonts w:ascii="Times New Roman" w:hAnsi="Times New Roman" w:cs="Times New Roman"/>
          <w:b/>
          <w:bCs/>
          <w:sz w:val="32"/>
          <w:szCs w:val="32"/>
        </w:rPr>
        <w:t>6</w:t>
      </w:r>
      <w:r w:rsidRPr="00EF1BA3">
        <w:rPr>
          <w:rFonts w:ascii="Times New Roman" w:hAnsi="Times New Roman" w:cs="Times New Roman"/>
          <w:b/>
          <w:bCs/>
          <w:sz w:val="32"/>
          <w:szCs w:val="32"/>
        </w:rPr>
        <w:t>, 2019</w:t>
      </w:r>
      <w:r w:rsidR="00724846" w:rsidRPr="00EF1BA3">
        <w:rPr>
          <w:rFonts w:ascii="Times New Roman" w:hAnsi="Times New Roman" w:cs="Times New Roman"/>
          <w:b/>
          <w:bCs/>
          <w:sz w:val="28"/>
          <w:szCs w:val="28"/>
        </w:rPr>
        <w:t xml:space="preserve"> </w:t>
      </w:r>
    </w:p>
    <w:bookmarkEnd w:id="0"/>
    <w:p w14:paraId="2406E0C8" w14:textId="272ED9C8" w:rsidR="00724846" w:rsidRPr="00EF1BA3" w:rsidRDefault="00724846">
      <w:pPr>
        <w:spacing w:after="160" w:line="259" w:lineRule="auto"/>
        <w:jc w:val="left"/>
        <w:rPr>
          <w:rFonts w:ascii="Times New Roman" w:hAnsi="Times New Roman" w:cs="Times New Roman"/>
        </w:rPr>
      </w:pPr>
    </w:p>
    <w:p w14:paraId="02A24B49" w14:textId="77777777" w:rsidR="007C77DB" w:rsidRPr="00EF1BA3" w:rsidRDefault="007C77DB" w:rsidP="00724846">
      <w:pPr>
        <w:spacing w:line="480" w:lineRule="auto"/>
        <w:rPr>
          <w:rFonts w:ascii="Times New Roman" w:hAnsi="Times New Roman" w:cs="Times New Roman"/>
        </w:rPr>
        <w:sectPr w:rsidR="007C77DB" w:rsidRPr="00EF1BA3" w:rsidSect="00724846">
          <w:pgSz w:w="12240" w:h="15840" w:code="1"/>
          <w:pgMar w:top="1440" w:right="1440" w:bottom="1440" w:left="1440" w:header="720" w:footer="720" w:gutter="0"/>
          <w:cols w:space="720"/>
          <w:vAlign w:val="center"/>
          <w:docGrid w:linePitch="360"/>
        </w:sectPr>
      </w:pPr>
    </w:p>
    <w:sdt>
      <w:sdtPr>
        <w:rPr>
          <w:rFonts w:ascii="Times New Roman" w:hAnsi="Times New Roman" w:cs="Times New Roman"/>
        </w:rPr>
        <w:id w:val="2001934694"/>
        <w:docPartObj>
          <w:docPartGallery w:val="Table of Contents"/>
          <w:docPartUnique/>
        </w:docPartObj>
      </w:sdtPr>
      <w:sdtEndPr>
        <w:rPr>
          <w:b/>
          <w:bCs/>
          <w:noProof/>
        </w:rPr>
      </w:sdtEndPr>
      <w:sdtContent>
        <w:p w14:paraId="4BAB35EA" w14:textId="0FF9F114" w:rsidR="00A743BA" w:rsidRPr="00EF1BA3" w:rsidRDefault="00A743BA" w:rsidP="007C77DB">
          <w:pPr>
            <w:spacing w:after="0" w:line="480" w:lineRule="auto"/>
            <w:rPr>
              <w:rFonts w:ascii="Times New Roman" w:eastAsia="Times New Roman" w:hAnsi="Times New Roman" w:cs="Times New Roman"/>
              <w:color w:val="2E74B5"/>
              <w:sz w:val="32"/>
              <w:szCs w:val="32"/>
            </w:rPr>
          </w:pPr>
          <w:r w:rsidRPr="00EF1BA3">
            <w:rPr>
              <w:rFonts w:ascii="Times New Roman" w:eastAsia="Times New Roman" w:hAnsi="Times New Roman" w:cs="Times New Roman"/>
              <w:color w:val="2E74B5"/>
              <w:sz w:val="32"/>
              <w:szCs w:val="32"/>
            </w:rPr>
            <w:t>Table of Contents</w:t>
          </w:r>
        </w:p>
        <w:p w14:paraId="7081076B" w14:textId="77777777" w:rsidR="001B0F41" w:rsidRPr="001B0F41" w:rsidRDefault="00A743BA">
          <w:pPr>
            <w:pStyle w:val="TOC1"/>
            <w:tabs>
              <w:tab w:val="right" w:leader="dot" w:pos="9350"/>
            </w:tabs>
            <w:rPr>
              <w:rFonts w:ascii="Times New Roman" w:eastAsiaTheme="minorEastAsia" w:hAnsi="Times New Roman" w:cs="Times New Roman"/>
              <w:noProof/>
              <w:sz w:val="22"/>
            </w:rPr>
          </w:pPr>
          <w:r w:rsidRPr="001B0F41">
            <w:rPr>
              <w:rFonts w:ascii="Times New Roman" w:hAnsi="Times New Roman" w:cs="Times New Roman"/>
            </w:rPr>
            <w:fldChar w:fldCharType="begin"/>
          </w:r>
          <w:r w:rsidRPr="001B0F41">
            <w:rPr>
              <w:rFonts w:ascii="Times New Roman" w:hAnsi="Times New Roman" w:cs="Times New Roman"/>
            </w:rPr>
            <w:instrText xml:space="preserve"> TOC \o "1-3" \h \z \u </w:instrText>
          </w:r>
          <w:r w:rsidRPr="001B0F41">
            <w:rPr>
              <w:rFonts w:ascii="Times New Roman" w:hAnsi="Times New Roman" w:cs="Times New Roman"/>
            </w:rPr>
            <w:fldChar w:fldCharType="separate"/>
          </w:r>
          <w:hyperlink w:anchor="_Toc535327095" w:history="1">
            <w:r w:rsidR="001B0F41" w:rsidRPr="001B0F41">
              <w:rPr>
                <w:rStyle w:val="Hyperlink"/>
                <w:rFonts w:ascii="Times New Roman" w:hAnsi="Times New Roman" w:cs="Times New Roman"/>
                <w:noProof/>
              </w:rPr>
              <w:t>Introduction</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_Toc535327095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1</w:t>
            </w:r>
            <w:r w:rsidR="001B0F41" w:rsidRPr="001B0F41">
              <w:rPr>
                <w:rFonts w:ascii="Times New Roman" w:hAnsi="Times New Roman" w:cs="Times New Roman"/>
                <w:noProof/>
                <w:webHidden/>
              </w:rPr>
              <w:fldChar w:fldCharType="end"/>
            </w:r>
          </w:hyperlink>
        </w:p>
        <w:p w14:paraId="21069546" w14:textId="77777777" w:rsidR="001B0F41" w:rsidRPr="001B0F41" w:rsidRDefault="00CD5997">
          <w:pPr>
            <w:pStyle w:val="TOC1"/>
            <w:tabs>
              <w:tab w:val="right" w:leader="dot" w:pos="9350"/>
            </w:tabs>
            <w:rPr>
              <w:rFonts w:ascii="Times New Roman" w:eastAsiaTheme="minorEastAsia" w:hAnsi="Times New Roman" w:cs="Times New Roman"/>
              <w:noProof/>
              <w:sz w:val="22"/>
            </w:rPr>
          </w:pPr>
          <w:hyperlink w:anchor="_Toc535327096" w:history="1">
            <w:r w:rsidR="001B0F41" w:rsidRPr="001B0F41">
              <w:rPr>
                <w:rStyle w:val="Hyperlink"/>
                <w:rFonts w:ascii="Times New Roman" w:hAnsi="Times New Roman" w:cs="Times New Roman"/>
                <w:noProof/>
              </w:rPr>
              <w:t>Analysis</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_Toc535327096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1</w:t>
            </w:r>
            <w:r w:rsidR="001B0F41" w:rsidRPr="001B0F41">
              <w:rPr>
                <w:rFonts w:ascii="Times New Roman" w:hAnsi="Times New Roman" w:cs="Times New Roman"/>
                <w:noProof/>
                <w:webHidden/>
              </w:rPr>
              <w:fldChar w:fldCharType="end"/>
            </w:r>
          </w:hyperlink>
        </w:p>
        <w:p w14:paraId="14996C95" w14:textId="77777777" w:rsidR="001B0F41" w:rsidRPr="001B0F41" w:rsidRDefault="00CD5997">
          <w:pPr>
            <w:pStyle w:val="TOC2"/>
            <w:rPr>
              <w:rFonts w:ascii="Times New Roman" w:eastAsiaTheme="minorEastAsia" w:hAnsi="Times New Roman" w:cs="Times New Roman"/>
              <w:noProof/>
              <w:sz w:val="22"/>
            </w:rPr>
          </w:pPr>
          <w:hyperlink w:anchor="_Toc535327097" w:history="1">
            <w:r w:rsidR="001B0F41" w:rsidRPr="001B0F41">
              <w:rPr>
                <w:rStyle w:val="Hyperlink"/>
                <w:rFonts w:ascii="Times New Roman" w:hAnsi="Times New Roman" w:cs="Times New Roman"/>
                <w:noProof/>
              </w:rPr>
              <w:t>a.</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An Evaluation Using NPV Technique</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_Toc535327097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1</w:t>
            </w:r>
            <w:r w:rsidR="001B0F41" w:rsidRPr="001B0F41">
              <w:rPr>
                <w:rFonts w:ascii="Times New Roman" w:hAnsi="Times New Roman" w:cs="Times New Roman"/>
                <w:noProof/>
                <w:webHidden/>
              </w:rPr>
              <w:fldChar w:fldCharType="end"/>
            </w:r>
          </w:hyperlink>
        </w:p>
        <w:p w14:paraId="5CE754E9" w14:textId="77777777" w:rsidR="001B0F41" w:rsidRPr="001B0F41" w:rsidRDefault="00CD5997">
          <w:pPr>
            <w:pStyle w:val="TOC1"/>
            <w:tabs>
              <w:tab w:val="left" w:pos="440"/>
              <w:tab w:val="right" w:leader="dot" w:pos="9350"/>
            </w:tabs>
            <w:rPr>
              <w:rFonts w:ascii="Times New Roman" w:eastAsiaTheme="minorEastAsia" w:hAnsi="Times New Roman" w:cs="Times New Roman"/>
              <w:noProof/>
              <w:sz w:val="22"/>
            </w:rPr>
          </w:pPr>
          <w:hyperlink w:anchor="_Toc535327098" w:history="1">
            <w:r w:rsidR="001B0F41" w:rsidRPr="001B0F41">
              <w:rPr>
                <w:rStyle w:val="Hyperlink"/>
                <w:rFonts w:ascii="Times New Roman" w:hAnsi="Times New Roman" w:cs="Times New Roman"/>
                <w:noProof/>
              </w:rPr>
              <w:t>b.</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Internal Rate of Return</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_Toc535327098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3</w:t>
            </w:r>
            <w:r w:rsidR="001B0F41" w:rsidRPr="001B0F41">
              <w:rPr>
                <w:rFonts w:ascii="Times New Roman" w:hAnsi="Times New Roman" w:cs="Times New Roman"/>
                <w:noProof/>
                <w:webHidden/>
              </w:rPr>
              <w:fldChar w:fldCharType="end"/>
            </w:r>
          </w:hyperlink>
        </w:p>
        <w:p w14:paraId="31B1651B" w14:textId="77777777" w:rsidR="001B0F41" w:rsidRPr="001B0F41" w:rsidRDefault="00CD5997">
          <w:pPr>
            <w:pStyle w:val="TOC1"/>
            <w:tabs>
              <w:tab w:val="left" w:pos="440"/>
              <w:tab w:val="right" w:leader="dot" w:pos="9350"/>
            </w:tabs>
            <w:rPr>
              <w:rFonts w:ascii="Times New Roman" w:eastAsiaTheme="minorEastAsia" w:hAnsi="Times New Roman" w:cs="Times New Roman"/>
              <w:noProof/>
              <w:sz w:val="22"/>
            </w:rPr>
          </w:pPr>
          <w:hyperlink w:anchor="_Toc535327099" w:history="1">
            <w:r w:rsidR="001B0F41" w:rsidRPr="001B0F41">
              <w:rPr>
                <w:rStyle w:val="Hyperlink"/>
                <w:rFonts w:ascii="Times New Roman" w:hAnsi="Times New Roman" w:cs="Times New Roman"/>
                <w:noProof/>
              </w:rPr>
              <w:t>c.</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Interpretations of the Results</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_Toc535327099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4</w:t>
            </w:r>
            <w:r w:rsidR="001B0F41" w:rsidRPr="001B0F41">
              <w:rPr>
                <w:rFonts w:ascii="Times New Roman" w:hAnsi="Times New Roman" w:cs="Times New Roman"/>
                <w:noProof/>
                <w:webHidden/>
              </w:rPr>
              <w:fldChar w:fldCharType="end"/>
            </w:r>
          </w:hyperlink>
        </w:p>
        <w:p w14:paraId="7D809D50" w14:textId="77777777" w:rsidR="001B0F41" w:rsidRPr="001B0F41" w:rsidRDefault="00CD5997">
          <w:pPr>
            <w:pStyle w:val="TOC1"/>
            <w:tabs>
              <w:tab w:val="left" w:pos="440"/>
              <w:tab w:val="right" w:leader="dot" w:pos="9350"/>
            </w:tabs>
            <w:rPr>
              <w:rFonts w:ascii="Times New Roman" w:eastAsiaTheme="minorEastAsia" w:hAnsi="Times New Roman" w:cs="Times New Roman"/>
              <w:noProof/>
              <w:sz w:val="22"/>
            </w:rPr>
          </w:pPr>
          <w:hyperlink w:anchor="_Toc535327100" w:history="1">
            <w:r w:rsidR="001B0F41" w:rsidRPr="001B0F41">
              <w:rPr>
                <w:rStyle w:val="Hyperlink"/>
                <w:rFonts w:ascii="Times New Roman" w:hAnsi="Times New Roman" w:cs="Times New Roman"/>
                <w:noProof/>
              </w:rPr>
              <w:t>d.</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Optimal Investment Policy</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_Toc535327100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6</w:t>
            </w:r>
            <w:r w:rsidR="001B0F41" w:rsidRPr="001B0F41">
              <w:rPr>
                <w:rFonts w:ascii="Times New Roman" w:hAnsi="Times New Roman" w:cs="Times New Roman"/>
                <w:noProof/>
                <w:webHidden/>
              </w:rPr>
              <w:fldChar w:fldCharType="end"/>
            </w:r>
          </w:hyperlink>
        </w:p>
        <w:p w14:paraId="4A200477" w14:textId="77777777" w:rsidR="001B0F41" w:rsidRPr="001B0F41" w:rsidRDefault="00CD5997">
          <w:pPr>
            <w:pStyle w:val="TOC1"/>
            <w:tabs>
              <w:tab w:val="right" w:leader="dot" w:pos="9350"/>
            </w:tabs>
            <w:rPr>
              <w:rFonts w:ascii="Times New Roman" w:eastAsiaTheme="minorEastAsia" w:hAnsi="Times New Roman" w:cs="Times New Roman"/>
              <w:noProof/>
              <w:sz w:val="22"/>
            </w:rPr>
          </w:pPr>
          <w:hyperlink w:anchor="_Toc535327101" w:history="1">
            <w:r w:rsidR="001B0F41" w:rsidRPr="001B0F41">
              <w:rPr>
                <w:rStyle w:val="Hyperlink"/>
                <w:rFonts w:ascii="Times New Roman" w:hAnsi="Times New Roman" w:cs="Times New Roman"/>
                <w:noProof/>
              </w:rPr>
              <w:t>Sources of Finance</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_Toc535327101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7</w:t>
            </w:r>
            <w:r w:rsidR="001B0F41" w:rsidRPr="001B0F41">
              <w:rPr>
                <w:rFonts w:ascii="Times New Roman" w:hAnsi="Times New Roman" w:cs="Times New Roman"/>
                <w:noProof/>
                <w:webHidden/>
              </w:rPr>
              <w:fldChar w:fldCharType="end"/>
            </w:r>
          </w:hyperlink>
        </w:p>
        <w:p w14:paraId="4958338E" w14:textId="77777777" w:rsidR="001B0F41" w:rsidRPr="001B0F41" w:rsidRDefault="00CD5997">
          <w:pPr>
            <w:pStyle w:val="TOC2"/>
            <w:rPr>
              <w:rFonts w:ascii="Times New Roman" w:eastAsiaTheme="minorEastAsia" w:hAnsi="Times New Roman" w:cs="Times New Roman"/>
              <w:noProof/>
              <w:sz w:val="22"/>
            </w:rPr>
          </w:pPr>
          <w:hyperlink w:anchor="_Toc535327102" w:history="1">
            <w:r w:rsidR="001B0F41" w:rsidRPr="001B0F41">
              <w:rPr>
                <w:rStyle w:val="Hyperlink"/>
                <w:rFonts w:ascii="Times New Roman" w:hAnsi="Times New Roman" w:cs="Times New Roman"/>
                <w:noProof/>
              </w:rPr>
              <w:t>a.</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Financing from Retained Earnings</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_Toc535327102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8</w:t>
            </w:r>
            <w:r w:rsidR="001B0F41" w:rsidRPr="001B0F41">
              <w:rPr>
                <w:rFonts w:ascii="Times New Roman" w:hAnsi="Times New Roman" w:cs="Times New Roman"/>
                <w:noProof/>
                <w:webHidden/>
              </w:rPr>
              <w:fldChar w:fldCharType="end"/>
            </w:r>
          </w:hyperlink>
        </w:p>
        <w:p w14:paraId="57BE9EC2" w14:textId="77777777" w:rsidR="001B0F41" w:rsidRPr="001B0F41" w:rsidRDefault="00CD5997">
          <w:pPr>
            <w:pStyle w:val="TOC2"/>
            <w:rPr>
              <w:rFonts w:ascii="Times New Roman" w:eastAsiaTheme="minorEastAsia" w:hAnsi="Times New Roman" w:cs="Times New Roman"/>
              <w:noProof/>
              <w:sz w:val="22"/>
            </w:rPr>
          </w:pPr>
          <w:hyperlink w:anchor="_Toc535327103" w:history="1">
            <w:r w:rsidR="001B0F41" w:rsidRPr="001B0F41">
              <w:rPr>
                <w:rStyle w:val="Hyperlink"/>
                <w:rFonts w:ascii="Times New Roman" w:hAnsi="Times New Roman" w:cs="Times New Roman"/>
                <w:noProof/>
              </w:rPr>
              <w:t>b.</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Debt Financing</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_Toc535327103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8</w:t>
            </w:r>
            <w:r w:rsidR="001B0F41" w:rsidRPr="001B0F41">
              <w:rPr>
                <w:rFonts w:ascii="Times New Roman" w:hAnsi="Times New Roman" w:cs="Times New Roman"/>
                <w:noProof/>
                <w:webHidden/>
              </w:rPr>
              <w:fldChar w:fldCharType="end"/>
            </w:r>
          </w:hyperlink>
        </w:p>
        <w:p w14:paraId="46DD5FF4" w14:textId="77777777" w:rsidR="001B0F41" w:rsidRPr="001B0F41" w:rsidRDefault="00CD5997">
          <w:pPr>
            <w:pStyle w:val="TOC2"/>
            <w:rPr>
              <w:rFonts w:ascii="Times New Roman" w:eastAsiaTheme="minorEastAsia" w:hAnsi="Times New Roman" w:cs="Times New Roman"/>
              <w:noProof/>
              <w:sz w:val="22"/>
            </w:rPr>
          </w:pPr>
          <w:hyperlink w:anchor="_Toc535327104" w:history="1">
            <w:r w:rsidR="001B0F41" w:rsidRPr="001B0F41">
              <w:rPr>
                <w:rStyle w:val="Hyperlink"/>
                <w:rFonts w:ascii="Times New Roman" w:hAnsi="Times New Roman" w:cs="Times New Roman"/>
                <w:noProof/>
              </w:rPr>
              <w:t>c.</w:t>
            </w:r>
            <w:r w:rsidR="001B0F41" w:rsidRPr="001B0F41">
              <w:rPr>
                <w:rFonts w:ascii="Times New Roman" w:eastAsiaTheme="minorEastAsia" w:hAnsi="Times New Roman" w:cs="Times New Roman"/>
                <w:noProof/>
                <w:sz w:val="22"/>
              </w:rPr>
              <w:tab/>
            </w:r>
            <w:r w:rsidR="001B0F41" w:rsidRPr="001B0F41">
              <w:rPr>
                <w:rStyle w:val="Hyperlink"/>
                <w:rFonts w:ascii="Times New Roman" w:hAnsi="Times New Roman" w:cs="Times New Roman"/>
                <w:noProof/>
              </w:rPr>
              <w:t>Equity Financing</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_Toc535327104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8</w:t>
            </w:r>
            <w:r w:rsidR="001B0F41" w:rsidRPr="001B0F41">
              <w:rPr>
                <w:rFonts w:ascii="Times New Roman" w:hAnsi="Times New Roman" w:cs="Times New Roman"/>
                <w:noProof/>
                <w:webHidden/>
              </w:rPr>
              <w:fldChar w:fldCharType="end"/>
            </w:r>
          </w:hyperlink>
        </w:p>
        <w:p w14:paraId="35B6E790" w14:textId="77777777" w:rsidR="001B0F41" w:rsidRPr="001B0F41" w:rsidRDefault="00CD5997">
          <w:pPr>
            <w:pStyle w:val="TOC1"/>
            <w:tabs>
              <w:tab w:val="right" w:leader="dot" w:pos="9350"/>
            </w:tabs>
            <w:rPr>
              <w:rFonts w:ascii="Times New Roman" w:eastAsiaTheme="minorEastAsia" w:hAnsi="Times New Roman" w:cs="Times New Roman"/>
              <w:noProof/>
              <w:sz w:val="22"/>
            </w:rPr>
          </w:pPr>
          <w:hyperlink w:anchor="_Toc535327105" w:history="1">
            <w:r w:rsidR="001B0F41" w:rsidRPr="001B0F41">
              <w:rPr>
                <w:rStyle w:val="Hyperlink"/>
                <w:rFonts w:ascii="Times New Roman" w:hAnsi="Times New Roman" w:cs="Times New Roman"/>
                <w:noProof/>
              </w:rPr>
              <w:t>Conclusion</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_Toc535327105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9</w:t>
            </w:r>
            <w:r w:rsidR="001B0F41" w:rsidRPr="001B0F41">
              <w:rPr>
                <w:rFonts w:ascii="Times New Roman" w:hAnsi="Times New Roman" w:cs="Times New Roman"/>
                <w:noProof/>
                <w:webHidden/>
              </w:rPr>
              <w:fldChar w:fldCharType="end"/>
            </w:r>
          </w:hyperlink>
        </w:p>
        <w:p w14:paraId="44DE4392" w14:textId="77777777" w:rsidR="001B0F41" w:rsidRPr="001B0F41" w:rsidRDefault="00CD5997">
          <w:pPr>
            <w:pStyle w:val="TOC1"/>
            <w:tabs>
              <w:tab w:val="right" w:leader="dot" w:pos="9350"/>
            </w:tabs>
            <w:rPr>
              <w:rFonts w:ascii="Times New Roman" w:eastAsiaTheme="minorEastAsia" w:hAnsi="Times New Roman" w:cs="Times New Roman"/>
              <w:noProof/>
              <w:sz w:val="22"/>
            </w:rPr>
          </w:pPr>
          <w:hyperlink w:anchor="_Toc535327106" w:history="1">
            <w:r w:rsidR="001B0F41" w:rsidRPr="001B0F41">
              <w:rPr>
                <w:rStyle w:val="Hyperlink"/>
                <w:rFonts w:ascii="Times New Roman" w:hAnsi="Times New Roman" w:cs="Times New Roman"/>
                <w:noProof/>
              </w:rPr>
              <w:t>References</w:t>
            </w:r>
            <w:r w:rsidR="001B0F41" w:rsidRPr="001B0F41">
              <w:rPr>
                <w:rFonts w:ascii="Times New Roman" w:hAnsi="Times New Roman" w:cs="Times New Roman"/>
                <w:noProof/>
                <w:webHidden/>
              </w:rPr>
              <w:tab/>
            </w:r>
            <w:r w:rsidR="001B0F41" w:rsidRPr="001B0F41">
              <w:rPr>
                <w:rFonts w:ascii="Times New Roman" w:hAnsi="Times New Roman" w:cs="Times New Roman"/>
                <w:noProof/>
                <w:webHidden/>
              </w:rPr>
              <w:fldChar w:fldCharType="begin"/>
            </w:r>
            <w:r w:rsidR="001B0F41" w:rsidRPr="001B0F41">
              <w:rPr>
                <w:rFonts w:ascii="Times New Roman" w:hAnsi="Times New Roman" w:cs="Times New Roman"/>
                <w:noProof/>
                <w:webHidden/>
              </w:rPr>
              <w:instrText xml:space="preserve"> PAGEREF _Toc535327106 \h </w:instrText>
            </w:r>
            <w:r w:rsidR="001B0F41" w:rsidRPr="001B0F41">
              <w:rPr>
                <w:rFonts w:ascii="Times New Roman" w:hAnsi="Times New Roman" w:cs="Times New Roman"/>
                <w:noProof/>
                <w:webHidden/>
              </w:rPr>
            </w:r>
            <w:r w:rsidR="001B0F41" w:rsidRPr="001B0F41">
              <w:rPr>
                <w:rFonts w:ascii="Times New Roman" w:hAnsi="Times New Roman" w:cs="Times New Roman"/>
                <w:noProof/>
                <w:webHidden/>
              </w:rPr>
              <w:fldChar w:fldCharType="separate"/>
            </w:r>
            <w:r w:rsidR="001B0F41" w:rsidRPr="001B0F41">
              <w:rPr>
                <w:rFonts w:ascii="Times New Roman" w:hAnsi="Times New Roman" w:cs="Times New Roman"/>
                <w:noProof/>
                <w:webHidden/>
              </w:rPr>
              <w:t>10</w:t>
            </w:r>
            <w:r w:rsidR="001B0F41" w:rsidRPr="001B0F41">
              <w:rPr>
                <w:rFonts w:ascii="Times New Roman" w:hAnsi="Times New Roman" w:cs="Times New Roman"/>
                <w:noProof/>
                <w:webHidden/>
              </w:rPr>
              <w:fldChar w:fldCharType="end"/>
            </w:r>
          </w:hyperlink>
        </w:p>
        <w:p w14:paraId="5223B9C3" w14:textId="4CE8B1AD" w:rsidR="00A743BA" w:rsidRPr="00EF1BA3" w:rsidRDefault="00A743BA" w:rsidP="007C77DB">
          <w:pPr>
            <w:pStyle w:val="TOC1"/>
            <w:tabs>
              <w:tab w:val="right" w:leader="dot" w:pos="9350"/>
            </w:tabs>
            <w:spacing w:after="0" w:line="480" w:lineRule="auto"/>
            <w:rPr>
              <w:rFonts w:ascii="Times New Roman" w:hAnsi="Times New Roman" w:cs="Times New Roman"/>
            </w:rPr>
          </w:pPr>
          <w:r w:rsidRPr="001B0F41">
            <w:rPr>
              <w:rFonts w:ascii="Times New Roman" w:hAnsi="Times New Roman" w:cs="Times New Roman"/>
              <w:b/>
              <w:bCs/>
              <w:noProof/>
            </w:rPr>
            <w:fldChar w:fldCharType="end"/>
          </w:r>
        </w:p>
      </w:sdtContent>
    </w:sdt>
    <w:p w14:paraId="3F9A60DB" w14:textId="77777777" w:rsidR="00C54035" w:rsidRPr="00EF1BA3" w:rsidRDefault="00C54035" w:rsidP="00A72468">
      <w:pPr>
        <w:spacing w:line="480" w:lineRule="auto"/>
        <w:rPr>
          <w:rFonts w:ascii="Times New Roman" w:hAnsi="Times New Roman" w:cs="Times New Roman"/>
        </w:rPr>
      </w:pPr>
    </w:p>
    <w:p w14:paraId="2082846E" w14:textId="77777777" w:rsidR="00C54035" w:rsidRPr="00EF1BA3" w:rsidRDefault="00C54035" w:rsidP="00A72468">
      <w:pPr>
        <w:spacing w:line="480" w:lineRule="auto"/>
        <w:rPr>
          <w:rFonts w:ascii="Times New Roman" w:hAnsi="Times New Roman" w:cs="Times New Roman"/>
        </w:rPr>
      </w:pPr>
    </w:p>
    <w:p w14:paraId="4A2C39E8" w14:textId="77777777" w:rsidR="00A156F6" w:rsidRPr="00EF1BA3" w:rsidRDefault="00A156F6" w:rsidP="00F761A4">
      <w:pPr>
        <w:pStyle w:val="Heading1"/>
        <w:spacing w:before="0" w:line="480" w:lineRule="auto"/>
        <w:rPr>
          <w:rFonts w:ascii="Times New Roman" w:hAnsi="Times New Roman" w:cs="Times New Roman"/>
        </w:rPr>
        <w:sectPr w:rsidR="00A156F6" w:rsidRPr="00EF1BA3" w:rsidSect="007C77DB">
          <w:headerReference w:type="default" r:id="rId22"/>
          <w:footerReference w:type="default" r:id="rId23"/>
          <w:pgSz w:w="12240" w:h="15840" w:code="1"/>
          <w:pgMar w:top="1440" w:right="1440" w:bottom="1440" w:left="1440" w:header="720" w:footer="720" w:gutter="0"/>
          <w:pgNumType w:fmt="lowerRoman" w:start="1"/>
          <w:cols w:space="720"/>
          <w:docGrid w:linePitch="360"/>
        </w:sectPr>
      </w:pPr>
    </w:p>
    <w:p w14:paraId="4A1F45C1" w14:textId="1DB64B08" w:rsidR="008A4FC2" w:rsidRPr="00EF1BA3" w:rsidRDefault="007A1068" w:rsidP="008D546A">
      <w:pPr>
        <w:pStyle w:val="Heading1"/>
        <w:spacing w:before="0" w:line="480" w:lineRule="auto"/>
        <w:rPr>
          <w:rFonts w:ascii="Times New Roman" w:hAnsi="Times New Roman" w:cs="Times New Roman"/>
        </w:rPr>
      </w:pPr>
      <w:bookmarkStart w:id="19" w:name="_Toc535327095"/>
      <w:r w:rsidRPr="00EF1BA3">
        <w:rPr>
          <w:rFonts w:ascii="Times New Roman" w:hAnsi="Times New Roman" w:cs="Times New Roman"/>
        </w:rPr>
        <w:lastRenderedPageBreak/>
        <w:t>Introduction</w:t>
      </w:r>
      <w:bookmarkEnd w:id="19"/>
    </w:p>
    <w:p w14:paraId="0048FE7F" w14:textId="30FA12C1" w:rsidR="006C1923" w:rsidRDefault="006C1923" w:rsidP="008D546A">
      <w:pPr>
        <w:spacing w:after="0" w:line="480" w:lineRule="auto"/>
        <w:rPr>
          <w:rFonts w:ascii="Times New Roman" w:hAnsi="Times New Roman" w:cs="Times New Roman"/>
        </w:rPr>
      </w:pPr>
      <w:r w:rsidRPr="00EF1BA3">
        <w:rPr>
          <w:rFonts w:ascii="Times New Roman" w:hAnsi="Times New Roman" w:cs="Times New Roman"/>
        </w:rPr>
        <w:t>James PLC</w:t>
      </w:r>
      <w:r w:rsidR="008D546A">
        <w:rPr>
          <w:rFonts w:ascii="Times New Roman" w:hAnsi="Times New Roman" w:cs="Times New Roman"/>
        </w:rPr>
        <w:t xml:space="preserve">, a manufacturer of high quality garden furniture and related items, </w:t>
      </w:r>
      <w:r w:rsidRPr="00EF1BA3">
        <w:rPr>
          <w:rFonts w:ascii="Times New Roman" w:hAnsi="Times New Roman" w:cs="Times New Roman"/>
        </w:rPr>
        <w:t>is looking to invest in one of three possible avenues to gro</w:t>
      </w:r>
      <w:r w:rsidR="008D546A">
        <w:rPr>
          <w:rFonts w:ascii="Times New Roman" w:hAnsi="Times New Roman" w:cs="Times New Roman"/>
        </w:rPr>
        <w:t>w their business as part of their four-</w:t>
      </w:r>
      <w:r w:rsidR="003A3D17">
        <w:rPr>
          <w:rFonts w:ascii="Times New Roman" w:hAnsi="Times New Roman" w:cs="Times New Roman"/>
        </w:rPr>
        <w:t>year business</w:t>
      </w:r>
      <w:r w:rsidR="008D546A">
        <w:rPr>
          <w:rFonts w:ascii="Times New Roman" w:hAnsi="Times New Roman" w:cs="Times New Roman"/>
        </w:rPr>
        <w:t xml:space="preserve"> plan. </w:t>
      </w:r>
      <w:r w:rsidRPr="00EF1BA3">
        <w:rPr>
          <w:rFonts w:ascii="Times New Roman" w:hAnsi="Times New Roman" w:cs="Times New Roman"/>
        </w:rPr>
        <w:t xml:space="preserve">The three possible investments are aimed at expansion of flourishing retail outlet in order to include all products, develop a model for internet sales and third one focuses on production of greenhouses and other conservatories. Based on the investment required for each of the three projects and the expected cash flows associated with these projects, the capital budgeting tools i.e. Net Present </w:t>
      </w:r>
      <w:r w:rsidR="003A3D17">
        <w:rPr>
          <w:rFonts w:ascii="Times New Roman" w:hAnsi="Times New Roman" w:cs="Times New Roman"/>
        </w:rPr>
        <w:t>V</w:t>
      </w:r>
      <w:r w:rsidRPr="00EF1BA3">
        <w:rPr>
          <w:rFonts w:ascii="Times New Roman" w:hAnsi="Times New Roman" w:cs="Times New Roman"/>
        </w:rPr>
        <w:t>alue (NPV) analysis and Internal Rate of Return (IRR) have been applied and analysis has been carried out accordingly</w:t>
      </w:r>
      <w:r w:rsidR="008D546A">
        <w:rPr>
          <w:rFonts w:ascii="Times New Roman" w:hAnsi="Times New Roman" w:cs="Times New Roman"/>
        </w:rPr>
        <w:t xml:space="preserve"> to make a sound investment plan and chose the right project for expanding the business</w:t>
      </w:r>
      <w:r w:rsidRPr="00EF1BA3">
        <w:rPr>
          <w:rFonts w:ascii="Times New Roman" w:hAnsi="Times New Roman" w:cs="Times New Roman"/>
        </w:rPr>
        <w:t xml:space="preserve">. </w:t>
      </w:r>
    </w:p>
    <w:p w14:paraId="04AE55F3" w14:textId="6FE0022A" w:rsidR="003A3D17" w:rsidRPr="00EF1BA3" w:rsidRDefault="003A3D17" w:rsidP="003A3D17">
      <w:pPr>
        <w:pStyle w:val="Heading1"/>
        <w:spacing w:before="0" w:line="480" w:lineRule="auto"/>
        <w:rPr>
          <w:rFonts w:ascii="Times New Roman" w:hAnsi="Times New Roman" w:cs="Times New Roman"/>
        </w:rPr>
      </w:pPr>
      <w:bookmarkStart w:id="20" w:name="_Toc535327096"/>
      <w:r>
        <w:rPr>
          <w:rFonts w:ascii="Times New Roman" w:hAnsi="Times New Roman" w:cs="Times New Roman"/>
        </w:rPr>
        <w:t>Analysis</w:t>
      </w:r>
      <w:bookmarkEnd w:id="20"/>
    </w:p>
    <w:p w14:paraId="0B57FA6C" w14:textId="77777777" w:rsidR="006C1923" w:rsidRPr="00EF1BA3" w:rsidRDefault="006C1923" w:rsidP="008D546A">
      <w:pPr>
        <w:pStyle w:val="Heading2"/>
        <w:numPr>
          <w:ilvl w:val="0"/>
          <w:numId w:val="3"/>
        </w:numPr>
        <w:spacing w:before="0" w:line="480" w:lineRule="auto"/>
        <w:rPr>
          <w:rFonts w:ascii="Times New Roman" w:hAnsi="Times New Roman" w:cs="Times New Roman"/>
        </w:rPr>
      </w:pPr>
      <w:bookmarkStart w:id="21" w:name="_Toc535327097"/>
      <w:r w:rsidRPr="00EF1BA3">
        <w:rPr>
          <w:rFonts w:ascii="Times New Roman" w:hAnsi="Times New Roman" w:cs="Times New Roman"/>
        </w:rPr>
        <w:t>An Evaluation Using NPV Technique</w:t>
      </w:r>
      <w:bookmarkEnd w:id="21"/>
    </w:p>
    <w:p w14:paraId="492EC220" w14:textId="018939C8" w:rsidR="006C1923" w:rsidRPr="00EF1BA3" w:rsidRDefault="006C1923" w:rsidP="008D546A">
      <w:pPr>
        <w:spacing w:after="0" w:line="480" w:lineRule="auto"/>
        <w:rPr>
          <w:rFonts w:ascii="Times New Roman" w:hAnsi="Times New Roman" w:cs="Times New Roman"/>
        </w:rPr>
      </w:pPr>
      <w:r w:rsidRPr="0020493B">
        <w:rPr>
          <w:rFonts w:ascii="Times New Roman" w:hAnsi="Times New Roman" w:cs="Times New Roman"/>
        </w:rPr>
        <w:t>In accordance with Ryan and Ryan (2002)</w:t>
      </w:r>
      <w:r w:rsidR="00764AF4" w:rsidRPr="0020493B">
        <w:rPr>
          <w:rFonts w:ascii="Times New Roman" w:hAnsi="Times New Roman" w:cs="Times New Roman"/>
        </w:rPr>
        <w:t xml:space="preserve">, </w:t>
      </w:r>
      <w:r w:rsidRPr="0020493B">
        <w:rPr>
          <w:rFonts w:ascii="Times New Roman" w:hAnsi="Times New Roman" w:cs="Times New Roman"/>
        </w:rPr>
        <w:t>NPV analysis is most commonly used capital</w:t>
      </w:r>
      <w:r w:rsidRPr="00EF1BA3">
        <w:rPr>
          <w:rFonts w:ascii="Times New Roman" w:hAnsi="Times New Roman" w:cs="Times New Roman"/>
        </w:rPr>
        <w:t xml:space="preserve"> budgeting technique as it uses the cash flows over the life of a project and discounts the cash flows to ac</w:t>
      </w:r>
      <w:r w:rsidR="00B664C8">
        <w:rPr>
          <w:rFonts w:ascii="Times New Roman" w:hAnsi="Times New Roman" w:cs="Times New Roman"/>
        </w:rPr>
        <w:t xml:space="preserve">count for their real value. </w:t>
      </w:r>
      <w:r w:rsidRPr="00EF1BA3">
        <w:rPr>
          <w:rFonts w:ascii="Times New Roman" w:hAnsi="Times New Roman" w:cs="Times New Roman"/>
        </w:rPr>
        <w:t>NPV analysis has been applied on the three scenarios provided for possible investment by J</w:t>
      </w:r>
      <w:r w:rsidR="00B664C8">
        <w:rPr>
          <w:rFonts w:ascii="Times New Roman" w:hAnsi="Times New Roman" w:cs="Times New Roman"/>
        </w:rPr>
        <w:t xml:space="preserve">ames PLC. </w:t>
      </w:r>
      <w:r w:rsidRPr="00EF1BA3">
        <w:rPr>
          <w:rFonts w:ascii="Times New Roman" w:hAnsi="Times New Roman" w:cs="Times New Roman"/>
        </w:rPr>
        <w:t>Firstly, the cash flows provided have been accounted for capital allowances (25%) and taxation (20%) as illustrated in the table below:</w:t>
      </w:r>
    </w:p>
    <w:tbl>
      <w:tblPr>
        <w:tblW w:w="8848" w:type="dxa"/>
        <w:jc w:val="center"/>
        <w:tblLook w:val="04A0" w:firstRow="1" w:lastRow="0" w:firstColumn="1" w:lastColumn="0" w:noHBand="0" w:noVBand="1"/>
      </w:tblPr>
      <w:tblGrid>
        <w:gridCol w:w="2121"/>
        <w:gridCol w:w="1333"/>
        <w:gridCol w:w="1197"/>
        <w:gridCol w:w="1399"/>
        <w:gridCol w:w="1399"/>
        <w:gridCol w:w="1399"/>
      </w:tblGrid>
      <w:tr w:rsidR="006C1923" w:rsidRPr="00EF1BA3" w14:paraId="3F6FFE94" w14:textId="77777777" w:rsidTr="00B664C8">
        <w:trPr>
          <w:trHeight w:val="404"/>
          <w:jc w:val="center"/>
        </w:trPr>
        <w:tc>
          <w:tcPr>
            <w:tcW w:w="3454" w:type="dxa"/>
            <w:gridSpan w:val="2"/>
            <w:tcBorders>
              <w:top w:val="single" w:sz="8" w:space="0" w:color="auto"/>
              <w:left w:val="single" w:sz="8" w:space="0" w:color="auto"/>
              <w:bottom w:val="nil"/>
              <w:right w:val="nil"/>
            </w:tcBorders>
            <w:shd w:val="clear" w:color="auto" w:fill="auto"/>
            <w:noWrap/>
            <w:vAlign w:val="bottom"/>
            <w:hideMark/>
          </w:tcPr>
          <w:p w14:paraId="21DA1305" w14:textId="77777777" w:rsidR="006C1923" w:rsidRPr="00EF1BA3" w:rsidRDefault="006C1923" w:rsidP="00840C94">
            <w:pPr>
              <w:spacing w:after="0" w:line="240" w:lineRule="auto"/>
              <w:jc w:val="left"/>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 xml:space="preserve">Cash Flows Forecast </w:t>
            </w:r>
          </w:p>
        </w:tc>
        <w:tc>
          <w:tcPr>
            <w:tcW w:w="1197" w:type="dxa"/>
            <w:tcBorders>
              <w:top w:val="single" w:sz="8" w:space="0" w:color="auto"/>
              <w:left w:val="nil"/>
              <w:bottom w:val="nil"/>
              <w:right w:val="nil"/>
            </w:tcBorders>
            <w:shd w:val="clear" w:color="auto" w:fill="auto"/>
            <w:noWrap/>
            <w:vAlign w:val="bottom"/>
            <w:hideMark/>
          </w:tcPr>
          <w:p w14:paraId="4618635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single" w:sz="8" w:space="0" w:color="auto"/>
              <w:left w:val="nil"/>
              <w:bottom w:val="nil"/>
              <w:right w:val="nil"/>
            </w:tcBorders>
            <w:shd w:val="clear" w:color="auto" w:fill="auto"/>
            <w:noWrap/>
            <w:vAlign w:val="bottom"/>
            <w:hideMark/>
          </w:tcPr>
          <w:p w14:paraId="30A8914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single" w:sz="8" w:space="0" w:color="auto"/>
              <w:left w:val="nil"/>
              <w:bottom w:val="nil"/>
              <w:right w:val="nil"/>
            </w:tcBorders>
            <w:shd w:val="clear" w:color="auto" w:fill="auto"/>
            <w:noWrap/>
            <w:vAlign w:val="bottom"/>
            <w:hideMark/>
          </w:tcPr>
          <w:p w14:paraId="4DD9DD88"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single" w:sz="8" w:space="0" w:color="auto"/>
              <w:left w:val="nil"/>
              <w:bottom w:val="nil"/>
              <w:right w:val="single" w:sz="8" w:space="0" w:color="auto"/>
            </w:tcBorders>
            <w:shd w:val="clear" w:color="auto" w:fill="auto"/>
            <w:noWrap/>
            <w:vAlign w:val="bottom"/>
            <w:hideMark/>
          </w:tcPr>
          <w:p w14:paraId="3A147F9A"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r>
      <w:tr w:rsidR="006C1923" w:rsidRPr="00EF1BA3" w14:paraId="78EE7094" w14:textId="77777777" w:rsidTr="00B664C8">
        <w:trPr>
          <w:trHeight w:val="385"/>
          <w:jc w:val="center"/>
        </w:trPr>
        <w:tc>
          <w:tcPr>
            <w:tcW w:w="2121"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4686401E"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33" w:type="dxa"/>
            <w:tcBorders>
              <w:top w:val="single" w:sz="8" w:space="0" w:color="auto"/>
              <w:left w:val="nil"/>
              <w:bottom w:val="single" w:sz="4" w:space="0" w:color="auto"/>
              <w:right w:val="single" w:sz="4" w:space="0" w:color="auto"/>
            </w:tcBorders>
            <w:shd w:val="clear" w:color="auto" w:fill="auto"/>
            <w:noWrap/>
            <w:vAlign w:val="bottom"/>
            <w:hideMark/>
          </w:tcPr>
          <w:p w14:paraId="27569C43"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single" w:sz="8" w:space="0" w:color="auto"/>
              <w:left w:val="nil"/>
              <w:bottom w:val="single" w:sz="4" w:space="0" w:color="auto"/>
              <w:right w:val="single" w:sz="4" w:space="0" w:color="auto"/>
            </w:tcBorders>
            <w:shd w:val="clear" w:color="auto" w:fill="auto"/>
            <w:vAlign w:val="center"/>
            <w:hideMark/>
          </w:tcPr>
          <w:p w14:paraId="40B57641" w14:textId="037A3414"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399" w:type="dxa"/>
            <w:tcBorders>
              <w:top w:val="single" w:sz="8" w:space="0" w:color="auto"/>
              <w:left w:val="nil"/>
              <w:bottom w:val="single" w:sz="4" w:space="0" w:color="auto"/>
              <w:right w:val="single" w:sz="4" w:space="0" w:color="auto"/>
            </w:tcBorders>
            <w:shd w:val="clear" w:color="auto" w:fill="auto"/>
            <w:vAlign w:val="center"/>
            <w:hideMark/>
          </w:tcPr>
          <w:p w14:paraId="0C867322" w14:textId="693FF9BF"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399" w:type="dxa"/>
            <w:tcBorders>
              <w:top w:val="single" w:sz="8" w:space="0" w:color="auto"/>
              <w:left w:val="nil"/>
              <w:bottom w:val="single" w:sz="4" w:space="0" w:color="auto"/>
              <w:right w:val="single" w:sz="4" w:space="0" w:color="auto"/>
            </w:tcBorders>
            <w:shd w:val="clear" w:color="auto" w:fill="auto"/>
            <w:vAlign w:val="center"/>
            <w:hideMark/>
          </w:tcPr>
          <w:p w14:paraId="1CFB98D3" w14:textId="126FDF85"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399" w:type="dxa"/>
            <w:tcBorders>
              <w:top w:val="single" w:sz="8" w:space="0" w:color="auto"/>
              <w:left w:val="nil"/>
              <w:bottom w:val="single" w:sz="4" w:space="0" w:color="auto"/>
              <w:right w:val="single" w:sz="8" w:space="0" w:color="auto"/>
            </w:tcBorders>
            <w:shd w:val="clear" w:color="auto" w:fill="auto"/>
            <w:vAlign w:val="center"/>
            <w:hideMark/>
          </w:tcPr>
          <w:p w14:paraId="7B229657" w14:textId="6EC9E7AF"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r>
      <w:tr w:rsidR="00CE4588" w:rsidRPr="00EF1BA3" w14:paraId="242346C5" w14:textId="77777777" w:rsidTr="00B664C8">
        <w:trPr>
          <w:trHeight w:val="385"/>
          <w:jc w:val="center"/>
        </w:trPr>
        <w:tc>
          <w:tcPr>
            <w:tcW w:w="2121" w:type="dxa"/>
            <w:tcBorders>
              <w:top w:val="single" w:sz="8" w:space="0" w:color="auto"/>
              <w:left w:val="single" w:sz="8" w:space="0" w:color="auto"/>
              <w:bottom w:val="single" w:sz="4" w:space="0" w:color="auto"/>
              <w:right w:val="single" w:sz="4" w:space="0" w:color="auto"/>
            </w:tcBorders>
            <w:shd w:val="clear" w:color="auto" w:fill="auto"/>
            <w:noWrap/>
            <w:vAlign w:val="bottom"/>
          </w:tcPr>
          <w:p w14:paraId="50A5E840" w14:textId="77777777" w:rsidR="00CE4588" w:rsidRPr="00EF1BA3" w:rsidRDefault="00CE4588" w:rsidP="00840C94">
            <w:pPr>
              <w:spacing w:after="0" w:line="240" w:lineRule="auto"/>
              <w:jc w:val="left"/>
              <w:rPr>
                <w:rFonts w:ascii="Times New Roman" w:eastAsia="Times New Roman" w:hAnsi="Times New Roman" w:cs="Times New Roman"/>
                <w:color w:val="000000"/>
                <w:szCs w:val="24"/>
                <w:lang w:eastAsia="en-GB"/>
              </w:rPr>
            </w:pPr>
          </w:p>
        </w:tc>
        <w:tc>
          <w:tcPr>
            <w:tcW w:w="1333" w:type="dxa"/>
            <w:tcBorders>
              <w:top w:val="single" w:sz="8" w:space="0" w:color="auto"/>
              <w:left w:val="nil"/>
              <w:bottom w:val="single" w:sz="4" w:space="0" w:color="auto"/>
              <w:right w:val="single" w:sz="4" w:space="0" w:color="auto"/>
            </w:tcBorders>
            <w:shd w:val="clear" w:color="auto" w:fill="auto"/>
            <w:noWrap/>
            <w:vAlign w:val="bottom"/>
          </w:tcPr>
          <w:p w14:paraId="07CBD258" w14:textId="77777777" w:rsidR="00CE4588" w:rsidRPr="00EF1BA3" w:rsidRDefault="00CE4588" w:rsidP="00840C94">
            <w:pPr>
              <w:spacing w:after="0" w:line="240" w:lineRule="auto"/>
              <w:jc w:val="left"/>
              <w:rPr>
                <w:rFonts w:ascii="Times New Roman" w:eastAsia="Times New Roman" w:hAnsi="Times New Roman" w:cs="Times New Roman"/>
                <w:color w:val="000000"/>
                <w:szCs w:val="24"/>
                <w:lang w:eastAsia="en-GB"/>
              </w:rPr>
            </w:pPr>
          </w:p>
        </w:tc>
        <w:tc>
          <w:tcPr>
            <w:tcW w:w="1197" w:type="dxa"/>
            <w:tcBorders>
              <w:top w:val="single" w:sz="8" w:space="0" w:color="auto"/>
              <w:left w:val="nil"/>
              <w:bottom w:val="single" w:sz="4" w:space="0" w:color="auto"/>
              <w:right w:val="single" w:sz="4" w:space="0" w:color="auto"/>
            </w:tcBorders>
            <w:shd w:val="clear" w:color="auto" w:fill="auto"/>
            <w:vAlign w:val="center"/>
          </w:tcPr>
          <w:p w14:paraId="31512D72" w14:textId="785EBF8A" w:rsidR="00CE4588" w:rsidRPr="00EF1BA3" w:rsidRDefault="00CE4588" w:rsidP="00840C94">
            <w:pPr>
              <w:spacing w:after="0" w:line="240" w:lineRule="auto"/>
              <w:jc w:val="center"/>
              <w:rPr>
                <w:rFonts w:ascii="Times New Roman" w:eastAsia="Times New Roman" w:hAnsi="Times New Roman" w:cs="Times New Roman"/>
                <w:b/>
                <w:bCs/>
                <w:color w:val="000000"/>
                <w:szCs w:val="24"/>
                <w:lang w:eastAsia="en-GB"/>
              </w:rPr>
            </w:pPr>
            <w:r>
              <w:rPr>
                <w:rFonts w:ascii="Times New Roman" w:eastAsia="Times New Roman" w:hAnsi="Times New Roman" w:cs="Times New Roman"/>
                <w:b/>
                <w:bCs/>
                <w:color w:val="000000"/>
                <w:szCs w:val="24"/>
                <w:lang w:eastAsia="en-GB"/>
              </w:rPr>
              <w:t>1</w:t>
            </w:r>
          </w:p>
        </w:tc>
        <w:tc>
          <w:tcPr>
            <w:tcW w:w="1399" w:type="dxa"/>
            <w:tcBorders>
              <w:top w:val="single" w:sz="8" w:space="0" w:color="auto"/>
              <w:left w:val="nil"/>
              <w:bottom w:val="single" w:sz="4" w:space="0" w:color="auto"/>
              <w:right w:val="single" w:sz="4" w:space="0" w:color="auto"/>
            </w:tcBorders>
            <w:shd w:val="clear" w:color="auto" w:fill="auto"/>
            <w:vAlign w:val="center"/>
          </w:tcPr>
          <w:p w14:paraId="12494017" w14:textId="65E71860" w:rsidR="00CE4588" w:rsidRPr="00EF1BA3" w:rsidRDefault="00CE4588" w:rsidP="00840C94">
            <w:pPr>
              <w:spacing w:after="0" w:line="240" w:lineRule="auto"/>
              <w:jc w:val="center"/>
              <w:rPr>
                <w:rFonts w:ascii="Times New Roman" w:eastAsia="Times New Roman" w:hAnsi="Times New Roman" w:cs="Times New Roman"/>
                <w:b/>
                <w:bCs/>
                <w:color w:val="000000"/>
                <w:szCs w:val="24"/>
                <w:lang w:eastAsia="en-GB"/>
              </w:rPr>
            </w:pPr>
            <w:r>
              <w:rPr>
                <w:rFonts w:ascii="Times New Roman" w:eastAsia="Times New Roman" w:hAnsi="Times New Roman" w:cs="Times New Roman"/>
                <w:b/>
                <w:bCs/>
                <w:color w:val="000000"/>
                <w:szCs w:val="24"/>
                <w:lang w:eastAsia="en-GB"/>
              </w:rPr>
              <w:t>2</w:t>
            </w:r>
          </w:p>
        </w:tc>
        <w:tc>
          <w:tcPr>
            <w:tcW w:w="1399" w:type="dxa"/>
            <w:tcBorders>
              <w:top w:val="single" w:sz="8" w:space="0" w:color="auto"/>
              <w:left w:val="nil"/>
              <w:bottom w:val="single" w:sz="4" w:space="0" w:color="auto"/>
              <w:right w:val="single" w:sz="4" w:space="0" w:color="auto"/>
            </w:tcBorders>
            <w:shd w:val="clear" w:color="auto" w:fill="auto"/>
            <w:vAlign w:val="center"/>
          </w:tcPr>
          <w:p w14:paraId="1F2C6562" w14:textId="6D9F15D4" w:rsidR="00CE4588" w:rsidRPr="00EF1BA3" w:rsidRDefault="00CE4588" w:rsidP="00840C94">
            <w:pPr>
              <w:spacing w:after="0" w:line="240" w:lineRule="auto"/>
              <w:jc w:val="center"/>
              <w:rPr>
                <w:rFonts w:ascii="Times New Roman" w:eastAsia="Times New Roman" w:hAnsi="Times New Roman" w:cs="Times New Roman"/>
                <w:b/>
                <w:bCs/>
                <w:color w:val="000000"/>
                <w:szCs w:val="24"/>
                <w:lang w:eastAsia="en-GB"/>
              </w:rPr>
            </w:pPr>
            <w:r>
              <w:rPr>
                <w:rFonts w:ascii="Times New Roman" w:eastAsia="Times New Roman" w:hAnsi="Times New Roman" w:cs="Times New Roman"/>
                <w:b/>
                <w:bCs/>
                <w:color w:val="000000"/>
                <w:szCs w:val="24"/>
                <w:lang w:eastAsia="en-GB"/>
              </w:rPr>
              <w:t>3</w:t>
            </w:r>
          </w:p>
        </w:tc>
        <w:tc>
          <w:tcPr>
            <w:tcW w:w="1399" w:type="dxa"/>
            <w:tcBorders>
              <w:top w:val="single" w:sz="8" w:space="0" w:color="auto"/>
              <w:left w:val="nil"/>
              <w:bottom w:val="single" w:sz="4" w:space="0" w:color="auto"/>
              <w:right w:val="single" w:sz="8" w:space="0" w:color="auto"/>
            </w:tcBorders>
            <w:shd w:val="clear" w:color="auto" w:fill="auto"/>
            <w:vAlign w:val="center"/>
          </w:tcPr>
          <w:p w14:paraId="053A2ED5" w14:textId="0B1568FE" w:rsidR="00CE4588" w:rsidRPr="00EF1BA3" w:rsidRDefault="00CE4588" w:rsidP="00840C94">
            <w:pPr>
              <w:spacing w:after="0" w:line="240" w:lineRule="auto"/>
              <w:jc w:val="center"/>
              <w:rPr>
                <w:rFonts w:ascii="Times New Roman" w:eastAsia="Times New Roman" w:hAnsi="Times New Roman" w:cs="Times New Roman"/>
                <w:b/>
                <w:bCs/>
                <w:color w:val="000000"/>
                <w:szCs w:val="24"/>
                <w:lang w:eastAsia="en-GB"/>
              </w:rPr>
            </w:pPr>
            <w:r>
              <w:rPr>
                <w:rFonts w:ascii="Times New Roman" w:eastAsia="Times New Roman" w:hAnsi="Times New Roman" w:cs="Times New Roman"/>
                <w:b/>
                <w:bCs/>
                <w:color w:val="000000"/>
                <w:szCs w:val="24"/>
                <w:lang w:eastAsia="en-GB"/>
              </w:rPr>
              <w:t>4</w:t>
            </w:r>
          </w:p>
        </w:tc>
      </w:tr>
      <w:tr w:rsidR="006C1923" w:rsidRPr="00EF1BA3" w14:paraId="09C9178D"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14A8404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33" w:type="dxa"/>
            <w:tcBorders>
              <w:top w:val="nil"/>
              <w:left w:val="nil"/>
              <w:bottom w:val="single" w:sz="4" w:space="0" w:color="auto"/>
              <w:right w:val="single" w:sz="4" w:space="0" w:color="auto"/>
            </w:tcBorders>
            <w:shd w:val="clear" w:color="auto" w:fill="auto"/>
            <w:noWrap/>
            <w:vAlign w:val="bottom"/>
            <w:hideMark/>
          </w:tcPr>
          <w:p w14:paraId="15B64440"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vAlign w:val="center"/>
            <w:hideMark/>
          </w:tcPr>
          <w:p w14:paraId="0C651309"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399" w:type="dxa"/>
            <w:tcBorders>
              <w:top w:val="nil"/>
              <w:left w:val="nil"/>
              <w:bottom w:val="single" w:sz="4" w:space="0" w:color="auto"/>
              <w:right w:val="single" w:sz="4" w:space="0" w:color="auto"/>
            </w:tcBorders>
            <w:shd w:val="clear" w:color="auto" w:fill="auto"/>
            <w:vAlign w:val="center"/>
            <w:hideMark/>
          </w:tcPr>
          <w:p w14:paraId="1C97F433"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399" w:type="dxa"/>
            <w:tcBorders>
              <w:top w:val="nil"/>
              <w:left w:val="nil"/>
              <w:bottom w:val="single" w:sz="4" w:space="0" w:color="auto"/>
              <w:right w:val="single" w:sz="4" w:space="0" w:color="auto"/>
            </w:tcBorders>
            <w:shd w:val="clear" w:color="auto" w:fill="auto"/>
            <w:vAlign w:val="center"/>
            <w:hideMark/>
          </w:tcPr>
          <w:p w14:paraId="0C7FF749"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399" w:type="dxa"/>
            <w:tcBorders>
              <w:top w:val="nil"/>
              <w:left w:val="nil"/>
              <w:bottom w:val="single" w:sz="4" w:space="0" w:color="auto"/>
              <w:right w:val="single" w:sz="8" w:space="0" w:color="auto"/>
            </w:tcBorders>
            <w:shd w:val="clear" w:color="auto" w:fill="auto"/>
            <w:vAlign w:val="center"/>
            <w:hideMark/>
          </w:tcPr>
          <w:p w14:paraId="243E6C2F"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r>
      <w:tr w:rsidR="006C1923" w:rsidRPr="00EF1BA3" w14:paraId="7574D576" w14:textId="77777777" w:rsidTr="00B664C8">
        <w:trPr>
          <w:trHeight w:val="368"/>
          <w:jc w:val="center"/>
        </w:trPr>
        <w:tc>
          <w:tcPr>
            <w:tcW w:w="2121" w:type="dxa"/>
            <w:tcBorders>
              <w:top w:val="nil"/>
              <w:left w:val="single" w:sz="8" w:space="0" w:color="auto"/>
              <w:bottom w:val="single" w:sz="4" w:space="0" w:color="auto"/>
              <w:right w:val="single" w:sz="4" w:space="0" w:color="auto"/>
            </w:tcBorders>
            <w:shd w:val="clear" w:color="auto" w:fill="auto"/>
            <w:vAlign w:val="center"/>
            <w:hideMark/>
          </w:tcPr>
          <w:p w14:paraId="029932D9"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(A)</w:t>
            </w:r>
          </w:p>
        </w:tc>
        <w:tc>
          <w:tcPr>
            <w:tcW w:w="1333" w:type="dxa"/>
            <w:tcBorders>
              <w:top w:val="nil"/>
              <w:left w:val="nil"/>
              <w:bottom w:val="single" w:sz="4" w:space="0" w:color="auto"/>
              <w:right w:val="single" w:sz="4" w:space="0" w:color="auto"/>
            </w:tcBorders>
            <w:shd w:val="clear" w:color="auto" w:fill="auto"/>
            <w:noWrap/>
            <w:vAlign w:val="bottom"/>
            <w:hideMark/>
          </w:tcPr>
          <w:p w14:paraId="4A40724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vAlign w:val="center"/>
            <w:hideMark/>
          </w:tcPr>
          <w:p w14:paraId="256C86D4"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4" w:space="0" w:color="auto"/>
            </w:tcBorders>
            <w:shd w:val="clear" w:color="auto" w:fill="auto"/>
            <w:vAlign w:val="center"/>
            <w:hideMark/>
          </w:tcPr>
          <w:p w14:paraId="4F7D419D" w14:textId="3FB599E1"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p>
        </w:tc>
        <w:tc>
          <w:tcPr>
            <w:tcW w:w="1399" w:type="dxa"/>
            <w:tcBorders>
              <w:top w:val="nil"/>
              <w:left w:val="nil"/>
              <w:bottom w:val="single" w:sz="4" w:space="0" w:color="auto"/>
              <w:right w:val="single" w:sz="4" w:space="0" w:color="auto"/>
            </w:tcBorders>
            <w:shd w:val="clear" w:color="auto" w:fill="auto"/>
            <w:vAlign w:val="center"/>
            <w:hideMark/>
          </w:tcPr>
          <w:p w14:paraId="134B12A2" w14:textId="34DD3065"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p>
        </w:tc>
        <w:tc>
          <w:tcPr>
            <w:tcW w:w="1399" w:type="dxa"/>
            <w:tcBorders>
              <w:top w:val="nil"/>
              <w:left w:val="nil"/>
              <w:bottom w:val="single" w:sz="4" w:space="0" w:color="auto"/>
              <w:right w:val="single" w:sz="8" w:space="0" w:color="auto"/>
            </w:tcBorders>
            <w:shd w:val="clear" w:color="auto" w:fill="auto"/>
            <w:vAlign w:val="center"/>
            <w:hideMark/>
          </w:tcPr>
          <w:p w14:paraId="42168839" w14:textId="24965C7F"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p>
        </w:tc>
      </w:tr>
      <w:tr w:rsidR="006C1923" w:rsidRPr="00EF1BA3" w14:paraId="66598D63"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1E2DF92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Cash Flow</w:t>
            </w:r>
          </w:p>
        </w:tc>
        <w:tc>
          <w:tcPr>
            <w:tcW w:w="1333" w:type="dxa"/>
            <w:tcBorders>
              <w:top w:val="nil"/>
              <w:left w:val="nil"/>
              <w:bottom w:val="single" w:sz="4" w:space="0" w:color="auto"/>
              <w:right w:val="single" w:sz="4" w:space="0" w:color="auto"/>
            </w:tcBorders>
            <w:shd w:val="clear" w:color="auto" w:fill="auto"/>
            <w:noWrap/>
            <w:vAlign w:val="bottom"/>
            <w:hideMark/>
          </w:tcPr>
          <w:p w14:paraId="64BBBBD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vAlign w:val="center"/>
            <w:hideMark/>
          </w:tcPr>
          <w:p w14:paraId="1122C256"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400 </w:t>
            </w:r>
          </w:p>
        </w:tc>
        <w:tc>
          <w:tcPr>
            <w:tcW w:w="1399" w:type="dxa"/>
            <w:tcBorders>
              <w:top w:val="nil"/>
              <w:left w:val="nil"/>
              <w:bottom w:val="single" w:sz="4" w:space="0" w:color="auto"/>
              <w:right w:val="single" w:sz="4" w:space="0" w:color="auto"/>
            </w:tcBorders>
            <w:shd w:val="clear" w:color="auto" w:fill="auto"/>
            <w:vAlign w:val="center"/>
            <w:hideMark/>
          </w:tcPr>
          <w:p w14:paraId="7D8627CB"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4" w:space="0" w:color="auto"/>
            </w:tcBorders>
            <w:shd w:val="clear" w:color="auto" w:fill="auto"/>
            <w:vAlign w:val="center"/>
            <w:hideMark/>
          </w:tcPr>
          <w:p w14:paraId="1EB18CB0"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8" w:space="0" w:color="auto"/>
            </w:tcBorders>
            <w:shd w:val="clear" w:color="auto" w:fill="auto"/>
            <w:vAlign w:val="center"/>
            <w:hideMark/>
          </w:tcPr>
          <w:p w14:paraId="1C6EEBD2"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r>
      <w:tr w:rsidR="006C1923" w:rsidRPr="00EF1BA3" w14:paraId="6A3FAFCA"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1491EE5A"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Capital Allowance</w:t>
            </w:r>
          </w:p>
        </w:tc>
        <w:tc>
          <w:tcPr>
            <w:tcW w:w="1333" w:type="dxa"/>
            <w:tcBorders>
              <w:top w:val="nil"/>
              <w:left w:val="nil"/>
              <w:bottom w:val="single" w:sz="4" w:space="0" w:color="auto"/>
              <w:right w:val="single" w:sz="4" w:space="0" w:color="auto"/>
            </w:tcBorders>
            <w:shd w:val="clear" w:color="auto" w:fill="auto"/>
            <w:noWrap/>
            <w:vAlign w:val="bottom"/>
            <w:hideMark/>
          </w:tcPr>
          <w:p w14:paraId="3D71AEF0"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4D510886"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188 </w:t>
            </w:r>
          </w:p>
        </w:tc>
        <w:tc>
          <w:tcPr>
            <w:tcW w:w="1399" w:type="dxa"/>
            <w:tcBorders>
              <w:top w:val="nil"/>
              <w:left w:val="nil"/>
              <w:bottom w:val="single" w:sz="4" w:space="0" w:color="auto"/>
              <w:right w:val="single" w:sz="4" w:space="0" w:color="auto"/>
            </w:tcBorders>
            <w:shd w:val="clear" w:color="auto" w:fill="auto"/>
            <w:noWrap/>
            <w:vAlign w:val="bottom"/>
            <w:hideMark/>
          </w:tcPr>
          <w:p w14:paraId="38C0E6A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188 </w:t>
            </w:r>
          </w:p>
        </w:tc>
        <w:tc>
          <w:tcPr>
            <w:tcW w:w="1399" w:type="dxa"/>
            <w:tcBorders>
              <w:top w:val="nil"/>
              <w:left w:val="nil"/>
              <w:bottom w:val="single" w:sz="4" w:space="0" w:color="auto"/>
              <w:right w:val="single" w:sz="4" w:space="0" w:color="auto"/>
            </w:tcBorders>
            <w:shd w:val="clear" w:color="auto" w:fill="auto"/>
            <w:noWrap/>
            <w:vAlign w:val="bottom"/>
            <w:hideMark/>
          </w:tcPr>
          <w:p w14:paraId="5B5C822F"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188 </w:t>
            </w:r>
          </w:p>
        </w:tc>
        <w:tc>
          <w:tcPr>
            <w:tcW w:w="1399" w:type="dxa"/>
            <w:tcBorders>
              <w:top w:val="nil"/>
              <w:left w:val="nil"/>
              <w:bottom w:val="single" w:sz="4" w:space="0" w:color="auto"/>
              <w:right w:val="single" w:sz="8" w:space="0" w:color="auto"/>
            </w:tcBorders>
            <w:shd w:val="clear" w:color="auto" w:fill="auto"/>
            <w:noWrap/>
            <w:vAlign w:val="bottom"/>
            <w:hideMark/>
          </w:tcPr>
          <w:p w14:paraId="06FB1AC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188 </w:t>
            </w:r>
          </w:p>
        </w:tc>
      </w:tr>
      <w:tr w:rsidR="006C1923" w:rsidRPr="00EF1BA3" w14:paraId="0D7346C9"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2847D49E" w14:textId="24348EDE" w:rsidR="006C1923" w:rsidRPr="00EF1BA3" w:rsidRDefault="00B664C8" w:rsidP="00840C94">
            <w:pPr>
              <w:spacing w:after="0" w:line="240" w:lineRule="auto"/>
              <w:jc w:val="left"/>
              <w:rPr>
                <w:rFonts w:ascii="Times New Roman" w:eastAsia="Times New Roman" w:hAnsi="Times New Roman" w:cs="Times New Roman"/>
                <w:color w:val="000000"/>
                <w:szCs w:val="24"/>
                <w:lang w:eastAsia="en-GB"/>
              </w:rPr>
            </w:pPr>
            <w:r>
              <w:rPr>
                <w:rFonts w:ascii="Times New Roman" w:eastAsia="Times New Roman" w:hAnsi="Times New Roman" w:cs="Times New Roman"/>
                <w:color w:val="000000"/>
                <w:szCs w:val="24"/>
                <w:lang w:eastAsia="en-GB"/>
              </w:rPr>
              <w:lastRenderedPageBreak/>
              <w:t xml:space="preserve">Taxes </w:t>
            </w:r>
            <w:r w:rsidR="006C1923" w:rsidRPr="00EF1BA3">
              <w:rPr>
                <w:rFonts w:ascii="Times New Roman" w:eastAsia="Times New Roman" w:hAnsi="Times New Roman" w:cs="Times New Roman"/>
                <w:color w:val="000000"/>
                <w:szCs w:val="24"/>
                <w:lang w:eastAsia="en-GB"/>
              </w:rPr>
              <w:t>(Amount)</w:t>
            </w:r>
          </w:p>
        </w:tc>
        <w:tc>
          <w:tcPr>
            <w:tcW w:w="1333" w:type="dxa"/>
            <w:tcBorders>
              <w:top w:val="nil"/>
              <w:left w:val="nil"/>
              <w:bottom w:val="single" w:sz="4" w:space="0" w:color="auto"/>
              <w:right w:val="single" w:sz="4" w:space="0" w:color="auto"/>
            </w:tcBorders>
            <w:shd w:val="clear" w:color="auto" w:fill="auto"/>
            <w:noWrap/>
            <w:vAlign w:val="bottom"/>
            <w:hideMark/>
          </w:tcPr>
          <w:p w14:paraId="66B46B0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327A6C7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(80)</w:t>
            </w:r>
          </w:p>
        </w:tc>
        <w:tc>
          <w:tcPr>
            <w:tcW w:w="1399" w:type="dxa"/>
            <w:tcBorders>
              <w:top w:val="nil"/>
              <w:left w:val="nil"/>
              <w:bottom w:val="single" w:sz="4" w:space="0" w:color="auto"/>
              <w:right w:val="single" w:sz="4" w:space="0" w:color="auto"/>
            </w:tcBorders>
            <w:shd w:val="clear" w:color="auto" w:fill="auto"/>
            <w:noWrap/>
            <w:vAlign w:val="bottom"/>
            <w:hideMark/>
          </w:tcPr>
          <w:p w14:paraId="1D9F0BC9"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w:t>
            </w:r>
          </w:p>
        </w:tc>
        <w:tc>
          <w:tcPr>
            <w:tcW w:w="1399" w:type="dxa"/>
            <w:tcBorders>
              <w:top w:val="nil"/>
              <w:left w:val="nil"/>
              <w:bottom w:val="single" w:sz="4" w:space="0" w:color="auto"/>
              <w:right w:val="single" w:sz="4" w:space="0" w:color="auto"/>
            </w:tcBorders>
            <w:shd w:val="clear" w:color="auto" w:fill="auto"/>
            <w:noWrap/>
            <w:vAlign w:val="bottom"/>
            <w:hideMark/>
          </w:tcPr>
          <w:p w14:paraId="7993E499"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w:t>
            </w:r>
          </w:p>
        </w:tc>
        <w:tc>
          <w:tcPr>
            <w:tcW w:w="1399" w:type="dxa"/>
            <w:tcBorders>
              <w:top w:val="nil"/>
              <w:left w:val="nil"/>
              <w:bottom w:val="single" w:sz="4" w:space="0" w:color="auto"/>
              <w:right w:val="single" w:sz="8" w:space="0" w:color="auto"/>
            </w:tcBorders>
            <w:shd w:val="clear" w:color="auto" w:fill="auto"/>
            <w:noWrap/>
            <w:vAlign w:val="bottom"/>
            <w:hideMark/>
          </w:tcPr>
          <w:p w14:paraId="39B5C5D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w:t>
            </w:r>
          </w:p>
        </w:tc>
      </w:tr>
      <w:tr w:rsidR="006C1923" w:rsidRPr="00EF1BA3" w14:paraId="396461D7"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1A6F4EA9"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Net Cash Flow</w:t>
            </w:r>
          </w:p>
        </w:tc>
        <w:tc>
          <w:tcPr>
            <w:tcW w:w="1333" w:type="dxa"/>
            <w:tcBorders>
              <w:top w:val="nil"/>
              <w:left w:val="nil"/>
              <w:bottom w:val="single" w:sz="4" w:space="0" w:color="auto"/>
              <w:right w:val="single" w:sz="4" w:space="0" w:color="auto"/>
            </w:tcBorders>
            <w:shd w:val="clear" w:color="auto" w:fill="auto"/>
            <w:noWrap/>
            <w:vAlign w:val="bottom"/>
            <w:hideMark/>
          </w:tcPr>
          <w:p w14:paraId="3B29615E"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(750)</w:t>
            </w:r>
          </w:p>
        </w:tc>
        <w:tc>
          <w:tcPr>
            <w:tcW w:w="1197" w:type="dxa"/>
            <w:tcBorders>
              <w:top w:val="nil"/>
              <w:left w:val="nil"/>
              <w:bottom w:val="single" w:sz="4" w:space="0" w:color="auto"/>
              <w:right w:val="single" w:sz="4" w:space="0" w:color="auto"/>
            </w:tcBorders>
            <w:shd w:val="clear" w:color="auto" w:fill="auto"/>
            <w:noWrap/>
            <w:vAlign w:val="bottom"/>
            <w:hideMark/>
          </w:tcPr>
          <w:p w14:paraId="3D8920ED"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508 </w:t>
            </w:r>
          </w:p>
        </w:tc>
        <w:tc>
          <w:tcPr>
            <w:tcW w:w="1399" w:type="dxa"/>
            <w:tcBorders>
              <w:top w:val="nil"/>
              <w:left w:val="nil"/>
              <w:bottom w:val="single" w:sz="4" w:space="0" w:color="auto"/>
              <w:right w:val="single" w:sz="4" w:space="0" w:color="auto"/>
            </w:tcBorders>
            <w:shd w:val="clear" w:color="auto" w:fill="auto"/>
            <w:noWrap/>
            <w:vAlign w:val="bottom"/>
            <w:hideMark/>
          </w:tcPr>
          <w:p w14:paraId="50C0EC67"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588 </w:t>
            </w:r>
          </w:p>
        </w:tc>
        <w:tc>
          <w:tcPr>
            <w:tcW w:w="1399" w:type="dxa"/>
            <w:tcBorders>
              <w:top w:val="nil"/>
              <w:left w:val="nil"/>
              <w:bottom w:val="single" w:sz="4" w:space="0" w:color="auto"/>
              <w:right w:val="single" w:sz="4" w:space="0" w:color="auto"/>
            </w:tcBorders>
            <w:shd w:val="clear" w:color="auto" w:fill="auto"/>
            <w:noWrap/>
            <w:vAlign w:val="bottom"/>
            <w:hideMark/>
          </w:tcPr>
          <w:p w14:paraId="143A1020"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588 </w:t>
            </w:r>
          </w:p>
        </w:tc>
        <w:tc>
          <w:tcPr>
            <w:tcW w:w="1399" w:type="dxa"/>
            <w:tcBorders>
              <w:top w:val="nil"/>
              <w:left w:val="nil"/>
              <w:bottom w:val="single" w:sz="4" w:space="0" w:color="auto"/>
              <w:right w:val="single" w:sz="8" w:space="0" w:color="auto"/>
            </w:tcBorders>
            <w:shd w:val="clear" w:color="auto" w:fill="auto"/>
            <w:noWrap/>
            <w:vAlign w:val="bottom"/>
            <w:hideMark/>
          </w:tcPr>
          <w:p w14:paraId="128953E6"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588 </w:t>
            </w:r>
          </w:p>
        </w:tc>
      </w:tr>
      <w:tr w:rsidR="006C1923" w:rsidRPr="00EF1BA3" w14:paraId="2E66E6D7"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vAlign w:val="center"/>
            <w:hideMark/>
          </w:tcPr>
          <w:p w14:paraId="5B0A534A"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(B)</w:t>
            </w:r>
          </w:p>
        </w:tc>
        <w:tc>
          <w:tcPr>
            <w:tcW w:w="1333" w:type="dxa"/>
            <w:tcBorders>
              <w:top w:val="nil"/>
              <w:left w:val="nil"/>
              <w:bottom w:val="single" w:sz="4" w:space="0" w:color="auto"/>
              <w:right w:val="single" w:sz="4" w:space="0" w:color="auto"/>
            </w:tcBorders>
            <w:shd w:val="clear" w:color="auto" w:fill="auto"/>
            <w:noWrap/>
            <w:vAlign w:val="bottom"/>
            <w:hideMark/>
          </w:tcPr>
          <w:p w14:paraId="362A2416"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09B7308B"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4" w:space="0" w:color="auto"/>
            </w:tcBorders>
            <w:shd w:val="clear" w:color="auto" w:fill="auto"/>
            <w:noWrap/>
            <w:vAlign w:val="bottom"/>
            <w:hideMark/>
          </w:tcPr>
          <w:p w14:paraId="53CE0216"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4" w:space="0" w:color="auto"/>
            </w:tcBorders>
            <w:shd w:val="clear" w:color="auto" w:fill="auto"/>
            <w:noWrap/>
            <w:vAlign w:val="bottom"/>
            <w:hideMark/>
          </w:tcPr>
          <w:p w14:paraId="2132EBA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8" w:space="0" w:color="auto"/>
            </w:tcBorders>
            <w:shd w:val="clear" w:color="auto" w:fill="auto"/>
            <w:noWrap/>
            <w:vAlign w:val="bottom"/>
            <w:hideMark/>
          </w:tcPr>
          <w:p w14:paraId="3987EB9E"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r>
      <w:tr w:rsidR="006C1923" w:rsidRPr="00EF1BA3" w14:paraId="256B4ACC"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3CB282C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Cash Flow</w:t>
            </w:r>
          </w:p>
        </w:tc>
        <w:tc>
          <w:tcPr>
            <w:tcW w:w="1333" w:type="dxa"/>
            <w:tcBorders>
              <w:top w:val="nil"/>
              <w:left w:val="nil"/>
              <w:bottom w:val="single" w:sz="4" w:space="0" w:color="auto"/>
              <w:right w:val="single" w:sz="4" w:space="0" w:color="auto"/>
            </w:tcBorders>
            <w:shd w:val="clear" w:color="auto" w:fill="auto"/>
            <w:noWrap/>
            <w:vAlign w:val="bottom"/>
            <w:hideMark/>
          </w:tcPr>
          <w:p w14:paraId="2750AAE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vAlign w:val="center"/>
            <w:hideMark/>
          </w:tcPr>
          <w:p w14:paraId="5CB8E46A"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4" w:space="0" w:color="auto"/>
            </w:tcBorders>
            <w:shd w:val="clear" w:color="auto" w:fill="auto"/>
            <w:vAlign w:val="center"/>
            <w:hideMark/>
          </w:tcPr>
          <w:p w14:paraId="3C1F8C73"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600 </w:t>
            </w:r>
          </w:p>
        </w:tc>
        <w:tc>
          <w:tcPr>
            <w:tcW w:w="1399" w:type="dxa"/>
            <w:tcBorders>
              <w:top w:val="nil"/>
              <w:left w:val="nil"/>
              <w:bottom w:val="single" w:sz="4" w:space="0" w:color="auto"/>
              <w:right w:val="single" w:sz="4" w:space="0" w:color="auto"/>
            </w:tcBorders>
            <w:shd w:val="clear" w:color="auto" w:fill="auto"/>
            <w:vAlign w:val="center"/>
            <w:hideMark/>
          </w:tcPr>
          <w:p w14:paraId="215BFEBB"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800 </w:t>
            </w:r>
          </w:p>
        </w:tc>
        <w:tc>
          <w:tcPr>
            <w:tcW w:w="1399" w:type="dxa"/>
            <w:tcBorders>
              <w:top w:val="nil"/>
              <w:left w:val="nil"/>
              <w:bottom w:val="single" w:sz="4" w:space="0" w:color="auto"/>
              <w:right w:val="single" w:sz="8" w:space="0" w:color="auto"/>
            </w:tcBorders>
            <w:shd w:val="clear" w:color="auto" w:fill="auto"/>
            <w:vAlign w:val="center"/>
            <w:hideMark/>
          </w:tcPr>
          <w:p w14:paraId="61481570"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1,000 </w:t>
            </w:r>
          </w:p>
        </w:tc>
      </w:tr>
      <w:tr w:rsidR="006C1923" w:rsidRPr="00EF1BA3" w14:paraId="5903E605"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2021372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Capital Allowance</w:t>
            </w:r>
          </w:p>
        </w:tc>
        <w:tc>
          <w:tcPr>
            <w:tcW w:w="1333" w:type="dxa"/>
            <w:tcBorders>
              <w:top w:val="nil"/>
              <w:left w:val="nil"/>
              <w:bottom w:val="single" w:sz="4" w:space="0" w:color="auto"/>
              <w:right w:val="single" w:sz="4" w:space="0" w:color="auto"/>
            </w:tcBorders>
            <w:shd w:val="clear" w:color="auto" w:fill="auto"/>
            <w:noWrap/>
            <w:vAlign w:val="bottom"/>
            <w:hideMark/>
          </w:tcPr>
          <w:p w14:paraId="354E5C4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1A3668E8"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300 </w:t>
            </w:r>
          </w:p>
        </w:tc>
        <w:tc>
          <w:tcPr>
            <w:tcW w:w="1399" w:type="dxa"/>
            <w:tcBorders>
              <w:top w:val="nil"/>
              <w:left w:val="nil"/>
              <w:bottom w:val="single" w:sz="4" w:space="0" w:color="auto"/>
              <w:right w:val="single" w:sz="4" w:space="0" w:color="auto"/>
            </w:tcBorders>
            <w:shd w:val="clear" w:color="auto" w:fill="auto"/>
            <w:noWrap/>
            <w:vAlign w:val="bottom"/>
            <w:hideMark/>
          </w:tcPr>
          <w:p w14:paraId="34635BB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300 </w:t>
            </w:r>
          </w:p>
        </w:tc>
        <w:tc>
          <w:tcPr>
            <w:tcW w:w="1399" w:type="dxa"/>
            <w:tcBorders>
              <w:top w:val="nil"/>
              <w:left w:val="nil"/>
              <w:bottom w:val="single" w:sz="4" w:space="0" w:color="auto"/>
              <w:right w:val="single" w:sz="4" w:space="0" w:color="auto"/>
            </w:tcBorders>
            <w:shd w:val="clear" w:color="auto" w:fill="auto"/>
            <w:noWrap/>
            <w:vAlign w:val="bottom"/>
            <w:hideMark/>
          </w:tcPr>
          <w:p w14:paraId="62C1F6E8"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300 </w:t>
            </w:r>
          </w:p>
        </w:tc>
        <w:tc>
          <w:tcPr>
            <w:tcW w:w="1399" w:type="dxa"/>
            <w:tcBorders>
              <w:top w:val="nil"/>
              <w:left w:val="nil"/>
              <w:bottom w:val="single" w:sz="4" w:space="0" w:color="auto"/>
              <w:right w:val="single" w:sz="8" w:space="0" w:color="auto"/>
            </w:tcBorders>
            <w:shd w:val="clear" w:color="auto" w:fill="auto"/>
            <w:noWrap/>
            <w:vAlign w:val="bottom"/>
            <w:hideMark/>
          </w:tcPr>
          <w:p w14:paraId="462A1F69"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300 </w:t>
            </w:r>
          </w:p>
        </w:tc>
      </w:tr>
      <w:tr w:rsidR="006C1923" w:rsidRPr="00EF1BA3" w14:paraId="2424B097"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059C36B8"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Taxes (Amount)</w:t>
            </w:r>
          </w:p>
        </w:tc>
        <w:tc>
          <w:tcPr>
            <w:tcW w:w="1333" w:type="dxa"/>
            <w:tcBorders>
              <w:top w:val="nil"/>
              <w:left w:val="nil"/>
              <w:bottom w:val="single" w:sz="4" w:space="0" w:color="auto"/>
              <w:right w:val="single" w:sz="4" w:space="0" w:color="auto"/>
            </w:tcBorders>
            <w:shd w:val="clear" w:color="auto" w:fill="auto"/>
            <w:noWrap/>
            <w:vAlign w:val="bottom"/>
            <w:hideMark/>
          </w:tcPr>
          <w:p w14:paraId="54EBEFB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7A57DBCD"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w:t>
            </w:r>
          </w:p>
        </w:tc>
        <w:tc>
          <w:tcPr>
            <w:tcW w:w="1399" w:type="dxa"/>
            <w:tcBorders>
              <w:top w:val="nil"/>
              <w:left w:val="nil"/>
              <w:bottom w:val="single" w:sz="4" w:space="0" w:color="auto"/>
              <w:right w:val="single" w:sz="4" w:space="0" w:color="auto"/>
            </w:tcBorders>
            <w:shd w:val="clear" w:color="auto" w:fill="auto"/>
            <w:noWrap/>
            <w:vAlign w:val="bottom"/>
            <w:hideMark/>
          </w:tcPr>
          <w:p w14:paraId="17983AA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(120)</w:t>
            </w:r>
          </w:p>
        </w:tc>
        <w:tc>
          <w:tcPr>
            <w:tcW w:w="1399" w:type="dxa"/>
            <w:tcBorders>
              <w:top w:val="nil"/>
              <w:left w:val="nil"/>
              <w:bottom w:val="single" w:sz="4" w:space="0" w:color="auto"/>
              <w:right w:val="single" w:sz="4" w:space="0" w:color="auto"/>
            </w:tcBorders>
            <w:shd w:val="clear" w:color="auto" w:fill="auto"/>
            <w:noWrap/>
            <w:vAlign w:val="bottom"/>
            <w:hideMark/>
          </w:tcPr>
          <w:p w14:paraId="460E6019"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(160)</w:t>
            </w:r>
          </w:p>
        </w:tc>
        <w:tc>
          <w:tcPr>
            <w:tcW w:w="1399" w:type="dxa"/>
            <w:tcBorders>
              <w:top w:val="nil"/>
              <w:left w:val="nil"/>
              <w:bottom w:val="single" w:sz="4" w:space="0" w:color="auto"/>
              <w:right w:val="single" w:sz="8" w:space="0" w:color="auto"/>
            </w:tcBorders>
            <w:shd w:val="clear" w:color="auto" w:fill="auto"/>
            <w:noWrap/>
            <w:vAlign w:val="bottom"/>
            <w:hideMark/>
          </w:tcPr>
          <w:p w14:paraId="3089739A"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(200)</w:t>
            </w:r>
          </w:p>
        </w:tc>
      </w:tr>
      <w:tr w:rsidR="006C1923" w:rsidRPr="00EF1BA3" w14:paraId="3D159F17"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2E975BEF"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Net Cash Flow</w:t>
            </w:r>
          </w:p>
        </w:tc>
        <w:tc>
          <w:tcPr>
            <w:tcW w:w="1333" w:type="dxa"/>
            <w:tcBorders>
              <w:top w:val="nil"/>
              <w:left w:val="nil"/>
              <w:bottom w:val="single" w:sz="4" w:space="0" w:color="auto"/>
              <w:right w:val="single" w:sz="4" w:space="0" w:color="auto"/>
            </w:tcBorders>
            <w:shd w:val="clear" w:color="auto" w:fill="auto"/>
            <w:noWrap/>
            <w:vAlign w:val="bottom"/>
            <w:hideMark/>
          </w:tcPr>
          <w:p w14:paraId="7FAEB9CF"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(1,200)</w:t>
            </w:r>
          </w:p>
        </w:tc>
        <w:tc>
          <w:tcPr>
            <w:tcW w:w="1197" w:type="dxa"/>
            <w:tcBorders>
              <w:top w:val="nil"/>
              <w:left w:val="nil"/>
              <w:bottom w:val="single" w:sz="4" w:space="0" w:color="auto"/>
              <w:right w:val="single" w:sz="4" w:space="0" w:color="auto"/>
            </w:tcBorders>
            <w:shd w:val="clear" w:color="auto" w:fill="auto"/>
            <w:noWrap/>
            <w:vAlign w:val="bottom"/>
            <w:hideMark/>
          </w:tcPr>
          <w:p w14:paraId="6D1B402B"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700 </w:t>
            </w:r>
          </w:p>
        </w:tc>
        <w:tc>
          <w:tcPr>
            <w:tcW w:w="1399" w:type="dxa"/>
            <w:tcBorders>
              <w:top w:val="nil"/>
              <w:left w:val="nil"/>
              <w:bottom w:val="single" w:sz="4" w:space="0" w:color="auto"/>
              <w:right w:val="single" w:sz="4" w:space="0" w:color="auto"/>
            </w:tcBorders>
            <w:shd w:val="clear" w:color="auto" w:fill="auto"/>
            <w:noWrap/>
            <w:vAlign w:val="bottom"/>
            <w:hideMark/>
          </w:tcPr>
          <w:p w14:paraId="4979A922"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780 </w:t>
            </w:r>
          </w:p>
        </w:tc>
        <w:tc>
          <w:tcPr>
            <w:tcW w:w="1399" w:type="dxa"/>
            <w:tcBorders>
              <w:top w:val="nil"/>
              <w:left w:val="nil"/>
              <w:bottom w:val="single" w:sz="4" w:space="0" w:color="auto"/>
              <w:right w:val="single" w:sz="4" w:space="0" w:color="auto"/>
            </w:tcBorders>
            <w:shd w:val="clear" w:color="auto" w:fill="auto"/>
            <w:noWrap/>
            <w:vAlign w:val="bottom"/>
            <w:hideMark/>
          </w:tcPr>
          <w:p w14:paraId="5B5A4C66"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940 </w:t>
            </w:r>
          </w:p>
        </w:tc>
        <w:tc>
          <w:tcPr>
            <w:tcW w:w="1399" w:type="dxa"/>
            <w:tcBorders>
              <w:top w:val="nil"/>
              <w:left w:val="nil"/>
              <w:bottom w:val="single" w:sz="4" w:space="0" w:color="auto"/>
              <w:right w:val="single" w:sz="8" w:space="0" w:color="auto"/>
            </w:tcBorders>
            <w:shd w:val="clear" w:color="auto" w:fill="auto"/>
            <w:noWrap/>
            <w:vAlign w:val="bottom"/>
            <w:hideMark/>
          </w:tcPr>
          <w:p w14:paraId="3231D719"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1,100 </w:t>
            </w:r>
          </w:p>
        </w:tc>
      </w:tr>
      <w:tr w:rsidR="006C1923" w:rsidRPr="00EF1BA3" w14:paraId="46D3EA2A"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vAlign w:val="center"/>
            <w:hideMark/>
          </w:tcPr>
          <w:p w14:paraId="01851A5D"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w:t>
            </w:r>
          </w:p>
        </w:tc>
        <w:tc>
          <w:tcPr>
            <w:tcW w:w="1333" w:type="dxa"/>
            <w:tcBorders>
              <w:top w:val="nil"/>
              <w:left w:val="nil"/>
              <w:bottom w:val="single" w:sz="4" w:space="0" w:color="auto"/>
              <w:right w:val="single" w:sz="4" w:space="0" w:color="auto"/>
            </w:tcBorders>
            <w:shd w:val="clear" w:color="auto" w:fill="auto"/>
            <w:noWrap/>
            <w:vAlign w:val="bottom"/>
            <w:hideMark/>
          </w:tcPr>
          <w:p w14:paraId="6A510F90"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42CF06D7"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4" w:space="0" w:color="auto"/>
            </w:tcBorders>
            <w:shd w:val="clear" w:color="auto" w:fill="auto"/>
            <w:noWrap/>
            <w:vAlign w:val="bottom"/>
            <w:hideMark/>
          </w:tcPr>
          <w:p w14:paraId="1B46514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4" w:space="0" w:color="auto"/>
            </w:tcBorders>
            <w:shd w:val="clear" w:color="auto" w:fill="auto"/>
            <w:noWrap/>
            <w:vAlign w:val="bottom"/>
            <w:hideMark/>
          </w:tcPr>
          <w:p w14:paraId="73A7FAB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99" w:type="dxa"/>
            <w:tcBorders>
              <w:top w:val="nil"/>
              <w:left w:val="nil"/>
              <w:bottom w:val="single" w:sz="4" w:space="0" w:color="auto"/>
              <w:right w:val="single" w:sz="8" w:space="0" w:color="auto"/>
            </w:tcBorders>
            <w:shd w:val="clear" w:color="auto" w:fill="auto"/>
            <w:noWrap/>
            <w:vAlign w:val="bottom"/>
            <w:hideMark/>
          </w:tcPr>
          <w:p w14:paraId="0E49F8A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r>
      <w:tr w:rsidR="006C1923" w:rsidRPr="00EF1BA3" w14:paraId="102B8B84"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4ACB378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Cash Flow</w:t>
            </w:r>
          </w:p>
        </w:tc>
        <w:tc>
          <w:tcPr>
            <w:tcW w:w="1333" w:type="dxa"/>
            <w:tcBorders>
              <w:top w:val="nil"/>
              <w:left w:val="nil"/>
              <w:bottom w:val="single" w:sz="4" w:space="0" w:color="auto"/>
              <w:right w:val="single" w:sz="4" w:space="0" w:color="auto"/>
            </w:tcBorders>
            <w:shd w:val="clear" w:color="auto" w:fill="auto"/>
            <w:noWrap/>
            <w:vAlign w:val="bottom"/>
            <w:hideMark/>
          </w:tcPr>
          <w:p w14:paraId="711D3F6E"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vAlign w:val="center"/>
            <w:hideMark/>
          </w:tcPr>
          <w:p w14:paraId="0A174A90"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4" w:space="0" w:color="auto"/>
            </w:tcBorders>
            <w:shd w:val="clear" w:color="auto" w:fill="auto"/>
            <w:vAlign w:val="center"/>
            <w:hideMark/>
          </w:tcPr>
          <w:p w14:paraId="3A94237F"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1,000 </w:t>
            </w:r>
          </w:p>
        </w:tc>
        <w:tc>
          <w:tcPr>
            <w:tcW w:w="1399" w:type="dxa"/>
            <w:tcBorders>
              <w:top w:val="nil"/>
              <w:left w:val="nil"/>
              <w:bottom w:val="single" w:sz="4" w:space="0" w:color="auto"/>
              <w:right w:val="single" w:sz="4" w:space="0" w:color="auto"/>
            </w:tcBorders>
            <w:shd w:val="clear" w:color="auto" w:fill="auto"/>
            <w:vAlign w:val="center"/>
            <w:hideMark/>
          </w:tcPr>
          <w:p w14:paraId="602286EB"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1,500 </w:t>
            </w:r>
          </w:p>
        </w:tc>
        <w:tc>
          <w:tcPr>
            <w:tcW w:w="1399" w:type="dxa"/>
            <w:tcBorders>
              <w:top w:val="nil"/>
              <w:left w:val="nil"/>
              <w:bottom w:val="single" w:sz="4" w:space="0" w:color="auto"/>
              <w:right w:val="single" w:sz="8" w:space="0" w:color="auto"/>
            </w:tcBorders>
            <w:shd w:val="clear" w:color="auto" w:fill="auto"/>
            <w:vAlign w:val="center"/>
            <w:hideMark/>
          </w:tcPr>
          <w:p w14:paraId="279EBFA9"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1,500 </w:t>
            </w:r>
          </w:p>
        </w:tc>
      </w:tr>
      <w:tr w:rsidR="006C1923" w:rsidRPr="00EF1BA3" w14:paraId="6D6E86C7"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7194079D"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Capital Allowance</w:t>
            </w:r>
          </w:p>
        </w:tc>
        <w:tc>
          <w:tcPr>
            <w:tcW w:w="1333" w:type="dxa"/>
            <w:tcBorders>
              <w:top w:val="nil"/>
              <w:left w:val="nil"/>
              <w:bottom w:val="single" w:sz="4" w:space="0" w:color="auto"/>
              <w:right w:val="single" w:sz="4" w:space="0" w:color="auto"/>
            </w:tcBorders>
            <w:shd w:val="clear" w:color="auto" w:fill="auto"/>
            <w:noWrap/>
            <w:vAlign w:val="bottom"/>
            <w:hideMark/>
          </w:tcPr>
          <w:p w14:paraId="56F508DF"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11623027"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4" w:space="0" w:color="auto"/>
            </w:tcBorders>
            <w:shd w:val="clear" w:color="auto" w:fill="auto"/>
            <w:noWrap/>
            <w:vAlign w:val="bottom"/>
            <w:hideMark/>
          </w:tcPr>
          <w:p w14:paraId="7EDDF32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4" w:space="0" w:color="auto"/>
            </w:tcBorders>
            <w:shd w:val="clear" w:color="auto" w:fill="auto"/>
            <w:noWrap/>
            <w:vAlign w:val="bottom"/>
            <w:hideMark/>
          </w:tcPr>
          <w:p w14:paraId="23C6E93B"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c>
          <w:tcPr>
            <w:tcW w:w="1399" w:type="dxa"/>
            <w:tcBorders>
              <w:top w:val="nil"/>
              <w:left w:val="nil"/>
              <w:bottom w:val="single" w:sz="4" w:space="0" w:color="auto"/>
              <w:right w:val="single" w:sz="8" w:space="0" w:color="auto"/>
            </w:tcBorders>
            <w:shd w:val="clear" w:color="auto" w:fill="auto"/>
            <w:noWrap/>
            <w:vAlign w:val="bottom"/>
            <w:hideMark/>
          </w:tcPr>
          <w:p w14:paraId="20EE34DB"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500 </w:t>
            </w:r>
          </w:p>
        </w:tc>
      </w:tr>
      <w:tr w:rsidR="006C1923" w:rsidRPr="00EF1BA3" w14:paraId="0B9DFF87" w14:textId="77777777" w:rsidTr="00B664C8">
        <w:trPr>
          <w:trHeight w:val="385"/>
          <w:jc w:val="center"/>
        </w:trPr>
        <w:tc>
          <w:tcPr>
            <w:tcW w:w="2121" w:type="dxa"/>
            <w:tcBorders>
              <w:top w:val="nil"/>
              <w:left w:val="single" w:sz="8" w:space="0" w:color="auto"/>
              <w:bottom w:val="single" w:sz="4" w:space="0" w:color="auto"/>
              <w:right w:val="single" w:sz="4" w:space="0" w:color="auto"/>
            </w:tcBorders>
            <w:shd w:val="clear" w:color="auto" w:fill="auto"/>
            <w:noWrap/>
            <w:vAlign w:val="bottom"/>
            <w:hideMark/>
          </w:tcPr>
          <w:p w14:paraId="44357C99"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Taxes (Amount)</w:t>
            </w:r>
          </w:p>
        </w:tc>
        <w:tc>
          <w:tcPr>
            <w:tcW w:w="1333" w:type="dxa"/>
            <w:tcBorders>
              <w:top w:val="nil"/>
              <w:left w:val="nil"/>
              <w:bottom w:val="single" w:sz="4" w:space="0" w:color="auto"/>
              <w:right w:val="single" w:sz="4" w:space="0" w:color="auto"/>
            </w:tcBorders>
            <w:shd w:val="clear" w:color="auto" w:fill="auto"/>
            <w:noWrap/>
            <w:vAlign w:val="bottom"/>
            <w:hideMark/>
          </w:tcPr>
          <w:p w14:paraId="52F9E09C"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197" w:type="dxa"/>
            <w:tcBorders>
              <w:top w:val="nil"/>
              <w:left w:val="nil"/>
              <w:bottom w:val="single" w:sz="4" w:space="0" w:color="auto"/>
              <w:right w:val="single" w:sz="4" w:space="0" w:color="auto"/>
            </w:tcBorders>
            <w:shd w:val="clear" w:color="auto" w:fill="auto"/>
            <w:noWrap/>
            <w:vAlign w:val="bottom"/>
            <w:hideMark/>
          </w:tcPr>
          <w:p w14:paraId="572A9125"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(100)</w:t>
            </w:r>
          </w:p>
        </w:tc>
        <w:tc>
          <w:tcPr>
            <w:tcW w:w="1399" w:type="dxa"/>
            <w:tcBorders>
              <w:top w:val="nil"/>
              <w:left w:val="nil"/>
              <w:bottom w:val="single" w:sz="4" w:space="0" w:color="auto"/>
              <w:right w:val="single" w:sz="4" w:space="0" w:color="auto"/>
            </w:tcBorders>
            <w:shd w:val="clear" w:color="auto" w:fill="auto"/>
            <w:noWrap/>
            <w:vAlign w:val="bottom"/>
            <w:hideMark/>
          </w:tcPr>
          <w:p w14:paraId="170F156E"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(200)</w:t>
            </w:r>
          </w:p>
        </w:tc>
        <w:tc>
          <w:tcPr>
            <w:tcW w:w="1399" w:type="dxa"/>
            <w:tcBorders>
              <w:top w:val="nil"/>
              <w:left w:val="nil"/>
              <w:bottom w:val="single" w:sz="4" w:space="0" w:color="auto"/>
              <w:right w:val="single" w:sz="4" w:space="0" w:color="auto"/>
            </w:tcBorders>
            <w:shd w:val="clear" w:color="auto" w:fill="auto"/>
            <w:noWrap/>
            <w:vAlign w:val="bottom"/>
            <w:hideMark/>
          </w:tcPr>
          <w:p w14:paraId="38B5E066"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(300)</w:t>
            </w:r>
          </w:p>
        </w:tc>
        <w:tc>
          <w:tcPr>
            <w:tcW w:w="1399" w:type="dxa"/>
            <w:tcBorders>
              <w:top w:val="nil"/>
              <w:left w:val="nil"/>
              <w:bottom w:val="single" w:sz="4" w:space="0" w:color="auto"/>
              <w:right w:val="single" w:sz="8" w:space="0" w:color="auto"/>
            </w:tcBorders>
            <w:shd w:val="clear" w:color="auto" w:fill="auto"/>
            <w:noWrap/>
            <w:vAlign w:val="bottom"/>
            <w:hideMark/>
          </w:tcPr>
          <w:p w14:paraId="346E6ED0"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(300)</w:t>
            </w:r>
          </w:p>
        </w:tc>
      </w:tr>
      <w:tr w:rsidR="006C1923" w:rsidRPr="00EF1BA3" w14:paraId="6158BCA0" w14:textId="77777777" w:rsidTr="00B664C8">
        <w:trPr>
          <w:trHeight w:val="385"/>
          <w:jc w:val="center"/>
        </w:trPr>
        <w:tc>
          <w:tcPr>
            <w:tcW w:w="2121" w:type="dxa"/>
            <w:tcBorders>
              <w:top w:val="nil"/>
              <w:left w:val="single" w:sz="8" w:space="0" w:color="auto"/>
              <w:bottom w:val="single" w:sz="8" w:space="0" w:color="auto"/>
              <w:right w:val="single" w:sz="4" w:space="0" w:color="auto"/>
            </w:tcBorders>
            <w:shd w:val="clear" w:color="auto" w:fill="auto"/>
            <w:noWrap/>
            <w:vAlign w:val="bottom"/>
            <w:hideMark/>
          </w:tcPr>
          <w:p w14:paraId="476088FA"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Net Cash Flow</w:t>
            </w:r>
          </w:p>
        </w:tc>
        <w:tc>
          <w:tcPr>
            <w:tcW w:w="1333" w:type="dxa"/>
            <w:tcBorders>
              <w:top w:val="nil"/>
              <w:left w:val="nil"/>
              <w:bottom w:val="single" w:sz="8" w:space="0" w:color="auto"/>
              <w:right w:val="single" w:sz="4" w:space="0" w:color="auto"/>
            </w:tcBorders>
            <w:shd w:val="clear" w:color="auto" w:fill="auto"/>
            <w:noWrap/>
            <w:vAlign w:val="bottom"/>
            <w:hideMark/>
          </w:tcPr>
          <w:p w14:paraId="5D73BBBB"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(2,000)</w:t>
            </w:r>
          </w:p>
        </w:tc>
        <w:tc>
          <w:tcPr>
            <w:tcW w:w="1197" w:type="dxa"/>
            <w:tcBorders>
              <w:top w:val="nil"/>
              <w:left w:val="nil"/>
              <w:bottom w:val="single" w:sz="8" w:space="0" w:color="auto"/>
              <w:right w:val="single" w:sz="4" w:space="0" w:color="auto"/>
            </w:tcBorders>
            <w:shd w:val="clear" w:color="auto" w:fill="auto"/>
            <w:noWrap/>
            <w:vAlign w:val="bottom"/>
            <w:hideMark/>
          </w:tcPr>
          <w:p w14:paraId="3BF5D7C4"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900 </w:t>
            </w:r>
          </w:p>
        </w:tc>
        <w:tc>
          <w:tcPr>
            <w:tcW w:w="1399" w:type="dxa"/>
            <w:tcBorders>
              <w:top w:val="nil"/>
              <w:left w:val="nil"/>
              <w:bottom w:val="single" w:sz="8" w:space="0" w:color="auto"/>
              <w:right w:val="single" w:sz="4" w:space="0" w:color="auto"/>
            </w:tcBorders>
            <w:shd w:val="clear" w:color="auto" w:fill="auto"/>
            <w:noWrap/>
            <w:vAlign w:val="bottom"/>
            <w:hideMark/>
          </w:tcPr>
          <w:p w14:paraId="61634415"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1,300 </w:t>
            </w:r>
          </w:p>
        </w:tc>
        <w:tc>
          <w:tcPr>
            <w:tcW w:w="1399" w:type="dxa"/>
            <w:tcBorders>
              <w:top w:val="nil"/>
              <w:left w:val="nil"/>
              <w:bottom w:val="single" w:sz="8" w:space="0" w:color="auto"/>
              <w:right w:val="single" w:sz="4" w:space="0" w:color="auto"/>
            </w:tcBorders>
            <w:shd w:val="clear" w:color="auto" w:fill="auto"/>
            <w:noWrap/>
            <w:vAlign w:val="bottom"/>
            <w:hideMark/>
          </w:tcPr>
          <w:p w14:paraId="3837B737"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1,700 </w:t>
            </w:r>
          </w:p>
        </w:tc>
        <w:tc>
          <w:tcPr>
            <w:tcW w:w="1399" w:type="dxa"/>
            <w:tcBorders>
              <w:top w:val="nil"/>
              <w:left w:val="nil"/>
              <w:bottom w:val="single" w:sz="8" w:space="0" w:color="auto"/>
              <w:right w:val="single" w:sz="8" w:space="0" w:color="auto"/>
            </w:tcBorders>
            <w:shd w:val="clear" w:color="auto" w:fill="auto"/>
            <w:noWrap/>
            <w:vAlign w:val="bottom"/>
            <w:hideMark/>
          </w:tcPr>
          <w:p w14:paraId="4C7C8DCD" w14:textId="77777777" w:rsidR="006C1923" w:rsidRPr="00EF1BA3" w:rsidRDefault="006C1923" w:rsidP="00840C94">
            <w:pPr>
              <w:spacing w:after="0" w:line="240" w:lineRule="auto"/>
              <w:jc w:val="left"/>
              <w:rPr>
                <w:rFonts w:ascii="Times New Roman" w:eastAsia="Times New Roman" w:hAnsi="Times New Roman" w:cs="Times New Roman"/>
                <w:b/>
                <w:color w:val="000000"/>
                <w:szCs w:val="24"/>
                <w:lang w:eastAsia="en-GB"/>
              </w:rPr>
            </w:pPr>
            <w:r w:rsidRPr="00EF1BA3">
              <w:rPr>
                <w:rFonts w:ascii="Times New Roman" w:eastAsia="Times New Roman" w:hAnsi="Times New Roman" w:cs="Times New Roman"/>
                <w:b/>
                <w:color w:val="000000"/>
                <w:szCs w:val="24"/>
                <w:lang w:eastAsia="en-GB"/>
              </w:rPr>
              <w:t xml:space="preserve">         1,700 </w:t>
            </w:r>
          </w:p>
        </w:tc>
      </w:tr>
    </w:tbl>
    <w:p w14:paraId="24492716" w14:textId="22DEA732" w:rsidR="006C1923" w:rsidRPr="00EF1BA3" w:rsidRDefault="006C1923" w:rsidP="00B664C8">
      <w:pPr>
        <w:spacing w:before="240" w:after="0" w:line="480" w:lineRule="auto"/>
        <w:rPr>
          <w:rFonts w:ascii="Times New Roman" w:hAnsi="Times New Roman" w:cs="Times New Roman"/>
        </w:rPr>
      </w:pPr>
      <w:r w:rsidRPr="00EF1BA3">
        <w:rPr>
          <w:rFonts w:ascii="Times New Roman" w:hAnsi="Times New Roman" w:cs="Times New Roman"/>
        </w:rPr>
        <w:t>The table above indicates the cash flow forecasts for each of the three projects after calculating the impact of capital allowance and taxes charged to the cash flows. Fir</w:t>
      </w:r>
      <w:r w:rsidR="00840C94">
        <w:rPr>
          <w:rFonts w:ascii="Times New Roman" w:hAnsi="Times New Roman" w:cs="Times New Roman"/>
        </w:rPr>
        <w:t xml:space="preserve">stly, it must be noted that </w:t>
      </w:r>
      <w:r w:rsidRPr="00EF1BA3">
        <w:rPr>
          <w:rFonts w:ascii="Times New Roman" w:hAnsi="Times New Roman" w:cs="Times New Roman"/>
        </w:rPr>
        <w:t>capital allowance is similar to depreciation expense that</w:t>
      </w:r>
      <w:r w:rsidR="00840C94">
        <w:rPr>
          <w:rFonts w:ascii="Times New Roman" w:hAnsi="Times New Roman" w:cs="Times New Roman"/>
        </w:rPr>
        <w:t xml:space="preserve"> </w:t>
      </w:r>
      <w:r w:rsidRPr="00EF1BA3">
        <w:rPr>
          <w:rFonts w:ascii="Times New Roman" w:hAnsi="Times New Roman" w:cs="Times New Roman"/>
        </w:rPr>
        <w:t xml:space="preserve">is allowed to be deducted </w:t>
      </w:r>
      <w:r w:rsidR="00840C94">
        <w:rPr>
          <w:rFonts w:ascii="Times New Roman" w:hAnsi="Times New Roman" w:cs="Times New Roman"/>
        </w:rPr>
        <w:t xml:space="preserve">from income for tax purposes and </w:t>
      </w:r>
      <w:r w:rsidRPr="00EF1BA3">
        <w:rPr>
          <w:rFonts w:ascii="Times New Roman" w:hAnsi="Times New Roman" w:cs="Times New Roman"/>
        </w:rPr>
        <w:t xml:space="preserve">is 25% for each of the three projects at hand. However, these allowances are non-cash in nature as there is actual cash outlay; therefore, it must be added back to the cash flows while determining the feasibility of the projects at hand. In addition, it must be noted that the taxes charged have also been deducted from the cash flows. The table above clearly highlights that there was a net increase in cash flows for each of the three possible investments mainly due to addition of higher amount and subtraction of lower amount i.e. capital allowance is added and taxes are deducted. </w:t>
      </w:r>
    </w:p>
    <w:p w14:paraId="256D2C1E" w14:textId="77777777"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Further, the calculations of NPV at a cost of capital of 8% are illustrated in the table below:</w:t>
      </w:r>
    </w:p>
    <w:tbl>
      <w:tblPr>
        <w:tblW w:w="9243" w:type="dxa"/>
        <w:tblInd w:w="10" w:type="dxa"/>
        <w:tblLook w:val="04A0" w:firstRow="1" w:lastRow="0" w:firstColumn="1" w:lastColumn="0" w:noHBand="0" w:noVBand="1"/>
      </w:tblPr>
      <w:tblGrid>
        <w:gridCol w:w="1880"/>
        <w:gridCol w:w="1363"/>
        <w:gridCol w:w="1060"/>
        <w:gridCol w:w="1240"/>
        <w:gridCol w:w="1240"/>
        <w:gridCol w:w="1240"/>
        <w:gridCol w:w="1220"/>
      </w:tblGrid>
      <w:tr w:rsidR="006C1923" w:rsidRPr="00EF1BA3" w14:paraId="773B7971" w14:textId="77777777" w:rsidTr="00840C94">
        <w:trPr>
          <w:trHeight w:val="315"/>
        </w:trPr>
        <w:tc>
          <w:tcPr>
            <w:tcW w:w="1880" w:type="dxa"/>
            <w:tcBorders>
              <w:top w:val="nil"/>
              <w:left w:val="nil"/>
              <w:bottom w:val="nil"/>
              <w:right w:val="nil"/>
            </w:tcBorders>
            <w:shd w:val="clear" w:color="auto" w:fill="auto"/>
            <w:vAlign w:val="center"/>
            <w:hideMark/>
          </w:tcPr>
          <w:p w14:paraId="68424C6B" w14:textId="77777777" w:rsidR="006C1923" w:rsidRPr="00EF1BA3" w:rsidRDefault="006C1923" w:rsidP="00840C94">
            <w:pPr>
              <w:spacing w:after="0" w:line="480" w:lineRule="auto"/>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Cost of Capital</w:t>
            </w:r>
          </w:p>
        </w:tc>
        <w:tc>
          <w:tcPr>
            <w:tcW w:w="1363" w:type="dxa"/>
            <w:tcBorders>
              <w:top w:val="nil"/>
              <w:left w:val="nil"/>
              <w:bottom w:val="nil"/>
              <w:right w:val="nil"/>
            </w:tcBorders>
            <w:shd w:val="clear" w:color="auto" w:fill="auto"/>
            <w:noWrap/>
            <w:vAlign w:val="bottom"/>
            <w:hideMark/>
          </w:tcPr>
          <w:p w14:paraId="527A96B0" w14:textId="77777777" w:rsidR="006C1923" w:rsidRPr="00EF1BA3" w:rsidRDefault="006C1923" w:rsidP="00840C94">
            <w:pPr>
              <w:spacing w:after="0" w:line="480" w:lineRule="auto"/>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8%</w:t>
            </w:r>
          </w:p>
        </w:tc>
        <w:tc>
          <w:tcPr>
            <w:tcW w:w="1060" w:type="dxa"/>
            <w:tcBorders>
              <w:top w:val="nil"/>
              <w:left w:val="nil"/>
              <w:bottom w:val="nil"/>
              <w:right w:val="nil"/>
            </w:tcBorders>
            <w:shd w:val="clear" w:color="auto" w:fill="auto"/>
            <w:noWrap/>
            <w:vAlign w:val="bottom"/>
            <w:hideMark/>
          </w:tcPr>
          <w:p w14:paraId="43F3B468" w14:textId="77777777" w:rsidR="006C1923" w:rsidRPr="00EF1BA3" w:rsidRDefault="006C1923" w:rsidP="008D546A">
            <w:pPr>
              <w:spacing w:after="0" w:line="480" w:lineRule="auto"/>
              <w:jc w:val="right"/>
              <w:rPr>
                <w:rFonts w:ascii="Times New Roman" w:eastAsia="Times New Roman" w:hAnsi="Times New Roman" w:cs="Times New Roman"/>
                <w:b/>
                <w:bCs/>
                <w:color w:val="000000"/>
                <w:szCs w:val="24"/>
                <w:lang w:eastAsia="en-GB"/>
              </w:rPr>
            </w:pPr>
          </w:p>
        </w:tc>
        <w:tc>
          <w:tcPr>
            <w:tcW w:w="1240" w:type="dxa"/>
            <w:tcBorders>
              <w:top w:val="nil"/>
              <w:left w:val="nil"/>
              <w:bottom w:val="nil"/>
              <w:right w:val="nil"/>
            </w:tcBorders>
            <w:shd w:val="clear" w:color="auto" w:fill="auto"/>
            <w:noWrap/>
            <w:vAlign w:val="bottom"/>
            <w:hideMark/>
          </w:tcPr>
          <w:p w14:paraId="775CC4C8"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3CF6260A"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4A1E315D"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14:paraId="03588D90"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r>
      <w:tr w:rsidR="006C1923" w:rsidRPr="00EF1BA3" w14:paraId="5F3D531F" w14:textId="77777777" w:rsidTr="001B4047">
        <w:trPr>
          <w:trHeight w:val="945"/>
        </w:trPr>
        <w:tc>
          <w:tcPr>
            <w:tcW w:w="18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F34EED7"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Discounted Cash Flows</w:t>
            </w:r>
          </w:p>
        </w:tc>
        <w:tc>
          <w:tcPr>
            <w:tcW w:w="1363" w:type="dxa"/>
            <w:tcBorders>
              <w:top w:val="single" w:sz="8" w:space="0" w:color="auto"/>
              <w:left w:val="nil"/>
              <w:bottom w:val="single" w:sz="4" w:space="0" w:color="auto"/>
              <w:right w:val="single" w:sz="4" w:space="0" w:color="auto"/>
            </w:tcBorders>
            <w:shd w:val="clear" w:color="auto" w:fill="auto"/>
            <w:vAlign w:val="center"/>
            <w:hideMark/>
          </w:tcPr>
          <w:p w14:paraId="7CBB7941"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Initial Investment</w:t>
            </w:r>
          </w:p>
        </w:tc>
        <w:tc>
          <w:tcPr>
            <w:tcW w:w="1060" w:type="dxa"/>
            <w:tcBorders>
              <w:top w:val="single" w:sz="8" w:space="0" w:color="auto"/>
              <w:left w:val="nil"/>
              <w:bottom w:val="single" w:sz="4" w:space="0" w:color="auto"/>
              <w:right w:val="single" w:sz="4" w:space="0" w:color="auto"/>
            </w:tcBorders>
            <w:shd w:val="clear" w:color="auto" w:fill="auto"/>
            <w:vAlign w:val="center"/>
            <w:hideMark/>
          </w:tcPr>
          <w:p w14:paraId="3F27B9EF"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7214E175"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261A4B54"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59C898E0"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2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7F9DAE86" w14:textId="77777777" w:rsidR="006C1923" w:rsidRPr="00EF1BA3" w:rsidRDefault="006C1923" w:rsidP="001B4047">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Net Present Value</w:t>
            </w:r>
          </w:p>
        </w:tc>
      </w:tr>
      <w:tr w:rsidR="006C1923" w:rsidRPr="00EF1BA3" w14:paraId="3451F751" w14:textId="77777777" w:rsidTr="00840C94">
        <w:trPr>
          <w:trHeight w:val="315"/>
        </w:trPr>
        <w:tc>
          <w:tcPr>
            <w:tcW w:w="1880" w:type="dxa"/>
            <w:tcBorders>
              <w:top w:val="nil"/>
              <w:left w:val="single" w:sz="8" w:space="0" w:color="auto"/>
              <w:bottom w:val="single" w:sz="4" w:space="0" w:color="auto"/>
              <w:right w:val="single" w:sz="4" w:space="0" w:color="auto"/>
            </w:tcBorders>
            <w:shd w:val="clear" w:color="auto" w:fill="auto"/>
            <w:vAlign w:val="center"/>
            <w:hideMark/>
          </w:tcPr>
          <w:p w14:paraId="4EAAC39F"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363" w:type="dxa"/>
            <w:tcBorders>
              <w:top w:val="nil"/>
              <w:left w:val="nil"/>
              <w:bottom w:val="single" w:sz="4" w:space="0" w:color="auto"/>
              <w:right w:val="single" w:sz="4" w:space="0" w:color="auto"/>
            </w:tcBorders>
            <w:shd w:val="clear" w:color="auto" w:fill="auto"/>
            <w:vAlign w:val="center"/>
            <w:hideMark/>
          </w:tcPr>
          <w:p w14:paraId="081F922B"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14:paraId="3E372236"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1</w:t>
            </w:r>
          </w:p>
        </w:tc>
        <w:tc>
          <w:tcPr>
            <w:tcW w:w="1240" w:type="dxa"/>
            <w:tcBorders>
              <w:top w:val="nil"/>
              <w:left w:val="nil"/>
              <w:bottom w:val="single" w:sz="4" w:space="0" w:color="auto"/>
              <w:right w:val="single" w:sz="4" w:space="0" w:color="auto"/>
            </w:tcBorders>
            <w:shd w:val="clear" w:color="auto" w:fill="auto"/>
            <w:vAlign w:val="center"/>
            <w:hideMark/>
          </w:tcPr>
          <w:p w14:paraId="642839FF"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2</w:t>
            </w:r>
          </w:p>
        </w:tc>
        <w:tc>
          <w:tcPr>
            <w:tcW w:w="1240" w:type="dxa"/>
            <w:tcBorders>
              <w:top w:val="nil"/>
              <w:left w:val="nil"/>
              <w:bottom w:val="single" w:sz="4" w:space="0" w:color="auto"/>
              <w:right w:val="single" w:sz="4" w:space="0" w:color="auto"/>
            </w:tcBorders>
            <w:shd w:val="clear" w:color="auto" w:fill="auto"/>
            <w:vAlign w:val="center"/>
            <w:hideMark/>
          </w:tcPr>
          <w:p w14:paraId="7645D74E"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3</w:t>
            </w:r>
          </w:p>
        </w:tc>
        <w:tc>
          <w:tcPr>
            <w:tcW w:w="1240" w:type="dxa"/>
            <w:tcBorders>
              <w:top w:val="nil"/>
              <w:left w:val="nil"/>
              <w:bottom w:val="single" w:sz="4" w:space="0" w:color="auto"/>
              <w:right w:val="single" w:sz="4" w:space="0" w:color="auto"/>
            </w:tcBorders>
            <w:shd w:val="clear" w:color="auto" w:fill="auto"/>
            <w:vAlign w:val="center"/>
            <w:hideMark/>
          </w:tcPr>
          <w:p w14:paraId="7061CC36"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4</w:t>
            </w:r>
          </w:p>
        </w:tc>
        <w:tc>
          <w:tcPr>
            <w:tcW w:w="1220" w:type="dxa"/>
            <w:vMerge/>
            <w:tcBorders>
              <w:top w:val="single" w:sz="8" w:space="0" w:color="auto"/>
              <w:left w:val="single" w:sz="4" w:space="0" w:color="auto"/>
              <w:bottom w:val="single" w:sz="4" w:space="0" w:color="auto"/>
              <w:right w:val="single" w:sz="8" w:space="0" w:color="auto"/>
            </w:tcBorders>
            <w:vAlign w:val="center"/>
            <w:hideMark/>
          </w:tcPr>
          <w:p w14:paraId="72E41DA3" w14:textId="77777777" w:rsidR="006C1923" w:rsidRPr="00EF1BA3" w:rsidRDefault="006C1923" w:rsidP="00840C94">
            <w:pPr>
              <w:spacing w:after="0" w:line="240" w:lineRule="auto"/>
              <w:jc w:val="left"/>
              <w:rPr>
                <w:rFonts w:ascii="Times New Roman" w:eastAsia="Times New Roman" w:hAnsi="Times New Roman" w:cs="Times New Roman"/>
                <w:b/>
                <w:bCs/>
                <w:color w:val="000000"/>
                <w:szCs w:val="24"/>
                <w:lang w:eastAsia="en-GB"/>
              </w:rPr>
            </w:pPr>
          </w:p>
        </w:tc>
      </w:tr>
      <w:tr w:rsidR="006C1923" w:rsidRPr="00EF1BA3" w14:paraId="0D1E7838" w14:textId="77777777" w:rsidTr="00840C94">
        <w:trPr>
          <w:trHeight w:val="315"/>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14:paraId="4789B71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lastRenderedPageBreak/>
              <w:t> </w:t>
            </w:r>
          </w:p>
        </w:tc>
        <w:tc>
          <w:tcPr>
            <w:tcW w:w="1363" w:type="dxa"/>
            <w:tcBorders>
              <w:top w:val="nil"/>
              <w:left w:val="nil"/>
              <w:bottom w:val="single" w:sz="4" w:space="0" w:color="auto"/>
              <w:right w:val="single" w:sz="4" w:space="0" w:color="auto"/>
            </w:tcBorders>
            <w:shd w:val="clear" w:color="auto" w:fill="auto"/>
            <w:vAlign w:val="center"/>
            <w:hideMark/>
          </w:tcPr>
          <w:p w14:paraId="0940DC73"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060" w:type="dxa"/>
            <w:tcBorders>
              <w:top w:val="nil"/>
              <w:left w:val="nil"/>
              <w:bottom w:val="single" w:sz="4" w:space="0" w:color="auto"/>
              <w:right w:val="single" w:sz="4" w:space="0" w:color="auto"/>
            </w:tcBorders>
            <w:shd w:val="clear" w:color="auto" w:fill="auto"/>
            <w:vAlign w:val="center"/>
            <w:hideMark/>
          </w:tcPr>
          <w:p w14:paraId="1855D004"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40" w:type="dxa"/>
            <w:tcBorders>
              <w:top w:val="nil"/>
              <w:left w:val="nil"/>
              <w:bottom w:val="single" w:sz="4" w:space="0" w:color="auto"/>
              <w:right w:val="single" w:sz="4" w:space="0" w:color="auto"/>
            </w:tcBorders>
            <w:shd w:val="clear" w:color="auto" w:fill="auto"/>
            <w:vAlign w:val="center"/>
            <w:hideMark/>
          </w:tcPr>
          <w:p w14:paraId="2F19F1AF"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40" w:type="dxa"/>
            <w:tcBorders>
              <w:top w:val="nil"/>
              <w:left w:val="nil"/>
              <w:bottom w:val="single" w:sz="4" w:space="0" w:color="auto"/>
              <w:right w:val="single" w:sz="4" w:space="0" w:color="auto"/>
            </w:tcBorders>
            <w:shd w:val="clear" w:color="auto" w:fill="auto"/>
            <w:vAlign w:val="center"/>
            <w:hideMark/>
          </w:tcPr>
          <w:p w14:paraId="1159A450"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40" w:type="dxa"/>
            <w:tcBorders>
              <w:top w:val="nil"/>
              <w:left w:val="nil"/>
              <w:bottom w:val="single" w:sz="4" w:space="0" w:color="auto"/>
              <w:right w:val="single" w:sz="4" w:space="0" w:color="auto"/>
            </w:tcBorders>
            <w:shd w:val="clear" w:color="auto" w:fill="auto"/>
            <w:vAlign w:val="center"/>
            <w:hideMark/>
          </w:tcPr>
          <w:p w14:paraId="37014D75" w14:textId="77777777" w:rsidR="006C1923" w:rsidRPr="00EF1BA3" w:rsidRDefault="006C1923" w:rsidP="00840C94">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20" w:type="dxa"/>
            <w:vMerge/>
            <w:tcBorders>
              <w:top w:val="single" w:sz="8" w:space="0" w:color="auto"/>
              <w:left w:val="single" w:sz="4" w:space="0" w:color="auto"/>
              <w:bottom w:val="single" w:sz="4" w:space="0" w:color="auto"/>
              <w:right w:val="single" w:sz="8" w:space="0" w:color="auto"/>
            </w:tcBorders>
            <w:vAlign w:val="center"/>
            <w:hideMark/>
          </w:tcPr>
          <w:p w14:paraId="4805446A" w14:textId="77777777" w:rsidR="006C1923" w:rsidRPr="00EF1BA3" w:rsidRDefault="006C1923" w:rsidP="00840C94">
            <w:pPr>
              <w:spacing w:after="0" w:line="240" w:lineRule="auto"/>
              <w:jc w:val="left"/>
              <w:rPr>
                <w:rFonts w:ascii="Times New Roman" w:eastAsia="Times New Roman" w:hAnsi="Times New Roman" w:cs="Times New Roman"/>
                <w:b/>
                <w:bCs/>
                <w:color w:val="000000"/>
                <w:szCs w:val="24"/>
                <w:lang w:eastAsia="en-GB"/>
              </w:rPr>
            </w:pPr>
          </w:p>
        </w:tc>
      </w:tr>
      <w:tr w:rsidR="006C1923" w:rsidRPr="00EF1BA3" w14:paraId="3105C53F" w14:textId="77777777" w:rsidTr="00840C94">
        <w:trPr>
          <w:trHeight w:val="315"/>
        </w:trPr>
        <w:tc>
          <w:tcPr>
            <w:tcW w:w="1880" w:type="dxa"/>
            <w:tcBorders>
              <w:top w:val="nil"/>
              <w:left w:val="single" w:sz="8" w:space="0" w:color="auto"/>
              <w:bottom w:val="single" w:sz="4" w:space="0" w:color="auto"/>
              <w:right w:val="single" w:sz="4" w:space="0" w:color="auto"/>
            </w:tcBorders>
            <w:shd w:val="clear" w:color="auto" w:fill="auto"/>
            <w:vAlign w:val="center"/>
            <w:hideMark/>
          </w:tcPr>
          <w:p w14:paraId="64F6AA6C"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(A)</w:t>
            </w:r>
          </w:p>
        </w:tc>
        <w:tc>
          <w:tcPr>
            <w:tcW w:w="1363" w:type="dxa"/>
            <w:tcBorders>
              <w:top w:val="nil"/>
              <w:left w:val="nil"/>
              <w:bottom w:val="single" w:sz="4" w:space="0" w:color="auto"/>
              <w:right w:val="single" w:sz="4" w:space="0" w:color="auto"/>
            </w:tcBorders>
            <w:shd w:val="clear" w:color="auto" w:fill="auto"/>
            <w:vAlign w:val="center"/>
            <w:hideMark/>
          </w:tcPr>
          <w:p w14:paraId="6A67CA38" w14:textId="77777777" w:rsidR="009414C9" w:rsidRDefault="009414C9" w:rsidP="00840C94">
            <w:pPr>
              <w:spacing w:after="0" w:line="240" w:lineRule="auto"/>
              <w:jc w:val="center"/>
              <w:rPr>
                <w:rFonts w:ascii="Times New Roman" w:eastAsia="Times New Roman" w:hAnsi="Times New Roman" w:cs="Times New Roman"/>
                <w:color w:val="000000"/>
                <w:szCs w:val="24"/>
                <w:lang w:eastAsia="en-GB"/>
              </w:rPr>
            </w:pPr>
          </w:p>
          <w:p w14:paraId="65F4E645"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-750</w:t>
            </w:r>
          </w:p>
        </w:tc>
        <w:tc>
          <w:tcPr>
            <w:tcW w:w="1060" w:type="dxa"/>
            <w:tcBorders>
              <w:top w:val="nil"/>
              <w:left w:val="nil"/>
              <w:bottom w:val="single" w:sz="4" w:space="0" w:color="auto"/>
              <w:right w:val="single" w:sz="4" w:space="0" w:color="auto"/>
            </w:tcBorders>
            <w:shd w:val="clear" w:color="auto" w:fill="auto"/>
            <w:noWrap/>
            <w:vAlign w:val="bottom"/>
            <w:hideMark/>
          </w:tcPr>
          <w:p w14:paraId="7F32DAA0"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469.907 </w:t>
            </w:r>
          </w:p>
        </w:tc>
        <w:tc>
          <w:tcPr>
            <w:tcW w:w="1240" w:type="dxa"/>
            <w:tcBorders>
              <w:top w:val="nil"/>
              <w:left w:val="nil"/>
              <w:bottom w:val="single" w:sz="4" w:space="0" w:color="auto"/>
              <w:right w:val="single" w:sz="4" w:space="0" w:color="auto"/>
            </w:tcBorders>
            <w:shd w:val="clear" w:color="auto" w:fill="auto"/>
            <w:noWrap/>
            <w:vAlign w:val="bottom"/>
            <w:hideMark/>
          </w:tcPr>
          <w:p w14:paraId="5CFA2C1A"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503.687 </w:t>
            </w:r>
          </w:p>
        </w:tc>
        <w:tc>
          <w:tcPr>
            <w:tcW w:w="1240" w:type="dxa"/>
            <w:tcBorders>
              <w:top w:val="nil"/>
              <w:left w:val="nil"/>
              <w:bottom w:val="single" w:sz="4" w:space="0" w:color="auto"/>
              <w:right w:val="single" w:sz="4" w:space="0" w:color="auto"/>
            </w:tcBorders>
            <w:shd w:val="clear" w:color="auto" w:fill="auto"/>
            <w:noWrap/>
            <w:vAlign w:val="bottom"/>
            <w:hideMark/>
          </w:tcPr>
          <w:p w14:paraId="047AC49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466.376 </w:t>
            </w:r>
          </w:p>
        </w:tc>
        <w:tc>
          <w:tcPr>
            <w:tcW w:w="1240" w:type="dxa"/>
            <w:tcBorders>
              <w:top w:val="nil"/>
              <w:left w:val="nil"/>
              <w:bottom w:val="single" w:sz="4" w:space="0" w:color="auto"/>
              <w:right w:val="single" w:sz="4" w:space="0" w:color="auto"/>
            </w:tcBorders>
            <w:shd w:val="clear" w:color="auto" w:fill="auto"/>
            <w:noWrap/>
            <w:vAlign w:val="bottom"/>
            <w:hideMark/>
          </w:tcPr>
          <w:p w14:paraId="74D42127"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431.830 </w:t>
            </w:r>
          </w:p>
        </w:tc>
        <w:tc>
          <w:tcPr>
            <w:tcW w:w="1220" w:type="dxa"/>
            <w:tcBorders>
              <w:top w:val="nil"/>
              <w:left w:val="nil"/>
              <w:bottom w:val="single" w:sz="4" w:space="0" w:color="auto"/>
              <w:right w:val="single" w:sz="8" w:space="0" w:color="auto"/>
            </w:tcBorders>
            <w:shd w:val="clear" w:color="auto" w:fill="auto"/>
            <w:noWrap/>
            <w:vAlign w:val="bottom"/>
            <w:hideMark/>
          </w:tcPr>
          <w:p w14:paraId="0908C8A3"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1,121.800 </w:t>
            </w:r>
          </w:p>
        </w:tc>
      </w:tr>
      <w:tr w:rsidR="006C1923" w:rsidRPr="00EF1BA3" w14:paraId="086907FC" w14:textId="77777777" w:rsidTr="00840C94">
        <w:trPr>
          <w:trHeight w:val="315"/>
        </w:trPr>
        <w:tc>
          <w:tcPr>
            <w:tcW w:w="1880" w:type="dxa"/>
            <w:tcBorders>
              <w:top w:val="nil"/>
              <w:left w:val="single" w:sz="8" w:space="0" w:color="auto"/>
              <w:bottom w:val="single" w:sz="4" w:space="0" w:color="auto"/>
              <w:right w:val="single" w:sz="4" w:space="0" w:color="auto"/>
            </w:tcBorders>
            <w:shd w:val="clear" w:color="auto" w:fill="auto"/>
            <w:vAlign w:val="center"/>
            <w:hideMark/>
          </w:tcPr>
          <w:p w14:paraId="456CC5EC"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(B)</w:t>
            </w:r>
          </w:p>
        </w:tc>
        <w:tc>
          <w:tcPr>
            <w:tcW w:w="1363" w:type="dxa"/>
            <w:tcBorders>
              <w:top w:val="nil"/>
              <w:left w:val="nil"/>
              <w:bottom w:val="single" w:sz="4" w:space="0" w:color="auto"/>
              <w:right w:val="single" w:sz="4" w:space="0" w:color="auto"/>
            </w:tcBorders>
            <w:shd w:val="clear" w:color="auto" w:fill="auto"/>
            <w:vAlign w:val="center"/>
            <w:hideMark/>
          </w:tcPr>
          <w:p w14:paraId="517E03E2" w14:textId="77777777" w:rsidR="009414C9" w:rsidRDefault="009414C9" w:rsidP="00840C94">
            <w:pPr>
              <w:spacing w:after="0" w:line="240" w:lineRule="auto"/>
              <w:jc w:val="center"/>
              <w:rPr>
                <w:rFonts w:ascii="Times New Roman" w:eastAsia="Times New Roman" w:hAnsi="Times New Roman" w:cs="Times New Roman"/>
                <w:color w:val="000000"/>
                <w:szCs w:val="24"/>
                <w:lang w:eastAsia="en-GB"/>
              </w:rPr>
            </w:pPr>
          </w:p>
          <w:p w14:paraId="78F1C5DF"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-1200</w:t>
            </w:r>
          </w:p>
        </w:tc>
        <w:tc>
          <w:tcPr>
            <w:tcW w:w="1060" w:type="dxa"/>
            <w:tcBorders>
              <w:top w:val="nil"/>
              <w:left w:val="nil"/>
              <w:bottom w:val="single" w:sz="4" w:space="0" w:color="auto"/>
              <w:right w:val="single" w:sz="4" w:space="0" w:color="auto"/>
            </w:tcBorders>
            <w:shd w:val="clear" w:color="auto" w:fill="auto"/>
            <w:noWrap/>
            <w:vAlign w:val="bottom"/>
            <w:hideMark/>
          </w:tcPr>
          <w:p w14:paraId="6E4105BA"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648.148 </w:t>
            </w:r>
          </w:p>
        </w:tc>
        <w:tc>
          <w:tcPr>
            <w:tcW w:w="1240" w:type="dxa"/>
            <w:tcBorders>
              <w:top w:val="nil"/>
              <w:left w:val="nil"/>
              <w:bottom w:val="single" w:sz="4" w:space="0" w:color="auto"/>
              <w:right w:val="single" w:sz="4" w:space="0" w:color="auto"/>
            </w:tcBorders>
            <w:shd w:val="clear" w:color="auto" w:fill="auto"/>
            <w:noWrap/>
            <w:vAlign w:val="bottom"/>
            <w:hideMark/>
          </w:tcPr>
          <w:p w14:paraId="4F85AB6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668.724 </w:t>
            </w:r>
          </w:p>
        </w:tc>
        <w:tc>
          <w:tcPr>
            <w:tcW w:w="1240" w:type="dxa"/>
            <w:tcBorders>
              <w:top w:val="nil"/>
              <w:left w:val="nil"/>
              <w:bottom w:val="single" w:sz="4" w:space="0" w:color="auto"/>
              <w:right w:val="single" w:sz="4" w:space="0" w:color="auto"/>
            </w:tcBorders>
            <w:shd w:val="clear" w:color="auto" w:fill="auto"/>
            <w:noWrap/>
            <w:vAlign w:val="bottom"/>
            <w:hideMark/>
          </w:tcPr>
          <w:p w14:paraId="560C76FD"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746.202 </w:t>
            </w:r>
          </w:p>
        </w:tc>
        <w:tc>
          <w:tcPr>
            <w:tcW w:w="1240" w:type="dxa"/>
            <w:tcBorders>
              <w:top w:val="nil"/>
              <w:left w:val="nil"/>
              <w:bottom w:val="single" w:sz="4" w:space="0" w:color="auto"/>
              <w:right w:val="single" w:sz="4" w:space="0" w:color="auto"/>
            </w:tcBorders>
            <w:shd w:val="clear" w:color="auto" w:fill="auto"/>
            <w:noWrap/>
            <w:vAlign w:val="bottom"/>
            <w:hideMark/>
          </w:tcPr>
          <w:p w14:paraId="373D9E1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808.533 </w:t>
            </w:r>
          </w:p>
        </w:tc>
        <w:tc>
          <w:tcPr>
            <w:tcW w:w="1220" w:type="dxa"/>
            <w:tcBorders>
              <w:top w:val="nil"/>
              <w:left w:val="nil"/>
              <w:bottom w:val="single" w:sz="4" w:space="0" w:color="auto"/>
              <w:right w:val="single" w:sz="8" w:space="0" w:color="auto"/>
            </w:tcBorders>
            <w:shd w:val="clear" w:color="auto" w:fill="auto"/>
            <w:noWrap/>
            <w:vAlign w:val="bottom"/>
            <w:hideMark/>
          </w:tcPr>
          <w:p w14:paraId="51E63AC2"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1,671.608 </w:t>
            </w:r>
          </w:p>
        </w:tc>
      </w:tr>
      <w:tr w:rsidR="006C1923" w:rsidRPr="00EF1BA3" w14:paraId="4E9FD95C" w14:textId="77777777" w:rsidTr="00840C94">
        <w:trPr>
          <w:trHeight w:val="330"/>
        </w:trPr>
        <w:tc>
          <w:tcPr>
            <w:tcW w:w="1880" w:type="dxa"/>
            <w:tcBorders>
              <w:top w:val="nil"/>
              <w:left w:val="single" w:sz="8" w:space="0" w:color="auto"/>
              <w:bottom w:val="single" w:sz="8" w:space="0" w:color="auto"/>
              <w:right w:val="single" w:sz="4" w:space="0" w:color="auto"/>
            </w:tcBorders>
            <w:shd w:val="clear" w:color="auto" w:fill="auto"/>
            <w:vAlign w:val="center"/>
            <w:hideMark/>
          </w:tcPr>
          <w:p w14:paraId="40640A6A"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w:t>
            </w:r>
          </w:p>
        </w:tc>
        <w:tc>
          <w:tcPr>
            <w:tcW w:w="1363" w:type="dxa"/>
            <w:tcBorders>
              <w:top w:val="nil"/>
              <w:left w:val="nil"/>
              <w:bottom w:val="single" w:sz="8" w:space="0" w:color="auto"/>
              <w:right w:val="single" w:sz="4" w:space="0" w:color="auto"/>
            </w:tcBorders>
            <w:shd w:val="clear" w:color="auto" w:fill="auto"/>
            <w:vAlign w:val="center"/>
            <w:hideMark/>
          </w:tcPr>
          <w:p w14:paraId="21CD0679" w14:textId="77777777" w:rsidR="009414C9" w:rsidRDefault="009414C9" w:rsidP="00840C94">
            <w:pPr>
              <w:spacing w:after="0" w:line="240" w:lineRule="auto"/>
              <w:jc w:val="center"/>
              <w:rPr>
                <w:rFonts w:ascii="Times New Roman" w:eastAsia="Times New Roman" w:hAnsi="Times New Roman" w:cs="Times New Roman"/>
                <w:color w:val="000000"/>
                <w:szCs w:val="24"/>
                <w:lang w:eastAsia="en-GB"/>
              </w:rPr>
            </w:pPr>
          </w:p>
          <w:p w14:paraId="58F0635E" w14:textId="77777777" w:rsidR="006C1923" w:rsidRPr="00EF1BA3" w:rsidRDefault="006C1923" w:rsidP="00840C94">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-2000</w:t>
            </w:r>
          </w:p>
        </w:tc>
        <w:tc>
          <w:tcPr>
            <w:tcW w:w="1060" w:type="dxa"/>
            <w:tcBorders>
              <w:top w:val="nil"/>
              <w:left w:val="nil"/>
              <w:bottom w:val="single" w:sz="8" w:space="0" w:color="auto"/>
              <w:right w:val="single" w:sz="4" w:space="0" w:color="auto"/>
            </w:tcBorders>
            <w:shd w:val="clear" w:color="auto" w:fill="auto"/>
            <w:noWrap/>
            <w:vAlign w:val="bottom"/>
            <w:hideMark/>
          </w:tcPr>
          <w:p w14:paraId="1920E557"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833.333 </w:t>
            </w:r>
          </w:p>
        </w:tc>
        <w:tc>
          <w:tcPr>
            <w:tcW w:w="1240" w:type="dxa"/>
            <w:tcBorders>
              <w:top w:val="nil"/>
              <w:left w:val="nil"/>
              <w:bottom w:val="single" w:sz="8" w:space="0" w:color="auto"/>
              <w:right w:val="single" w:sz="4" w:space="0" w:color="auto"/>
            </w:tcBorders>
            <w:shd w:val="clear" w:color="auto" w:fill="auto"/>
            <w:noWrap/>
            <w:vAlign w:val="bottom"/>
            <w:hideMark/>
          </w:tcPr>
          <w:p w14:paraId="1E0B0C6E"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1,114.540 </w:t>
            </w:r>
          </w:p>
        </w:tc>
        <w:tc>
          <w:tcPr>
            <w:tcW w:w="1240" w:type="dxa"/>
            <w:tcBorders>
              <w:top w:val="nil"/>
              <w:left w:val="nil"/>
              <w:bottom w:val="single" w:sz="8" w:space="0" w:color="auto"/>
              <w:right w:val="single" w:sz="4" w:space="0" w:color="auto"/>
            </w:tcBorders>
            <w:shd w:val="clear" w:color="auto" w:fill="auto"/>
            <w:noWrap/>
            <w:vAlign w:val="bottom"/>
            <w:hideMark/>
          </w:tcPr>
          <w:p w14:paraId="28E898ED"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1,349.515 </w:t>
            </w:r>
          </w:p>
        </w:tc>
        <w:tc>
          <w:tcPr>
            <w:tcW w:w="1240" w:type="dxa"/>
            <w:tcBorders>
              <w:top w:val="nil"/>
              <w:left w:val="nil"/>
              <w:bottom w:val="single" w:sz="8" w:space="0" w:color="auto"/>
              <w:right w:val="single" w:sz="4" w:space="0" w:color="auto"/>
            </w:tcBorders>
            <w:shd w:val="clear" w:color="auto" w:fill="auto"/>
            <w:noWrap/>
            <w:vAlign w:val="bottom"/>
            <w:hideMark/>
          </w:tcPr>
          <w:p w14:paraId="7E3F8214"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1,249.551 </w:t>
            </w:r>
          </w:p>
        </w:tc>
        <w:tc>
          <w:tcPr>
            <w:tcW w:w="1220" w:type="dxa"/>
            <w:tcBorders>
              <w:top w:val="nil"/>
              <w:left w:val="nil"/>
              <w:bottom w:val="single" w:sz="8" w:space="0" w:color="auto"/>
              <w:right w:val="single" w:sz="8" w:space="0" w:color="auto"/>
            </w:tcBorders>
            <w:shd w:val="clear" w:color="auto" w:fill="auto"/>
            <w:noWrap/>
            <w:vAlign w:val="bottom"/>
            <w:hideMark/>
          </w:tcPr>
          <w:p w14:paraId="656E2C21" w14:textId="77777777" w:rsidR="006C1923" w:rsidRPr="00EF1BA3" w:rsidRDefault="006C1923" w:rsidP="00840C94">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2,546.939 </w:t>
            </w:r>
          </w:p>
        </w:tc>
      </w:tr>
    </w:tbl>
    <w:p w14:paraId="6562836C" w14:textId="0D918646" w:rsidR="006C1923" w:rsidRPr="00EF1BA3" w:rsidRDefault="006C1923" w:rsidP="00E171E6">
      <w:pPr>
        <w:spacing w:before="240" w:after="0" w:line="480" w:lineRule="auto"/>
        <w:rPr>
          <w:rFonts w:ascii="Times New Roman" w:hAnsi="Times New Roman" w:cs="Times New Roman"/>
        </w:rPr>
      </w:pPr>
      <w:r w:rsidRPr="00EF1BA3">
        <w:rPr>
          <w:rFonts w:ascii="Times New Roman" w:hAnsi="Times New Roman" w:cs="Times New Roman"/>
        </w:rPr>
        <w:t xml:space="preserve">The table above highlights the discounted cash flows and </w:t>
      </w:r>
      <w:r w:rsidR="00E171E6">
        <w:rPr>
          <w:rFonts w:ascii="Times New Roman" w:hAnsi="Times New Roman" w:cs="Times New Roman"/>
        </w:rPr>
        <w:t xml:space="preserve">NPV </w:t>
      </w:r>
      <w:r w:rsidRPr="00EF1BA3">
        <w:rPr>
          <w:rFonts w:ascii="Times New Roman" w:hAnsi="Times New Roman" w:cs="Times New Roman"/>
        </w:rPr>
        <w:t xml:space="preserve">calculated at the discount rate of 8%. It is noteworthy to mention that all three projects are mutually exclusive so the one project with highest NPV shall be accepted. It can be seen that the initial investment for project A is £750,000 and </w:t>
      </w:r>
      <w:r w:rsidR="00DF3BDE">
        <w:rPr>
          <w:rFonts w:ascii="Times New Roman" w:hAnsi="Times New Roman" w:cs="Times New Roman"/>
        </w:rPr>
        <w:t xml:space="preserve">NPV calculated over the four years is </w:t>
      </w:r>
      <w:r w:rsidRPr="00EF1BA3">
        <w:rPr>
          <w:rFonts w:ascii="Times New Roman" w:hAnsi="Times New Roman" w:cs="Times New Roman"/>
        </w:rPr>
        <w:t>£1,121,800 which is even higher than the investmen</w:t>
      </w:r>
      <w:r w:rsidR="00DF3BDE">
        <w:rPr>
          <w:rFonts w:ascii="Times New Roman" w:hAnsi="Times New Roman" w:cs="Times New Roman"/>
        </w:rPr>
        <w:t xml:space="preserve">t required for the project. </w:t>
      </w:r>
      <w:r w:rsidRPr="00EF1BA3">
        <w:rPr>
          <w:rFonts w:ascii="Times New Roman" w:hAnsi="Times New Roman" w:cs="Times New Roman"/>
        </w:rPr>
        <w:t>Project B requires an initial i</w:t>
      </w:r>
      <w:r w:rsidR="00DF3BDE">
        <w:rPr>
          <w:rFonts w:ascii="Times New Roman" w:hAnsi="Times New Roman" w:cs="Times New Roman"/>
        </w:rPr>
        <w:t xml:space="preserve">nvestment of £1,200,000 and </w:t>
      </w:r>
      <w:r w:rsidR="001279AF">
        <w:rPr>
          <w:rFonts w:ascii="Times New Roman" w:hAnsi="Times New Roman" w:cs="Times New Roman"/>
        </w:rPr>
        <w:t xml:space="preserve">NPV </w:t>
      </w:r>
      <w:r w:rsidRPr="00EF1BA3">
        <w:rPr>
          <w:rFonts w:ascii="Times New Roman" w:hAnsi="Times New Roman" w:cs="Times New Roman"/>
        </w:rPr>
        <w:t xml:space="preserve">calculated is £1,671,608 implying a higher NPV than project </w:t>
      </w:r>
      <w:r w:rsidR="001279AF">
        <w:rPr>
          <w:rFonts w:ascii="Times New Roman" w:hAnsi="Times New Roman" w:cs="Times New Roman"/>
        </w:rPr>
        <w:t>A</w:t>
      </w:r>
      <w:r w:rsidRPr="00EF1BA3">
        <w:rPr>
          <w:rFonts w:ascii="Times New Roman" w:hAnsi="Times New Roman" w:cs="Times New Roman"/>
        </w:rPr>
        <w:t>. In line with the two project</w:t>
      </w:r>
      <w:r w:rsidR="001279AF">
        <w:rPr>
          <w:rFonts w:ascii="Times New Roman" w:hAnsi="Times New Roman" w:cs="Times New Roman"/>
        </w:rPr>
        <w:t>s, p</w:t>
      </w:r>
      <w:r w:rsidRPr="00EF1BA3">
        <w:rPr>
          <w:rFonts w:ascii="Times New Roman" w:hAnsi="Times New Roman" w:cs="Times New Roman"/>
        </w:rPr>
        <w:t>roject C also has a positive NPV of £2,546,939 and it requires an</w:t>
      </w:r>
      <w:r w:rsidR="001279AF">
        <w:rPr>
          <w:rFonts w:ascii="Times New Roman" w:hAnsi="Times New Roman" w:cs="Times New Roman"/>
        </w:rPr>
        <w:t xml:space="preserve"> initial outlay of £2,000,000. </w:t>
      </w:r>
      <w:r w:rsidRPr="00EF1BA3">
        <w:rPr>
          <w:rFonts w:ascii="Times New Roman" w:hAnsi="Times New Roman" w:cs="Times New Roman"/>
        </w:rPr>
        <w:t xml:space="preserve">Therefore, it can be drawn on the basis of NPV analysis that </w:t>
      </w:r>
      <w:r w:rsidR="007B06ED">
        <w:rPr>
          <w:rFonts w:ascii="Times New Roman" w:hAnsi="Times New Roman" w:cs="Times New Roman"/>
        </w:rPr>
        <w:t>p</w:t>
      </w:r>
      <w:r w:rsidRPr="00EF1BA3">
        <w:rPr>
          <w:rFonts w:ascii="Times New Roman" w:hAnsi="Times New Roman" w:cs="Times New Roman"/>
        </w:rPr>
        <w:t xml:space="preserve">roject C shall be accepted if the company has sufficient funds to invest in that project. </w:t>
      </w:r>
    </w:p>
    <w:p w14:paraId="0F58C0BF" w14:textId="65A9F041"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 xml:space="preserve">In addition, the analysis also helps us understand one of the core weaknesses of NPV technique as it does not consider different sizes of the project. As evident from three possible investments in this case, the size of each of the projects </w:t>
      </w:r>
      <w:r w:rsidR="00005E0E">
        <w:rPr>
          <w:rFonts w:ascii="Times New Roman" w:hAnsi="Times New Roman" w:cs="Times New Roman"/>
        </w:rPr>
        <w:t xml:space="preserve">is different and therefore </w:t>
      </w:r>
      <w:r w:rsidRPr="00EF1BA3">
        <w:rPr>
          <w:rFonts w:ascii="Times New Roman" w:hAnsi="Times New Roman" w:cs="Times New Roman"/>
        </w:rPr>
        <w:t>NPV of the pro</w:t>
      </w:r>
      <w:r w:rsidR="00005E0E">
        <w:rPr>
          <w:rFonts w:ascii="Times New Roman" w:hAnsi="Times New Roman" w:cs="Times New Roman"/>
        </w:rPr>
        <w:t xml:space="preserve">jects also varies according to </w:t>
      </w:r>
      <w:r w:rsidRPr="00EF1BA3">
        <w:rPr>
          <w:rFonts w:ascii="Times New Roman" w:hAnsi="Times New Roman" w:cs="Times New Roman"/>
        </w:rPr>
        <w:t>size of</w:t>
      </w:r>
      <w:r w:rsidR="00005E0E">
        <w:rPr>
          <w:rFonts w:ascii="Times New Roman" w:hAnsi="Times New Roman" w:cs="Times New Roman"/>
        </w:rPr>
        <w:t xml:space="preserve"> the</w:t>
      </w:r>
      <w:r w:rsidR="002A6C02">
        <w:rPr>
          <w:rFonts w:ascii="Times New Roman" w:hAnsi="Times New Roman" w:cs="Times New Roman"/>
        </w:rPr>
        <w:t xml:space="preserve"> project. Therefore, a </w:t>
      </w:r>
      <w:r w:rsidRPr="00EF1BA3">
        <w:rPr>
          <w:rFonts w:ascii="Times New Roman" w:hAnsi="Times New Roman" w:cs="Times New Roman"/>
        </w:rPr>
        <w:t>further analysis is carried out by IRR in the section</w:t>
      </w:r>
      <w:r w:rsidR="007203AD">
        <w:rPr>
          <w:rFonts w:ascii="Times New Roman" w:hAnsi="Times New Roman" w:cs="Times New Roman"/>
        </w:rPr>
        <w:t xml:space="preserve"> below</w:t>
      </w:r>
      <w:r w:rsidRPr="00EF1BA3">
        <w:rPr>
          <w:rFonts w:ascii="Times New Roman" w:hAnsi="Times New Roman" w:cs="Times New Roman"/>
        </w:rPr>
        <w:t xml:space="preserve"> </w:t>
      </w:r>
      <w:r w:rsidR="002A6C02">
        <w:rPr>
          <w:rFonts w:ascii="Times New Roman" w:hAnsi="Times New Roman" w:cs="Times New Roman"/>
        </w:rPr>
        <w:t xml:space="preserve">to </w:t>
      </w:r>
      <w:r w:rsidR="00263391">
        <w:rPr>
          <w:rFonts w:ascii="Times New Roman" w:hAnsi="Times New Roman" w:cs="Times New Roman"/>
        </w:rPr>
        <w:t>confirm this choice of project</w:t>
      </w:r>
      <w:r w:rsidR="009B157D">
        <w:rPr>
          <w:rFonts w:ascii="Times New Roman" w:hAnsi="Times New Roman" w:cs="Times New Roman"/>
        </w:rPr>
        <w:t xml:space="preserve"> (</w:t>
      </w:r>
      <w:r w:rsidR="009B157D">
        <w:rPr>
          <w:rFonts w:ascii="Times New Roman" w:hAnsi="Times New Roman" w:cs="Times New Roman"/>
          <w:lang w:val="en-GB"/>
        </w:rPr>
        <w:t>De Andres, de Fuente and San Martin, 2015).</w:t>
      </w:r>
    </w:p>
    <w:p w14:paraId="5AE71230" w14:textId="77777777" w:rsidR="006C1923" w:rsidRPr="004D1DC5" w:rsidRDefault="006C1923" w:rsidP="008D546A">
      <w:pPr>
        <w:pStyle w:val="Heading1"/>
        <w:numPr>
          <w:ilvl w:val="0"/>
          <w:numId w:val="3"/>
        </w:numPr>
        <w:spacing w:before="0" w:line="480" w:lineRule="auto"/>
        <w:rPr>
          <w:rFonts w:ascii="Times New Roman" w:hAnsi="Times New Roman" w:cs="Times New Roman"/>
          <w:sz w:val="26"/>
          <w:szCs w:val="26"/>
        </w:rPr>
      </w:pPr>
      <w:bookmarkStart w:id="22" w:name="_Toc535327098"/>
      <w:r w:rsidRPr="004D1DC5">
        <w:rPr>
          <w:rFonts w:ascii="Times New Roman" w:hAnsi="Times New Roman" w:cs="Times New Roman"/>
          <w:sz w:val="26"/>
          <w:szCs w:val="26"/>
        </w:rPr>
        <w:t>Internal Rate of Return</w:t>
      </w:r>
      <w:bookmarkEnd w:id="22"/>
    </w:p>
    <w:p w14:paraId="6DB19B1E" w14:textId="502F0772" w:rsidR="006C1923" w:rsidRPr="00EF1BA3" w:rsidRDefault="006C1923" w:rsidP="008D546A">
      <w:pPr>
        <w:spacing w:after="0" w:line="480" w:lineRule="auto"/>
        <w:rPr>
          <w:rFonts w:ascii="Times New Roman" w:hAnsi="Times New Roman" w:cs="Times New Roman"/>
        </w:rPr>
      </w:pPr>
      <w:r w:rsidRPr="0020493B">
        <w:rPr>
          <w:rFonts w:ascii="Times New Roman" w:hAnsi="Times New Roman" w:cs="Times New Roman"/>
        </w:rPr>
        <w:t>In accordance with Bennouna, Meredith and Marchant (2010)</w:t>
      </w:r>
      <w:r w:rsidR="00263391" w:rsidRPr="0020493B">
        <w:rPr>
          <w:rFonts w:ascii="Times New Roman" w:hAnsi="Times New Roman" w:cs="Times New Roman"/>
        </w:rPr>
        <w:t xml:space="preserve">, </w:t>
      </w:r>
      <w:r w:rsidRPr="0020493B">
        <w:rPr>
          <w:rFonts w:ascii="Times New Roman" w:hAnsi="Times New Roman" w:cs="Times New Roman"/>
        </w:rPr>
        <w:t>IRR for a project can be defined</w:t>
      </w:r>
      <w:r w:rsidRPr="00EF1BA3">
        <w:rPr>
          <w:rFonts w:ascii="Times New Roman" w:hAnsi="Times New Roman" w:cs="Times New Roman"/>
        </w:rPr>
        <w:t xml:space="preserve"> as the </w:t>
      </w:r>
      <w:r w:rsidR="00263391">
        <w:rPr>
          <w:rFonts w:ascii="Times New Roman" w:hAnsi="Times New Roman" w:cs="Times New Roman"/>
        </w:rPr>
        <w:t xml:space="preserve">discount rate at which </w:t>
      </w:r>
      <w:r w:rsidRPr="00EF1BA3">
        <w:rPr>
          <w:rFonts w:ascii="Times New Roman" w:hAnsi="Times New Roman" w:cs="Times New Roman"/>
        </w:rPr>
        <w:t xml:space="preserve">NPV of the project turns out to be zero. It is usually found by a hit and trial method and an excel command can also be used to reach at the rate using the expected cash </w:t>
      </w:r>
      <w:r w:rsidRPr="00EF1BA3">
        <w:rPr>
          <w:rFonts w:ascii="Times New Roman" w:hAnsi="Times New Roman" w:cs="Times New Roman"/>
        </w:rPr>
        <w:lastRenderedPageBreak/>
        <w:t>flow streams.</w:t>
      </w:r>
      <w:r w:rsidR="00263391">
        <w:rPr>
          <w:rFonts w:ascii="Times New Roman" w:hAnsi="Times New Roman" w:cs="Times New Roman"/>
        </w:rPr>
        <w:t xml:space="preserve"> The decision criterion for </w:t>
      </w:r>
      <w:r w:rsidRPr="00EF1BA3">
        <w:rPr>
          <w:rFonts w:ascii="Times New Roman" w:hAnsi="Times New Roman" w:cs="Times New Roman"/>
        </w:rPr>
        <w:t>IRR is that it must be higher than the discount rate or the hurdle rate set by the sponsors of the project. The results are illustrated in the table below:</w:t>
      </w:r>
    </w:p>
    <w:tbl>
      <w:tblPr>
        <w:tblW w:w="9440" w:type="dxa"/>
        <w:tblInd w:w="10" w:type="dxa"/>
        <w:tblLook w:val="04A0" w:firstRow="1" w:lastRow="0" w:firstColumn="1" w:lastColumn="0" w:noHBand="0" w:noVBand="1"/>
      </w:tblPr>
      <w:tblGrid>
        <w:gridCol w:w="1880"/>
        <w:gridCol w:w="1560"/>
        <w:gridCol w:w="1060"/>
        <w:gridCol w:w="1240"/>
        <w:gridCol w:w="1240"/>
        <w:gridCol w:w="1240"/>
        <w:gridCol w:w="1220"/>
      </w:tblGrid>
      <w:tr w:rsidR="006C1923" w:rsidRPr="00EF1BA3" w14:paraId="5A88333D" w14:textId="77777777" w:rsidTr="00B664C8">
        <w:trPr>
          <w:trHeight w:val="315"/>
        </w:trPr>
        <w:tc>
          <w:tcPr>
            <w:tcW w:w="1880" w:type="dxa"/>
            <w:tcBorders>
              <w:top w:val="nil"/>
              <w:left w:val="nil"/>
              <w:bottom w:val="nil"/>
              <w:right w:val="nil"/>
            </w:tcBorders>
            <w:shd w:val="clear" w:color="auto" w:fill="auto"/>
            <w:vAlign w:val="center"/>
            <w:hideMark/>
          </w:tcPr>
          <w:p w14:paraId="6DE57017" w14:textId="77777777" w:rsidR="006C1923" w:rsidRPr="00EF1BA3" w:rsidRDefault="006C1923" w:rsidP="00263391">
            <w:pPr>
              <w:spacing w:after="0" w:line="480" w:lineRule="auto"/>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IRR</w:t>
            </w:r>
          </w:p>
        </w:tc>
        <w:tc>
          <w:tcPr>
            <w:tcW w:w="1560" w:type="dxa"/>
            <w:tcBorders>
              <w:top w:val="nil"/>
              <w:left w:val="nil"/>
              <w:bottom w:val="nil"/>
              <w:right w:val="nil"/>
            </w:tcBorders>
            <w:shd w:val="clear" w:color="auto" w:fill="auto"/>
            <w:noWrap/>
            <w:vAlign w:val="bottom"/>
            <w:hideMark/>
          </w:tcPr>
          <w:p w14:paraId="160A0DCE" w14:textId="77777777" w:rsidR="006C1923" w:rsidRPr="00EF1BA3" w:rsidRDefault="006C1923" w:rsidP="00263391">
            <w:pPr>
              <w:spacing w:after="0" w:line="480" w:lineRule="auto"/>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50.57%</w:t>
            </w:r>
          </w:p>
        </w:tc>
        <w:tc>
          <w:tcPr>
            <w:tcW w:w="1060" w:type="dxa"/>
            <w:tcBorders>
              <w:top w:val="nil"/>
              <w:left w:val="nil"/>
              <w:bottom w:val="nil"/>
              <w:right w:val="nil"/>
            </w:tcBorders>
            <w:shd w:val="clear" w:color="auto" w:fill="auto"/>
            <w:noWrap/>
            <w:vAlign w:val="bottom"/>
            <w:hideMark/>
          </w:tcPr>
          <w:p w14:paraId="1AC05D99" w14:textId="77777777" w:rsidR="006C1923" w:rsidRPr="00EF1BA3" w:rsidRDefault="006C1923" w:rsidP="008D546A">
            <w:pPr>
              <w:spacing w:after="0" w:line="480" w:lineRule="auto"/>
              <w:jc w:val="right"/>
              <w:rPr>
                <w:rFonts w:ascii="Times New Roman" w:eastAsia="Times New Roman" w:hAnsi="Times New Roman" w:cs="Times New Roman"/>
                <w:b/>
                <w:bCs/>
                <w:color w:val="000000"/>
                <w:szCs w:val="24"/>
                <w:lang w:eastAsia="en-GB"/>
              </w:rPr>
            </w:pPr>
          </w:p>
        </w:tc>
        <w:tc>
          <w:tcPr>
            <w:tcW w:w="1240" w:type="dxa"/>
            <w:tcBorders>
              <w:top w:val="nil"/>
              <w:left w:val="nil"/>
              <w:bottom w:val="nil"/>
              <w:right w:val="nil"/>
            </w:tcBorders>
            <w:shd w:val="clear" w:color="auto" w:fill="auto"/>
            <w:noWrap/>
            <w:vAlign w:val="bottom"/>
            <w:hideMark/>
          </w:tcPr>
          <w:p w14:paraId="60D36E2D"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2A36AC03"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c>
          <w:tcPr>
            <w:tcW w:w="1240" w:type="dxa"/>
            <w:tcBorders>
              <w:top w:val="nil"/>
              <w:left w:val="nil"/>
              <w:bottom w:val="nil"/>
              <w:right w:val="nil"/>
            </w:tcBorders>
            <w:shd w:val="clear" w:color="auto" w:fill="auto"/>
            <w:noWrap/>
            <w:vAlign w:val="bottom"/>
            <w:hideMark/>
          </w:tcPr>
          <w:p w14:paraId="0E71A5A4"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c>
          <w:tcPr>
            <w:tcW w:w="1220" w:type="dxa"/>
            <w:tcBorders>
              <w:top w:val="nil"/>
              <w:left w:val="nil"/>
              <w:bottom w:val="nil"/>
              <w:right w:val="nil"/>
            </w:tcBorders>
            <w:shd w:val="clear" w:color="auto" w:fill="auto"/>
            <w:noWrap/>
            <w:vAlign w:val="bottom"/>
            <w:hideMark/>
          </w:tcPr>
          <w:p w14:paraId="38EC410C" w14:textId="77777777" w:rsidR="006C1923" w:rsidRPr="00EF1BA3" w:rsidRDefault="006C1923" w:rsidP="008D546A">
            <w:pPr>
              <w:spacing w:after="0" w:line="480" w:lineRule="auto"/>
              <w:jc w:val="left"/>
              <w:rPr>
                <w:rFonts w:ascii="Times New Roman" w:eastAsia="Times New Roman" w:hAnsi="Times New Roman" w:cs="Times New Roman"/>
                <w:sz w:val="20"/>
                <w:szCs w:val="20"/>
                <w:lang w:eastAsia="en-GB"/>
              </w:rPr>
            </w:pPr>
          </w:p>
        </w:tc>
      </w:tr>
      <w:tr w:rsidR="006C1923" w:rsidRPr="00EF1BA3" w14:paraId="43237D3C" w14:textId="77777777" w:rsidTr="00263391">
        <w:trPr>
          <w:trHeight w:val="945"/>
        </w:trPr>
        <w:tc>
          <w:tcPr>
            <w:tcW w:w="18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91D4B52"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Discounted Cash Flows</w:t>
            </w:r>
          </w:p>
        </w:tc>
        <w:tc>
          <w:tcPr>
            <w:tcW w:w="1560" w:type="dxa"/>
            <w:tcBorders>
              <w:top w:val="single" w:sz="8" w:space="0" w:color="auto"/>
              <w:left w:val="nil"/>
              <w:bottom w:val="single" w:sz="4" w:space="0" w:color="auto"/>
              <w:right w:val="single" w:sz="4" w:space="0" w:color="auto"/>
            </w:tcBorders>
            <w:shd w:val="clear" w:color="auto" w:fill="auto"/>
            <w:vAlign w:val="center"/>
            <w:hideMark/>
          </w:tcPr>
          <w:p w14:paraId="13DF3573"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Initial Investment</w:t>
            </w:r>
          </w:p>
        </w:tc>
        <w:tc>
          <w:tcPr>
            <w:tcW w:w="1060" w:type="dxa"/>
            <w:tcBorders>
              <w:top w:val="single" w:sz="8" w:space="0" w:color="auto"/>
              <w:left w:val="nil"/>
              <w:bottom w:val="single" w:sz="4" w:space="0" w:color="auto"/>
              <w:right w:val="single" w:sz="4" w:space="0" w:color="auto"/>
            </w:tcBorders>
            <w:shd w:val="clear" w:color="auto" w:fill="auto"/>
            <w:vAlign w:val="center"/>
            <w:hideMark/>
          </w:tcPr>
          <w:p w14:paraId="75123A24"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574D6E37"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508A06A0"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40" w:type="dxa"/>
            <w:tcBorders>
              <w:top w:val="single" w:sz="8" w:space="0" w:color="auto"/>
              <w:left w:val="nil"/>
              <w:bottom w:val="single" w:sz="4" w:space="0" w:color="auto"/>
              <w:right w:val="single" w:sz="4" w:space="0" w:color="auto"/>
            </w:tcBorders>
            <w:shd w:val="clear" w:color="auto" w:fill="auto"/>
            <w:vAlign w:val="center"/>
            <w:hideMark/>
          </w:tcPr>
          <w:p w14:paraId="5A2D0F60"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Year</w:t>
            </w:r>
          </w:p>
        </w:tc>
        <w:tc>
          <w:tcPr>
            <w:tcW w:w="1220"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14:paraId="0DB3BB42"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Net Present Value</w:t>
            </w:r>
          </w:p>
        </w:tc>
      </w:tr>
      <w:tr w:rsidR="006C1923" w:rsidRPr="00EF1BA3" w14:paraId="24CC3423" w14:textId="77777777" w:rsidTr="00B664C8">
        <w:trPr>
          <w:trHeight w:val="315"/>
        </w:trPr>
        <w:tc>
          <w:tcPr>
            <w:tcW w:w="1880" w:type="dxa"/>
            <w:tcBorders>
              <w:top w:val="nil"/>
              <w:left w:val="single" w:sz="8" w:space="0" w:color="auto"/>
              <w:bottom w:val="single" w:sz="4" w:space="0" w:color="auto"/>
              <w:right w:val="single" w:sz="4" w:space="0" w:color="auto"/>
            </w:tcBorders>
            <w:shd w:val="clear" w:color="auto" w:fill="auto"/>
            <w:vAlign w:val="center"/>
            <w:hideMark/>
          </w:tcPr>
          <w:p w14:paraId="438851B8" w14:textId="77777777" w:rsidR="006C1923" w:rsidRPr="00EF1BA3" w:rsidRDefault="006C1923" w:rsidP="00263391">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560" w:type="dxa"/>
            <w:tcBorders>
              <w:top w:val="nil"/>
              <w:left w:val="nil"/>
              <w:bottom w:val="single" w:sz="4" w:space="0" w:color="auto"/>
              <w:right w:val="single" w:sz="4" w:space="0" w:color="auto"/>
            </w:tcBorders>
            <w:shd w:val="clear" w:color="auto" w:fill="auto"/>
            <w:vAlign w:val="center"/>
            <w:hideMark/>
          </w:tcPr>
          <w:p w14:paraId="5FB3E166"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 </w:t>
            </w:r>
          </w:p>
        </w:tc>
        <w:tc>
          <w:tcPr>
            <w:tcW w:w="1060" w:type="dxa"/>
            <w:tcBorders>
              <w:top w:val="nil"/>
              <w:left w:val="nil"/>
              <w:bottom w:val="single" w:sz="4" w:space="0" w:color="auto"/>
              <w:right w:val="single" w:sz="4" w:space="0" w:color="auto"/>
            </w:tcBorders>
            <w:shd w:val="clear" w:color="auto" w:fill="auto"/>
            <w:vAlign w:val="center"/>
            <w:hideMark/>
          </w:tcPr>
          <w:p w14:paraId="12DAF2EE"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1</w:t>
            </w:r>
          </w:p>
        </w:tc>
        <w:tc>
          <w:tcPr>
            <w:tcW w:w="1240" w:type="dxa"/>
            <w:tcBorders>
              <w:top w:val="nil"/>
              <w:left w:val="nil"/>
              <w:bottom w:val="single" w:sz="4" w:space="0" w:color="auto"/>
              <w:right w:val="single" w:sz="4" w:space="0" w:color="auto"/>
            </w:tcBorders>
            <w:shd w:val="clear" w:color="auto" w:fill="auto"/>
            <w:vAlign w:val="center"/>
            <w:hideMark/>
          </w:tcPr>
          <w:p w14:paraId="74A64503"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2</w:t>
            </w:r>
          </w:p>
        </w:tc>
        <w:tc>
          <w:tcPr>
            <w:tcW w:w="1240" w:type="dxa"/>
            <w:tcBorders>
              <w:top w:val="nil"/>
              <w:left w:val="nil"/>
              <w:bottom w:val="single" w:sz="4" w:space="0" w:color="auto"/>
              <w:right w:val="single" w:sz="4" w:space="0" w:color="auto"/>
            </w:tcBorders>
            <w:shd w:val="clear" w:color="auto" w:fill="auto"/>
            <w:vAlign w:val="center"/>
            <w:hideMark/>
          </w:tcPr>
          <w:p w14:paraId="29B278E8"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3</w:t>
            </w:r>
          </w:p>
        </w:tc>
        <w:tc>
          <w:tcPr>
            <w:tcW w:w="1240" w:type="dxa"/>
            <w:tcBorders>
              <w:top w:val="nil"/>
              <w:left w:val="nil"/>
              <w:bottom w:val="single" w:sz="4" w:space="0" w:color="auto"/>
              <w:right w:val="single" w:sz="4" w:space="0" w:color="auto"/>
            </w:tcBorders>
            <w:shd w:val="clear" w:color="auto" w:fill="auto"/>
            <w:vAlign w:val="center"/>
            <w:hideMark/>
          </w:tcPr>
          <w:p w14:paraId="3ED516A7"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4</w:t>
            </w:r>
          </w:p>
        </w:tc>
        <w:tc>
          <w:tcPr>
            <w:tcW w:w="1220" w:type="dxa"/>
            <w:vMerge/>
            <w:tcBorders>
              <w:top w:val="single" w:sz="8" w:space="0" w:color="auto"/>
              <w:left w:val="single" w:sz="4" w:space="0" w:color="auto"/>
              <w:bottom w:val="single" w:sz="4" w:space="0" w:color="auto"/>
              <w:right w:val="single" w:sz="8" w:space="0" w:color="auto"/>
            </w:tcBorders>
            <w:vAlign w:val="center"/>
            <w:hideMark/>
          </w:tcPr>
          <w:p w14:paraId="0FD2CB41" w14:textId="77777777" w:rsidR="006C1923" w:rsidRPr="00EF1BA3" w:rsidRDefault="006C1923" w:rsidP="00263391">
            <w:pPr>
              <w:spacing w:after="0" w:line="240" w:lineRule="auto"/>
              <w:jc w:val="left"/>
              <w:rPr>
                <w:rFonts w:ascii="Times New Roman" w:eastAsia="Times New Roman" w:hAnsi="Times New Roman" w:cs="Times New Roman"/>
                <w:b/>
                <w:bCs/>
                <w:color w:val="000000"/>
                <w:szCs w:val="24"/>
                <w:lang w:eastAsia="en-GB"/>
              </w:rPr>
            </w:pPr>
          </w:p>
        </w:tc>
      </w:tr>
      <w:tr w:rsidR="006C1923" w:rsidRPr="00EF1BA3" w14:paraId="71329E10" w14:textId="77777777" w:rsidTr="00B664C8">
        <w:trPr>
          <w:trHeight w:val="315"/>
        </w:trPr>
        <w:tc>
          <w:tcPr>
            <w:tcW w:w="1880" w:type="dxa"/>
            <w:tcBorders>
              <w:top w:val="nil"/>
              <w:left w:val="single" w:sz="8" w:space="0" w:color="auto"/>
              <w:bottom w:val="single" w:sz="4" w:space="0" w:color="auto"/>
              <w:right w:val="single" w:sz="4" w:space="0" w:color="auto"/>
            </w:tcBorders>
            <w:shd w:val="clear" w:color="auto" w:fill="auto"/>
            <w:noWrap/>
            <w:vAlign w:val="bottom"/>
            <w:hideMark/>
          </w:tcPr>
          <w:p w14:paraId="48F8ED0B" w14:textId="77777777" w:rsidR="006C1923" w:rsidRPr="00EF1BA3" w:rsidRDefault="006C1923" w:rsidP="00263391">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w:t>
            </w:r>
          </w:p>
        </w:tc>
        <w:tc>
          <w:tcPr>
            <w:tcW w:w="1560" w:type="dxa"/>
            <w:tcBorders>
              <w:top w:val="nil"/>
              <w:left w:val="nil"/>
              <w:bottom w:val="single" w:sz="4" w:space="0" w:color="auto"/>
              <w:right w:val="single" w:sz="4" w:space="0" w:color="auto"/>
            </w:tcBorders>
            <w:shd w:val="clear" w:color="auto" w:fill="auto"/>
            <w:vAlign w:val="center"/>
            <w:hideMark/>
          </w:tcPr>
          <w:p w14:paraId="10AAA008"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060" w:type="dxa"/>
            <w:tcBorders>
              <w:top w:val="nil"/>
              <w:left w:val="nil"/>
              <w:bottom w:val="single" w:sz="4" w:space="0" w:color="auto"/>
              <w:right w:val="single" w:sz="4" w:space="0" w:color="auto"/>
            </w:tcBorders>
            <w:shd w:val="clear" w:color="auto" w:fill="auto"/>
            <w:vAlign w:val="center"/>
            <w:hideMark/>
          </w:tcPr>
          <w:p w14:paraId="7CCA0EFF"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40" w:type="dxa"/>
            <w:tcBorders>
              <w:top w:val="nil"/>
              <w:left w:val="nil"/>
              <w:bottom w:val="single" w:sz="4" w:space="0" w:color="auto"/>
              <w:right w:val="single" w:sz="4" w:space="0" w:color="auto"/>
            </w:tcBorders>
            <w:shd w:val="clear" w:color="auto" w:fill="auto"/>
            <w:vAlign w:val="center"/>
            <w:hideMark/>
          </w:tcPr>
          <w:p w14:paraId="6EAE4066"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40" w:type="dxa"/>
            <w:tcBorders>
              <w:top w:val="nil"/>
              <w:left w:val="nil"/>
              <w:bottom w:val="single" w:sz="4" w:space="0" w:color="auto"/>
              <w:right w:val="single" w:sz="4" w:space="0" w:color="auto"/>
            </w:tcBorders>
            <w:shd w:val="clear" w:color="auto" w:fill="auto"/>
            <w:vAlign w:val="center"/>
            <w:hideMark/>
          </w:tcPr>
          <w:p w14:paraId="2DE97B52"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40" w:type="dxa"/>
            <w:tcBorders>
              <w:top w:val="nil"/>
              <w:left w:val="nil"/>
              <w:bottom w:val="single" w:sz="4" w:space="0" w:color="auto"/>
              <w:right w:val="single" w:sz="4" w:space="0" w:color="auto"/>
            </w:tcBorders>
            <w:shd w:val="clear" w:color="auto" w:fill="auto"/>
            <w:vAlign w:val="center"/>
            <w:hideMark/>
          </w:tcPr>
          <w:p w14:paraId="712CD2C6" w14:textId="77777777" w:rsidR="006C1923" w:rsidRPr="00EF1BA3" w:rsidRDefault="006C1923" w:rsidP="00263391">
            <w:pPr>
              <w:spacing w:after="0" w:line="240" w:lineRule="auto"/>
              <w:jc w:val="center"/>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£’000</w:t>
            </w:r>
          </w:p>
        </w:tc>
        <w:tc>
          <w:tcPr>
            <w:tcW w:w="1220" w:type="dxa"/>
            <w:vMerge/>
            <w:tcBorders>
              <w:top w:val="single" w:sz="8" w:space="0" w:color="auto"/>
              <w:left w:val="single" w:sz="4" w:space="0" w:color="auto"/>
              <w:bottom w:val="single" w:sz="4" w:space="0" w:color="auto"/>
              <w:right w:val="single" w:sz="8" w:space="0" w:color="auto"/>
            </w:tcBorders>
            <w:vAlign w:val="center"/>
            <w:hideMark/>
          </w:tcPr>
          <w:p w14:paraId="5F9EFBE6" w14:textId="77777777" w:rsidR="006C1923" w:rsidRPr="00EF1BA3" w:rsidRDefault="006C1923" w:rsidP="00263391">
            <w:pPr>
              <w:spacing w:after="0" w:line="240" w:lineRule="auto"/>
              <w:jc w:val="left"/>
              <w:rPr>
                <w:rFonts w:ascii="Times New Roman" w:eastAsia="Times New Roman" w:hAnsi="Times New Roman" w:cs="Times New Roman"/>
                <w:b/>
                <w:bCs/>
                <w:color w:val="000000"/>
                <w:szCs w:val="24"/>
                <w:lang w:eastAsia="en-GB"/>
              </w:rPr>
            </w:pPr>
          </w:p>
        </w:tc>
      </w:tr>
      <w:tr w:rsidR="006C1923" w:rsidRPr="00EF1BA3" w14:paraId="3F1CB431" w14:textId="77777777" w:rsidTr="00B664C8">
        <w:trPr>
          <w:trHeight w:val="330"/>
        </w:trPr>
        <w:tc>
          <w:tcPr>
            <w:tcW w:w="1880" w:type="dxa"/>
            <w:tcBorders>
              <w:top w:val="nil"/>
              <w:left w:val="single" w:sz="8" w:space="0" w:color="auto"/>
              <w:bottom w:val="single" w:sz="8" w:space="0" w:color="auto"/>
              <w:right w:val="single" w:sz="4" w:space="0" w:color="auto"/>
            </w:tcBorders>
            <w:shd w:val="clear" w:color="auto" w:fill="auto"/>
            <w:vAlign w:val="center"/>
            <w:hideMark/>
          </w:tcPr>
          <w:p w14:paraId="3DE6C127" w14:textId="77777777" w:rsidR="006C1923" w:rsidRPr="00EF1BA3" w:rsidRDefault="006C1923" w:rsidP="00263391">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(C)</w:t>
            </w:r>
          </w:p>
        </w:tc>
        <w:tc>
          <w:tcPr>
            <w:tcW w:w="1560" w:type="dxa"/>
            <w:tcBorders>
              <w:top w:val="nil"/>
              <w:left w:val="nil"/>
              <w:bottom w:val="single" w:sz="8" w:space="0" w:color="auto"/>
              <w:right w:val="single" w:sz="4" w:space="0" w:color="auto"/>
            </w:tcBorders>
            <w:shd w:val="clear" w:color="auto" w:fill="auto"/>
            <w:vAlign w:val="center"/>
            <w:hideMark/>
          </w:tcPr>
          <w:p w14:paraId="3373C77D" w14:textId="77777777" w:rsidR="00C4725D" w:rsidRDefault="00C4725D" w:rsidP="00263391">
            <w:pPr>
              <w:spacing w:after="0" w:line="240" w:lineRule="auto"/>
              <w:jc w:val="center"/>
              <w:rPr>
                <w:rFonts w:ascii="Times New Roman" w:eastAsia="Times New Roman" w:hAnsi="Times New Roman" w:cs="Times New Roman"/>
                <w:color w:val="000000"/>
                <w:szCs w:val="24"/>
                <w:lang w:eastAsia="en-GB"/>
              </w:rPr>
            </w:pPr>
          </w:p>
          <w:p w14:paraId="588CBA07" w14:textId="77777777" w:rsidR="006C1923" w:rsidRPr="00EF1BA3" w:rsidRDefault="006C1923" w:rsidP="00263391">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-2000</w:t>
            </w:r>
          </w:p>
        </w:tc>
        <w:tc>
          <w:tcPr>
            <w:tcW w:w="1060" w:type="dxa"/>
            <w:tcBorders>
              <w:top w:val="nil"/>
              <w:left w:val="nil"/>
              <w:bottom w:val="single" w:sz="8" w:space="0" w:color="auto"/>
              <w:right w:val="single" w:sz="4" w:space="0" w:color="auto"/>
            </w:tcBorders>
            <w:shd w:val="clear" w:color="auto" w:fill="auto"/>
            <w:noWrap/>
            <w:vAlign w:val="bottom"/>
            <w:hideMark/>
          </w:tcPr>
          <w:p w14:paraId="29C9759C" w14:textId="77777777" w:rsidR="006C1923" w:rsidRPr="00EF1BA3" w:rsidRDefault="006C1923" w:rsidP="00263391">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597.743 </w:t>
            </w:r>
          </w:p>
        </w:tc>
        <w:tc>
          <w:tcPr>
            <w:tcW w:w="1240" w:type="dxa"/>
            <w:tcBorders>
              <w:top w:val="nil"/>
              <w:left w:val="nil"/>
              <w:bottom w:val="single" w:sz="8" w:space="0" w:color="auto"/>
              <w:right w:val="single" w:sz="4" w:space="0" w:color="auto"/>
            </w:tcBorders>
            <w:shd w:val="clear" w:color="auto" w:fill="auto"/>
            <w:noWrap/>
            <w:vAlign w:val="bottom"/>
            <w:hideMark/>
          </w:tcPr>
          <w:p w14:paraId="30B1BE0F" w14:textId="77777777" w:rsidR="006C1923" w:rsidRPr="00EF1BA3" w:rsidRDefault="006C1923" w:rsidP="00263391">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573.439 </w:t>
            </w:r>
          </w:p>
        </w:tc>
        <w:tc>
          <w:tcPr>
            <w:tcW w:w="1240" w:type="dxa"/>
            <w:tcBorders>
              <w:top w:val="nil"/>
              <w:left w:val="nil"/>
              <w:bottom w:val="single" w:sz="8" w:space="0" w:color="auto"/>
              <w:right w:val="single" w:sz="4" w:space="0" w:color="auto"/>
            </w:tcBorders>
            <w:shd w:val="clear" w:color="auto" w:fill="auto"/>
            <w:noWrap/>
            <w:vAlign w:val="bottom"/>
            <w:hideMark/>
          </w:tcPr>
          <w:p w14:paraId="2DD51DDE" w14:textId="77777777" w:rsidR="006C1923" w:rsidRPr="00EF1BA3" w:rsidRDefault="006C1923" w:rsidP="00263391">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498.040 </w:t>
            </w:r>
          </w:p>
        </w:tc>
        <w:tc>
          <w:tcPr>
            <w:tcW w:w="1240" w:type="dxa"/>
            <w:tcBorders>
              <w:top w:val="nil"/>
              <w:left w:val="nil"/>
              <w:bottom w:val="single" w:sz="8" w:space="0" w:color="auto"/>
              <w:right w:val="single" w:sz="4" w:space="0" w:color="auto"/>
            </w:tcBorders>
            <w:shd w:val="clear" w:color="auto" w:fill="auto"/>
            <w:noWrap/>
            <w:vAlign w:val="bottom"/>
            <w:hideMark/>
          </w:tcPr>
          <w:p w14:paraId="63E78E03" w14:textId="77777777" w:rsidR="006C1923" w:rsidRPr="00EF1BA3" w:rsidRDefault="006C1923" w:rsidP="00263391">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330.778 </w:t>
            </w:r>
          </w:p>
        </w:tc>
        <w:tc>
          <w:tcPr>
            <w:tcW w:w="1220" w:type="dxa"/>
            <w:tcBorders>
              <w:top w:val="nil"/>
              <w:left w:val="nil"/>
              <w:bottom w:val="single" w:sz="8" w:space="0" w:color="auto"/>
              <w:right w:val="single" w:sz="8" w:space="0" w:color="auto"/>
            </w:tcBorders>
            <w:shd w:val="clear" w:color="auto" w:fill="auto"/>
            <w:noWrap/>
            <w:vAlign w:val="bottom"/>
            <w:hideMark/>
          </w:tcPr>
          <w:p w14:paraId="453FE40E" w14:textId="77777777" w:rsidR="006C1923" w:rsidRPr="00EF1BA3" w:rsidRDefault="006C1923" w:rsidP="00263391">
            <w:pPr>
              <w:spacing w:after="0" w:line="240" w:lineRule="auto"/>
              <w:jc w:val="left"/>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 xml:space="preserve">       0.000</w:t>
            </w:r>
          </w:p>
        </w:tc>
      </w:tr>
    </w:tbl>
    <w:p w14:paraId="4B39A41A" w14:textId="1EEAB36A" w:rsidR="006C1923" w:rsidRPr="00EF1BA3" w:rsidRDefault="006C1923" w:rsidP="00C4725D">
      <w:pPr>
        <w:spacing w:before="240" w:after="0" w:line="480" w:lineRule="auto"/>
        <w:rPr>
          <w:rFonts w:ascii="Times New Roman" w:hAnsi="Times New Roman" w:cs="Times New Roman"/>
        </w:rPr>
      </w:pPr>
      <w:r w:rsidRPr="00EF1BA3">
        <w:rPr>
          <w:rFonts w:ascii="Times New Roman" w:hAnsi="Times New Roman" w:cs="Times New Roman"/>
        </w:rPr>
        <w:t>The table above indicates that IRR for the project select</w:t>
      </w:r>
      <w:r w:rsidR="009414C9">
        <w:rPr>
          <w:rFonts w:ascii="Times New Roman" w:hAnsi="Times New Roman" w:cs="Times New Roman"/>
        </w:rPr>
        <w:t>ed based on NPV i.e. p</w:t>
      </w:r>
      <w:r w:rsidR="00CA5775">
        <w:rPr>
          <w:rFonts w:ascii="Times New Roman" w:hAnsi="Times New Roman" w:cs="Times New Roman"/>
        </w:rPr>
        <w:t xml:space="preserve">roject C is 50.57% as </w:t>
      </w:r>
      <w:r w:rsidRPr="00EF1BA3">
        <w:rPr>
          <w:rFonts w:ascii="Times New Roman" w:hAnsi="Times New Roman" w:cs="Times New Roman"/>
        </w:rPr>
        <w:t xml:space="preserve">NPV of the project turns out to </w:t>
      </w:r>
      <w:r w:rsidR="00CA5775">
        <w:rPr>
          <w:rFonts w:ascii="Times New Roman" w:hAnsi="Times New Roman" w:cs="Times New Roman"/>
        </w:rPr>
        <w:t xml:space="preserve">be zero. </w:t>
      </w:r>
      <w:r w:rsidRPr="00EF1BA3">
        <w:rPr>
          <w:rFonts w:ascii="Times New Roman" w:hAnsi="Times New Roman" w:cs="Times New Roman"/>
        </w:rPr>
        <w:t>IRR rate obtained is quite high as compared to cost of capital of 8% and suggests that the project is feasible for investment. However, for a deeper insight on applic</w:t>
      </w:r>
      <w:r w:rsidR="00CA5775">
        <w:rPr>
          <w:rFonts w:ascii="Times New Roman" w:hAnsi="Times New Roman" w:cs="Times New Roman"/>
        </w:rPr>
        <w:t xml:space="preserve">ation of capital budgeting, </w:t>
      </w:r>
      <w:r w:rsidRPr="00EF1BA3">
        <w:rPr>
          <w:rFonts w:ascii="Times New Roman" w:hAnsi="Times New Roman" w:cs="Times New Roman"/>
        </w:rPr>
        <w:t>IRR rates obtained for each of the three projects are illustrated in the table below:</w:t>
      </w:r>
    </w:p>
    <w:tbl>
      <w:tblPr>
        <w:tblW w:w="3060" w:type="dxa"/>
        <w:jc w:val="center"/>
        <w:tblLook w:val="04A0" w:firstRow="1" w:lastRow="0" w:firstColumn="1" w:lastColumn="0" w:noHBand="0" w:noVBand="1"/>
      </w:tblPr>
      <w:tblGrid>
        <w:gridCol w:w="1880"/>
        <w:gridCol w:w="1180"/>
      </w:tblGrid>
      <w:tr w:rsidR="006C1923" w:rsidRPr="00EF1BA3" w14:paraId="4DE9BF16" w14:textId="77777777" w:rsidTr="00B664C8">
        <w:trPr>
          <w:trHeight w:val="315"/>
          <w:jc w:val="center"/>
        </w:trPr>
        <w:tc>
          <w:tcPr>
            <w:tcW w:w="188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D594D49" w14:textId="77777777" w:rsidR="006C1923" w:rsidRPr="00EF1BA3" w:rsidRDefault="006C1923" w:rsidP="00CA5775">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IRR (A)</w:t>
            </w:r>
          </w:p>
        </w:tc>
        <w:tc>
          <w:tcPr>
            <w:tcW w:w="1180" w:type="dxa"/>
            <w:tcBorders>
              <w:top w:val="single" w:sz="8" w:space="0" w:color="auto"/>
              <w:left w:val="nil"/>
              <w:bottom w:val="single" w:sz="4" w:space="0" w:color="auto"/>
              <w:right w:val="single" w:sz="8" w:space="0" w:color="auto"/>
            </w:tcBorders>
            <w:shd w:val="clear" w:color="auto" w:fill="auto"/>
            <w:noWrap/>
            <w:vAlign w:val="bottom"/>
            <w:hideMark/>
          </w:tcPr>
          <w:p w14:paraId="65F6F389" w14:textId="77777777" w:rsidR="006C1923" w:rsidRPr="00EF1BA3" w:rsidRDefault="006C1923" w:rsidP="00CA5775">
            <w:pPr>
              <w:spacing w:after="0" w:line="240" w:lineRule="auto"/>
              <w:jc w:val="right"/>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63%</w:t>
            </w:r>
          </w:p>
        </w:tc>
      </w:tr>
      <w:tr w:rsidR="006C1923" w:rsidRPr="00EF1BA3" w14:paraId="0D79637B" w14:textId="77777777" w:rsidTr="00B664C8">
        <w:trPr>
          <w:trHeight w:val="315"/>
          <w:jc w:val="center"/>
        </w:trPr>
        <w:tc>
          <w:tcPr>
            <w:tcW w:w="1880" w:type="dxa"/>
            <w:tcBorders>
              <w:top w:val="nil"/>
              <w:left w:val="single" w:sz="8" w:space="0" w:color="auto"/>
              <w:bottom w:val="single" w:sz="4" w:space="0" w:color="auto"/>
              <w:right w:val="single" w:sz="4" w:space="0" w:color="auto"/>
            </w:tcBorders>
            <w:shd w:val="clear" w:color="auto" w:fill="auto"/>
            <w:vAlign w:val="center"/>
            <w:hideMark/>
          </w:tcPr>
          <w:p w14:paraId="1B54938C" w14:textId="77777777" w:rsidR="006C1923" w:rsidRPr="00EF1BA3" w:rsidRDefault="006C1923" w:rsidP="00CA5775">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IRR (B)</w:t>
            </w:r>
          </w:p>
        </w:tc>
        <w:tc>
          <w:tcPr>
            <w:tcW w:w="1180" w:type="dxa"/>
            <w:tcBorders>
              <w:top w:val="nil"/>
              <w:left w:val="nil"/>
              <w:bottom w:val="single" w:sz="4" w:space="0" w:color="auto"/>
              <w:right w:val="single" w:sz="8" w:space="0" w:color="auto"/>
            </w:tcBorders>
            <w:shd w:val="clear" w:color="auto" w:fill="auto"/>
            <w:noWrap/>
            <w:vAlign w:val="bottom"/>
            <w:hideMark/>
          </w:tcPr>
          <w:p w14:paraId="16AD328F" w14:textId="77777777" w:rsidR="006C1923" w:rsidRPr="00EF1BA3" w:rsidRDefault="006C1923" w:rsidP="00CA5775">
            <w:pPr>
              <w:spacing w:after="0" w:line="240" w:lineRule="auto"/>
              <w:jc w:val="right"/>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56%</w:t>
            </w:r>
          </w:p>
        </w:tc>
      </w:tr>
      <w:tr w:rsidR="006C1923" w:rsidRPr="00EF1BA3" w14:paraId="46006DD1" w14:textId="77777777" w:rsidTr="00B664C8">
        <w:trPr>
          <w:trHeight w:val="330"/>
          <w:jc w:val="center"/>
        </w:trPr>
        <w:tc>
          <w:tcPr>
            <w:tcW w:w="1880" w:type="dxa"/>
            <w:tcBorders>
              <w:top w:val="nil"/>
              <w:left w:val="single" w:sz="8" w:space="0" w:color="auto"/>
              <w:bottom w:val="single" w:sz="8" w:space="0" w:color="auto"/>
              <w:right w:val="single" w:sz="4" w:space="0" w:color="auto"/>
            </w:tcBorders>
            <w:shd w:val="clear" w:color="auto" w:fill="auto"/>
            <w:vAlign w:val="center"/>
            <w:hideMark/>
          </w:tcPr>
          <w:p w14:paraId="04EA1CC3" w14:textId="77777777" w:rsidR="006C1923" w:rsidRPr="00EF1BA3" w:rsidRDefault="006C1923" w:rsidP="00CA5775">
            <w:pPr>
              <w:spacing w:after="0" w:line="240" w:lineRule="auto"/>
              <w:jc w:val="center"/>
              <w:rPr>
                <w:rFonts w:ascii="Times New Roman" w:eastAsia="Times New Roman" w:hAnsi="Times New Roman" w:cs="Times New Roman"/>
                <w:color w:val="000000"/>
                <w:szCs w:val="24"/>
                <w:lang w:eastAsia="en-GB"/>
              </w:rPr>
            </w:pPr>
            <w:r w:rsidRPr="00EF1BA3">
              <w:rPr>
                <w:rFonts w:ascii="Times New Roman" w:eastAsia="Times New Roman" w:hAnsi="Times New Roman" w:cs="Times New Roman"/>
                <w:color w:val="000000"/>
                <w:szCs w:val="24"/>
                <w:lang w:eastAsia="en-GB"/>
              </w:rPr>
              <w:t>IRR (C)</w:t>
            </w:r>
          </w:p>
        </w:tc>
        <w:tc>
          <w:tcPr>
            <w:tcW w:w="1180" w:type="dxa"/>
            <w:tcBorders>
              <w:top w:val="nil"/>
              <w:left w:val="nil"/>
              <w:bottom w:val="single" w:sz="8" w:space="0" w:color="auto"/>
              <w:right w:val="single" w:sz="8" w:space="0" w:color="auto"/>
            </w:tcBorders>
            <w:shd w:val="clear" w:color="auto" w:fill="auto"/>
            <w:noWrap/>
            <w:vAlign w:val="bottom"/>
            <w:hideMark/>
          </w:tcPr>
          <w:p w14:paraId="245E055C" w14:textId="77777777" w:rsidR="006C1923" w:rsidRPr="00EF1BA3" w:rsidRDefault="006C1923" w:rsidP="00CA5775">
            <w:pPr>
              <w:spacing w:after="0" w:line="240" w:lineRule="auto"/>
              <w:jc w:val="right"/>
              <w:rPr>
                <w:rFonts w:ascii="Times New Roman" w:eastAsia="Times New Roman" w:hAnsi="Times New Roman" w:cs="Times New Roman"/>
                <w:b/>
                <w:bCs/>
                <w:color w:val="000000"/>
                <w:szCs w:val="24"/>
                <w:lang w:eastAsia="en-GB"/>
              </w:rPr>
            </w:pPr>
            <w:r w:rsidRPr="00EF1BA3">
              <w:rPr>
                <w:rFonts w:ascii="Times New Roman" w:eastAsia="Times New Roman" w:hAnsi="Times New Roman" w:cs="Times New Roman"/>
                <w:b/>
                <w:bCs/>
                <w:color w:val="000000"/>
                <w:szCs w:val="24"/>
                <w:lang w:eastAsia="en-GB"/>
              </w:rPr>
              <w:t>51%</w:t>
            </w:r>
          </w:p>
        </w:tc>
      </w:tr>
    </w:tbl>
    <w:p w14:paraId="1981CB23" w14:textId="3071D53F" w:rsidR="006C1923" w:rsidRPr="00EF1BA3" w:rsidRDefault="006C1923" w:rsidP="00CA5775">
      <w:pPr>
        <w:spacing w:before="240" w:after="0" w:line="480" w:lineRule="auto"/>
        <w:rPr>
          <w:rFonts w:ascii="Times New Roman" w:hAnsi="Times New Roman" w:cs="Times New Roman"/>
        </w:rPr>
      </w:pPr>
      <w:r w:rsidRPr="00EF1BA3">
        <w:rPr>
          <w:rFonts w:ascii="Times New Roman" w:hAnsi="Times New Roman" w:cs="Times New Roman"/>
        </w:rPr>
        <w:t>The tabl</w:t>
      </w:r>
      <w:r w:rsidR="00CA5775">
        <w:rPr>
          <w:rFonts w:ascii="Times New Roman" w:hAnsi="Times New Roman" w:cs="Times New Roman"/>
        </w:rPr>
        <w:t xml:space="preserve">e above clearly highlights that </w:t>
      </w:r>
      <w:r w:rsidRPr="00EF1BA3">
        <w:rPr>
          <w:rFonts w:ascii="Times New Roman" w:hAnsi="Times New Roman" w:cs="Times New Roman"/>
        </w:rPr>
        <w:t>IRR for project C is high as compared to cost of capital but it is lower than the other two projects. This difference in decision mak</w:t>
      </w:r>
      <w:r w:rsidR="00CA5341">
        <w:rPr>
          <w:rFonts w:ascii="Times New Roman" w:hAnsi="Times New Roman" w:cs="Times New Roman"/>
        </w:rPr>
        <w:t xml:space="preserve">ing is due to the fact that </w:t>
      </w:r>
      <w:r w:rsidRPr="00EF1BA3">
        <w:rPr>
          <w:rFonts w:ascii="Times New Roman" w:hAnsi="Times New Roman" w:cs="Times New Roman"/>
        </w:rPr>
        <w:t>NPV does not consider the size of projects and is an accurate tool when projects of similar size are compared. On the basis o</w:t>
      </w:r>
      <w:r w:rsidR="00CA5341">
        <w:rPr>
          <w:rFonts w:ascii="Times New Roman" w:hAnsi="Times New Roman" w:cs="Times New Roman"/>
        </w:rPr>
        <w:t xml:space="preserve">f IRR, it can be found that </w:t>
      </w:r>
      <w:r w:rsidRPr="00EF1BA3">
        <w:rPr>
          <w:rFonts w:ascii="Times New Roman" w:hAnsi="Times New Roman" w:cs="Times New Roman"/>
        </w:rPr>
        <w:t xml:space="preserve">project A is most effective but for the simplicity in the parts following, the selection made via NPV </w:t>
      </w:r>
      <w:r w:rsidR="00CA5341">
        <w:rPr>
          <w:rFonts w:ascii="Times New Roman" w:hAnsi="Times New Roman" w:cs="Times New Roman"/>
        </w:rPr>
        <w:t>c</w:t>
      </w:r>
      <w:r w:rsidRPr="00EF1BA3">
        <w:rPr>
          <w:rFonts w:ascii="Times New Roman" w:hAnsi="Times New Roman" w:cs="Times New Roman"/>
        </w:rPr>
        <w:t xml:space="preserve">riterion is considered as valid. </w:t>
      </w:r>
    </w:p>
    <w:p w14:paraId="235AB9E2" w14:textId="77777777" w:rsidR="006C1923" w:rsidRPr="00F03F85" w:rsidRDefault="006C1923" w:rsidP="008D546A">
      <w:pPr>
        <w:pStyle w:val="Heading1"/>
        <w:numPr>
          <w:ilvl w:val="0"/>
          <w:numId w:val="3"/>
        </w:numPr>
        <w:spacing w:before="0" w:line="480" w:lineRule="auto"/>
        <w:rPr>
          <w:rFonts w:ascii="Times New Roman" w:hAnsi="Times New Roman" w:cs="Times New Roman"/>
          <w:sz w:val="26"/>
          <w:szCs w:val="26"/>
        </w:rPr>
      </w:pPr>
      <w:bookmarkStart w:id="23" w:name="_Toc535327099"/>
      <w:r w:rsidRPr="00F03F85">
        <w:rPr>
          <w:rFonts w:ascii="Times New Roman" w:hAnsi="Times New Roman" w:cs="Times New Roman"/>
          <w:sz w:val="26"/>
          <w:szCs w:val="26"/>
        </w:rPr>
        <w:t>Interpretations of the Results</w:t>
      </w:r>
      <w:bookmarkEnd w:id="23"/>
    </w:p>
    <w:p w14:paraId="6A99E778" w14:textId="0B48A651"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The section aims to interpret the results illustrated above in more detail with respect to application of different capital budgeting tools. Firstly, the discussion highlights why NPV is best investment appraisal method as compared to other competitive tools. The reasons are illustrated below:</w:t>
      </w:r>
    </w:p>
    <w:p w14:paraId="2D51D4AA" w14:textId="4372D9BC" w:rsidR="006C1923" w:rsidRPr="00EF1BA3" w:rsidRDefault="006C1923" w:rsidP="008D546A">
      <w:pPr>
        <w:pStyle w:val="ListParagraph"/>
        <w:numPr>
          <w:ilvl w:val="0"/>
          <w:numId w:val="4"/>
        </w:numPr>
        <w:spacing w:after="0" w:line="480" w:lineRule="auto"/>
        <w:contextualSpacing w:val="0"/>
        <w:rPr>
          <w:rFonts w:ascii="Times New Roman" w:hAnsi="Times New Roman" w:cs="Times New Roman"/>
        </w:rPr>
      </w:pPr>
      <w:r w:rsidRPr="00EF1BA3">
        <w:rPr>
          <w:rFonts w:ascii="Times New Roman" w:hAnsi="Times New Roman" w:cs="Times New Roman"/>
        </w:rPr>
        <w:lastRenderedPageBreak/>
        <w:t>First factor whi</w:t>
      </w:r>
      <w:r w:rsidR="00BB17DC">
        <w:rPr>
          <w:rFonts w:ascii="Times New Roman" w:hAnsi="Times New Roman" w:cs="Times New Roman"/>
        </w:rPr>
        <w:t>ch gives NPV an advantage over Payback p</w:t>
      </w:r>
      <w:r w:rsidRPr="00EF1BA3">
        <w:rPr>
          <w:rFonts w:ascii="Times New Roman" w:hAnsi="Times New Roman" w:cs="Times New Roman"/>
        </w:rPr>
        <w:t>eriod relates to the fact that NPV discounts all the cash flows involved in the calculation</w:t>
      </w:r>
      <w:r w:rsidR="00242627">
        <w:rPr>
          <w:rFonts w:ascii="Times New Roman" w:hAnsi="Times New Roman" w:cs="Times New Roman"/>
        </w:rPr>
        <w:t xml:space="preserve"> (</w:t>
      </w:r>
      <w:r w:rsidR="00F01246">
        <w:rPr>
          <w:rFonts w:ascii="Times New Roman" w:hAnsi="Times New Roman" w:cs="Times New Roman"/>
          <w:lang w:val="en-GB"/>
        </w:rPr>
        <w:t>Nurullah</w:t>
      </w:r>
      <w:r w:rsidR="00242627">
        <w:rPr>
          <w:rFonts w:ascii="Times New Roman" w:hAnsi="Times New Roman" w:cs="Times New Roman"/>
          <w:lang w:val="en-GB"/>
        </w:rPr>
        <w:t xml:space="preserve"> and</w:t>
      </w:r>
      <w:r w:rsidR="00242627" w:rsidRPr="00AC6714">
        <w:rPr>
          <w:rFonts w:ascii="Times New Roman" w:hAnsi="Times New Roman" w:cs="Times New Roman"/>
          <w:lang w:val="en-GB"/>
        </w:rPr>
        <w:t xml:space="preserve"> Kengatharan</w:t>
      </w:r>
      <w:r w:rsidR="00242627">
        <w:rPr>
          <w:rFonts w:ascii="Times New Roman" w:hAnsi="Times New Roman" w:cs="Times New Roman"/>
          <w:lang w:val="en-GB"/>
        </w:rPr>
        <w:t xml:space="preserve">, 2015). </w:t>
      </w:r>
    </w:p>
    <w:p w14:paraId="37585114" w14:textId="342DE5B5" w:rsidR="006C1923" w:rsidRPr="00EF1BA3" w:rsidRDefault="006C1923" w:rsidP="008D546A">
      <w:pPr>
        <w:pStyle w:val="ListParagraph"/>
        <w:numPr>
          <w:ilvl w:val="0"/>
          <w:numId w:val="4"/>
        </w:numPr>
        <w:spacing w:after="0" w:line="480" w:lineRule="auto"/>
        <w:contextualSpacing w:val="0"/>
        <w:rPr>
          <w:rFonts w:ascii="Times New Roman" w:hAnsi="Times New Roman" w:cs="Times New Roman"/>
        </w:rPr>
      </w:pPr>
      <w:r w:rsidRPr="00EF1BA3">
        <w:rPr>
          <w:rFonts w:ascii="Times New Roman" w:hAnsi="Times New Roman" w:cs="Times New Roman"/>
        </w:rPr>
        <w:t xml:space="preserve">Second factor which again gives NPV an edge over Payback period is that NPV accounts for cash flows throughout the life of the </w:t>
      </w:r>
      <w:r w:rsidR="00BB17DC">
        <w:rPr>
          <w:rFonts w:ascii="Times New Roman" w:hAnsi="Times New Roman" w:cs="Times New Roman"/>
        </w:rPr>
        <w:t xml:space="preserve">project. On the other hand, </w:t>
      </w:r>
      <w:r w:rsidRPr="00EF1BA3">
        <w:rPr>
          <w:rFonts w:ascii="Times New Roman" w:hAnsi="Times New Roman" w:cs="Times New Roman"/>
        </w:rPr>
        <w:t xml:space="preserve">payback period accounts for cash flows till the payback period of the project is achieved. </w:t>
      </w:r>
    </w:p>
    <w:p w14:paraId="522B4581" w14:textId="30E166C4" w:rsidR="006C1923" w:rsidRPr="0020493B" w:rsidRDefault="006C1923" w:rsidP="008D546A">
      <w:pPr>
        <w:pStyle w:val="ListParagraph"/>
        <w:numPr>
          <w:ilvl w:val="0"/>
          <w:numId w:val="4"/>
        </w:numPr>
        <w:spacing w:after="0" w:line="480" w:lineRule="auto"/>
        <w:contextualSpacing w:val="0"/>
        <w:rPr>
          <w:rFonts w:ascii="Times New Roman" w:hAnsi="Times New Roman" w:cs="Times New Roman"/>
        </w:rPr>
      </w:pPr>
      <w:r w:rsidRPr="00EF1BA3">
        <w:rPr>
          <w:rFonts w:ascii="Times New Roman" w:hAnsi="Times New Roman" w:cs="Times New Roman"/>
        </w:rPr>
        <w:t xml:space="preserve">Third factor </w:t>
      </w:r>
      <w:r w:rsidR="00BB17DC">
        <w:rPr>
          <w:rFonts w:ascii="Times New Roman" w:hAnsi="Times New Roman" w:cs="Times New Roman"/>
        </w:rPr>
        <w:t xml:space="preserve">which </w:t>
      </w:r>
      <w:r w:rsidRPr="00EF1BA3">
        <w:rPr>
          <w:rFonts w:ascii="Times New Roman" w:hAnsi="Times New Roman" w:cs="Times New Roman"/>
        </w:rPr>
        <w:t xml:space="preserve">gives NPV an advantage over IRR and profitability index </w:t>
      </w:r>
      <w:r w:rsidR="00BB17DC">
        <w:rPr>
          <w:rFonts w:ascii="Times New Roman" w:hAnsi="Times New Roman" w:cs="Times New Roman"/>
        </w:rPr>
        <w:t>is that</w:t>
      </w:r>
      <w:r w:rsidRPr="00EF1BA3">
        <w:rPr>
          <w:rFonts w:ascii="Times New Roman" w:hAnsi="Times New Roman" w:cs="Times New Roman"/>
        </w:rPr>
        <w:t xml:space="preserve"> it suggests the size of returns in terms of dollars. On the other hand, IRR and profitability index do not indicate the size of profits or </w:t>
      </w:r>
      <w:r w:rsidRPr="0020493B">
        <w:rPr>
          <w:rFonts w:ascii="Times New Roman" w:hAnsi="Times New Roman" w:cs="Times New Roman"/>
        </w:rPr>
        <w:t>project anyway (Bennouna, Meredith and Marchant, 2010).</w:t>
      </w:r>
    </w:p>
    <w:p w14:paraId="61164C83" w14:textId="28EF1C41"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 xml:space="preserve">The factors illustrated above clearly highlight that NPV is the most effective tool of </w:t>
      </w:r>
      <w:r w:rsidR="00D83121" w:rsidRPr="00EF1BA3">
        <w:rPr>
          <w:rFonts w:ascii="Times New Roman" w:hAnsi="Times New Roman" w:cs="Times New Roman"/>
        </w:rPr>
        <w:t>analyzing</w:t>
      </w:r>
      <w:r w:rsidRPr="00EF1BA3">
        <w:rPr>
          <w:rFonts w:ascii="Times New Roman" w:hAnsi="Times New Roman" w:cs="Times New Roman"/>
        </w:rPr>
        <w:t xml:space="preserve"> the projects’ feasibility. However, it must be noted that different analysts still use different project appraisal tools based on the nature of projects they are evaluating and the criteria </w:t>
      </w:r>
      <w:r w:rsidRPr="0020493B">
        <w:rPr>
          <w:rFonts w:ascii="Times New Roman" w:hAnsi="Times New Roman" w:cs="Times New Roman"/>
        </w:rPr>
        <w:t>established for the project evaluation. According to Bierman Jr and Smidt (2012), one of the</w:t>
      </w:r>
      <w:r w:rsidRPr="00EF1BA3">
        <w:rPr>
          <w:rFonts w:ascii="Times New Roman" w:hAnsi="Times New Roman" w:cs="Times New Roman"/>
        </w:rPr>
        <w:t xml:space="preserve"> commonly used tools for investment appraisal is payback period, which is a non-discount based method of project evaluation. This method helps the investment analysts determine the period in which investors or project sponsors will be able to earn their investments back. However, as it is a non-discount based method, it does not consider the discount rate in the calculations and consequently, nominal cash flows are accounted for in this research. Secondly, payback period does not consider the cash flows beyond payback period under calculation so this is a major </w:t>
      </w:r>
      <w:r w:rsidRPr="0020493B">
        <w:rPr>
          <w:rFonts w:ascii="Times New Roman" w:hAnsi="Times New Roman" w:cs="Times New Roman"/>
        </w:rPr>
        <w:t>ignored aspect as well. However, as prescribed by Ryan and Ryan (2002), this technique is</w:t>
      </w:r>
      <w:r w:rsidRPr="00EF1BA3">
        <w:rPr>
          <w:rFonts w:ascii="Times New Roman" w:hAnsi="Times New Roman" w:cs="Times New Roman"/>
        </w:rPr>
        <w:t xml:space="preserve"> common despite the weaknesses attached</w:t>
      </w:r>
      <w:r w:rsidR="006A4242">
        <w:rPr>
          <w:rFonts w:ascii="Times New Roman" w:hAnsi="Times New Roman" w:cs="Times New Roman"/>
        </w:rPr>
        <w:t xml:space="preserve"> to it</w:t>
      </w:r>
      <w:r w:rsidRPr="00EF1BA3">
        <w:rPr>
          <w:rFonts w:ascii="Times New Roman" w:hAnsi="Times New Roman" w:cs="Times New Roman"/>
        </w:rPr>
        <w:t xml:space="preserve"> because the investors are more interested in knowing the period in which they can earn their </w:t>
      </w:r>
      <w:r w:rsidRPr="00EF1BA3">
        <w:rPr>
          <w:rFonts w:ascii="Times New Roman" w:hAnsi="Times New Roman" w:cs="Times New Roman"/>
        </w:rPr>
        <w:lastRenderedPageBreak/>
        <w:t>investment back. This makes payback criterion highly popular across industries even in the modern era.</w:t>
      </w:r>
    </w:p>
    <w:p w14:paraId="2F8237F3" w14:textId="2817DF42"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Regarding the investment decision making, it is noteworthy to mention that there are multiple factors considered besides application of capital budgeting tools before an investment decision is made. First category of those factors is macroeconomic factors as the government policies towards a particular industry can affect the investment returns to a significant extent</w:t>
      </w:r>
      <w:r w:rsidR="00FE5096">
        <w:rPr>
          <w:rFonts w:ascii="Times New Roman" w:hAnsi="Times New Roman" w:cs="Times New Roman"/>
        </w:rPr>
        <w:t xml:space="preserve"> (</w:t>
      </w:r>
      <w:r w:rsidR="00FE5096" w:rsidRPr="00CB7224">
        <w:rPr>
          <w:rFonts w:ascii="Times New Roman" w:hAnsi="Times New Roman" w:cs="Times New Roman"/>
          <w:lang w:val="en-GB"/>
        </w:rPr>
        <w:t>Kengatharan</w:t>
      </w:r>
      <w:r w:rsidR="00FE5096">
        <w:rPr>
          <w:rFonts w:ascii="Times New Roman" w:hAnsi="Times New Roman" w:cs="Times New Roman"/>
          <w:lang w:val="en-GB"/>
        </w:rPr>
        <w:t xml:space="preserve">, 2016). </w:t>
      </w:r>
      <w:r w:rsidRPr="00EF1BA3">
        <w:rPr>
          <w:rFonts w:ascii="Times New Roman" w:hAnsi="Times New Roman" w:cs="Times New Roman"/>
        </w:rPr>
        <w:t xml:space="preserve">Besides, the overall growth rate in the country, inflation and unemployment can also affect the investment returns from a specific project. Second category of factors is the industry level factors as the project may look feasible on the basis of financial estimates but may not yield desired returns when industry factors are accounted for. It is based on industrial policies, regulations and recent </w:t>
      </w:r>
      <w:r w:rsidRPr="0020493B">
        <w:rPr>
          <w:rFonts w:ascii="Times New Roman" w:hAnsi="Times New Roman" w:cs="Times New Roman"/>
        </w:rPr>
        <w:t xml:space="preserve">trends in the industries (Baker, Dutta and Saadi, 2010). Third category </w:t>
      </w:r>
      <w:r w:rsidR="006A4242" w:rsidRPr="0020493B">
        <w:rPr>
          <w:rFonts w:ascii="Times New Roman" w:hAnsi="Times New Roman" w:cs="Times New Roman"/>
        </w:rPr>
        <w:t>of those factors relates to</w:t>
      </w:r>
      <w:r w:rsidR="006A4242">
        <w:rPr>
          <w:rFonts w:ascii="Times New Roman" w:hAnsi="Times New Roman" w:cs="Times New Roman"/>
        </w:rPr>
        <w:t xml:space="preserve"> </w:t>
      </w:r>
      <w:r w:rsidRPr="00EF1BA3">
        <w:rPr>
          <w:rFonts w:ascii="Times New Roman" w:hAnsi="Times New Roman" w:cs="Times New Roman"/>
        </w:rPr>
        <w:t xml:space="preserve">company specific factors because it may be difficult to raise internal financing for the project so the business must evaluate how it will arrange the financing at easy terms that suit the nature of the project and different other factors as well. This </w:t>
      </w:r>
      <w:r w:rsidR="006A4242" w:rsidRPr="00EF1BA3">
        <w:rPr>
          <w:rFonts w:ascii="Times New Roman" w:hAnsi="Times New Roman" w:cs="Times New Roman"/>
        </w:rPr>
        <w:t>summarizes</w:t>
      </w:r>
      <w:r w:rsidRPr="00EF1BA3">
        <w:rPr>
          <w:rFonts w:ascii="Times New Roman" w:hAnsi="Times New Roman" w:cs="Times New Roman"/>
        </w:rPr>
        <w:t xml:space="preserve"> the factors that must be studied </w:t>
      </w:r>
      <w:r w:rsidRPr="0020493B">
        <w:rPr>
          <w:rFonts w:ascii="Times New Roman" w:hAnsi="Times New Roman" w:cs="Times New Roman"/>
        </w:rPr>
        <w:t>while appraising a project for investment (Brealey et al., 2012).</w:t>
      </w:r>
    </w:p>
    <w:p w14:paraId="31A93082" w14:textId="77777777" w:rsidR="006C1923" w:rsidRPr="00F03F85" w:rsidRDefault="006C1923" w:rsidP="008D546A">
      <w:pPr>
        <w:pStyle w:val="Heading1"/>
        <w:numPr>
          <w:ilvl w:val="0"/>
          <w:numId w:val="3"/>
        </w:numPr>
        <w:spacing w:before="0" w:line="480" w:lineRule="auto"/>
        <w:rPr>
          <w:rFonts w:ascii="Times New Roman" w:hAnsi="Times New Roman" w:cs="Times New Roman"/>
          <w:sz w:val="26"/>
          <w:szCs w:val="26"/>
        </w:rPr>
      </w:pPr>
      <w:bookmarkStart w:id="24" w:name="_Toc535327100"/>
      <w:r w:rsidRPr="00F03F85">
        <w:rPr>
          <w:rFonts w:ascii="Times New Roman" w:hAnsi="Times New Roman" w:cs="Times New Roman"/>
          <w:sz w:val="26"/>
          <w:szCs w:val="26"/>
        </w:rPr>
        <w:t>Optimal Investment Policy</w:t>
      </w:r>
      <w:bookmarkEnd w:id="24"/>
    </w:p>
    <w:p w14:paraId="42B6ACCA" w14:textId="3F2E1299" w:rsidR="006C1923" w:rsidRPr="00EF1BA3" w:rsidRDefault="006C1923" w:rsidP="008D546A">
      <w:pPr>
        <w:spacing w:after="0" w:line="480" w:lineRule="auto"/>
        <w:rPr>
          <w:rFonts w:ascii="Times New Roman" w:hAnsi="Times New Roman" w:cs="Times New Roman"/>
        </w:rPr>
      </w:pPr>
      <w:r w:rsidRPr="0020493B">
        <w:rPr>
          <w:rFonts w:ascii="Times New Roman" w:hAnsi="Times New Roman" w:cs="Times New Roman"/>
        </w:rPr>
        <w:t>In the view of Tirole (2010), the optimal investment policy is considered to be the one which</w:t>
      </w:r>
      <w:r w:rsidRPr="00EF1BA3">
        <w:rPr>
          <w:rFonts w:ascii="Times New Roman" w:hAnsi="Times New Roman" w:cs="Times New Roman"/>
        </w:rPr>
        <w:t xml:space="preserve"> </w:t>
      </w:r>
      <w:r w:rsidR="006A4242" w:rsidRPr="00EF1BA3">
        <w:rPr>
          <w:rFonts w:ascii="Times New Roman" w:hAnsi="Times New Roman" w:cs="Times New Roman"/>
        </w:rPr>
        <w:t>maximizes</w:t>
      </w:r>
      <w:r w:rsidRPr="00EF1BA3">
        <w:rPr>
          <w:rFonts w:ascii="Times New Roman" w:hAnsi="Times New Roman" w:cs="Times New Roman"/>
        </w:rPr>
        <w:t xml:space="preserve"> the returns for shareholders or sponsors of a project with minimum possible risk. An optimal investment policy’s core objective is to place the funds in avenues, where returns can be </w:t>
      </w:r>
      <w:r w:rsidR="006A4242" w:rsidRPr="00EF1BA3">
        <w:rPr>
          <w:rFonts w:ascii="Times New Roman" w:hAnsi="Times New Roman" w:cs="Times New Roman"/>
        </w:rPr>
        <w:t>maximized</w:t>
      </w:r>
      <w:r w:rsidRPr="00EF1BA3">
        <w:rPr>
          <w:rFonts w:ascii="Times New Roman" w:hAnsi="Times New Roman" w:cs="Times New Roman"/>
        </w:rPr>
        <w:t xml:space="preserve"> with diversified investments. In the given case, it has been provided that sponsors have £2,500,000 for funding and they are looking for an investment policy to invest those funds. As the risk measures of each project are not provided, the analysis in this section is based on IRR of each project. </w:t>
      </w:r>
    </w:p>
    <w:p w14:paraId="750F98BF" w14:textId="13D55323"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lastRenderedPageBreak/>
        <w:t xml:space="preserve">As project A requires £750,000 in funds only and has the highest IRR among the projects being considered; the investment in project A shall be considered in full. Consequently, project B requires £1,200,000 in funds and has the second highest IRR. Therefore, £1,000,000 </w:t>
      </w:r>
      <w:r w:rsidR="00F03F85" w:rsidRPr="00EF1BA3">
        <w:rPr>
          <w:rFonts w:ascii="Times New Roman" w:hAnsi="Times New Roman" w:cs="Times New Roman"/>
        </w:rPr>
        <w:t>is</w:t>
      </w:r>
      <w:r w:rsidRPr="00EF1BA3">
        <w:rPr>
          <w:rFonts w:ascii="Times New Roman" w:hAnsi="Times New Roman" w:cs="Times New Roman"/>
        </w:rPr>
        <w:t xml:space="preserve"> invested in this project to leave cushion for investment in third project as well. The investment in </w:t>
      </w:r>
      <w:r w:rsidR="00F03F85">
        <w:rPr>
          <w:rFonts w:ascii="Times New Roman" w:hAnsi="Times New Roman" w:cs="Times New Roman"/>
        </w:rPr>
        <w:t>p</w:t>
      </w:r>
      <w:r w:rsidRPr="00EF1BA3">
        <w:rPr>
          <w:rFonts w:ascii="Times New Roman" w:hAnsi="Times New Roman" w:cs="Times New Roman"/>
        </w:rPr>
        <w:t>roject C amounts to £750,000 as it also has a significant IRR and returns highest NPV among the projects. The NPV resulting from investment policy is illustrated in the table below.</w:t>
      </w:r>
    </w:p>
    <w:tbl>
      <w:tblPr>
        <w:tblW w:w="2342" w:type="dxa"/>
        <w:jc w:val="center"/>
        <w:tblLook w:val="04A0" w:firstRow="1" w:lastRow="0" w:firstColumn="1" w:lastColumn="0" w:noHBand="0" w:noVBand="1"/>
      </w:tblPr>
      <w:tblGrid>
        <w:gridCol w:w="924"/>
        <w:gridCol w:w="1418"/>
      </w:tblGrid>
      <w:tr w:rsidR="0093509E" w:rsidRPr="0093509E" w14:paraId="7C0E8843" w14:textId="77777777" w:rsidTr="00BA7ABD">
        <w:trPr>
          <w:trHeight w:val="630"/>
          <w:jc w:val="center"/>
        </w:trPr>
        <w:tc>
          <w:tcPr>
            <w:tcW w:w="924" w:type="dxa"/>
            <w:tcBorders>
              <w:top w:val="single" w:sz="8" w:space="0" w:color="auto"/>
              <w:left w:val="single" w:sz="8" w:space="0" w:color="auto"/>
              <w:bottom w:val="nil"/>
              <w:right w:val="nil"/>
            </w:tcBorders>
            <w:shd w:val="clear" w:color="auto" w:fill="auto"/>
            <w:noWrap/>
            <w:vAlign w:val="center"/>
            <w:hideMark/>
          </w:tcPr>
          <w:p w14:paraId="137A4AD9" w14:textId="77777777" w:rsidR="0093509E" w:rsidRPr="0093509E" w:rsidRDefault="0093509E" w:rsidP="0093509E">
            <w:pPr>
              <w:spacing w:after="0" w:line="240" w:lineRule="auto"/>
              <w:jc w:val="left"/>
              <w:rPr>
                <w:rFonts w:ascii="Calibri" w:eastAsia="Times New Roman" w:hAnsi="Calibri" w:cs="Times New Roman"/>
                <w:b/>
                <w:bCs/>
                <w:color w:val="000000"/>
                <w:szCs w:val="24"/>
              </w:rPr>
            </w:pPr>
            <w:r w:rsidRPr="0093509E">
              <w:rPr>
                <w:rFonts w:ascii="Calibri" w:eastAsia="Times New Roman" w:hAnsi="Calibri" w:cs="Times New Roman"/>
                <w:b/>
                <w:bCs/>
                <w:color w:val="000000"/>
                <w:szCs w:val="24"/>
              </w:rPr>
              <w:t>Project</w:t>
            </w:r>
          </w:p>
        </w:tc>
        <w:tc>
          <w:tcPr>
            <w:tcW w:w="1418" w:type="dxa"/>
            <w:tcBorders>
              <w:top w:val="single" w:sz="8" w:space="0" w:color="auto"/>
              <w:left w:val="nil"/>
              <w:bottom w:val="nil"/>
              <w:right w:val="single" w:sz="8" w:space="0" w:color="auto"/>
            </w:tcBorders>
            <w:shd w:val="clear" w:color="auto" w:fill="auto"/>
            <w:vAlign w:val="center"/>
            <w:hideMark/>
          </w:tcPr>
          <w:p w14:paraId="559624CC" w14:textId="77777777" w:rsidR="0093509E" w:rsidRPr="0093509E" w:rsidRDefault="0093509E" w:rsidP="0093509E">
            <w:pPr>
              <w:spacing w:after="0" w:line="240" w:lineRule="auto"/>
              <w:jc w:val="center"/>
              <w:rPr>
                <w:rFonts w:ascii="Calibri" w:eastAsia="Times New Roman" w:hAnsi="Calibri" w:cs="Times New Roman"/>
                <w:b/>
                <w:bCs/>
                <w:color w:val="000000"/>
                <w:szCs w:val="24"/>
              </w:rPr>
            </w:pPr>
            <w:r w:rsidRPr="0093509E">
              <w:rPr>
                <w:rFonts w:ascii="Calibri" w:eastAsia="Times New Roman" w:hAnsi="Calibri" w:cs="Times New Roman"/>
                <w:b/>
                <w:bCs/>
                <w:color w:val="000000"/>
                <w:szCs w:val="24"/>
              </w:rPr>
              <w:t>Net Present Value</w:t>
            </w:r>
          </w:p>
        </w:tc>
      </w:tr>
      <w:tr w:rsidR="0093509E" w:rsidRPr="0093509E" w14:paraId="5DCE39B9" w14:textId="77777777" w:rsidTr="00BA7ABD">
        <w:trPr>
          <w:trHeight w:val="315"/>
          <w:jc w:val="center"/>
        </w:trPr>
        <w:tc>
          <w:tcPr>
            <w:tcW w:w="924" w:type="dxa"/>
            <w:tcBorders>
              <w:top w:val="nil"/>
              <w:left w:val="single" w:sz="8" w:space="0" w:color="auto"/>
              <w:bottom w:val="nil"/>
              <w:right w:val="nil"/>
            </w:tcBorders>
            <w:shd w:val="clear" w:color="auto" w:fill="auto"/>
            <w:vAlign w:val="center"/>
            <w:hideMark/>
          </w:tcPr>
          <w:p w14:paraId="548E7098" w14:textId="77777777" w:rsidR="0093509E" w:rsidRPr="0093509E" w:rsidRDefault="0093509E" w:rsidP="0093509E">
            <w:pPr>
              <w:spacing w:after="0" w:line="240" w:lineRule="auto"/>
              <w:jc w:val="center"/>
              <w:rPr>
                <w:rFonts w:ascii="Calibri" w:eastAsia="Times New Roman" w:hAnsi="Calibri" w:cs="Times New Roman"/>
                <w:color w:val="000000"/>
                <w:szCs w:val="24"/>
              </w:rPr>
            </w:pPr>
            <w:r w:rsidRPr="0093509E">
              <w:rPr>
                <w:rFonts w:ascii="Calibri" w:eastAsia="Times New Roman" w:hAnsi="Calibri" w:cs="Times New Roman"/>
                <w:color w:val="000000"/>
                <w:szCs w:val="24"/>
              </w:rPr>
              <w:t>(A)</w:t>
            </w:r>
          </w:p>
        </w:tc>
        <w:tc>
          <w:tcPr>
            <w:tcW w:w="1418" w:type="dxa"/>
            <w:tcBorders>
              <w:top w:val="nil"/>
              <w:left w:val="nil"/>
              <w:bottom w:val="nil"/>
              <w:right w:val="single" w:sz="8" w:space="0" w:color="auto"/>
            </w:tcBorders>
            <w:shd w:val="clear" w:color="auto" w:fill="auto"/>
            <w:noWrap/>
            <w:vAlign w:val="bottom"/>
            <w:hideMark/>
          </w:tcPr>
          <w:p w14:paraId="7782539A" w14:textId="0F7B3DFD" w:rsidR="0093509E" w:rsidRPr="0093509E" w:rsidRDefault="00BA7ABD" w:rsidP="00BA7ABD">
            <w:pPr>
              <w:spacing w:after="0" w:line="240" w:lineRule="auto"/>
              <w:jc w:val="center"/>
              <w:rPr>
                <w:rFonts w:ascii="Calibri" w:eastAsia="Times New Roman" w:hAnsi="Calibri" w:cs="Times New Roman"/>
                <w:color w:val="000000"/>
                <w:szCs w:val="24"/>
              </w:rPr>
            </w:pPr>
            <w:r>
              <w:rPr>
                <w:rFonts w:ascii="Calibri" w:eastAsia="Times New Roman" w:hAnsi="Calibri" w:cs="Times New Roman"/>
                <w:color w:val="000000"/>
                <w:szCs w:val="24"/>
              </w:rPr>
              <w:t>1,121.8</w:t>
            </w:r>
          </w:p>
        </w:tc>
      </w:tr>
      <w:tr w:rsidR="0093509E" w:rsidRPr="0093509E" w14:paraId="13121F7E" w14:textId="77777777" w:rsidTr="00BA7ABD">
        <w:trPr>
          <w:trHeight w:val="315"/>
          <w:jc w:val="center"/>
        </w:trPr>
        <w:tc>
          <w:tcPr>
            <w:tcW w:w="924" w:type="dxa"/>
            <w:tcBorders>
              <w:top w:val="nil"/>
              <w:left w:val="single" w:sz="8" w:space="0" w:color="auto"/>
              <w:bottom w:val="nil"/>
              <w:right w:val="nil"/>
            </w:tcBorders>
            <w:shd w:val="clear" w:color="auto" w:fill="auto"/>
            <w:vAlign w:val="center"/>
            <w:hideMark/>
          </w:tcPr>
          <w:p w14:paraId="4B8954EF" w14:textId="77777777" w:rsidR="0093509E" w:rsidRPr="0093509E" w:rsidRDefault="0093509E" w:rsidP="0093509E">
            <w:pPr>
              <w:spacing w:after="0" w:line="240" w:lineRule="auto"/>
              <w:jc w:val="center"/>
              <w:rPr>
                <w:rFonts w:ascii="Calibri" w:eastAsia="Times New Roman" w:hAnsi="Calibri" w:cs="Times New Roman"/>
                <w:color w:val="000000"/>
                <w:szCs w:val="24"/>
              </w:rPr>
            </w:pPr>
            <w:r w:rsidRPr="0093509E">
              <w:rPr>
                <w:rFonts w:ascii="Calibri" w:eastAsia="Times New Roman" w:hAnsi="Calibri" w:cs="Times New Roman"/>
                <w:color w:val="000000"/>
                <w:szCs w:val="24"/>
              </w:rPr>
              <w:t>(B)</w:t>
            </w:r>
          </w:p>
        </w:tc>
        <w:tc>
          <w:tcPr>
            <w:tcW w:w="1418" w:type="dxa"/>
            <w:tcBorders>
              <w:top w:val="nil"/>
              <w:left w:val="nil"/>
              <w:bottom w:val="nil"/>
              <w:right w:val="single" w:sz="8" w:space="0" w:color="auto"/>
            </w:tcBorders>
            <w:shd w:val="clear" w:color="auto" w:fill="auto"/>
            <w:noWrap/>
            <w:vAlign w:val="bottom"/>
            <w:hideMark/>
          </w:tcPr>
          <w:p w14:paraId="6E8C2FC9" w14:textId="2FCAF4F4" w:rsidR="0093509E" w:rsidRPr="0093509E" w:rsidRDefault="00BA7ABD" w:rsidP="00BA7ABD">
            <w:pPr>
              <w:spacing w:after="0" w:line="240" w:lineRule="auto"/>
              <w:jc w:val="center"/>
              <w:rPr>
                <w:rFonts w:ascii="Calibri" w:eastAsia="Times New Roman" w:hAnsi="Calibri" w:cs="Times New Roman"/>
                <w:color w:val="000000"/>
                <w:szCs w:val="24"/>
              </w:rPr>
            </w:pPr>
            <w:r>
              <w:rPr>
                <w:rFonts w:ascii="Calibri" w:eastAsia="Times New Roman" w:hAnsi="Calibri" w:cs="Times New Roman"/>
                <w:color w:val="000000"/>
                <w:szCs w:val="24"/>
              </w:rPr>
              <w:t>1393.</w:t>
            </w:r>
            <w:r w:rsidR="0093509E" w:rsidRPr="0093509E">
              <w:rPr>
                <w:rFonts w:ascii="Calibri" w:eastAsia="Times New Roman" w:hAnsi="Calibri" w:cs="Times New Roman"/>
                <w:color w:val="000000"/>
                <w:szCs w:val="24"/>
              </w:rPr>
              <w:t>1</w:t>
            </w:r>
          </w:p>
        </w:tc>
      </w:tr>
      <w:tr w:rsidR="0093509E" w:rsidRPr="0093509E" w14:paraId="337FD5EA" w14:textId="77777777" w:rsidTr="00BA7ABD">
        <w:trPr>
          <w:trHeight w:val="330"/>
          <w:jc w:val="center"/>
        </w:trPr>
        <w:tc>
          <w:tcPr>
            <w:tcW w:w="924" w:type="dxa"/>
            <w:tcBorders>
              <w:top w:val="nil"/>
              <w:left w:val="single" w:sz="8" w:space="0" w:color="auto"/>
              <w:bottom w:val="single" w:sz="8" w:space="0" w:color="auto"/>
              <w:right w:val="nil"/>
            </w:tcBorders>
            <w:shd w:val="clear" w:color="auto" w:fill="auto"/>
            <w:vAlign w:val="center"/>
            <w:hideMark/>
          </w:tcPr>
          <w:p w14:paraId="394EE6C9" w14:textId="77777777" w:rsidR="0093509E" w:rsidRPr="0093509E" w:rsidRDefault="0093509E" w:rsidP="0093509E">
            <w:pPr>
              <w:spacing w:after="0" w:line="240" w:lineRule="auto"/>
              <w:jc w:val="center"/>
              <w:rPr>
                <w:rFonts w:ascii="Calibri" w:eastAsia="Times New Roman" w:hAnsi="Calibri" w:cs="Times New Roman"/>
                <w:color w:val="000000"/>
                <w:szCs w:val="24"/>
              </w:rPr>
            </w:pPr>
            <w:r w:rsidRPr="0093509E">
              <w:rPr>
                <w:rFonts w:ascii="Calibri" w:eastAsia="Times New Roman" w:hAnsi="Calibri" w:cs="Times New Roman"/>
                <w:color w:val="000000"/>
                <w:szCs w:val="24"/>
              </w:rPr>
              <w:t>(C)</w:t>
            </w:r>
          </w:p>
        </w:tc>
        <w:tc>
          <w:tcPr>
            <w:tcW w:w="1418" w:type="dxa"/>
            <w:tcBorders>
              <w:top w:val="nil"/>
              <w:left w:val="nil"/>
              <w:bottom w:val="single" w:sz="8" w:space="0" w:color="auto"/>
              <w:right w:val="single" w:sz="8" w:space="0" w:color="auto"/>
            </w:tcBorders>
            <w:shd w:val="clear" w:color="auto" w:fill="auto"/>
            <w:noWrap/>
            <w:vAlign w:val="bottom"/>
            <w:hideMark/>
          </w:tcPr>
          <w:p w14:paraId="22F887D6" w14:textId="44922E48" w:rsidR="0093509E" w:rsidRPr="0093509E" w:rsidRDefault="00BA7ABD" w:rsidP="00BA7ABD">
            <w:pPr>
              <w:spacing w:after="0" w:line="240" w:lineRule="auto"/>
              <w:jc w:val="center"/>
              <w:rPr>
                <w:rFonts w:ascii="Calibri" w:eastAsia="Times New Roman" w:hAnsi="Calibri" w:cs="Times New Roman"/>
                <w:color w:val="000000"/>
                <w:szCs w:val="24"/>
              </w:rPr>
            </w:pPr>
            <w:r>
              <w:rPr>
                <w:rFonts w:ascii="Calibri" w:eastAsia="Times New Roman" w:hAnsi="Calibri" w:cs="Times New Roman"/>
                <w:color w:val="000000"/>
                <w:szCs w:val="24"/>
              </w:rPr>
              <w:t>955.1</w:t>
            </w:r>
          </w:p>
        </w:tc>
      </w:tr>
      <w:tr w:rsidR="0093509E" w:rsidRPr="0093509E" w14:paraId="6B27DC1A" w14:textId="77777777" w:rsidTr="00BA7ABD">
        <w:trPr>
          <w:trHeight w:val="315"/>
          <w:jc w:val="center"/>
        </w:trPr>
        <w:tc>
          <w:tcPr>
            <w:tcW w:w="924" w:type="dxa"/>
            <w:tcBorders>
              <w:top w:val="nil"/>
              <w:left w:val="nil"/>
              <w:bottom w:val="nil"/>
              <w:right w:val="nil"/>
            </w:tcBorders>
            <w:shd w:val="clear" w:color="auto" w:fill="auto"/>
            <w:noWrap/>
            <w:vAlign w:val="bottom"/>
            <w:hideMark/>
          </w:tcPr>
          <w:p w14:paraId="4A3E3C30" w14:textId="77777777" w:rsidR="0093509E" w:rsidRPr="0093509E" w:rsidRDefault="0093509E" w:rsidP="00BA7ABD">
            <w:pPr>
              <w:spacing w:after="0" w:line="240" w:lineRule="auto"/>
              <w:jc w:val="center"/>
              <w:rPr>
                <w:rFonts w:ascii="Calibri" w:eastAsia="Times New Roman" w:hAnsi="Calibri" w:cs="Times New Roman"/>
                <w:color w:val="000000"/>
                <w:szCs w:val="24"/>
              </w:rPr>
            </w:pPr>
            <w:r w:rsidRPr="0093509E">
              <w:rPr>
                <w:rFonts w:ascii="Calibri" w:eastAsia="Times New Roman" w:hAnsi="Calibri" w:cs="Times New Roman"/>
                <w:color w:val="000000"/>
                <w:szCs w:val="24"/>
              </w:rPr>
              <w:t>Total</w:t>
            </w:r>
          </w:p>
        </w:tc>
        <w:tc>
          <w:tcPr>
            <w:tcW w:w="1418" w:type="dxa"/>
            <w:tcBorders>
              <w:top w:val="nil"/>
              <w:left w:val="nil"/>
              <w:bottom w:val="nil"/>
              <w:right w:val="nil"/>
            </w:tcBorders>
            <w:shd w:val="clear" w:color="auto" w:fill="auto"/>
            <w:noWrap/>
            <w:vAlign w:val="bottom"/>
            <w:hideMark/>
          </w:tcPr>
          <w:p w14:paraId="5097D088" w14:textId="25E93D87" w:rsidR="0093509E" w:rsidRPr="0093509E" w:rsidRDefault="00BA7ABD" w:rsidP="00BA7ABD">
            <w:pPr>
              <w:spacing w:after="0" w:line="240" w:lineRule="auto"/>
              <w:jc w:val="center"/>
              <w:rPr>
                <w:rFonts w:ascii="Calibri" w:eastAsia="Times New Roman" w:hAnsi="Calibri" w:cs="Times New Roman"/>
                <w:color w:val="000000"/>
                <w:szCs w:val="24"/>
              </w:rPr>
            </w:pPr>
            <w:r>
              <w:rPr>
                <w:rFonts w:ascii="Calibri" w:eastAsia="Times New Roman" w:hAnsi="Calibri" w:cs="Times New Roman"/>
                <w:color w:val="000000"/>
                <w:szCs w:val="24"/>
              </w:rPr>
              <w:t>3,470</w:t>
            </w:r>
          </w:p>
        </w:tc>
      </w:tr>
    </w:tbl>
    <w:p w14:paraId="285543AB" w14:textId="6D5D8145" w:rsidR="006C1923" w:rsidRPr="00EF1BA3" w:rsidRDefault="006C1923" w:rsidP="00BA7ABD">
      <w:pPr>
        <w:spacing w:before="240" w:after="0" w:line="480" w:lineRule="auto"/>
        <w:rPr>
          <w:rFonts w:ascii="Times New Roman" w:hAnsi="Times New Roman" w:cs="Times New Roman"/>
        </w:rPr>
      </w:pPr>
      <w:r w:rsidRPr="00EF1BA3">
        <w:rPr>
          <w:rFonts w:ascii="Times New Roman" w:hAnsi="Times New Roman" w:cs="Times New Roman"/>
        </w:rPr>
        <w:t xml:space="preserve">The table above clearly </w:t>
      </w:r>
      <w:r w:rsidR="00BA7ABD">
        <w:rPr>
          <w:rFonts w:ascii="Times New Roman" w:hAnsi="Times New Roman" w:cs="Times New Roman"/>
        </w:rPr>
        <w:t>illustrates</w:t>
      </w:r>
      <w:r w:rsidRPr="00EF1BA3">
        <w:rPr>
          <w:rFonts w:ascii="Times New Roman" w:hAnsi="Times New Roman" w:cs="Times New Roman"/>
        </w:rPr>
        <w:t xml:space="preserve"> that with these investments, all three projects are expected to return positive NPVs and </w:t>
      </w:r>
      <w:r w:rsidR="00BA7ABD">
        <w:rPr>
          <w:rFonts w:ascii="Times New Roman" w:hAnsi="Times New Roman" w:cs="Times New Roman"/>
        </w:rPr>
        <w:t xml:space="preserve">it </w:t>
      </w:r>
      <w:r w:rsidRPr="00EF1BA3">
        <w:rPr>
          <w:rFonts w:ascii="Times New Roman" w:hAnsi="Times New Roman" w:cs="Times New Roman"/>
        </w:rPr>
        <w:t>will amount to £3,470,000. This suggests that with the</w:t>
      </w:r>
      <w:r w:rsidR="00BA7ABD">
        <w:rPr>
          <w:rFonts w:ascii="Times New Roman" w:hAnsi="Times New Roman" w:cs="Times New Roman"/>
        </w:rPr>
        <w:t xml:space="preserve"> well-diversified strategy, </w:t>
      </w:r>
      <w:r w:rsidRPr="00EF1BA3">
        <w:rPr>
          <w:rFonts w:ascii="Times New Roman" w:hAnsi="Times New Roman" w:cs="Times New Roman"/>
        </w:rPr>
        <w:t xml:space="preserve">James PLC can earn even higher amount than the investment made suggesting huge returns for the business. </w:t>
      </w:r>
    </w:p>
    <w:p w14:paraId="6A11D215" w14:textId="77777777" w:rsidR="006C1923" w:rsidRPr="00EF1BA3" w:rsidRDefault="006C1923" w:rsidP="00F03F85">
      <w:pPr>
        <w:pStyle w:val="Heading1"/>
        <w:spacing w:before="0" w:line="480" w:lineRule="auto"/>
        <w:rPr>
          <w:rFonts w:ascii="Times New Roman" w:hAnsi="Times New Roman" w:cs="Times New Roman"/>
        </w:rPr>
      </w:pPr>
      <w:bookmarkStart w:id="25" w:name="_Toc535327101"/>
      <w:r w:rsidRPr="00EF1BA3">
        <w:rPr>
          <w:rFonts w:ascii="Times New Roman" w:hAnsi="Times New Roman" w:cs="Times New Roman"/>
        </w:rPr>
        <w:t>Sources of Finance</w:t>
      </w:r>
      <w:bookmarkEnd w:id="25"/>
    </w:p>
    <w:p w14:paraId="48B5689A" w14:textId="77777777"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As illustrated in the discussion above, it can be highlighted that the projects under consideration are feasible for investment as each of these have positive NPV and high IRR as compared to the discount rate or cost of capital for the business. However, it must be noted that the investors will need to finance the amount illustrated in the optimal investment policy so that the projects can be put up.</w:t>
      </w:r>
    </w:p>
    <w:p w14:paraId="727AAC91" w14:textId="5D2DF368" w:rsidR="006C1923" w:rsidRPr="00EF1BA3" w:rsidRDefault="006C1923" w:rsidP="008D546A">
      <w:pPr>
        <w:spacing w:after="0" w:line="480" w:lineRule="auto"/>
        <w:rPr>
          <w:rFonts w:ascii="Times New Roman" w:hAnsi="Times New Roman" w:cs="Times New Roman"/>
        </w:rPr>
      </w:pPr>
      <w:r w:rsidRPr="0020493B">
        <w:rPr>
          <w:rFonts w:ascii="Times New Roman" w:hAnsi="Times New Roman" w:cs="Times New Roman"/>
        </w:rPr>
        <w:t>In accordance with Brooks and Mukherjee (2013)</w:t>
      </w:r>
      <w:r w:rsidRPr="0020493B">
        <w:rPr>
          <w:rFonts w:ascii="Times New Roman" w:hAnsi="Times New Roman" w:cs="Times New Roman"/>
          <w:color w:val="000000" w:themeColor="text1"/>
        </w:rPr>
        <w:t>,</w:t>
      </w:r>
      <w:r w:rsidRPr="0020493B">
        <w:rPr>
          <w:rFonts w:ascii="Times New Roman" w:hAnsi="Times New Roman" w:cs="Times New Roman"/>
        </w:rPr>
        <w:t xml:space="preserve"> there are three major sources of finance</w:t>
      </w:r>
      <w:r w:rsidRPr="00EF1BA3">
        <w:rPr>
          <w:rFonts w:ascii="Times New Roman" w:hAnsi="Times New Roman" w:cs="Times New Roman"/>
        </w:rPr>
        <w:t xml:space="preserve"> available to business sponsors or management. These include the financing using retained earnings, debt financing and equity financing and the benefits / weaknesses associated with each </w:t>
      </w:r>
      <w:r w:rsidRPr="00EF1BA3">
        <w:rPr>
          <w:rFonts w:ascii="Times New Roman" w:hAnsi="Times New Roman" w:cs="Times New Roman"/>
        </w:rPr>
        <w:lastRenderedPageBreak/>
        <w:t xml:space="preserve">of the three major sources of finance. </w:t>
      </w:r>
      <w:r w:rsidR="00052F64">
        <w:rPr>
          <w:rFonts w:ascii="Times New Roman" w:hAnsi="Times New Roman" w:cs="Times New Roman"/>
        </w:rPr>
        <w:t>T</w:t>
      </w:r>
      <w:r w:rsidRPr="00EF1BA3">
        <w:rPr>
          <w:rFonts w:ascii="Times New Roman" w:hAnsi="Times New Roman" w:cs="Times New Roman"/>
        </w:rPr>
        <w:t>he advantages and disadvantages associated with possible sources for financing are illustrated below.</w:t>
      </w:r>
    </w:p>
    <w:p w14:paraId="673B2199" w14:textId="13059A0D" w:rsidR="006C1923" w:rsidRPr="00EF1BA3" w:rsidRDefault="006C1923" w:rsidP="00052F64">
      <w:pPr>
        <w:pStyle w:val="Heading2"/>
        <w:numPr>
          <w:ilvl w:val="0"/>
          <w:numId w:val="6"/>
        </w:numPr>
        <w:spacing w:before="0" w:line="480" w:lineRule="auto"/>
        <w:rPr>
          <w:rFonts w:ascii="Times New Roman" w:hAnsi="Times New Roman" w:cs="Times New Roman"/>
        </w:rPr>
      </w:pPr>
      <w:bookmarkStart w:id="26" w:name="_Toc535327102"/>
      <w:r w:rsidRPr="00EF1BA3">
        <w:rPr>
          <w:rFonts w:ascii="Times New Roman" w:hAnsi="Times New Roman" w:cs="Times New Roman"/>
        </w:rPr>
        <w:t>Financing from Retained Earnings</w:t>
      </w:r>
      <w:bookmarkEnd w:id="26"/>
    </w:p>
    <w:p w14:paraId="6284CC36" w14:textId="49569754"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This refers to the financing using internal sources; however, in order to use this source of fund, the business must have sufficient amounts of earnings retained in the previous years. The financing from retained earning leads to a risk free source of financing as there is no repayment required. However, its pres</w:t>
      </w:r>
      <w:r w:rsidR="00D4494A">
        <w:rPr>
          <w:rFonts w:ascii="Times New Roman" w:hAnsi="Times New Roman" w:cs="Times New Roman"/>
        </w:rPr>
        <w:t xml:space="preserve">ence is a big question. Other </w:t>
      </w:r>
      <w:r w:rsidRPr="00EF1BA3">
        <w:rPr>
          <w:rFonts w:ascii="Times New Roman" w:hAnsi="Times New Roman" w:cs="Times New Roman"/>
        </w:rPr>
        <w:t>strength of this source of financ</w:t>
      </w:r>
      <w:r w:rsidR="00D4494A">
        <w:rPr>
          <w:rFonts w:ascii="Times New Roman" w:hAnsi="Times New Roman" w:cs="Times New Roman"/>
        </w:rPr>
        <w:t>ing</w:t>
      </w:r>
      <w:r w:rsidRPr="00EF1BA3">
        <w:rPr>
          <w:rFonts w:ascii="Times New Roman" w:hAnsi="Times New Roman" w:cs="Times New Roman"/>
        </w:rPr>
        <w:t xml:space="preserve"> refers to no cost of finance involved directly. Ho</w:t>
      </w:r>
      <w:r w:rsidR="00D4494A">
        <w:rPr>
          <w:rFonts w:ascii="Times New Roman" w:hAnsi="Times New Roman" w:cs="Times New Roman"/>
        </w:rPr>
        <w:t>wever, the major weakness of this</w:t>
      </w:r>
      <w:r w:rsidRPr="00EF1BA3">
        <w:rPr>
          <w:rFonts w:ascii="Times New Roman" w:hAnsi="Times New Roman" w:cs="Times New Roman"/>
        </w:rPr>
        <w:t xml:space="preserve"> source of finance is that it increases business solvency by reducing the margins to absorb the unexpected losses </w:t>
      </w:r>
      <w:r w:rsidRPr="0020493B">
        <w:rPr>
          <w:rFonts w:ascii="Times New Roman" w:hAnsi="Times New Roman" w:cs="Times New Roman"/>
        </w:rPr>
        <w:t>(Ross, Westerfield and Jordan, 2008).</w:t>
      </w:r>
    </w:p>
    <w:p w14:paraId="1B9B2775" w14:textId="279D8072" w:rsidR="006C1923" w:rsidRPr="00EF1BA3" w:rsidRDefault="006C1923" w:rsidP="00052F64">
      <w:pPr>
        <w:pStyle w:val="Heading2"/>
        <w:numPr>
          <w:ilvl w:val="0"/>
          <w:numId w:val="6"/>
        </w:numPr>
        <w:spacing w:before="0" w:line="480" w:lineRule="auto"/>
        <w:rPr>
          <w:rFonts w:ascii="Times New Roman" w:hAnsi="Times New Roman" w:cs="Times New Roman"/>
        </w:rPr>
      </w:pPr>
      <w:bookmarkStart w:id="27" w:name="_Toc535327103"/>
      <w:r w:rsidRPr="00EF1BA3">
        <w:rPr>
          <w:rFonts w:ascii="Times New Roman" w:hAnsi="Times New Roman" w:cs="Times New Roman"/>
        </w:rPr>
        <w:t>Debt Financing</w:t>
      </w:r>
      <w:bookmarkEnd w:id="27"/>
    </w:p>
    <w:p w14:paraId="2A45864D" w14:textId="0B3C066D" w:rsidR="006C1923" w:rsidRPr="00EF1BA3" w:rsidRDefault="006C1923" w:rsidP="008D546A">
      <w:pPr>
        <w:spacing w:after="0" w:line="480" w:lineRule="auto"/>
        <w:rPr>
          <w:rFonts w:ascii="Times New Roman" w:hAnsi="Times New Roman" w:cs="Times New Roman"/>
        </w:rPr>
      </w:pPr>
      <w:r w:rsidRPr="0020493B">
        <w:rPr>
          <w:rFonts w:ascii="Times New Roman" w:hAnsi="Times New Roman" w:cs="Times New Roman"/>
        </w:rPr>
        <w:t>According to Sufi (2007), one of the</w:t>
      </w:r>
      <w:r w:rsidRPr="00EF1BA3">
        <w:rPr>
          <w:rFonts w:ascii="Times New Roman" w:hAnsi="Times New Roman" w:cs="Times New Roman"/>
        </w:rPr>
        <w:t xml:space="preserve"> most common types of financing for business</w:t>
      </w:r>
      <w:r w:rsidR="00D4494A">
        <w:rPr>
          <w:rFonts w:ascii="Times New Roman" w:hAnsi="Times New Roman" w:cs="Times New Roman"/>
        </w:rPr>
        <w:t>es</w:t>
      </w:r>
      <w:r w:rsidRPr="00EF1BA3">
        <w:rPr>
          <w:rFonts w:ascii="Times New Roman" w:hAnsi="Times New Roman" w:cs="Times New Roman"/>
        </w:rPr>
        <w:t xml:space="preserve"> is debt financing as banks lend money to the businesses for financially viable projects. The major advantage associated with debt financing is that it is easily obtainable and has lower cost associated with it. Another advantage of debt financing is that it is not permanent finance like equity and can be taken off the balance sheet once repaid. On the other side, a key disadvantage of debt financing is that the periodic repayment of debt is an obligation and must be paid even if the business is incurring losses and this increases solvency risk of the business.</w:t>
      </w:r>
    </w:p>
    <w:p w14:paraId="483E06CC" w14:textId="467D7A99" w:rsidR="006C1923" w:rsidRPr="00EF1BA3" w:rsidRDefault="006C1923" w:rsidP="00052F64">
      <w:pPr>
        <w:pStyle w:val="Heading2"/>
        <w:numPr>
          <w:ilvl w:val="0"/>
          <w:numId w:val="6"/>
        </w:numPr>
        <w:spacing w:before="0" w:line="480" w:lineRule="auto"/>
        <w:rPr>
          <w:rFonts w:ascii="Times New Roman" w:hAnsi="Times New Roman" w:cs="Times New Roman"/>
        </w:rPr>
      </w:pPr>
      <w:bookmarkStart w:id="28" w:name="_Toc535327104"/>
      <w:r w:rsidRPr="00EF1BA3">
        <w:rPr>
          <w:rFonts w:ascii="Times New Roman" w:hAnsi="Times New Roman" w:cs="Times New Roman"/>
        </w:rPr>
        <w:t>Equity Financing</w:t>
      </w:r>
      <w:bookmarkEnd w:id="28"/>
    </w:p>
    <w:p w14:paraId="0E979D40" w14:textId="6885EB70"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 xml:space="preserve">The third source to finance the investment </w:t>
      </w:r>
      <w:r w:rsidR="00802A43">
        <w:rPr>
          <w:rFonts w:ascii="Times New Roman" w:hAnsi="Times New Roman" w:cs="Times New Roman"/>
        </w:rPr>
        <w:t>proposal</w:t>
      </w:r>
      <w:r w:rsidR="00126606">
        <w:rPr>
          <w:rFonts w:ascii="Times New Roman" w:hAnsi="Times New Roman" w:cs="Times New Roman"/>
        </w:rPr>
        <w:t xml:space="preserve"> as </w:t>
      </w:r>
      <w:r w:rsidRPr="00EF1BA3">
        <w:rPr>
          <w:rFonts w:ascii="Times New Roman" w:hAnsi="Times New Roman" w:cs="Times New Roman"/>
        </w:rPr>
        <w:t>in the case of James PL</w:t>
      </w:r>
      <w:r w:rsidR="00802A43">
        <w:rPr>
          <w:rFonts w:ascii="Times New Roman" w:hAnsi="Times New Roman" w:cs="Times New Roman"/>
        </w:rPr>
        <w:t>C is the equity financing. E</w:t>
      </w:r>
      <w:r w:rsidRPr="00EF1BA3">
        <w:rPr>
          <w:rFonts w:ascii="Times New Roman" w:hAnsi="Times New Roman" w:cs="Times New Roman"/>
        </w:rPr>
        <w:t xml:space="preserve">quity finance can be obtained by issuing common or preferred shares in the market. The advantages associated with this type of financing include the fact that dividend payment is not an obligation and equity is never repaid unless in the case of default. However, it must be noted </w:t>
      </w:r>
      <w:r w:rsidRPr="00EF1BA3">
        <w:rPr>
          <w:rFonts w:ascii="Times New Roman" w:hAnsi="Times New Roman" w:cs="Times New Roman"/>
        </w:rPr>
        <w:lastRenderedPageBreak/>
        <w:t xml:space="preserve">that one of the weaknesses is </w:t>
      </w:r>
      <w:r w:rsidR="00802A43">
        <w:rPr>
          <w:rFonts w:ascii="Times New Roman" w:hAnsi="Times New Roman" w:cs="Times New Roman"/>
        </w:rPr>
        <w:t>the high cost of equity as the</w:t>
      </w:r>
      <w:r w:rsidRPr="00EF1BA3">
        <w:rPr>
          <w:rFonts w:ascii="Times New Roman" w:hAnsi="Times New Roman" w:cs="Times New Roman"/>
        </w:rPr>
        <w:t xml:space="preserve"> investors require high</w:t>
      </w:r>
      <w:r w:rsidR="00802A43">
        <w:rPr>
          <w:rFonts w:ascii="Times New Roman" w:hAnsi="Times New Roman" w:cs="Times New Roman"/>
        </w:rPr>
        <w:t>er</w:t>
      </w:r>
      <w:r w:rsidRPr="00EF1BA3">
        <w:rPr>
          <w:rFonts w:ascii="Times New Roman" w:hAnsi="Times New Roman" w:cs="Times New Roman"/>
        </w:rPr>
        <w:t xml:space="preserve"> amount of dividends from profits. In addition, the ownership also dilutes to a significant extent in the case of additional equity </w:t>
      </w:r>
      <w:r w:rsidRPr="0020493B">
        <w:rPr>
          <w:rFonts w:ascii="Times New Roman" w:hAnsi="Times New Roman" w:cs="Times New Roman"/>
        </w:rPr>
        <w:t>financing (Brealey et al., 2012).</w:t>
      </w:r>
    </w:p>
    <w:p w14:paraId="69784B42" w14:textId="3FF13F3C" w:rsidR="006C1923"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 xml:space="preserve">The </w:t>
      </w:r>
      <w:r w:rsidR="00802A43">
        <w:rPr>
          <w:rFonts w:ascii="Times New Roman" w:hAnsi="Times New Roman" w:cs="Times New Roman"/>
        </w:rPr>
        <w:t>above sources of finance are</w:t>
      </w:r>
      <w:r w:rsidRPr="00EF1BA3">
        <w:rPr>
          <w:rFonts w:ascii="Times New Roman" w:hAnsi="Times New Roman" w:cs="Times New Roman"/>
        </w:rPr>
        <w:t xml:space="preserve"> available to James PLC and leads to the findings that there is no single best source of finance. The selection may vary from case to case.</w:t>
      </w:r>
    </w:p>
    <w:p w14:paraId="46EC06DB" w14:textId="4F596F2D" w:rsidR="006C1923" w:rsidRPr="00EF1BA3" w:rsidRDefault="006C1923" w:rsidP="008D546A">
      <w:pPr>
        <w:pStyle w:val="Heading1"/>
        <w:spacing w:before="0" w:line="480" w:lineRule="auto"/>
        <w:rPr>
          <w:rFonts w:ascii="Times New Roman" w:hAnsi="Times New Roman" w:cs="Times New Roman"/>
        </w:rPr>
      </w:pPr>
      <w:bookmarkStart w:id="29" w:name="_Toc535327105"/>
      <w:r w:rsidRPr="00EF1BA3">
        <w:rPr>
          <w:rFonts w:ascii="Times New Roman" w:hAnsi="Times New Roman" w:cs="Times New Roman"/>
        </w:rPr>
        <w:t>Conclusion</w:t>
      </w:r>
      <w:bookmarkEnd w:id="29"/>
      <w:r w:rsidR="00693A71">
        <w:rPr>
          <w:rFonts w:ascii="Times New Roman" w:hAnsi="Times New Roman" w:cs="Times New Roman"/>
        </w:rPr>
        <w:t xml:space="preserve"> </w:t>
      </w:r>
    </w:p>
    <w:p w14:paraId="2AD999A2" w14:textId="6BA87678" w:rsidR="000010A9" w:rsidRPr="00EF1BA3" w:rsidRDefault="006C1923" w:rsidP="008D546A">
      <w:pPr>
        <w:spacing w:after="0" w:line="480" w:lineRule="auto"/>
        <w:rPr>
          <w:rFonts w:ascii="Times New Roman" w:hAnsi="Times New Roman" w:cs="Times New Roman"/>
        </w:rPr>
      </w:pPr>
      <w:r w:rsidRPr="00EF1BA3">
        <w:rPr>
          <w:rFonts w:ascii="Times New Roman" w:hAnsi="Times New Roman" w:cs="Times New Roman"/>
        </w:rPr>
        <w:t>The investment a</w:t>
      </w:r>
      <w:r w:rsidR="00693A71">
        <w:rPr>
          <w:rFonts w:ascii="Times New Roman" w:hAnsi="Times New Roman" w:cs="Times New Roman"/>
        </w:rPr>
        <w:t>ppraisal carried out using NPV technique suggests</w:t>
      </w:r>
      <w:r w:rsidRPr="00EF1BA3">
        <w:rPr>
          <w:rFonts w:ascii="Times New Roman" w:hAnsi="Times New Roman" w:cs="Times New Roman"/>
        </w:rPr>
        <w:t xml:space="preserve"> that project C has </w:t>
      </w:r>
      <w:r w:rsidR="00693A71">
        <w:rPr>
          <w:rFonts w:ascii="Times New Roman" w:hAnsi="Times New Roman" w:cs="Times New Roman"/>
        </w:rPr>
        <w:t xml:space="preserve">the </w:t>
      </w:r>
      <w:r w:rsidRPr="00EF1BA3">
        <w:rPr>
          <w:rFonts w:ascii="Times New Roman" w:hAnsi="Times New Roman" w:cs="Times New Roman"/>
        </w:rPr>
        <w:t xml:space="preserve">highest NPV so the </w:t>
      </w:r>
      <w:r w:rsidR="00693A71">
        <w:rPr>
          <w:rFonts w:ascii="Times New Roman" w:hAnsi="Times New Roman" w:cs="Times New Roman"/>
        </w:rPr>
        <w:t>company</w:t>
      </w:r>
      <w:r w:rsidRPr="00EF1BA3">
        <w:rPr>
          <w:rFonts w:ascii="Times New Roman" w:hAnsi="Times New Roman" w:cs="Times New Roman"/>
        </w:rPr>
        <w:t xml:space="preserve"> must invest in </w:t>
      </w:r>
      <w:r w:rsidR="00441907">
        <w:rPr>
          <w:rFonts w:ascii="Times New Roman" w:hAnsi="Times New Roman" w:cs="Times New Roman"/>
        </w:rPr>
        <w:t xml:space="preserve">this </w:t>
      </w:r>
      <w:r w:rsidRPr="00EF1BA3">
        <w:rPr>
          <w:rFonts w:ascii="Times New Roman" w:hAnsi="Times New Roman" w:cs="Times New Roman"/>
        </w:rPr>
        <w:t>project that focuses on production of greenhouse</w:t>
      </w:r>
      <w:r w:rsidR="00441907">
        <w:rPr>
          <w:rFonts w:ascii="Times New Roman" w:hAnsi="Times New Roman" w:cs="Times New Roman"/>
        </w:rPr>
        <w:t xml:space="preserve">s and other conservatories. </w:t>
      </w:r>
      <w:r w:rsidRPr="00EF1BA3">
        <w:rPr>
          <w:rFonts w:ascii="Times New Roman" w:hAnsi="Times New Roman" w:cs="Times New Roman"/>
        </w:rPr>
        <w:t>IRR also leads to the conclusion that the</w:t>
      </w:r>
      <w:r w:rsidR="00441907">
        <w:rPr>
          <w:rFonts w:ascii="Times New Roman" w:hAnsi="Times New Roman" w:cs="Times New Roman"/>
        </w:rPr>
        <w:t xml:space="preserve"> chosen</w:t>
      </w:r>
      <w:r w:rsidRPr="00EF1BA3">
        <w:rPr>
          <w:rFonts w:ascii="Times New Roman" w:hAnsi="Times New Roman" w:cs="Times New Roman"/>
        </w:rPr>
        <w:t xml:space="preserve"> project is commercially viable as it </w:t>
      </w:r>
      <w:r w:rsidR="00441907">
        <w:rPr>
          <w:rFonts w:ascii="Times New Roman" w:hAnsi="Times New Roman" w:cs="Times New Roman"/>
        </w:rPr>
        <w:t>h</w:t>
      </w:r>
      <w:r w:rsidRPr="00EF1BA3">
        <w:rPr>
          <w:rFonts w:ascii="Times New Roman" w:hAnsi="Times New Roman" w:cs="Times New Roman"/>
        </w:rPr>
        <w:t xml:space="preserve">as an IRR of 51% as compared to the 8% cost of capital. In addition, it has been found that NPV analysis is best tool for capital budgeting considering the advantages associated with it over other NPV tools. </w:t>
      </w:r>
      <w:r w:rsidR="00441907">
        <w:rPr>
          <w:rFonts w:ascii="Times New Roman" w:hAnsi="Times New Roman" w:cs="Times New Roman"/>
        </w:rPr>
        <w:t>Also</w:t>
      </w:r>
      <w:r w:rsidRPr="00EF1BA3">
        <w:rPr>
          <w:rFonts w:ascii="Times New Roman" w:hAnsi="Times New Roman" w:cs="Times New Roman"/>
        </w:rPr>
        <w:t xml:space="preserve">, the discussion finds the optimal investment policy and discusses major sources of finance available to James PLC. </w:t>
      </w:r>
      <w:r w:rsidR="000010A9" w:rsidRPr="00EF1BA3">
        <w:rPr>
          <w:rFonts w:ascii="Times New Roman" w:hAnsi="Times New Roman" w:cs="Times New Roman"/>
        </w:rPr>
        <w:t xml:space="preserve"> </w:t>
      </w:r>
      <w:r w:rsidR="00B860DF">
        <w:rPr>
          <w:rFonts w:ascii="Times New Roman" w:hAnsi="Times New Roman" w:cs="Times New Roman"/>
        </w:rPr>
        <w:t>It can be concluded that the investment policy designed considers the diversification of risk with maximization</w:t>
      </w:r>
      <w:r w:rsidR="00F32FD8">
        <w:rPr>
          <w:rFonts w:ascii="Times New Roman" w:hAnsi="Times New Roman" w:cs="Times New Roman"/>
        </w:rPr>
        <w:t xml:space="preserve"> of cash flows at the same time so that the profits are maximized with minimal possible risk. Lastly, it is concluded that different sources of finance available have their pros and cons and the sponsors must consider the sources critically before one specific source is selected. </w:t>
      </w:r>
    </w:p>
    <w:p w14:paraId="78E7B1A4" w14:textId="77777777" w:rsidR="007E29FF" w:rsidRPr="00EF1BA3" w:rsidRDefault="007E29FF" w:rsidP="008D546A">
      <w:pPr>
        <w:pStyle w:val="Heading1"/>
        <w:spacing w:before="0" w:line="480" w:lineRule="auto"/>
        <w:rPr>
          <w:rFonts w:ascii="Times New Roman" w:hAnsi="Times New Roman" w:cs="Times New Roman"/>
        </w:rPr>
      </w:pPr>
      <w:r w:rsidRPr="00EF1BA3">
        <w:rPr>
          <w:rFonts w:ascii="Times New Roman" w:hAnsi="Times New Roman" w:cs="Times New Roman"/>
        </w:rPr>
        <w:br w:type="column"/>
      </w:r>
      <w:bookmarkStart w:id="30" w:name="_Toc535327106"/>
      <w:r w:rsidRPr="00EF1BA3">
        <w:rPr>
          <w:rFonts w:ascii="Times New Roman" w:hAnsi="Times New Roman" w:cs="Times New Roman"/>
        </w:rPr>
        <w:lastRenderedPageBreak/>
        <w:t>References</w:t>
      </w:r>
      <w:bookmarkEnd w:id="30"/>
    </w:p>
    <w:p w14:paraId="0478E322" w14:textId="572D6D5D" w:rsidR="006C1923" w:rsidRPr="00C712BF" w:rsidRDefault="00B90F7D" w:rsidP="008D546A">
      <w:pPr>
        <w:spacing w:after="0" w:line="480" w:lineRule="auto"/>
        <w:ind w:left="720" w:hanging="720"/>
        <w:rPr>
          <w:rFonts w:ascii="Times New Roman" w:hAnsi="Times New Roman" w:cs="Times New Roman"/>
        </w:rPr>
      </w:pPr>
      <w:r w:rsidRPr="00C712BF">
        <w:rPr>
          <w:rFonts w:ascii="Times New Roman" w:hAnsi="Times New Roman" w:cs="Times New Roman"/>
        </w:rPr>
        <w:t>Baker, H.</w:t>
      </w:r>
      <w:r w:rsidR="006C1923" w:rsidRPr="00C712BF">
        <w:rPr>
          <w:rFonts w:ascii="Times New Roman" w:hAnsi="Times New Roman" w:cs="Times New Roman"/>
        </w:rPr>
        <w:t>, Dutta, S. and Saadi, S. (2010). Management views on real options in capital budgeting.</w:t>
      </w:r>
      <w:r w:rsidRPr="00C712BF">
        <w:rPr>
          <w:rFonts w:ascii="Times New Roman" w:hAnsi="Times New Roman" w:cs="Times New Roman"/>
        </w:rPr>
        <w:t xml:space="preserve"> </w:t>
      </w:r>
      <w:r w:rsidR="00F838D3" w:rsidRPr="00C712BF">
        <w:rPr>
          <w:rFonts w:ascii="Times New Roman" w:hAnsi="Times New Roman" w:cs="Times New Roman"/>
        </w:rPr>
        <w:t xml:space="preserve">Forthcoming in </w:t>
      </w:r>
      <w:r w:rsidR="00F838D3" w:rsidRPr="00C712BF">
        <w:rPr>
          <w:rFonts w:ascii="Times New Roman" w:hAnsi="Times New Roman" w:cs="Times New Roman"/>
          <w:i/>
          <w:lang w:val="en"/>
        </w:rPr>
        <w:t>Journal of Applied Finance</w:t>
      </w:r>
      <w:r w:rsidRPr="00C712BF">
        <w:rPr>
          <w:rFonts w:ascii="Times New Roman" w:hAnsi="Times New Roman" w:cs="Times New Roman"/>
          <w:lang w:val="en"/>
        </w:rPr>
        <w:t>.</w:t>
      </w:r>
    </w:p>
    <w:p w14:paraId="2CAE37D0" w14:textId="7F7C67AA" w:rsidR="006C1923" w:rsidRPr="00C712BF" w:rsidRDefault="00D47B3C" w:rsidP="008D546A">
      <w:pPr>
        <w:spacing w:after="0" w:line="480" w:lineRule="auto"/>
        <w:ind w:left="720" w:hanging="720"/>
        <w:rPr>
          <w:rFonts w:ascii="Times New Roman" w:hAnsi="Times New Roman" w:cs="Times New Roman"/>
        </w:rPr>
      </w:pPr>
      <w:r w:rsidRPr="00C712BF">
        <w:rPr>
          <w:rFonts w:ascii="Times New Roman" w:hAnsi="Times New Roman" w:cs="Times New Roman"/>
        </w:rPr>
        <w:t xml:space="preserve">Bennouna, K., Meredith, G. </w:t>
      </w:r>
      <w:r w:rsidR="006C1923" w:rsidRPr="00C712BF">
        <w:rPr>
          <w:rFonts w:ascii="Times New Roman" w:hAnsi="Times New Roman" w:cs="Times New Roman"/>
        </w:rPr>
        <w:t xml:space="preserve">and Marchant, T. (2010). Improved capital budgeting decision making: evidence from Canada. </w:t>
      </w:r>
      <w:r w:rsidR="006C1923" w:rsidRPr="00C712BF">
        <w:rPr>
          <w:rFonts w:ascii="Times New Roman" w:hAnsi="Times New Roman" w:cs="Times New Roman"/>
          <w:i/>
          <w:iCs/>
        </w:rPr>
        <w:t>Management decision</w:t>
      </w:r>
      <w:r w:rsidR="006C1923" w:rsidRPr="00C712BF">
        <w:rPr>
          <w:rFonts w:ascii="Times New Roman" w:hAnsi="Times New Roman" w:cs="Times New Roman"/>
        </w:rPr>
        <w:t xml:space="preserve">, </w:t>
      </w:r>
      <w:r w:rsidR="006C1923" w:rsidRPr="00C712BF">
        <w:rPr>
          <w:rFonts w:ascii="Times New Roman" w:hAnsi="Times New Roman" w:cs="Times New Roman"/>
          <w:iCs/>
        </w:rPr>
        <w:t>48</w:t>
      </w:r>
      <w:r w:rsidR="006C1923" w:rsidRPr="00C712BF">
        <w:rPr>
          <w:rFonts w:ascii="Times New Roman" w:hAnsi="Times New Roman" w:cs="Times New Roman"/>
        </w:rPr>
        <w:t xml:space="preserve">(2), </w:t>
      </w:r>
      <w:r w:rsidRPr="00C712BF">
        <w:rPr>
          <w:rFonts w:ascii="Times New Roman" w:hAnsi="Times New Roman" w:cs="Times New Roman"/>
        </w:rPr>
        <w:t>pp.</w:t>
      </w:r>
      <w:r w:rsidR="006C1923" w:rsidRPr="00C712BF">
        <w:rPr>
          <w:rFonts w:ascii="Times New Roman" w:hAnsi="Times New Roman" w:cs="Times New Roman"/>
        </w:rPr>
        <w:t>225-247.</w:t>
      </w:r>
    </w:p>
    <w:p w14:paraId="32A003B3" w14:textId="0666104A" w:rsidR="006C1923" w:rsidRPr="00C712BF" w:rsidRDefault="00D47B3C" w:rsidP="008D546A">
      <w:pPr>
        <w:spacing w:after="0" w:line="480" w:lineRule="auto"/>
        <w:ind w:left="720" w:hanging="720"/>
        <w:rPr>
          <w:rFonts w:ascii="Times New Roman" w:hAnsi="Times New Roman" w:cs="Times New Roman"/>
        </w:rPr>
      </w:pPr>
      <w:r w:rsidRPr="00C712BF">
        <w:rPr>
          <w:rFonts w:ascii="Times New Roman" w:hAnsi="Times New Roman" w:cs="Times New Roman"/>
        </w:rPr>
        <w:t xml:space="preserve">Bierman </w:t>
      </w:r>
      <w:r w:rsidR="006C1923" w:rsidRPr="00C712BF">
        <w:rPr>
          <w:rFonts w:ascii="Times New Roman" w:hAnsi="Times New Roman" w:cs="Times New Roman"/>
        </w:rPr>
        <w:t xml:space="preserve">H. and Smidt, S. (2012). </w:t>
      </w:r>
      <w:r w:rsidRPr="00C712BF">
        <w:rPr>
          <w:rFonts w:ascii="Times New Roman" w:hAnsi="Times New Roman" w:cs="Times New Roman"/>
          <w:i/>
          <w:iCs/>
        </w:rPr>
        <w:t>The Capital</w:t>
      </w:r>
      <w:r w:rsidR="006C1923" w:rsidRPr="00C712BF">
        <w:rPr>
          <w:rFonts w:ascii="Times New Roman" w:hAnsi="Times New Roman" w:cs="Times New Roman"/>
          <w:i/>
          <w:iCs/>
        </w:rPr>
        <w:t xml:space="preserve"> </w:t>
      </w:r>
      <w:r w:rsidRPr="00C712BF">
        <w:rPr>
          <w:rFonts w:ascii="Times New Roman" w:hAnsi="Times New Roman" w:cs="Times New Roman"/>
          <w:i/>
          <w:iCs/>
        </w:rPr>
        <w:t>B</w:t>
      </w:r>
      <w:r w:rsidR="006C1923" w:rsidRPr="00C712BF">
        <w:rPr>
          <w:rFonts w:ascii="Times New Roman" w:hAnsi="Times New Roman" w:cs="Times New Roman"/>
          <w:i/>
          <w:iCs/>
        </w:rPr>
        <w:t xml:space="preserve">udgeting </w:t>
      </w:r>
      <w:r w:rsidRPr="00C712BF">
        <w:rPr>
          <w:rFonts w:ascii="Times New Roman" w:hAnsi="Times New Roman" w:cs="Times New Roman"/>
          <w:i/>
          <w:iCs/>
        </w:rPr>
        <w:t>D</w:t>
      </w:r>
      <w:r w:rsidR="006C1923" w:rsidRPr="00C712BF">
        <w:rPr>
          <w:rFonts w:ascii="Times New Roman" w:hAnsi="Times New Roman" w:cs="Times New Roman"/>
          <w:i/>
          <w:iCs/>
        </w:rPr>
        <w:t xml:space="preserve">ecision: </w:t>
      </w:r>
      <w:r w:rsidRPr="00C712BF">
        <w:rPr>
          <w:rFonts w:ascii="Times New Roman" w:hAnsi="Times New Roman" w:cs="Times New Roman"/>
          <w:i/>
          <w:iCs/>
        </w:rPr>
        <w:t>Economic A</w:t>
      </w:r>
      <w:r w:rsidR="006C1923" w:rsidRPr="00C712BF">
        <w:rPr>
          <w:rFonts w:ascii="Times New Roman" w:hAnsi="Times New Roman" w:cs="Times New Roman"/>
          <w:i/>
          <w:iCs/>
        </w:rPr>
        <w:t xml:space="preserve">nalysis of </w:t>
      </w:r>
      <w:r w:rsidRPr="00C712BF">
        <w:rPr>
          <w:rFonts w:ascii="Times New Roman" w:hAnsi="Times New Roman" w:cs="Times New Roman"/>
          <w:i/>
          <w:iCs/>
        </w:rPr>
        <w:t>I</w:t>
      </w:r>
      <w:r w:rsidR="006C1923" w:rsidRPr="00C712BF">
        <w:rPr>
          <w:rFonts w:ascii="Times New Roman" w:hAnsi="Times New Roman" w:cs="Times New Roman"/>
          <w:i/>
          <w:iCs/>
        </w:rPr>
        <w:t xml:space="preserve">nvestment </w:t>
      </w:r>
      <w:r w:rsidRPr="00C712BF">
        <w:rPr>
          <w:rFonts w:ascii="Times New Roman" w:hAnsi="Times New Roman" w:cs="Times New Roman"/>
          <w:i/>
          <w:iCs/>
        </w:rPr>
        <w:t>P</w:t>
      </w:r>
      <w:r w:rsidR="006C1923" w:rsidRPr="00C712BF">
        <w:rPr>
          <w:rFonts w:ascii="Times New Roman" w:hAnsi="Times New Roman" w:cs="Times New Roman"/>
          <w:i/>
          <w:iCs/>
        </w:rPr>
        <w:t>rojects</w:t>
      </w:r>
      <w:r w:rsidR="006C1923" w:rsidRPr="00C712BF">
        <w:rPr>
          <w:rFonts w:ascii="Times New Roman" w:hAnsi="Times New Roman" w:cs="Times New Roman"/>
        </w:rPr>
        <w:t xml:space="preserve">. </w:t>
      </w:r>
      <w:r w:rsidRPr="00C712BF">
        <w:rPr>
          <w:rFonts w:ascii="Times New Roman" w:hAnsi="Times New Roman" w:cs="Times New Roman"/>
        </w:rPr>
        <w:t xml:space="preserve">1st ed. London: </w:t>
      </w:r>
      <w:r w:rsidR="006C1923" w:rsidRPr="00C712BF">
        <w:rPr>
          <w:rFonts w:ascii="Times New Roman" w:hAnsi="Times New Roman" w:cs="Times New Roman"/>
        </w:rPr>
        <w:t>Routledge.</w:t>
      </w:r>
    </w:p>
    <w:p w14:paraId="2E12E89B" w14:textId="77777777" w:rsidR="009F0687" w:rsidRPr="00C712BF" w:rsidRDefault="009F0687" w:rsidP="009F0687">
      <w:pPr>
        <w:spacing w:after="0" w:line="480" w:lineRule="auto"/>
        <w:ind w:left="720" w:hanging="720"/>
        <w:rPr>
          <w:rFonts w:ascii="Times New Roman" w:hAnsi="Times New Roman" w:cs="Times New Roman"/>
        </w:rPr>
      </w:pPr>
      <w:r w:rsidRPr="00C712BF">
        <w:rPr>
          <w:rFonts w:ascii="Times New Roman" w:hAnsi="Times New Roman" w:cs="Times New Roman"/>
        </w:rPr>
        <w:t xml:space="preserve">Brealey, R., Myers, S., Allen, F. and Mohanty, P. (2012). </w:t>
      </w:r>
      <w:r w:rsidRPr="00C712BF">
        <w:rPr>
          <w:rFonts w:ascii="Times New Roman" w:hAnsi="Times New Roman" w:cs="Times New Roman"/>
          <w:i/>
          <w:iCs/>
        </w:rPr>
        <w:t>Principles of Corporate Finance</w:t>
      </w:r>
      <w:r w:rsidRPr="00C712BF">
        <w:rPr>
          <w:rFonts w:ascii="Times New Roman" w:hAnsi="Times New Roman" w:cs="Times New Roman"/>
        </w:rPr>
        <w:t>. 10th ed. Tata McGraw-Hill Education.</w:t>
      </w:r>
    </w:p>
    <w:p w14:paraId="26723DA7" w14:textId="77777777" w:rsidR="009F0687" w:rsidRPr="00C712BF" w:rsidRDefault="009F0687" w:rsidP="009F0687">
      <w:pPr>
        <w:spacing w:after="0" w:line="480" w:lineRule="auto"/>
        <w:ind w:left="720" w:hanging="720"/>
        <w:rPr>
          <w:rFonts w:ascii="Times New Roman" w:hAnsi="Times New Roman" w:cs="Times New Roman"/>
        </w:rPr>
      </w:pPr>
      <w:r w:rsidRPr="00C712BF">
        <w:rPr>
          <w:rFonts w:ascii="Times New Roman" w:hAnsi="Times New Roman" w:cs="Times New Roman"/>
        </w:rPr>
        <w:t xml:space="preserve">Brooks, R. and Mukherjee, A. (2013). </w:t>
      </w:r>
      <w:r w:rsidRPr="00C712BF">
        <w:rPr>
          <w:rFonts w:ascii="Times New Roman" w:hAnsi="Times New Roman" w:cs="Times New Roman"/>
          <w:i/>
          <w:iCs/>
        </w:rPr>
        <w:t>Financial Management: Core Concepts</w:t>
      </w:r>
      <w:r w:rsidRPr="00C712BF">
        <w:rPr>
          <w:rFonts w:ascii="Times New Roman" w:hAnsi="Times New Roman" w:cs="Times New Roman"/>
        </w:rPr>
        <w:t>. Pearson.</w:t>
      </w:r>
    </w:p>
    <w:p w14:paraId="13F9A4B2" w14:textId="544ABB7A" w:rsidR="00DD31E8" w:rsidRPr="00C712BF" w:rsidRDefault="00DD31E8" w:rsidP="00DD31E8">
      <w:pPr>
        <w:spacing w:after="0" w:line="480" w:lineRule="auto"/>
        <w:ind w:left="720" w:hanging="720"/>
        <w:rPr>
          <w:rFonts w:ascii="Times New Roman" w:hAnsi="Times New Roman" w:cs="Times New Roman"/>
          <w:lang w:val="en-GB"/>
        </w:rPr>
      </w:pPr>
      <w:r w:rsidRPr="00C712BF">
        <w:rPr>
          <w:rFonts w:ascii="Times New Roman" w:hAnsi="Times New Roman" w:cs="Times New Roman"/>
          <w:lang w:val="en-GB"/>
        </w:rPr>
        <w:t>De Andre</w:t>
      </w:r>
      <w:r w:rsidR="00CB558E" w:rsidRPr="00C712BF">
        <w:rPr>
          <w:rFonts w:ascii="Times New Roman" w:hAnsi="Times New Roman" w:cs="Times New Roman"/>
          <w:lang w:val="en-GB"/>
        </w:rPr>
        <w:t>s, P., de Fuente, G. and</w:t>
      </w:r>
      <w:r w:rsidR="00242627" w:rsidRPr="00C712BF">
        <w:rPr>
          <w:rFonts w:ascii="Times New Roman" w:hAnsi="Times New Roman" w:cs="Times New Roman"/>
          <w:lang w:val="en-GB"/>
        </w:rPr>
        <w:t xml:space="preserve"> San Marti</w:t>
      </w:r>
      <w:r w:rsidRPr="00C712BF">
        <w:rPr>
          <w:rFonts w:ascii="Times New Roman" w:hAnsi="Times New Roman" w:cs="Times New Roman"/>
          <w:lang w:val="en-GB"/>
        </w:rPr>
        <w:t xml:space="preserve">n, P. (2015). Capital budgeting practices in Spain. </w:t>
      </w:r>
      <w:r w:rsidRPr="00C712BF">
        <w:rPr>
          <w:rFonts w:ascii="Times New Roman" w:hAnsi="Times New Roman" w:cs="Times New Roman"/>
          <w:i/>
          <w:iCs/>
          <w:lang w:val="en-GB"/>
        </w:rPr>
        <w:t>BRQ Business Research Quarterly</w:t>
      </w:r>
      <w:r w:rsidRPr="00C712BF">
        <w:rPr>
          <w:rFonts w:ascii="Times New Roman" w:hAnsi="Times New Roman" w:cs="Times New Roman"/>
          <w:lang w:val="en-GB"/>
        </w:rPr>
        <w:t xml:space="preserve">, </w:t>
      </w:r>
      <w:r w:rsidRPr="00C712BF">
        <w:rPr>
          <w:rFonts w:ascii="Times New Roman" w:hAnsi="Times New Roman" w:cs="Times New Roman"/>
          <w:iCs/>
          <w:lang w:val="en-GB"/>
        </w:rPr>
        <w:t>18</w:t>
      </w:r>
      <w:r w:rsidRPr="00C712BF">
        <w:rPr>
          <w:rFonts w:ascii="Times New Roman" w:hAnsi="Times New Roman" w:cs="Times New Roman"/>
          <w:lang w:val="en-GB"/>
        </w:rPr>
        <w:t xml:space="preserve">(1), </w:t>
      </w:r>
      <w:r w:rsidR="00553DCC" w:rsidRPr="00C712BF">
        <w:rPr>
          <w:rFonts w:ascii="Times New Roman" w:hAnsi="Times New Roman" w:cs="Times New Roman"/>
          <w:lang w:val="en-GB"/>
        </w:rPr>
        <w:t>pp</w:t>
      </w:r>
      <w:r w:rsidR="0017474B" w:rsidRPr="00C712BF">
        <w:rPr>
          <w:rFonts w:ascii="Times New Roman" w:hAnsi="Times New Roman" w:cs="Times New Roman"/>
          <w:lang w:val="en-GB"/>
        </w:rPr>
        <w:t>.</w:t>
      </w:r>
      <w:r w:rsidRPr="00C712BF">
        <w:rPr>
          <w:rFonts w:ascii="Times New Roman" w:hAnsi="Times New Roman" w:cs="Times New Roman"/>
          <w:lang w:val="en-GB"/>
        </w:rPr>
        <w:t>37-56.</w:t>
      </w:r>
    </w:p>
    <w:p w14:paraId="6B6535D0" w14:textId="1AD5ED7C" w:rsidR="009F0687" w:rsidRPr="00C712BF" w:rsidRDefault="009F0687" w:rsidP="009F0687">
      <w:pPr>
        <w:spacing w:after="0" w:line="480" w:lineRule="auto"/>
        <w:ind w:left="720" w:hanging="720"/>
        <w:rPr>
          <w:rFonts w:ascii="Times New Roman" w:hAnsi="Times New Roman" w:cs="Times New Roman"/>
          <w:lang w:val="en-GB"/>
        </w:rPr>
      </w:pPr>
      <w:r w:rsidRPr="00C712BF">
        <w:rPr>
          <w:rFonts w:ascii="Times New Roman" w:hAnsi="Times New Roman" w:cs="Times New Roman"/>
          <w:lang w:val="en-GB"/>
        </w:rPr>
        <w:t xml:space="preserve">Kengatharan, L. (2016). </w:t>
      </w:r>
      <w:r w:rsidR="0017474B" w:rsidRPr="00C712BF">
        <w:rPr>
          <w:rFonts w:ascii="Times New Roman" w:hAnsi="Times New Roman" w:cs="Times New Roman"/>
          <w:lang w:val="en-GB"/>
        </w:rPr>
        <w:t>Capital Budgeting Theory and Practice: A Review and Agenda for Future Research</w:t>
      </w:r>
      <w:r w:rsidRPr="00C712BF">
        <w:rPr>
          <w:rFonts w:ascii="Times New Roman" w:hAnsi="Times New Roman" w:cs="Times New Roman"/>
          <w:lang w:val="en-GB"/>
        </w:rPr>
        <w:t xml:space="preserve">. </w:t>
      </w:r>
      <w:r w:rsidRPr="00C712BF">
        <w:rPr>
          <w:rFonts w:ascii="Times New Roman" w:hAnsi="Times New Roman" w:cs="Times New Roman"/>
          <w:i/>
          <w:iCs/>
          <w:lang w:val="en-GB"/>
        </w:rPr>
        <w:t>Applied Economics and Finance</w:t>
      </w:r>
      <w:r w:rsidRPr="00C712BF">
        <w:rPr>
          <w:rFonts w:ascii="Times New Roman" w:hAnsi="Times New Roman" w:cs="Times New Roman"/>
          <w:lang w:val="en-GB"/>
        </w:rPr>
        <w:t xml:space="preserve">, </w:t>
      </w:r>
      <w:r w:rsidRPr="00C712BF">
        <w:rPr>
          <w:rFonts w:ascii="Times New Roman" w:hAnsi="Times New Roman" w:cs="Times New Roman"/>
          <w:iCs/>
          <w:lang w:val="en-GB"/>
        </w:rPr>
        <w:t>3</w:t>
      </w:r>
      <w:r w:rsidRPr="00C712BF">
        <w:rPr>
          <w:rFonts w:ascii="Times New Roman" w:hAnsi="Times New Roman" w:cs="Times New Roman"/>
          <w:lang w:val="en-GB"/>
        </w:rPr>
        <w:t xml:space="preserve">(2), </w:t>
      </w:r>
      <w:r w:rsidR="0017474B" w:rsidRPr="00C712BF">
        <w:rPr>
          <w:rFonts w:ascii="Times New Roman" w:hAnsi="Times New Roman" w:cs="Times New Roman"/>
          <w:lang w:val="en-GB"/>
        </w:rPr>
        <w:t>pp.</w:t>
      </w:r>
      <w:r w:rsidRPr="00C712BF">
        <w:rPr>
          <w:rFonts w:ascii="Times New Roman" w:hAnsi="Times New Roman" w:cs="Times New Roman"/>
          <w:lang w:val="en-GB"/>
        </w:rPr>
        <w:t>15-38.</w:t>
      </w:r>
    </w:p>
    <w:p w14:paraId="0DEDB1AD" w14:textId="7B0F4564" w:rsidR="00AC6714" w:rsidRPr="00C712BF" w:rsidRDefault="00AC6714" w:rsidP="00AC6714">
      <w:pPr>
        <w:spacing w:after="0" w:line="480" w:lineRule="auto"/>
        <w:ind w:left="720" w:hanging="720"/>
        <w:rPr>
          <w:rFonts w:ascii="Times New Roman" w:hAnsi="Times New Roman" w:cs="Times New Roman"/>
          <w:lang w:val="en-GB"/>
        </w:rPr>
      </w:pPr>
      <w:r w:rsidRPr="00C712BF">
        <w:rPr>
          <w:rFonts w:ascii="Times New Roman" w:hAnsi="Times New Roman" w:cs="Times New Roman"/>
          <w:lang w:val="en-GB"/>
        </w:rPr>
        <w:t xml:space="preserve">Nurullah, M. and Kengatharan, L. (2015). </w:t>
      </w:r>
      <w:r w:rsidR="004333F9" w:rsidRPr="00C712BF">
        <w:rPr>
          <w:rFonts w:ascii="Times New Roman" w:hAnsi="Times New Roman" w:cs="Times New Roman"/>
        </w:rPr>
        <w:t>Capital budgeting practices: evidence from Sri Lanka</w:t>
      </w:r>
      <w:r w:rsidRPr="00C712BF">
        <w:rPr>
          <w:rFonts w:ascii="Times New Roman" w:hAnsi="Times New Roman" w:cs="Times New Roman"/>
        </w:rPr>
        <w:t>.</w:t>
      </w:r>
      <w:r w:rsidRPr="00C712BF">
        <w:rPr>
          <w:rFonts w:ascii="Times New Roman" w:hAnsi="Times New Roman" w:cs="Times New Roman"/>
          <w:lang w:val="en-GB"/>
        </w:rPr>
        <w:t xml:space="preserve"> </w:t>
      </w:r>
      <w:r w:rsidRPr="00C712BF">
        <w:rPr>
          <w:rFonts w:ascii="Times New Roman" w:hAnsi="Times New Roman" w:cs="Times New Roman"/>
          <w:i/>
          <w:iCs/>
          <w:lang w:val="en-GB"/>
        </w:rPr>
        <w:t>Journal of Advances in Management Research</w:t>
      </w:r>
      <w:r w:rsidRPr="00C712BF">
        <w:rPr>
          <w:rFonts w:ascii="Times New Roman" w:hAnsi="Times New Roman" w:cs="Times New Roman"/>
          <w:lang w:val="en-GB"/>
        </w:rPr>
        <w:t xml:space="preserve">, </w:t>
      </w:r>
      <w:r w:rsidRPr="00C712BF">
        <w:rPr>
          <w:rFonts w:ascii="Times New Roman" w:hAnsi="Times New Roman" w:cs="Times New Roman"/>
          <w:iCs/>
          <w:lang w:val="en-GB"/>
        </w:rPr>
        <w:t>12</w:t>
      </w:r>
      <w:r w:rsidRPr="00C712BF">
        <w:rPr>
          <w:rFonts w:ascii="Times New Roman" w:hAnsi="Times New Roman" w:cs="Times New Roman"/>
          <w:lang w:val="en-GB"/>
        </w:rPr>
        <w:t xml:space="preserve">(1), </w:t>
      </w:r>
      <w:r w:rsidR="004333F9" w:rsidRPr="00C712BF">
        <w:rPr>
          <w:rFonts w:ascii="Times New Roman" w:hAnsi="Times New Roman" w:cs="Times New Roman"/>
          <w:lang w:val="en-GB"/>
        </w:rPr>
        <w:t>pp.</w:t>
      </w:r>
      <w:r w:rsidRPr="00C712BF">
        <w:rPr>
          <w:rFonts w:ascii="Times New Roman" w:hAnsi="Times New Roman" w:cs="Times New Roman"/>
          <w:lang w:val="en-GB"/>
        </w:rPr>
        <w:t>55-82.</w:t>
      </w:r>
    </w:p>
    <w:p w14:paraId="0DA07E89" w14:textId="03A78971" w:rsidR="006C1923" w:rsidRPr="00C712BF" w:rsidRDefault="00BD1F34" w:rsidP="008D546A">
      <w:pPr>
        <w:spacing w:after="0" w:line="480" w:lineRule="auto"/>
        <w:ind w:left="720" w:hanging="720"/>
        <w:rPr>
          <w:rFonts w:ascii="Times New Roman" w:hAnsi="Times New Roman" w:cs="Times New Roman"/>
        </w:rPr>
      </w:pPr>
      <w:r w:rsidRPr="00C712BF">
        <w:rPr>
          <w:rFonts w:ascii="Times New Roman" w:hAnsi="Times New Roman" w:cs="Times New Roman"/>
        </w:rPr>
        <w:t>Ross, S.</w:t>
      </w:r>
      <w:r w:rsidR="006C1923" w:rsidRPr="00C712BF">
        <w:rPr>
          <w:rFonts w:ascii="Times New Roman" w:hAnsi="Times New Roman" w:cs="Times New Roman"/>
        </w:rPr>
        <w:t>,</w:t>
      </w:r>
      <w:r w:rsidRPr="00C712BF">
        <w:rPr>
          <w:rFonts w:ascii="Times New Roman" w:hAnsi="Times New Roman" w:cs="Times New Roman"/>
        </w:rPr>
        <w:t xml:space="preserve"> Westerfield, R. and Jordan, B. </w:t>
      </w:r>
      <w:r w:rsidR="006C1923" w:rsidRPr="00C712BF">
        <w:rPr>
          <w:rFonts w:ascii="Times New Roman" w:hAnsi="Times New Roman" w:cs="Times New Roman"/>
        </w:rPr>
        <w:t xml:space="preserve">(2008). </w:t>
      </w:r>
      <w:r w:rsidR="006C1923" w:rsidRPr="00C712BF">
        <w:rPr>
          <w:rFonts w:ascii="Times New Roman" w:hAnsi="Times New Roman" w:cs="Times New Roman"/>
          <w:i/>
          <w:iCs/>
        </w:rPr>
        <w:t xml:space="preserve">Fundamentals of </w:t>
      </w:r>
      <w:r w:rsidRPr="00C712BF">
        <w:rPr>
          <w:rFonts w:ascii="Times New Roman" w:hAnsi="Times New Roman" w:cs="Times New Roman"/>
          <w:i/>
          <w:iCs/>
        </w:rPr>
        <w:t>C</w:t>
      </w:r>
      <w:r w:rsidR="006C1923" w:rsidRPr="00C712BF">
        <w:rPr>
          <w:rFonts w:ascii="Times New Roman" w:hAnsi="Times New Roman" w:cs="Times New Roman"/>
          <w:i/>
          <w:iCs/>
        </w:rPr>
        <w:t xml:space="preserve">orporate </w:t>
      </w:r>
      <w:r w:rsidRPr="00C712BF">
        <w:rPr>
          <w:rFonts w:ascii="Times New Roman" w:hAnsi="Times New Roman" w:cs="Times New Roman"/>
          <w:i/>
          <w:iCs/>
        </w:rPr>
        <w:t>F</w:t>
      </w:r>
      <w:r w:rsidR="006C1923" w:rsidRPr="00C712BF">
        <w:rPr>
          <w:rFonts w:ascii="Times New Roman" w:hAnsi="Times New Roman" w:cs="Times New Roman"/>
          <w:i/>
          <w:iCs/>
        </w:rPr>
        <w:t>inance</w:t>
      </w:r>
      <w:r w:rsidR="006C1923" w:rsidRPr="00C712BF">
        <w:rPr>
          <w:rFonts w:ascii="Times New Roman" w:hAnsi="Times New Roman" w:cs="Times New Roman"/>
        </w:rPr>
        <w:t>. Tata McGraw-Hill.</w:t>
      </w:r>
    </w:p>
    <w:p w14:paraId="61231806" w14:textId="04C9616E" w:rsidR="006C1923" w:rsidRPr="00C712BF" w:rsidRDefault="006C1923" w:rsidP="008D546A">
      <w:pPr>
        <w:spacing w:after="0" w:line="480" w:lineRule="auto"/>
        <w:ind w:left="720" w:hanging="720"/>
        <w:rPr>
          <w:rFonts w:ascii="Times New Roman" w:hAnsi="Times New Roman" w:cs="Times New Roman"/>
        </w:rPr>
      </w:pPr>
      <w:r w:rsidRPr="00C712BF">
        <w:rPr>
          <w:rFonts w:ascii="Times New Roman" w:hAnsi="Times New Roman" w:cs="Times New Roman"/>
        </w:rPr>
        <w:t xml:space="preserve">Ryan, P. A. and Ryan, G. P. (2002). </w:t>
      </w:r>
      <w:r w:rsidR="00F838D3" w:rsidRPr="00C712BF">
        <w:rPr>
          <w:rFonts w:ascii="Times New Roman" w:hAnsi="Times New Roman" w:cs="Times New Roman"/>
        </w:rPr>
        <w:t xml:space="preserve">Capital Budgeting Practices of the Fortune 1000: How Have Things Changed?. Forthcoming in </w:t>
      </w:r>
      <w:r w:rsidRPr="00C712BF">
        <w:rPr>
          <w:rFonts w:ascii="Times New Roman" w:hAnsi="Times New Roman" w:cs="Times New Roman"/>
          <w:i/>
          <w:iCs/>
        </w:rPr>
        <w:t>Journal of business and management</w:t>
      </w:r>
      <w:r w:rsidRPr="00C712BF">
        <w:rPr>
          <w:rFonts w:ascii="Times New Roman" w:hAnsi="Times New Roman" w:cs="Times New Roman"/>
        </w:rPr>
        <w:t xml:space="preserve">, </w:t>
      </w:r>
      <w:r w:rsidRPr="00C712BF">
        <w:rPr>
          <w:rFonts w:ascii="Times New Roman" w:hAnsi="Times New Roman" w:cs="Times New Roman"/>
          <w:iCs/>
        </w:rPr>
        <w:t>8</w:t>
      </w:r>
      <w:r w:rsidRPr="00C712BF">
        <w:rPr>
          <w:rFonts w:ascii="Times New Roman" w:hAnsi="Times New Roman" w:cs="Times New Roman"/>
        </w:rPr>
        <w:t xml:space="preserve">(4), </w:t>
      </w:r>
      <w:r w:rsidR="00F838D3" w:rsidRPr="00C712BF">
        <w:rPr>
          <w:rFonts w:ascii="Times New Roman" w:hAnsi="Times New Roman" w:cs="Times New Roman"/>
        </w:rPr>
        <w:t>pp.</w:t>
      </w:r>
      <w:r w:rsidRPr="00C712BF">
        <w:rPr>
          <w:rFonts w:ascii="Times New Roman" w:hAnsi="Times New Roman" w:cs="Times New Roman"/>
        </w:rPr>
        <w:t>355-364.</w:t>
      </w:r>
    </w:p>
    <w:p w14:paraId="1A5D783F" w14:textId="3FA739CC" w:rsidR="006C1923" w:rsidRPr="00C712BF" w:rsidRDefault="006C1923" w:rsidP="008D546A">
      <w:pPr>
        <w:spacing w:after="0" w:line="480" w:lineRule="auto"/>
        <w:ind w:left="720" w:hanging="720"/>
        <w:rPr>
          <w:rFonts w:ascii="Times New Roman" w:hAnsi="Times New Roman" w:cs="Times New Roman"/>
        </w:rPr>
      </w:pPr>
      <w:r w:rsidRPr="00C712BF">
        <w:rPr>
          <w:rFonts w:ascii="Times New Roman" w:hAnsi="Times New Roman" w:cs="Times New Roman"/>
        </w:rPr>
        <w:t xml:space="preserve">Sufi, A. (2007). </w:t>
      </w:r>
      <w:r w:rsidR="007D6E53" w:rsidRPr="00C712BF">
        <w:rPr>
          <w:rFonts w:ascii="Source Sans Pro" w:hAnsi="Source Sans Pro"/>
          <w:color w:val="2A2A2A"/>
          <w:lang w:val="en"/>
        </w:rPr>
        <w:t>Bank Lines of Credit in Corporate Finance: An Empirical Analysis</w:t>
      </w:r>
      <w:r w:rsidRPr="00C712BF">
        <w:rPr>
          <w:rFonts w:ascii="Times New Roman" w:hAnsi="Times New Roman" w:cs="Times New Roman"/>
        </w:rPr>
        <w:t xml:space="preserve">. </w:t>
      </w:r>
      <w:r w:rsidRPr="00C712BF">
        <w:rPr>
          <w:rFonts w:ascii="Times New Roman" w:hAnsi="Times New Roman" w:cs="Times New Roman"/>
          <w:i/>
          <w:iCs/>
        </w:rPr>
        <w:t>The Review of Financial Studies</w:t>
      </w:r>
      <w:r w:rsidRPr="00C712BF">
        <w:rPr>
          <w:rFonts w:ascii="Times New Roman" w:hAnsi="Times New Roman" w:cs="Times New Roman"/>
        </w:rPr>
        <w:t xml:space="preserve">, </w:t>
      </w:r>
      <w:r w:rsidRPr="00C712BF">
        <w:rPr>
          <w:rFonts w:ascii="Times New Roman" w:hAnsi="Times New Roman" w:cs="Times New Roman"/>
          <w:iCs/>
        </w:rPr>
        <w:t>22</w:t>
      </w:r>
      <w:r w:rsidRPr="00C712BF">
        <w:rPr>
          <w:rFonts w:ascii="Times New Roman" w:hAnsi="Times New Roman" w:cs="Times New Roman"/>
        </w:rPr>
        <w:t xml:space="preserve">(3), </w:t>
      </w:r>
      <w:r w:rsidR="00F838D3" w:rsidRPr="00C712BF">
        <w:rPr>
          <w:rFonts w:ascii="Times New Roman" w:hAnsi="Times New Roman" w:cs="Times New Roman"/>
        </w:rPr>
        <w:t>pp.</w:t>
      </w:r>
      <w:r w:rsidRPr="00C712BF">
        <w:rPr>
          <w:rFonts w:ascii="Times New Roman" w:hAnsi="Times New Roman" w:cs="Times New Roman"/>
        </w:rPr>
        <w:t>1057-1088.</w:t>
      </w:r>
    </w:p>
    <w:p w14:paraId="176BC0A4" w14:textId="6EE35267" w:rsidR="003C490C" w:rsidRPr="00EF1BA3" w:rsidRDefault="009F0687" w:rsidP="008D546A">
      <w:pPr>
        <w:spacing w:after="0" w:line="480" w:lineRule="auto"/>
        <w:ind w:left="720" w:hanging="720"/>
        <w:rPr>
          <w:rFonts w:ascii="Times New Roman" w:hAnsi="Times New Roman" w:cs="Times New Roman"/>
          <w:lang w:val="en-GB"/>
        </w:rPr>
      </w:pPr>
      <w:r w:rsidRPr="00C712BF">
        <w:rPr>
          <w:rFonts w:ascii="Times New Roman" w:hAnsi="Times New Roman" w:cs="Times New Roman"/>
        </w:rPr>
        <w:t xml:space="preserve">Tirole, J. (2010). </w:t>
      </w:r>
      <w:r w:rsidRPr="00C712BF">
        <w:rPr>
          <w:rFonts w:ascii="Times New Roman" w:hAnsi="Times New Roman" w:cs="Times New Roman"/>
          <w:i/>
          <w:iCs/>
        </w:rPr>
        <w:t>The theory of Corporate Finance</w:t>
      </w:r>
      <w:r w:rsidRPr="00C712BF">
        <w:rPr>
          <w:rFonts w:ascii="Times New Roman" w:hAnsi="Times New Roman" w:cs="Times New Roman"/>
        </w:rPr>
        <w:t>. Princeton University Press</w:t>
      </w:r>
      <w:r w:rsidR="006C1923" w:rsidRPr="00C712BF">
        <w:rPr>
          <w:rFonts w:ascii="Times New Roman" w:hAnsi="Times New Roman" w:cs="Times New Roman"/>
        </w:rPr>
        <w:t>.</w:t>
      </w:r>
    </w:p>
    <w:sectPr w:rsidR="003C490C" w:rsidRPr="00EF1BA3" w:rsidSect="00A156F6">
      <w:footerReference w:type="default" r:id="rId24"/>
      <w:pgSz w:w="12240" w:h="15840" w:code="1"/>
      <w:pgMar w:top="1440" w:right="1440" w:bottom="1440" w:left="1440" w:header="720" w:footer="720"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DBEB27C" w16cid:durableId="1F07259A"/>
  <w16cid:commentId w16cid:paraId="77D21E47" w16cid:durableId="1F07262C"/>
  <w16cid:commentId w16cid:paraId="52E084D3" w16cid:durableId="1F072648"/>
  <w16cid:commentId w16cid:paraId="0A547663" w16cid:durableId="1F07284A"/>
  <w16cid:commentId w16cid:paraId="654E5E5F" w16cid:durableId="1F0728A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50C6F5" w14:textId="77777777" w:rsidR="00CD5997" w:rsidRDefault="00CD5997" w:rsidP="00084EFC">
      <w:pPr>
        <w:spacing w:after="0" w:line="240" w:lineRule="auto"/>
      </w:pPr>
      <w:r>
        <w:separator/>
      </w:r>
    </w:p>
  </w:endnote>
  <w:endnote w:type="continuationSeparator" w:id="0">
    <w:p w14:paraId="579C4D0C" w14:textId="77777777" w:rsidR="00CD5997" w:rsidRDefault="00CD5997" w:rsidP="00084E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7DA9C8" w14:textId="77777777" w:rsidR="004619AB" w:rsidRPr="00A156F6" w:rsidRDefault="004619AB" w:rsidP="007C77DB">
    <w:pPr>
      <w:pStyle w:val="Footer"/>
      <w:pBdr>
        <w:top w:val="single" w:sz="4" w:space="1" w:color="auto"/>
      </w:pBdr>
      <w:jc w:val="right"/>
      <w:rPr>
        <w:rFonts w:ascii="Times New Roman" w:hAnsi="Times New Roman" w:cs="Times New Roman"/>
      </w:rPr>
    </w:pPr>
    <w:r w:rsidRPr="00A156F6">
      <w:rPr>
        <w:rFonts w:ascii="Times New Roman" w:hAnsi="Times New Roman" w:cs="Times New Roman"/>
      </w:rPr>
      <w:t xml:space="preserve">Page | </w:t>
    </w:r>
    <w:r w:rsidRPr="00A156F6">
      <w:rPr>
        <w:rFonts w:ascii="Times New Roman" w:hAnsi="Times New Roman" w:cs="Times New Roman"/>
      </w:rPr>
      <w:fldChar w:fldCharType="begin"/>
    </w:r>
    <w:r w:rsidRPr="00A156F6">
      <w:rPr>
        <w:rFonts w:ascii="Times New Roman" w:hAnsi="Times New Roman" w:cs="Times New Roman"/>
      </w:rPr>
      <w:instrText xml:space="preserve"> PAGE   \* MERGEFORMAT </w:instrText>
    </w:r>
    <w:r w:rsidRPr="00A156F6">
      <w:rPr>
        <w:rFonts w:ascii="Times New Roman" w:hAnsi="Times New Roman" w:cs="Times New Roman"/>
      </w:rPr>
      <w:fldChar w:fldCharType="separate"/>
    </w:r>
    <w:r>
      <w:rPr>
        <w:rFonts w:ascii="Times New Roman" w:hAnsi="Times New Roman" w:cs="Times New Roman"/>
        <w:noProof/>
      </w:rPr>
      <w:t>15</w:t>
    </w:r>
    <w:r w:rsidRPr="00A156F6">
      <w:rPr>
        <w:rFonts w:ascii="Times New Roman" w:hAnsi="Times New Roman" w:cs="Times New Roman"/>
        <w:noProof/>
      </w:rPr>
      <w:fldChar w:fldCharType="end"/>
    </w:r>
  </w:p>
  <w:p w14:paraId="36E75BD6" w14:textId="77777777" w:rsidR="004619AB" w:rsidRPr="007C77DB" w:rsidRDefault="004619AB" w:rsidP="007C77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6522E3" w14:textId="77777777" w:rsidR="00693A71" w:rsidRPr="00A156F6" w:rsidRDefault="00693A71" w:rsidP="007C77DB">
    <w:pPr>
      <w:pStyle w:val="Footer"/>
      <w:pBdr>
        <w:top w:val="single" w:sz="4" w:space="1" w:color="auto"/>
      </w:pBdr>
      <w:jc w:val="right"/>
      <w:rPr>
        <w:rFonts w:ascii="Times New Roman" w:hAnsi="Times New Roman" w:cs="Times New Roman"/>
      </w:rPr>
    </w:pPr>
    <w:r w:rsidRPr="00A156F6">
      <w:rPr>
        <w:rFonts w:ascii="Times New Roman" w:hAnsi="Times New Roman" w:cs="Times New Roman"/>
      </w:rPr>
      <w:t xml:space="preserve">Page | </w:t>
    </w:r>
    <w:r w:rsidRPr="00A156F6">
      <w:rPr>
        <w:rFonts w:ascii="Times New Roman" w:hAnsi="Times New Roman" w:cs="Times New Roman"/>
      </w:rPr>
      <w:fldChar w:fldCharType="begin"/>
    </w:r>
    <w:r w:rsidRPr="00A156F6">
      <w:rPr>
        <w:rFonts w:ascii="Times New Roman" w:hAnsi="Times New Roman" w:cs="Times New Roman"/>
      </w:rPr>
      <w:instrText xml:space="preserve"> PAGE   \* MERGEFORMAT </w:instrText>
    </w:r>
    <w:r w:rsidRPr="00A156F6">
      <w:rPr>
        <w:rFonts w:ascii="Times New Roman" w:hAnsi="Times New Roman" w:cs="Times New Roman"/>
      </w:rPr>
      <w:fldChar w:fldCharType="separate"/>
    </w:r>
    <w:r w:rsidR="004619AB">
      <w:rPr>
        <w:rFonts w:ascii="Times New Roman" w:hAnsi="Times New Roman" w:cs="Times New Roman"/>
        <w:noProof/>
      </w:rPr>
      <w:t>i</w:t>
    </w:r>
    <w:r w:rsidRPr="00A156F6">
      <w:rPr>
        <w:rFonts w:ascii="Times New Roman" w:hAnsi="Times New Roman" w:cs="Times New Roman"/>
        <w:noProof/>
      </w:rPr>
      <w:fldChar w:fldCharType="end"/>
    </w:r>
  </w:p>
  <w:p w14:paraId="430A685B" w14:textId="77777777" w:rsidR="00693A71" w:rsidRPr="007C77DB" w:rsidRDefault="00693A71" w:rsidP="007C77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29E088" w14:textId="77777777" w:rsidR="00693A71" w:rsidRPr="00A156F6" w:rsidRDefault="00693A71" w:rsidP="007C77DB">
    <w:pPr>
      <w:pStyle w:val="Footer"/>
      <w:pBdr>
        <w:top w:val="single" w:sz="4" w:space="1" w:color="auto"/>
      </w:pBdr>
      <w:jc w:val="right"/>
      <w:rPr>
        <w:rFonts w:ascii="Times New Roman" w:hAnsi="Times New Roman" w:cs="Times New Roman"/>
      </w:rPr>
    </w:pPr>
    <w:r w:rsidRPr="00A156F6">
      <w:rPr>
        <w:rFonts w:ascii="Times New Roman" w:hAnsi="Times New Roman" w:cs="Times New Roman"/>
      </w:rPr>
      <w:t xml:space="preserve">Page | </w:t>
    </w:r>
    <w:r w:rsidRPr="00A156F6">
      <w:rPr>
        <w:rFonts w:ascii="Times New Roman" w:hAnsi="Times New Roman" w:cs="Times New Roman"/>
      </w:rPr>
      <w:fldChar w:fldCharType="begin"/>
    </w:r>
    <w:r w:rsidRPr="00A156F6">
      <w:rPr>
        <w:rFonts w:ascii="Times New Roman" w:hAnsi="Times New Roman" w:cs="Times New Roman"/>
      </w:rPr>
      <w:instrText xml:space="preserve"> PAGE   \* MERGEFORMAT </w:instrText>
    </w:r>
    <w:r w:rsidRPr="00A156F6">
      <w:rPr>
        <w:rFonts w:ascii="Times New Roman" w:hAnsi="Times New Roman" w:cs="Times New Roman"/>
      </w:rPr>
      <w:fldChar w:fldCharType="separate"/>
    </w:r>
    <w:r w:rsidR="004619AB">
      <w:rPr>
        <w:rFonts w:ascii="Times New Roman" w:hAnsi="Times New Roman" w:cs="Times New Roman"/>
        <w:noProof/>
      </w:rPr>
      <w:t>3</w:t>
    </w:r>
    <w:r w:rsidRPr="00A156F6">
      <w:rPr>
        <w:rFonts w:ascii="Times New Roman" w:hAnsi="Times New Roman" w:cs="Times New Roman"/>
        <w:noProof/>
      </w:rPr>
      <w:fldChar w:fldCharType="end"/>
    </w:r>
  </w:p>
  <w:p w14:paraId="3C978FA2" w14:textId="77777777" w:rsidR="00693A71" w:rsidRPr="007C77DB" w:rsidRDefault="00693A71" w:rsidP="007C77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F3EE8" w14:textId="77777777" w:rsidR="00CD5997" w:rsidRDefault="00CD5997" w:rsidP="00084EFC">
      <w:pPr>
        <w:spacing w:after="0" w:line="240" w:lineRule="auto"/>
      </w:pPr>
      <w:r>
        <w:separator/>
      </w:r>
    </w:p>
  </w:footnote>
  <w:footnote w:type="continuationSeparator" w:id="0">
    <w:p w14:paraId="3E582025" w14:textId="77777777" w:rsidR="00CD5997" w:rsidRDefault="00CD5997" w:rsidP="00084E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6313F" w14:textId="77777777" w:rsidR="004619AB" w:rsidRPr="00A156F6" w:rsidRDefault="004619AB" w:rsidP="00A156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77CC6" w14:textId="77777777" w:rsidR="00693A71" w:rsidRPr="00A156F6" w:rsidRDefault="00693A71" w:rsidP="00A156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C4A36"/>
    <w:multiLevelType w:val="hybridMultilevel"/>
    <w:tmpl w:val="788E4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E85E5E"/>
    <w:multiLevelType w:val="hybridMultilevel"/>
    <w:tmpl w:val="C944D2D6"/>
    <w:lvl w:ilvl="0" w:tplc="CE5C55A4">
      <w:start w:val="1"/>
      <w:numFmt w:val="lowerLetter"/>
      <w:lvlText w:val="%1."/>
      <w:lvlJc w:val="left"/>
      <w:pPr>
        <w:ind w:left="720" w:hanging="360"/>
      </w:pPr>
      <w:rPr>
        <w:rFonts w:ascii="Times New Roman" w:eastAsiaTheme="minorHAnsi" w:hAnsi="Times New Roman" w:cs="Times New Roman" w:hint="default"/>
        <w:color w:val="0563C1" w:themeColor="hyperlink"/>
        <w:sz w:val="24"/>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5FF2B27"/>
    <w:multiLevelType w:val="hybridMultilevel"/>
    <w:tmpl w:val="016CDC66"/>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DB2E37"/>
    <w:multiLevelType w:val="hybridMultilevel"/>
    <w:tmpl w:val="3AB47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F217A9"/>
    <w:multiLevelType w:val="hybridMultilevel"/>
    <w:tmpl w:val="952E9B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F332B7"/>
    <w:multiLevelType w:val="hybridMultilevel"/>
    <w:tmpl w:val="A886B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B952CC"/>
    <w:multiLevelType w:val="hybridMultilevel"/>
    <w:tmpl w:val="5B9AA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6"/>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S3tDQ2szA2MDcyMTZT0lEKTi0uzszPAykwrwUAei00KCwAAAA="/>
  </w:docVars>
  <w:rsids>
    <w:rsidRoot w:val="00C378C7"/>
    <w:rsid w:val="000010A9"/>
    <w:rsid w:val="00005E0E"/>
    <w:rsid w:val="000060D7"/>
    <w:rsid w:val="00014797"/>
    <w:rsid w:val="000204F6"/>
    <w:rsid w:val="00021CAB"/>
    <w:rsid w:val="00032848"/>
    <w:rsid w:val="000355AB"/>
    <w:rsid w:val="00035710"/>
    <w:rsid w:val="000363CF"/>
    <w:rsid w:val="00036414"/>
    <w:rsid w:val="000430E4"/>
    <w:rsid w:val="00052F64"/>
    <w:rsid w:val="00054FED"/>
    <w:rsid w:val="00055819"/>
    <w:rsid w:val="00056236"/>
    <w:rsid w:val="00057494"/>
    <w:rsid w:val="00065419"/>
    <w:rsid w:val="00070ADA"/>
    <w:rsid w:val="00071143"/>
    <w:rsid w:val="0007612E"/>
    <w:rsid w:val="00084EFC"/>
    <w:rsid w:val="000A1687"/>
    <w:rsid w:val="000A52BE"/>
    <w:rsid w:val="000A5397"/>
    <w:rsid w:val="000B5B4D"/>
    <w:rsid w:val="000C0088"/>
    <w:rsid w:val="000C13CB"/>
    <w:rsid w:val="000C3BE2"/>
    <w:rsid w:val="000C64EB"/>
    <w:rsid w:val="000D3FD4"/>
    <w:rsid w:val="000D5A9A"/>
    <w:rsid w:val="000E74EE"/>
    <w:rsid w:val="000F21F0"/>
    <w:rsid w:val="000F27CC"/>
    <w:rsid w:val="000F2D9A"/>
    <w:rsid w:val="0010057A"/>
    <w:rsid w:val="001010E8"/>
    <w:rsid w:val="00102340"/>
    <w:rsid w:val="0010350B"/>
    <w:rsid w:val="00106573"/>
    <w:rsid w:val="00106584"/>
    <w:rsid w:val="0011011C"/>
    <w:rsid w:val="00111307"/>
    <w:rsid w:val="00115184"/>
    <w:rsid w:val="00121544"/>
    <w:rsid w:val="00122A8E"/>
    <w:rsid w:val="00123195"/>
    <w:rsid w:val="00126606"/>
    <w:rsid w:val="001279AF"/>
    <w:rsid w:val="001349EB"/>
    <w:rsid w:val="00135C0D"/>
    <w:rsid w:val="00136139"/>
    <w:rsid w:val="0014290E"/>
    <w:rsid w:val="001614EC"/>
    <w:rsid w:val="001643D7"/>
    <w:rsid w:val="00165D7C"/>
    <w:rsid w:val="00171411"/>
    <w:rsid w:val="00173FCE"/>
    <w:rsid w:val="0017474B"/>
    <w:rsid w:val="00182686"/>
    <w:rsid w:val="00186249"/>
    <w:rsid w:val="0019609E"/>
    <w:rsid w:val="00196362"/>
    <w:rsid w:val="001A2FFB"/>
    <w:rsid w:val="001B0F41"/>
    <w:rsid w:val="001B1847"/>
    <w:rsid w:val="001B35E4"/>
    <w:rsid w:val="001B4047"/>
    <w:rsid w:val="001B78BC"/>
    <w:rsid w:val="001C0E21"/>
    <w:rsid w:val="001D0CCB"/>
    <w:rsid w:val="001D3E87"/>
    <w:rsid w:val="001E035A"/>
    <w:rsid w:val="001E5B72"/>
    <w:rsid w:val="001E7E4C"/>
    <w:rsid w:val="001F3E08"/>
    <w:rsid w:val="0020493B"/>
    <w:rsid w:val="00206390"/>
    <w:rsid w:val="00207C0F"/>
    <w:rsid w:val="002119C8"/>
    <w:rsid w:val="002279D8"/>
    <w:rsid w:val="00227BE6"/>
    <w:rsid w:val="002328E1"/>
    <w:rsid w:val="00233FB4"/>
    <w:rsid w:val="002361B2"/>
    <w:rsid w:val="002374F7"/>
    <w:rsid w:val="00242627"/>
    <w:rsid w:val="00242887"/>
    <w:rsid w:val="00244643"/>
    <w:rsid w:val="00246B59"/>
    <w:rsid w:val="00250D6F"/>
    <w:rsid w:val="0026036C"/>
    <w:rsid w:val="00263391"/>
    <w:rsid w:val="00272163"/>
    <w:rsid w:val="00275251"/>
    <w:rsid w:val="00277EEC"/>
    <w:rsid w:val="00280790"/>
    <w:rsid w:val="00283AF9"/>
    <w:rsid w:val="002845CD"/>
    <w:rsid w:val="00290D4F"/>
    <w:rsid w:val="00292C6B"/>
    <w:rsid w:val="002973A2"/>
    <w:rsid w:val="002A2EED"/>
    <w:rsid w:val="002A4411"/>
    <w:rsid w:val="002A6C02"/>
    <w:rsid w:val="002B3EB4"/>
    <w:rsid w:val="002C135B"/>
    <w:rsid w:val="002C47F3"/>
    <w:rsid w:val="002C6699"/>
    <w:rsid w:val="002C776A"/>
    <w:rsid w:val="002E5553"/>
    <w:rsid w:val="002E59C6"/>
    <w:rsid w:val="002F608C"/>
    <w:rsid w:val="003002A9"/>
    <w:rsid w:val="00305BAE"/>
    <w:rsid w:val="003400A9"/>
    <w:rsid w:val="00344BB2"/>
    <w:rsid w:val="00345AB6"/>
    <w:rsid w:val="003520AE"/>
    <w:rsid w:val="0035291C"/>
    <w:rsid w:val="00355FE1"/>
    <w:rsid w:val="00362873"/>
    <w:rsid w:val="003661FC"/>
    <w:rsid w:val="00371093"/>
    <w:rsid w:val="003740E9"/>
    <w:rsid w:val="00386401"/>
    <w:rsid w:val="00395333"/>
    <w:rsid w:val="00397511"/>
    <w:rsid w:val="00397AEB"/>
    <w:rsid w:val="003A12BB"/>
    <w:rsid w:val="003A16D4"/>
    <w:rsid w:val="003A3D17"/>
    <w:rsid w:val="003B0FDC"/>
    <w:rsid w:val="003B7C47"/>
    <w:rsid w:val="003C490C"/>
    <w:rsid w:val="003C6709"/>
    <w:rsid w:val="003E380E"/>
    <w:rsid w:val="003E6270"/>
    <w:rsid w:val="003F0186"/>
    <w:rsid w:val="003F398D"/>
    <w:rsid w:val="003F3D8A"/>
    <w:rsid w:val="003F41A3"/>
    <w:rsid w:val="003F694A"/>
    <w:rsid w:val="003F6D99"/>
    <w:rsid w:val="00407670"/>
    <w:rsid w:val="00424B70"/>
    <w:rsid w:val="004333F9"/>
    <w:rsid w:val="00441907"/>
    <w:rsid w:val="00447409"/>
    <w:rsid w:val="00447845"/>
    <w:rsid w:val="004512D1"/>
    <w:rsid w:val="00453F3E"/>
    <w:rsid w:val="0045442B"/>
    <w:rsid w:val="004550D0"/>
    <w:rsid w:val="004609DA"/>
    <w:rsid w:val="004619AB"/>
    <w:rsid w:val="004778E8"/>
    <w:rsid w:val="00480FB3"/>
    <w:rsid w:val="00482F64"/>
    <w:rsid w:val="00486307"/>
    <w:rsid w:val="004866A9"/>
    <w:rsid w:val="0049098D"/>
    <w:rsid w:val="004958C3"/>
    <w:rsid w:val="004A0D79"/>
    <w:rsid w:val="004A3BDA"/>
    <w:rsid w:val="004A673D"/>
    <w:rsid w:val="004C064C"/>
    <w:rsid w:val="004C1D0C"/>
    <w:rsid w:val="004C5888"/>
    <w:rsid w:val="004C6F80"/>
    <w:rsid w:val="004D10A2"/>
    <w:rsid w:val="004D1DC5"/>
    <w:rsid w:val="004D5273"/>
    <w:rsid w:val="004D5471"/>
    <w:rsid w:val="004E0095"/>
    <w:rsid w:val="004F50B8"/>
    <w:rsid w:val="004F5CA8"/>
    <w:rsid w:val="0050448F"/>
    <w:rsid w:val="005101FE"/>
    <w:rsid w:val="00523B9B"/>
    <w:rsid w:val="005256B9"/>
    <w:rsid w:val="005311A5"/>
    <w:rsid w:val="00534928"/>
    <w:rsid w:val="005400AE"/>
    <w:rsid w:val="00540738"/>
    <w:rsid w:val="005431BE"/>
    <w:rsid w:val="005436F1"/>
    <w:rsid w:val="00545CE0"/>
    <w:rsid w:val="00553DCC"/>
    <w:rsid w:val="00562532"/>
    <w:rsid w:val="0056555C"/>
    <w:rsid w:val="005721CD"/>
    <w:rsid w:val="00583A13"/>
    <w:rsid w:val="005914D3"/>
    <w:rsid w:val="00596085"/>
    <w:rsid w:val="00597440"/>
    <w:rsid w:val="005B1896"/>
    <w:rsid w:val="005B6D4E"/>
    <w:rsid w:val="005D759D"/>
    <w:rsid w:val="005E192C"/>
    <w:rsid w:val="005E6280"/>
    <w:rsid w:val="005F52E5"/>
    <w:rsid w:val="005F723F"/>
    <w:rsid w:val="005F7EB9"/>
    <w:rsid w:val="0060004B"/>
    <w:rsid w:val="00600DFB"/>
    <w:rsid w:val="006060EA"/>
    <w:rsid w:val="00617978"/>
    <w:rsid w:val="00631ABF"/>
    <w:rsid w:val="00633E46"/>
    <w:rsid w:val="00643C64"/>
    <w:rsid w:val="00645AEE"/>
    <w:rsid w:val="006500D6"/>
    <w:rsid w:val="00650351"/>
    <w:rsid w:val="00661908"/>
    <w:rsid w:val="00664343"/>
    <w:rsid w:val="00665309"/>
    <w:rsid w:val="006708E5"/>
    <w:rsid w:val="006727F6"/>
    <w:rsid w:val="00672F53"/>
    <w:rsid w:val="00674D52"/>
    <w:rsid w:val="00675720"/>
    <w:rsid w:val="0068408A"/>
    <w:rsid w:val="00685377"/>
    <w:rsid w:val="006858E8"/>
    <w:rsid w:val="00690BA6"/>
    <w:rsid w:val="00692DD2"/>
    <w:rsid w:val="006932C5"/>
    <w:rsid w:val="00693A71"/>
    <w:rsid w:val="00695CC1"/>
    <w:rsid w:val="006A4242"/>
    <w:rsid w:val="006B0016"/>
    <w:rsid w:val="006B691F"/>
    <w:rsid w:val="006C1923"/>
    <w:rsid w:val="006C21D3"/>
    <w:rsid w:val="006C3360"/>
    <w:rsid w:val="006D3289"/>
    <w:rsid w:val="006D4F3B"/>
    <w:rsid w:val="006D7D75"/>
    <w:rsid w:val="006F08A7"/>
    <w:rsid w:val="006F4175"/>
    <w:rsid w:val="006F4292"/>
    <w:rsid w:val="006F73A6"/>
    <w:rsid w:val="00701B7D"/>
    <w:rsid w:val="0070515D"/>
    <w:rsid w:val="0071212A"/>
    <w:rsid w:val="007203AD"/>
    <w:rsid w:val="007208F2"/>
    <w:rsid w:val="00720CF2"/>
    <w:rsid w:val="00723A50"/>
    <w:rsid w:val="00724846"/>
    <w:rsid w:val="00725903"/>
    <w:rsid w:val="00727E51"/>
    <w:rsid w:val="00735964"/>
    <w:rsid w:val="007531F1"/>
    <w:rsid w:val="0075401A"/>
    <w:rsid w:val="00755A94"/>
    <w:rsid w:val="007579AB"/>
    <w:rsid w:val="0076059C"/>
    <w:rsid w:val="0076215D"/>
    <w:rsid w:val="00763897"/>
    <w:rsid w:val="00764AF4"/>
    <w:rsid w:val="00777C68"/>
    <w:rsid w:val="00783CA0"/>
    <w:rsid w:val="00784327"/>
    <w:rsid w:val="007932D4"/>
    <w:rsid w:val="007A1068"/>
    <w:rsid w:val="007A3910"/>
    <w:rsid w:val="007A6022"/>
    <w:rsid w:val="007A78D5"/>
    <w:rsid w:val="007B06ED"/>
    <w:rsid w:val="007C77DB"/>
    <w:rsid w:val="007D2A6C"/>
    <w:rsid w:val="007D5E6B"/>
    <w:rsid w:val="007D6E53"/>
    <w:rsid w:val="007E1BE5"/>
    <w:rsid w:val="007E29FF"/>
    <w:rsid w:val="00802A43"/>
    <w:rsid w:val="0080361D"/>
    <w:rsid w:val="00807C1B"/>
    <w:rsid w:val="00825267"/>
    <w:rsid w:val="008258A3"/>
    <w:rsid w:val="008269AD"/>
    <w:rsid w:val="0083255D"/>
    <w:rsid w:val="00835B9A"/>
    <w:rsid w:val="00836B5A"/>
    <w:rsid w:val="00840AC1"/>
    <w:rsid w:val="00840C94"/>
    <w:rsid w:val="00841977"/>
    <w:rsid w:val="00850139"/>
    <w:rsid w:val="00853790"/>
    <w:rsid w:val="00854AD2"/>
    <w:rsid w:val="008552C1"/>
    <w:rsid w:val="00856E41"/>
    <w:rsid w:val="00860C07"/>
    <w:rsid w:val="0087463B"/>
    <w:rsid w:val="00880D2B"/>
    <w:rsid w:val="008810D8"/>
    <w:rsid w:val="00886A1D"/>
    <w:rsid w:val="008A4FC2"/>
    <w:rsid w:val="008B6512"/>
    <w:rsid w:val="008B7E19"/>
    <w:rsid w:val="008C4490"/>
    <w:rsid w:val="008C5372"/>
    <w:rsid w:val="008C6FC2"/>
    <w:rsid w:val="008D1E75"/>
    <w:rsid w:val="008D52A0"/>
    <w:rsid w:val="008D546A"/>
    <w:rsid w:val="008E22C2"/>
    <w:rsid w:val="00900D06"/>
    <w:rsid w:val="00902DB5"/>
    <w:rsid w:val="00903B24"/>
    <w:rsid w:val="00920B3E"/>
    <w:rsid w:val="0092270C"/>
    <w:rsid w:val="0093509E"/>
    <w:rsid w:val="009379EC"/>
    <w:rsid w:val="009414C9"/>
    <w:rsid w:val="00953599"/>
    <w:rsid w:val="009536EB"/>
    <w:rsid w:val="009556E1"/>
    <w:rsid w:val="00970DC9"/>
    <w:rsid w:val="00976C3C"/>
    <w:rsid w:val="009A4B2B"/>
    <w:rsid w:val="009B0B44"/>
    <w:rsid w:val="009B157D"/>
    <w:rsid w:val="009B32A2"/>
    <w:rsid w:val="009B624F"/>
    <w:rsid w:val="009D50C7"/>
    <w:rsid w:val="009E74AC"/>
    <w:rsid w:val="009F0687"/>
    <w:rsid w:val="009F644E"/>
    <w:rsid w:val="00A074BB"/>
    <w:rsid w:val="00A156F6"/>
    <w:rsid w:val="00A16515"/>
    <w:rsid w:val="00A20208"/>
    <w:rsid w:val="00A24980"/>
    <w:rsid w:val="00A33D0D"/>
    <w:rsid w:val="00A3612B"/>
    <w:rsid w:val="00A361C2"/>
    <w:rsid w:val="00A40510"/>
    <w:rsid w:val="00A533B7"/>
    <w:rsid w:val="00A56E47"/>
    <w:rsid w:val="00A62FA6"/>
    <w:rsid w:val="00A67DEA"/>
    <w:rsid w:val="00A716F4"/>
    <w:rsid w:val="00A72468"/>
    <w:rsid w:val="00A743BA"/>
    <w:rsid w:val="00A82D08"/>
    <w:rsid w:val="00A94E38"/>
    <w:rsid w:val="00AA1001"/>
    <w:rsid w:val="00AB68D6"/>
    <w:rsid w:val="00AB7565"/>
    <w:rsid w:val="00AC51B8"/>
    <w:rsid w:val="00AC5294"/>
    <w:rsid w:val="00AC6714"/>
    <w:rsid w:val="00AE4CA5"/>
    <w:rsid w:val="00AF43CD"/>
    <w:rsid w:val="00AF451F"/>
    <w:rsid w:val="00B005F1"/>
    <w:rsid w:val="00B04177"/>
    <w:rsid w:val="00B14778"/>
    <w:rsid w:val="00B17F36"/>
    <w:rsid w:val="00B212B0"/>
    <w:rsid w:val="00B231E7"/>
    <w:rsid w:val="00B23B48"/>
    <w:rsid w:val="00B2575D"/>
    <w:rsid w:val="00B3608F"/>
    <w:rsid w:val="00B3681B"/>
    <w:rsid w:val="00B4082E"/>
    <w:rsid w:val="00B40D32"/>
    <w:rsid w:val="00B45081"/>
    <w:rsid w:val="00B46912"/>
    <w:rsid w:val="00B612F3"/>
    <w:rsid w:val="00B617AE"/>
    <w:rsid w:val="00B664C8"/>
    <w:rsid w:val="00B83C2D"/>
    <w:rsid w:val="00B85E78"/>
    <w:rsid w:val="00B860DF"/>
    <w:rsid w:val="00B90B99"/>
    <w:rsid w:val="00B90F7D"/>
    <w:rsid w:val="00B923E8"/>
    <w:rsid w:val="00B95ACD"/>
    <w:rsid w:val="00B95CB3"/>
    <w:rsid w:val="00BA7ABD"/>
    <w:rsid w:val="00BB17DC"/>
    <w:rsid w:val="00BB1E74"/>
    <w:rsid w:val="00BC38F8"/>
    <w:rsid w:val="00BD1F34"/>
    <w:rsid w:val="00BD48A1"/>
    <w:rsid w:val="00BE06F4"/>
    <w:rsid w:val="00BE44AA"/>
    <w:rsid w:val="00BE6E6C"/>
    <w:rsid w:val="00C117D5"/>
    <w:rsid w:val="00C15A79"/>
    <w:rsid w:val="00C16D19"/>
    <w:rsid w:val="00C2756A"/>
    <w:rsid w:val="00C27A27"/>
    <w:rsid w:val="00C356FA"/>
    <w:rsid w:val="00C3781C"/>
    <w:rsid w:val="00C378C7"/>
    <w:rsid w:val="00C43B1A"/>
    <w:rsid w:val="00C441E1"/>
    <w:rsid w:val="00C46794"/>
    <w:rsid w:val="00C4725D"/>
    <w:rsid w:val="00C513BC"/>
    <w:rsid w:val="00C54035"/>
    <w:rsid w:val="00C56587"/>
    <w:rsid w:val="00C60647"/>
    <w:rsid w:val="00C63975"/>
    <w:rsid w:val="00C67906"/>
    <w:rsid w:val="00C712BF"/>
    <w:rsid w:val="00C71ECA"/>
    <w:rsid w:val="00C80E2C"/>
    <w:rsid w:val="00C85C89"/>
    <w:rsid w:val="00C95D5B"/>
    <w:rsid w:val="00CA0420"/>
    <w:rsid w:val="00CA5341"/>
    <w:rsid w:val="00CA5775"/>
    <w:rsid w:val="00CB28F1"/>
    <w:rsid w:val="00CB558E"/>
    <w:rsid w:val="00CB6C5C"/>
    <w:rsid w:val="00CB7224"/>
    <w:rsid w:val="00CC29B5"/>
    <w:rsid w:val="00CC3323"/>
    <w:rsid w:val="00CC37A6"/>
    <w:rsid w:val="00CD45B9"/>
    <w:rsid w:val="00CD4F35"/>
    <w:rsid w:val="00CD5997"/>
    <w:rsid w:val="00CE150D"/>
    <w:rsid w:val="00CE21F5"/>
    <w:rsid w:val="00CE4494"/>
    <w:rsid w:val="00CE4588"/>
    <w:rsid w:val="00CE79AA"/>
    <w:rsid w:val="00CF0D23"/>
    <w:rsid w:val="00D0168C"/>
    <w:rsid w:val="00D0433E"/>
    <w:rsid w:val="00D07131"/>
    <w:rsid w:val="00D102D8"/>
    <w:rsid w:val="00D10E56"/>
    <w:rsid w:val="00D12D83"/>
    <w:rsid w:val="00D16C64"/>
    <w:rsid w:val="00D25C8C"/>
    <w:rsid w:val="00D3120D"/>
    <w:rsid w:val="00D3455A"/>
    <w:rsid w:val="00D37464"/>
    <w:rsid w:val="00D37EEF"/>
    <w:rsid w:val="00D42595"/>
    <w:rsid w:val="00D4494A"/>
    <w:rsid w:val="00D450DC"/>
    <w:rsid w:val="00D45856"/>
    <w:rsid w:val="00D47B3C"/>
    <w:rsid w:val="00D51292"/>
    <w:rsid w:val="00D53173"/>
    <w:rsid w:val="00D662FE"/>
    <w:rsid w:val="00D7099B"/>
    <w:rsid w:val="00D825D5"/>
    <w:rsid w:val="00D83121"/>
    <w:rsid w:val="00D83C52"/>
    <w:rsid w:val="00D87E32"/>
    <w:rsid w:val="00D87E7E"/>
    <w:rsid w:val="00D902E8"/>
    <w:rsid w:val="00D95A05"/>
    <w:rsid w:val="00DA2455"/>
    <w:rsid w:val="00DA38C3"/>
    <w:rsid w:val="00DA7C2C"/>
    <w:rsid w:val="00DB66EE"/>
    <w:rsid w:val="00DB74F0"/>
    <w:rsid w:val="00DD31E8"/>
    <w:rsid w:val="00DD34CF"/>
    <w:rsid w:val="00DE74D1"/>
    <w:rsid w:val="00DF3BDE"/>
    <w:rsid w:val="00E1131A"/>
    <w:rsid w:val="00E16043"/>
    <w:rsid w:val="00E171E6"/>
    <w:rsid w:val="00E20055"/>
    <w:rsid w:val="00E20F5D"/>
    <w:rsid w:val="00E21C36"/>
    <w:rsid w:val="00E22E63"/>
    <w:rsid w:val="00E30F4F"/>
    <w:rsid w:val="00E539E4"/>
    <w:rsid w:val="00E610CC"/>
    <w:rsid w:val="00E61F45"/>
    <w:rsid w:val="00E72AD8"/>
    <w:rsid w:val="00E92FC1"/>
    <w:rsid w:val="00E930E4"/>
    <w:rsid w:val="00EB3481"/>
    <w:rsid w:val="00EC2FA2"/>
    <w:rsid w:val="00EC3A0D"/>
    <w:rsid w:val="00ED50C0"/>
    <w:rsid w:val="00EE77AE"/>
    <w:rsid w:val="00EF1BA3"/>
    <w:rsid w:val="00EF24FD"/>
    <w:rsid w:val="00F01246"/>
    <w:rsid w:val="00F03643"/>
    <w:rsid w:val="00F03E39"/>
    <w:rsid w:val="00F03F64"/>
    <w:rsid w:val="00F03F85"/>
    <w:rsid w:val="00F043C4"/>
    <w:rsid w:val="00F06C58"/>
    <w:rsid w:val="00F110E2"/>
    <w:rsid w:val="00F229D9"/>
    <w:rsid w:val="00F22FA2"/>
    <w:rsid w:val="00F25C16"/>
    <w:rsid w:val="00F32FD8"/>
    <w:rsid w:val="00F45A69"/>
    <w:rsid w:val="00F50D36"/>
    <w:rsid w:val="00F57DB8"/>
    <w:rsid w:val="00F761A4"/>
    <w:rsid w:val="00F8196A"/>
    <w:rsid w:val="00F82D80"/>
    <w:rsid w:val="00F838D3"/>
    <w:rsid w:val="00F95092"/>
    <w:rsid w:val="00FA0840"/>
    <w:rsid w:val="00FA128A"/>
    <w:rsid w:val="00FA4B50"/>
    <w:rsid w:val="00FA5A5F"/>
    <w:rsid w:val="00FA79CB"/>
    <w:rsid w:val="00FB4168"/>
    <w:rsid w:val="00FB7581"/>
    <w:rsid w:val="00FC295F"/>
    <w:rsid w:val="00FC2C0E"/>
    <w:rsid w:val="00FE058D"/>
    <w:rsid w:val="00FE0AE1"/>
    <w:rsid w:val="00FE0E4E"/>
    <w:rsid w:val="00FE3BE7"/>
    <w:rsid w:val="00FE5096"/>
    <w:rsid w:val="00FE7AC0"/>
    <w:rsid w:val="00FE7DCF"/>
    <w:rsid w:val="00FF1956"/>
    <w:rsid w:val="00FF1C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D8DA5E"/>
  <w15:docId w15:val="{FBBD9EDB-184B-42E1-B418-D872658AB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50DC"/>
    <w:pPr>
      <w:spacing w:after="200" w:line="276" w:lineRule="auto"/>
      <w:jc w:val="both"/>
    </w:pPr>
    <w:rPr>
      <w:sz w:val="24"/>
    </w:rPr>
  </w:style>
  <w:style w:type="paragraph" w:styleId="Heading1">
    <w:name w:val="heading 1"/>
    <w:basedOn w:val="Normal"/>
    <w:next w:val="Normal"/>
    <w:link w:val="Heading1Char"/>
    <w:uiPriority w:val="9"/>
    <w:qFormat/>
    <w:rsid w:val="007A106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3C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06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3C2D"/>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C13CB"/>
    <w:pPr>
      <w:ind w:left="720"/>
      <w:contextualSpacing/>
    </w:pPr>
  </w:style>
  <w:style w:type="paragraph" w:styleId="Header">
    <w:name w:val="header"/>
    <w:basedOn w:val="Normal"/>
    <w:link w:val="HeaderChar"/>
    <w:uiPriority w:val="99"/>
    <w:unhideWhenUsed/>
    <w:rsid w:val="00084E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EFC"/>
    <w:rPr>
      <w:sz w:val="24"/>
    </w:rPr>
  </w:style>
  <w:style w:type="paragraph" w:styleId="Footer">
    <w:name w:val="footer"/>
    <w:basedOn w:val="Normal"/>
    <w:link w:val="FooterChar"/>
    <w:uiPriority w:val="99"/>
    <w:unhideWhenUsed/>
    <w:rsid w:val="00084E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EFC"/>
    <w:rPr>
      <w:sz w:val="24"/>
    </w:rPr>
  </w:style>
  <w:style w:type="paragraph" w:styleId="Caption">
    <w:name w:val="caption"/>
    <w:basedOn w:val="Normal"/>
    <w:next w:val="Normal"/>
    <w:uiPriority w:val="35"/>
    <w:unhideWhenUsed/>
    <w:qFormat/>
    <w:rsid w:val="003E380E"/>
    <w:pPr>
      <w:spacing w:line="240" w:lineRule="auto"/>
    </w:pPr>
    <w:rPr>
      <w:i/>
      <w:iCs/>
      <w:color w:val="44546A" w:themeColor="text2"/>
      <w:sz w:val="18"/>
      <w:szCs w:val="18"/>
    </w:rPr>
  </w:style>
  <w:style w:type="character" w:styleId="Hyperlink">
    <w:name w:val="Hyperlink"/>
    <w:basedOn w:val="DefaultParagraphFont"/>
    <w:uiPriority w:val="99"/>
    <w:unhideWhenUsed/>
    <w:rsid w:val="00D0433E"/>
    <w:rPr>
      <w:color w:val="0563C1" w:themeColor="hyperlink"/>
      <w:u w:val="single"/>
    </w:rPr>
  </w:style>
  <w:style w:type="paragraph" w:styleId="Title">
    <w:name w:val="Title"/>
    <w:basedOn w:val="Normal"/>
    <w:link w:val="TitleChar"/>
    <w:qFormat/>
    <w:rsid w:val="00C27A27"/>
    <w:pPr>
      <w:spacing w:after="0" w:line="240" w:lineRule="auto"/>
      <w:jc w:val="center"/>
    </w:pPr>
    <w:rPr>
      <w:rFonts w:ascii="Times New Roman" w:eastAsia="Times New Roman" w:hAnsi="Times New Roman" w:cs="Times New Roman"/>
      <w:b/>
      <w:bCs/>
      <w:szCs w:val="24"/>
      <w:u w:val="single"/>
      <w:lang w:val="en-GB"/>
    </w:rPr>
  </w:style>
  <w:style w:type="character" w:customStyle="1" w:styleId="TitleChar">
    <w:name w:val="Title Char"/>
    <w:basedOn w:val="DefaultParagraphFont"/>
    <w:link w:val="Title"/>
    <w:rsid w:val="00C27A27"/>
    <w:rPr>
      <w:rFonts w:ascii="Times New Roman" w:eastAsia="Times New Roman" w:hAnsi="Times New Roman" w:cs="Times New Roman"/>
      <w:b/>
      <w:bCs/>
      <w:sz w:val="24"/>
      <w:szCs w:val="24"/>
      <w:u w:val="single"/>
      <w:lang w:val="en-GB"/>
    </w:rPr>
  </w:style>
  <w:style w:type="paragraph" w:styleId="TOCHeading">
    <w:name w:val="TOC Heading"/>
    <w:basedOn w:val="Heading1"/>
    <w:next w:val="Normal"/>
    <w:uiPriority w:val="39"/>
    <w:unhideWhenUsed/>
    <w:qFormat/>
    <w:rsid w:val="00A743BA"/>
    <w:pPr>
      <w:spacing w:line="259" w:lineRule="auto"/>
      <w:jc w:val="left"/>
      <w:outlineLvl w:val="9"/>
    </w:pPr>
  </w:style>
  <w:style w:type="paragraph" w:styleId="TOC1">
    <w:name w:val="toc 1"/>
    <w:basedOn w:val="Normal"/>
    <w:next w:val="Normal"/>
    <w:autoRedefine/>
    <w:uiPriority w:val="39"/>
    <w:unhideWhenUsed/>
    <w:rsid w:val="00A743BA"/>
    <w:pPr>
      <w:spacing w:after="100"/>
    </w:pPr>
  </w:style>
  <w:style w:type="paragraph" w:styleId="TOC2">
    <w:name w:val="toc 2"/>
    <w:basedOn w:val="Normal"/>
    <w:next w:val="Normal"/>
    <w:autoRedefine/>
    <w:uiPriority w:val="39"/>
    <w:unhideWhenUsed/>
    <w:rsid w:val="00D102D8"/>
    <w:pPr>
      <w:tabs>
        <w:tab w:val="left" w:pos="450"/>
        <w:tab w:val="right" w:leader="dot" w:pos="9350"/>
      </w:tabs>
      <w:spacing w:after="100"/>
    </w:pPr>
  </w:style>
  <w:style w:type="character" w:styleId="CommentReference">
    <w:name w:val="annotation reference"/>
    <w:basedOn w:val="DefaultParagraphFont"/>
    <w:uiPriority w:val="99"/>
    <w:semiHidden/>
    <w:unhideWhenUsed/>
    <w:rsid w:val="00B85E78"/>
    <w:rPr>
      <w:sz w:val="16"/>
      <w:szCs w:val="16"/>
    </w:rPr>
  </w:style>
  <w:style w:type="paragraph" w:styleId="CommentText">
    <w:name w:val="annotation text"/>
    <w:basedOn w:val="Normal"/>
    <w:link w:val="CommentTextChar"/>
    <w:uiPriority w:val="99"/>
    <w:semiHidden/>
    <w:unhideWhenUsed/>
    <w:rsid w:val="00B85E78"/>
    <w:pPr>
      <w:spacing w:line="240" w:lineRule="auto"/>
    </w:pPr>
    <w:rPr>
      <w:sz w:val="20"/>
      <w:szCs w:val="20"/>
    </w:rPr>
  </w:style>
  <w:style w:type="character" w:customStyle="1" w:styleId="CommentTextChar">
    <w:name w:val="Comment Text Char"/>
    <w:basedOn w:val="DefaultParagraphFont"/>
    <w:link w:val="CommentText"/>
    <w:uiPriority w:val="99"/>
    <w:semiHidden/>
    <w:rsid w:val="00B85E78"/>
    <w:rPr>
      <w:sz w:val="20"/>
      <w:szCs w:val="20"/>
    </w:rPr>
  </w:style>
  <w:style w:type="paragraph" w:styleId="CommentSubject">
    <w:name w:val="annotation subject"/>
    <w:basedOn w:val="CommentText"/>
    <w:next w:val="CommentText"/>
    <w:link w:val="CommentSubjectChar"/>
    <w:uiPriority w:val="99"/>
    <w:semiHidden/>
    <w:unhideWhenUsed/>
    <w:rsid w:val="00B85E78"/>
    <w:rPr>
      <w:b/>
      <w:bCs/>
    </w:rPr>
  </w:style>
  <w:style w:type="character" w:customStyle="1" w:styleId="CommentSubjectChar">
    <w:name w:val="Comment Subject Char"/>
    <w:basedOn w:val="CommentTextChar"/>
    <w:link w:val="CommentSubject"/>
    <w:uiPriority w:val="99"/>
    <w:semiHidden/>
    <w:rsid w:val="00B85E78"/>
    <w:rPr>
      <w:b/>
      <w:bCs/>
      <w:sz w:val="20"/>
      <w:szCs w:val="20"/>
    </w:rPr>
  </w:style>
  <w:style w:type="paragraph" w:styleId="BalloonText">
    <w:name w:val="Balloon Text"/>
    <w:basedOn w:val="Normal"/>
    <w:link w:val="BalloonTextChar"/>
    <w:uiPriority w:val="99"/>
    <w:semiHidden/>
    <w:unhideWhenUsed/>
    <w:rsid w:val="00B85E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5E78"/>
    <w:rPr>
      <w:rFonts w:ascii="Segoe UI" w:hAnsi="Segoe UI" w:cs="Segoe UI"/>
      <w:sz w:val="18"/>
      <w:szCs w:val="18"/>
    </w:rPr>
  </w:style>
  <w:style w:type="table" w:styleId="TableGrid">
    <w:name w:val="Table Grid"/>
    <w:basedOn w:val="TableNormal"/>
    <w:uiPriority w:val="39"/>
    <w:rsid w:val="004C6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835B9A"/>
  </w:style>
  <w:style w:type="character" w:customStyle="1" w:styleId="a-size-large">
    <w:name w:val="a-size-large"/>
    <w:basedOn w:val="DefaultParagraphFont"/>
    <w:rsid w:val="00056236"/>
  </w:style>
  <w:style w:type="paragraph" w:styleId="Revision">
    <w:name w:val="Revision"/>
    <w:hidden/>
    <w:uiPriority w:val="99"/>
    <w:semiHidden/>
    <w:rsid w:val="00B664C8"/>
    <w:pPr>
      <w:spacing w:after="0" w:line="240" w:lineRule="auto"/>
    </w:pPr>
    <w:rPr>
      <w:sz w:val="24"/>
    </w:rPr>
  </w:style>
  <w:style w:type="character" w:customStyle="1" w:styleId="hlfld-title">
    <w:name w:val="hlfld-title"/>
    <w:basedOn w:val="DefaultParagraphFont"/>
    <w:rsid w:val="004333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32615">
      <w:bodyDiv w:val="1"/>
      <w:marLeft w:val="0"/>
      <w:marRight w:val="0"/>
      <w:marTop w:val="0"/>
      <w:marBottom w:val="0"/>
      <w:divBdr>
        <w:top w:val="none" w:sz="0" w:space="0" w:color="auto"/>
        <w:left w:val="none" w:sz="0" w:space="0" w:color="auto"/>
        <w:bottom w:val="none" w:sz="0" w:space="0" w:color="auto"/>
        <w:right w:val="none" w:sz="0" w:space="0" w:color="auto"/>
      </w:divBdr>
      <w:divsChild>
        <w:div w:id="1962421555">
          <w:marLeft w:val="0"/>
          <w:marRight w:val="0"/>
          <w:marTop w:val="0"/>
          <w:marBottom w:val="0"/>
          <w:divBdr>
            <w:top w:val="none" w:sz="0" w:space="0" w:color="auto"/>
            <w:left w:val="none" w:sz="0" w:space="0" w:color="auto"/>
            <w:bottom w:val="none" w:sz="0" w:space="0" w:color="auto"/>
            <w:right w:val="none" w:sz="0" w:space="0" w:color="auto"/>
          </w:divBdr>
        </w:div>
      </w:divsChild>
    </w:div>
    <w:div w:id="121772721">
      <w:bodyDiv w:val="1"/>
      <w:marLeft w:val="0"/>
      <w:marRight w:val="0"/>
      <w:marTop w:val="0"/>
      <w:marBottom w:val="0"/>
      <w:divBdr>
        <w:top w:val="none" w:sz="0" w:space="0" w:color="auto"/>
        <w:left w:val="none" w:sz="0" w:space="0" w:color="auto"/>
        <w:bottom w:val="none" w:sz="0" w:space="0" w:color="auto"/>
        <w:right w:val="none" w:sz="0" w:space="0" w:color="auto"/>
      </w:divBdr>
    </w:div>
    <w:div w:id="368577599">
      <w:bodyDiv w:val="1"/>
      <w:marLeft w:val="0"/>
      <w:marRight w:val="0"/>
      <w:marTop w:val="0"/>
      <w:marBottom w:val="0"/>
      <w:divBdr>
        <w:top w:val="none" w:sz="0" w:space="0" w:color="auto"/>
        <w:left w:val="none" w:sz="0" w:space="0" w:color="auto"/>
        <w:bottom w:val="none" w:sz="0" w:space="0" w:color="auto"/>
        <w:right w:val="none" w:sz="0" w:space="0" w:color="auto"/>
      </w:divBdr>
      <w:divsChild>
        <w:div w:id="668338134">
          <w:marLeft w:val="0"/>
          <w:marRight w:val="0"/>
          <w:marTop w:val="0"/>
          <w:marBottom w:val="0"/>
          <w:divBdr>
            <w:top w:val="none" w:sz="0" w:space="0" w:color="auto"/>
            <w:left w:val="none" w:sz="0" w:space="0" w:color="auto"/>
            <w:bottom w:val="none" w:sz="0" w:space="0" w:color="auto"/>
            <w:right w:val="none" w:sz="0" w:space="0" w:color="auto"/>
          </w:divBdr>
        </w:div>
      </w:divsChild>
    </w:div>
    <w:div w:id="369231245">
      <w:bodyDiv w:val="1"/>
      <w:marLeft w:val="0"/>
      <w:marRight w:val="0"/>
      <w:marTop w:val="0"/>
      <w:marBottom w:val="0"/>
      <w:divBdr>
        <w:top w:val="none" w:sz="0" w:space="0" w:color="auto"/>
        <w:left w:val="none" w:sz="0" w:space="0" w:color="auto"/>
        <w:bottom w:val="none" w:sz="0" w:space="0" w:color="auto"/>
        <w:right w:val="none" w:sz="0" w:space="0" w:color="auto"/>
      </w:divBdr>
      <w:divsChild>
        <w:div w:id="220026526">
          <w:marLeft w:val="0"/>
          <w:marRight w:val="0"/>
          <w:marTop w:val="0"/>
          <w:marBottom w:val="0"/>
          <w:divBdr>
            <w:top w:val="none" w:sz="0" w:space="0" w:color="auto"/>
            <w:left w:val="none" w:sz="0" w:space="0" w:color="auto"/>
            <w:bottom w:val="none" w:sz="0" w:space="0" w:color="auto"/>
            <w:right w:val="none" w:sz="0" w:space="0" w:color="auto"/>
          </w:divBdr>
        </w:div>
      </w:divsChild>
    </w:div>
    <w:div w:id="595752810">
      <w:bodyDiv w:val="1"/>
      <w:marLeft w:val="0"/>
      <w:marRight w:val="0"/>
      <w:marTop w:val="0"/>
      <w:marBottom w:val="0"/>
      <w:divBdr>
        <w:top w:val="none" w:sz="0" w:space="0" w:color="auto"/>
        <w:left w:val="none" w:sz="0" w:space="0" w:color="auto"/>
        <w:bottom w:val="none" w:sz="0" w:space="0" w:color="auto"/>
        <w:right w:val="none" w:sz="0" w:space="0" w:color="auto"/>
      </w:divBdr>
      <w:divsChild>
        <w:div w:id="630985513">
          <w:marLeft w:val="0"/>
          <w:marRight w:val="0"/>
          <w:marTop w:val="0"/>
          <w:marBottom w:val="0"/>
          <w:divBdr>
            <w:top w:val="none" w:sz="0" w:space="0" w:color="auto"/>
            <w:left w:val="none" w:sz="0" w:space="0" w:color="auto"/>
            <w:bottom w:val="none" w:sz="0" w:space="0" w:color="auto"/>
            <w:right w:val="none" w:sz="0" w:space="0" w:color="auto"/>
          </w:divBdr>
        </w:div>
      </w:divsChild>
    </w:div>
    <w:div w:id="663628703">
      <w:bodyDiv w:val="1"/>
      <w:marLeft w:val="0"/>
      <w:marRight w:val="0"/>
      <w:marTop w:val="0"/>
      <w:marBottom w:val="0"/>
      <w:divBdr>
        <w:top w:val="none" w:sz="0" w:space="0" w:color="auto"/>
        <w:left w:val="none" w:sz="0" w:space="0" w:color="auto"/>
        <w:bottom w:val="none" w:sz="0" w:space="0" w:color="auto"/>
        <w:right w:val="none" w:sz="0" w:space="0" w:color="auto"/>
      </w:divBdr>
      <w:divsChild>
        <w:div w:id="218327108">
          <w:marLeft w:val="0"/>
          <w:marRight w:val="0"/>
          <w:marTop w:val="0"/>
          <w:marBottom w:val="0"/>
          <w:divBdr>
            <w:top w:val="none" w:sz="0" w:space="0" w:color="auto"/>
            <w:left w:val="none" w:sz="0" w:space="0" w:color="auto"/>
            <w:bottom w:val="none" w:sz="0" w:space="0" w:color="auto"/>
            <w:right w:val="none" w:sz="0" w:space="0" w:color="auto"/>
          </w:divBdr>
        </w:div>
      </w:divsChild>
    </w:div>
    <w:div w:id="701906925">
      <w:bodyDiv w:val="1"/>
      <w:marLeft w:val="0"/>
      <w:marRight w:val="0"/>
      <w:marTop w:val="0"/>
      <w:marBottom w:val="0"/>
      <w:divBdr>
        <w:top w:val="none" w:sz="0" w:space="0" w:color="auto"/>
        <w:left w:val="none" w:sz="0" w:space="0" w:color="auto"/>
        <w:bottom w:val="none" w:sz="0" w:space="0" w:color="auto"/>
        <w:right w:val="none" w:sz="0" w:space="0" w:color="auto"/>
      </w:divBdr>
      <w:divsChild>
        <w:div w:id="727144175">
          <w:marLeft w:val="0"/>
          <w:marRight w:val="0"/>
          <w:marTop w:val="0"/>
          <w:marBottom w:val="0"/>
          <w:divBdr>
            <w:top w:val="none" w:sz="0" w:space="0" w:color="auto"/>
            <w:left w:val="none" w:sz="0" w:space="0" w:color="auto"/>
            <w:bottom w:val="none" w:sz="0" w:space="0" w:color="auto"/>
            <w:right w:val="none" w:sz="0" w:space="0" w:color="auto"/>
          </w:divBdr>
        </w:div>
      </w:divsChild>
    </w:div>
    <w:div w:id="791482228">
      <w:bodyDiv w:val="1"/>
      <w:marLeft w:val="0"/>
      <w:marRight w:val="0"/>
      <w:marTop w:val="0"/>
      <w:marBottom w:val="0"/>
      <w:divBdr>
        <w:top w:val="none" w:sz="0" w:space="0" w:color="auto"/>
        <w:left w:val="none" w:sz="0" w:space="0" w:color="auto"/>
        <w:bottom w:val="none" w:sz="0" w:space="0" w:color="auto"/>
        <w:right w:val="none" w:sz="0" w:space="0" w:color="auto"/>
      </w:divBdr>
      <w:divsChild>
        <w:div w:id="1013414428">
          <w:marLeft w:val="0"/>
          <w:marRight w:val="0"/>
          <w:marTop w:val="0"/>
          <w:marBottom w:val="0"/>
          <w:divBdr>
            <w:top w:val="none" w:sz="0" w:space="0" w:color="auto"/>
            <w:left w:val="none" w:sz="0" w:space="0" w:color="auto"/>
            <w:bottom w:val="none" w:sz="0" w:space="0" w:color="auto"/>
            <w:right w:val="none" w:sz="0" w:space="0" w:color="auto"/>
          </w:divBdr>
        </w:div>
      </w:divsChild>
    </w:div>
    <w:div w:id="826748877">
      <w:bodyDiv w:val="1"/>
      <w:marLeft w:val="0"/>
      <w:marRight w:val="0"/>
      <w:marTop w:val="0"/>
      <w:marBottom w:val="0"/>
      <w:divBdr>
        <w:top w:val="none" w:sz="0" w:space="0" w:color="auto"/>
        <w:left w:val="none" w:sz="0" w:space="0" w:color="auto"/>
        <w:bottom w:val="none" w:sz="0" w:space="0" w:color="auto"/>
        <w:right w:val="none" w:sz="0" w:space="0" w:color="auto"/>
      </w:divBdr>
      <w:divsChild>
        <w:div w:id="1114636643">
          <w:marLeft w:val="0"/>
          <w:marRight w:val="0"/>
          <w:marTop w:val="0"/>
          <w:marBottom w:val="0"/>
          <w:divBdr>
            <w:top w:val="none" w:sz="0" w:space="0" w:color="auto"/>
            <w:left w:val="none" w:sz="0" w:space="0" w:color="auto"/>
            <w:bottom w:val="none" w:sz="0" w:space="0" w:color="auto"/>
            <w:right w:val="none" w:sz="0" w:space="0" w:color="auto"/>
          </w:divBdr>
        </w:div>
      </w:divsChild>
    </w:div>
    <w:div w:id="872963521">
      <w:bodyDiv w:val="1"/>
      <w:marLeft w:val="0"/>
      <w:marRight w:val="0"/>
      <w:marTop w:val="0"/>
      <w:marBottom w:val="0"/>
      <w:divBdr>
        <w:top w:val="none" w:sz="0" w:space="0" w:color="auto"/>
        <w:left w:val="none" w:sz="0" w:space="0" w:color="auto"/>
        <w:bottom w:val="none" w:sz="0" w:space="0" w:color="auto"/>
        <w:right w:val="none" w:sz="0" w:space="0" w:color="auto"/>
      </w:divBdr>
      <w:divsChild>
        <w:div w:id="1346978205">
          <w:marLeft w:val="0"/>
          <w:marRight w:val="0"/>
          <w:marTop w:val="0"/>
          <w:marBottom w:val="0"/>
          <w:divBdr>
            <w:top w:val="none" w:sz="0" w:space="0" w:color="auto"/>
            <w:left w:val="none" w:sz="0" w:space="0" w:color="auto"/>
            <w:bottom w:val="none" w:sz="0" w:space="0" w:color="auto"/>
            <w:right w:val="none" w:sz="0" w:space="0" w:color="auto"/>
          </w:divBdr>
        </w:div>
      </w:divsChild>
    </w:div>
    <w:div w:id="980766569">
      <w:bodyDiv w:val="1"/>
      <w:marLeft w:val="0"/>
      <w:marRight w:val="0"/>
      <w:marTop w:val="0"/>
      <w:marBottom w:val="0"/>
      <w:divBdr>
        <w:top w:val="none" w:sz="0" w:space="0" w:color="auto"/>
        <w:left w:val="none" w:sz="0" w:space="0" w:color="auto"/>
        <w:bottom w:val="none" w:sz="0" w:space="0" w:color="auto"/>
        <w:right w:val="none" w:sz="0" w:space="0" w:color="auto"/>
      </w:divBdr>
    </w:div>
    <w:div w:id="987199927">
      <w:bodyDiv w:val="1"/>
      <w:marLeft w:val="0"/>
      <w:marRight w:val="0"/>
      <w:marTop w:val="0"/>
      <w:marBottom w:val="0"/>
      <w:divBdr>
        <w:top w:val="none" w:sz="0" w:space="0" w:color="auto"/>
        <w:left w:val="none" w:sz="0" w:space="0" w:color="auto"/>
        <w:bottom w:val="none" w:sz="0" w:space="0" w:color="auto"/>
        <w:right w:val="none" w:sz="0" w:space="0" w:color="auto"/>
      </w:divBdr>
      <w:divsChild>
        <w:div w:id="699165865">
          <w:marLeft w:val="0"/>
          <w:marRight w:val="0"/>
          <w:marTop w:val="0"/>
          <w:marBottom w:val="0"/>
          <w:divBdr>
            <w:top w:val="none" w:sz="0" w:space="0" w:color="auto"/>
            <w:left w:val="none" w:sz="0" w:space="0" w:color="auto"/>
            <w:bottom w:val="none" w:sz="0" w:space="0" w:color="auto"/>
            <w:right w:val="none" w:sz="0" w:space="0" w:color="auto"/>
          </w:divBdr>
        </w:div>
      </w:divsChild>
    </w:div>
    <w:div w:id="1052730404">
      <w:bodyDiv w:val="1"/>
      <w:marLeft w:val="0"/>
      <w:marRight w:val="0"/>
      <w:marTop w:val="0"/>
      <w:marBottom w:val="0"/>
      <w:divBdr>
        <w:top w:val="none" w:sz="0" w:space="0" w:color="auto"/>
        <w:left w:val="none" w:sz="0" w:space="0" w:color="auto"/>
        <w:bottom w:val="none" w:sz="0" w:space="0" w:color="auto"/>
        <w:right w:val="none" w:sz="0" w:space="0" w:color="auto"/>
      </w:divBdr>
      <w:divsChild>
        <w:div w:id="359981">
          <w:marLeft w:val="0"/>
          <w:marRight w:val="0"/>
          <w:marTop w:val="0"/>
          <w:marBottom w:val="0"/>
          <w:divBdr>
            <w:top w:val="none" w:sz="0" w:space="0" w:color="auto"/>
            <w:left w:val="none" w:sz="0" w:space="0" w:color="auto"/>
            <w:bottom w:val="none" w:sz="0" w:space="0" w:color="auto"/>
            <w:right w:val="none" w:sz="0" w:space="0" w:color="auto"/>
          </w:divBdr>
        </w:div>
      </w:divsChild>
    </w:div>
    <w:div w:id="1354769662">
      <w:bodyDiv w:val="1"/>
      <w:marLeft w:val="0"/>
      <w:marRight w:val="0"/>
      <w:marTop w:val="0"/>
      <w:marBottom w:val="0"/>
      <w:divBdr>
        <w:top w:val="none" w:sz="0" w:space="0" w:color="auto"/>
        <w:left w:val="none" w:sz="0" w:space="0" w:color="auto"/>
        <w:bottom w:val="none" w:sz="0" w:space="0" w:color="auto"/>
        <w:right w:val="none" w:sz="0" w:space="0" w:color="auto"/>
      </w:divBdr>
    </w:div>
    <w:div w:id="1360207756">
      <w:bodyDiv w:val="1"/>
      <w:marLeft w:val="0"/>
      <w:marRight w:val="0"/>
      <w:marTop w:val="0"/>
      <w:marBottom w:val="0"/>
      <w:divBdr>
        <w:top w:val="none" w:sz="0" w:space="0" w:color="auto"/>
        <w:left w:val="none" w:sz="0" w:space="0" w:color="auto"/>
        <w:bottom w:val="none" w:sz="0" w:space="0" w:color="auto"/>
        <w:right w:val="none" w:sz="0" w:space="0" w:color="auto"/>
      </w:divBdr>
      <w:divsChild>
        <w:div w:id="310837674">
          <w:marLeft w:val="0"/>
          <w:marRight w:val="0"/>
          <w:marTop w:val="0"/>
          <w:marBottom w:val="0"/>
          <w:divBdr>
            <w:top w:val="none" w:sz="0" w:space="0" w:color="auto"/>
            <w:left w:val="none" w:sz="0" w:space="0" w:color="auto"/>
            <w:bottom w:val="none" w:sz="0" w:space="0" w:color="auto"/>
            <w:right w:val="none" w:sz="0" w:space="0" w:color="auto"/>
          </w:divBdr>
        </w:div>
      </w:divsChild>
    </w:div>
    <w:div w:id="1378820839">
      <w:bodyDiv w:val="1"/>
      <w:marLeft w:val="0"/>
      <w:marRight w:val="0"/>
      <w:marTop w:val="0"/>
      <w:marBottom w:val="0"/>
      <w:divBdr>
        <w:top w:val="none" w:sz="0" w:space="0" w:color="auto"/>
        <w:left w:val="none" w:sz="0" w:space="0" w:color="auto"/>
        <w:bottom w:val="none" w:sz="0" w:space="0" w:color="auto"/>
        <w:right w:val="none" w:sz="0" w:space="0" w:color="auto"/>
      </w:divBdr>
      <w:divsChild>
        <w:div w:id="113790263">
          <w:marLeft w:val="0"/>
          <w:marRight w:val="0"/>
          <w:marTop w:val="0"/>
          <w:marBottom w:val="0"/>
          <w:divBdr>
            <w:top w:val="none" w:sz="0" w:space="0" w:color="auto"/>
            <w:left w:val="none" w:sz="0" w:space="0" w:color="auto"/>
            <w:bottom w:val="none" w:sz="0" w:space="0" w:color="auto"/>
            <w:right w:val="none" w:sz="0" w:space="0" w:color="auto"/>
          </w:divBdr>
        </w:div>
      </w:divsChild>
    </w:div>
    <w:div w:id="1413553210">
      <w:bodyDiv w:val="1"/>
      <w:marLeft w:val="0"/>
      <w:marRight w:val="0"/>
      <w:marTop w:val="0"/>
      <w:marBottom w:val="0"/>
      <w:divBdr>
        <w:top w:val="none" w:sz="0" w:space="0" w:color="auto"/>
        <w:left w:val="none" w:sz="0" w:space="0" w:color="auto"/>
        <w:bottom w:val="none" w:sz="0" w:space="0" w:color="auto"/>
        <w:right w:val="none" w:sz="0" w:space="0" w:color="auto"/>
      </w:divBdr>
      <w:divsChild>
        <w:div w:id="1295675218">
          <w:marLeft w:val="0"/>
          <w:marRight w:val="0"/>
          <w:marTop w:val="0"/>
          <w:marBottom w:val="0"/>
          <w:divBdr>
            <w:top w:val="none" w:sz="0" w:space="0" w:color="auto"/>
            <w:left w:val="none" w:sz="0" w:space="0" w:color="auto"/>
            <w:bottom w:val="none" w:sz="0" w:space="0" w:color="auto"/>
            <w:right w:val="none" w:sz="0" w:space="0" w:color="auto"/>
          </w:divBdr>
        </w:div>
      </w:divsChild>
    </w:div>
    <w:div w:id="1517422911">
      <w:bodyDiv w:val="1"/>
      <w:marLeft w:val="0"/>
      <w:marRight w:val="0"/>
      <w:marTop w:val="0"/>
      <w:marBottom w:val="0"/>
      <w:divBdr>
        <w:top w:val="none" w:sz="0" w:space="0" w:color="auto"/>
        <w:left w:val="none" w:sz="0" w:space="0" w:color="auto"/>
        <w:bottom w:val="none" w:sz="0" w:space="0" w:color="auto"/>
        <w:right w:val="none" w:sz="0" w:space="0" w:color="auto"/>
      </w:divBdr>
    </w:div>
    <w:div w:id="1745449811">
      <w:bodyDiv w:val="1"/>
      <w:marLeft w:val="0"/>
      <w:marRight w:val="0"/>
      <w:marTop w:val="0"/>
      <w:marBottom w:val="0"/>
      <w:divBdr>
        <w:top w:val="none" w:sz="0" w:space="0" w:color="auto"/>
        <w:left w:val="none" w:sz="0" w:space="0" w:color="auto"/>
        <w:bottom w:val="none" w:sz="0" w:space="0" w:color="auto"/>
        <w:right w:val="none" w:sz="0" w:space="0" w:color="auto"/>
      </w:divBdr>
      <w:divsChild>
        <w:div w:id="209614802">
          <w:marLeft w:val="0"/>
          <w:marRight w:val="0"/>
          <w:marTop w:val="0"/>
          <w:marBottom w:val="0"/>
          <w:divBdr>
            <w:top w:val="none" w:sz="0" w:space="0" w:color="auto"/>
            <w:left w:val="none" w:sz="0" w:space="0" w:color="auto"/>
            <w:bottom w:val="none" w:sz="0" w:space="0" w:color="auto"/>
            <w:right w:val="none" w:sz="0" w:space="0" w:color="auto"/>
          </w:divBdr>
        </w:div>
      </w:divsChild>
    </w:div>
    <w:div w:id="1765691212">
      <w:bodyDiv w:val="1"/>
      <w:marLeft w:val="0"/>
      <w:marRight w:val="0"/>
      <w:marTop w:val="0"/>
      <w:marBottom w:val="0"/>
      <w:divBdr>
        <w:top w:val="none" w:sz="0" w:space="0" w:color="auto"/>
        <w:left w:val="none" w:sz="0" w:space="0" w:color="auto"/>
        <w:bottom w:val="none" w:sz="0" w:space="0" w:color="auto"/>
        <w:right w:val="none" w:sz="0" w:space="0" w:color="auto"/>
      </w:divBdr>
      <w:divsChild>
        <w:div w:id="1699770625">
          <w:marLeft w:val="0"/>
          <w:marRight w:val="0"/>
          <w:marTop w:val="0"/>
          <w:marBottom w:val="0"/>
          <w:divBdr>
            <w:top w:val="none" w:sz="0" w:space="0" w:color="auto"/>
            <w:left w:val="none" w:sz="0" w:space="0" w:color="auto"/>
            <w:bottom w:val="none" w:sz="0" w:space="0" w:color="auto"/>
            <w:right w:val="none" w:sz="0" w:space="0" w:color="auto"/>
          </w:divBdr>
        </w:div>
      </w:divsChild>
    </w:div>
    <w:div w:id="1822425749">
      <w:bodyDiv w:val="1"/>
      <w:marLeft w:val="0"/>
      <w:marRight w:val="0"/>
      <w:marTop w:val="0"/>
      <w:marBottom w:val="0"/>
      <w:divBdr>
        <w:top w:val="none" w:sz="0" w:space="0" w:color="auto"/>
        <w:left w:val="none" w:sz="0" w:space="0" w:color="auto"/>
        <w:bottom w:val="none" w:sz="0" w:space="0" w:color="auto"/>
        <w:right w:val="none" w:sz="0" w:space="0" w:color="auto"/>
      </w:divBdr>
      <w:divsChild>
        <w:div w:id="143546811">
          <w:marLeft w:val="0"/>
          <w:marRight w:val="0"/>
          <w:marTop w:val="0"/>
          <w:marBottom w:val="0"/>
          <w:divBdr>
            <w:top w:val="none" w:sz="0" w:space="0" w:color="auto"/>
            <w:left w:val="none" w:sz="0" w:space="0" w:color="auto"/>
            <w:bottom w:val="none" w:sz="0" w:space="0" w:color="auto"/>
            <w:right w:val="none" w:sz="0" w:space="0" w:color="auto"/>
          </w:divBdr>
        </w:div>
      </w:divsChild>
    </w:div>
    <w:div w:id="1856963319">
      <w:bodyDiv w:val="1"/>
      <w:marLeft w:val="0"/>
      <w:marRight w:val="0"/>
      <w:marTop w:val="0"/>
      <w:marBottom w:val="0"/>
      <w:divBdr>
        <w:top w:val="none" w:sz="0" w:space="0" w:color="auto"/>
        <w:left w:val="none" w:sz="0" w:space="0" w:color="auto"/>
        <w:bottom w:val="none" w:sz="0" w:space="0" w:color="auto"/>
        <w:right w:val="none" w:sz="0" w:space="0" w:color="auto"/>
      </w:divBdr>
      <w:divsChild>
        <w:div w:id="491484798">
          <w:marLeft w:val="0"/>
          <w:marRight w:val="0"/>
          <w:marTop w:val="0"/>
          <w:marBottom w:val="0"/>
          <w:divBdr>
            <w:top w:val="none" w:sz="0" w:space="0" w:color="auto"/>
            <w:left w:val="none" w:sz="0" w:space="0" w:color="auto"/>
            <w:bottom w:val="none" w:sz="0" w:space="0" w:color="auto"/>
            <w:right w:val="none" w:sz="0" w:space="0" w:color="auto"/>
          </w:divBdr>
        </w:div>
      </w:divsChild>
    </w:div>
    <w:div w:id="1990086232">
      <w:bodyDiv w:val="1"/>
      <w:marLeft w:val="0"/>
      <w:marRight w:val="0"/>
      <w:marTop w:val="0"/>
      <w:marBottom w:val="0"/>
      <w:divBdr>
        <w:top w:val="none" w:sz="0" w:space="0" w:color="auto"/>
        <w:left w:val="none" w:sz="0" w:space="0" w:color="auto"/>
        <w:bottom w:val="none" w:sz="0" w:space="0" w:color="auto"/>
        <w:right w:val="none" w:sz="0" w:space="0" w:color="auto"/>
      </w:divBdr>
      <w:divsChild>
        <w:div w:id="2021930581">
          <w:marLeft w:val="0"/>
          <w:marRight w:val="0"/>
          <w:marTop w:val="0"/>
          <w:marBottom w:val="0"/>
          <w:divBdr>
            <w:top w:val="none" w:sz="0" w:space="0" w:color="auto"/>
            <w:left w:val="none" w:sz="0" w:space="0" w:color="auto"/>
            <w:bottom w:val="none" w:sz="0" w:space="0" w:color="auto"/>
            <w:right w:val="none" w:sz="0" w:space="0" w:color="auto"/>
          </w:divBdr>
        </w:div>
      </w:divsChild>
    </w:div>
    <w:div w:id="20052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hart" Target="charts/chart4.xml"/><Relationship Id="rId18" Type="http://schemas.openxmlformats.org/officeDocument/2006/relationships/image" Target="media/image1.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2.xml"/><Relationship Id="rId10" Type="http://schemas.openxmlformats.org/officeDocument/2006/relationships/chart" Target="charts/chart1.xml"/><Relationship Id="rId19"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header" Target="header2.xml"/><Relationship Id="rId27" Type="http://schemas.microsoft.com/office/2016/09/relationships/commentsIds" Target="commentsIds.xml"/></Relationships>
</file>

<file path=word/charts/_rels/chart1.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D:\Ali\Aqeel%20Finance%20Part%20A.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Profitability Ratios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strRef>
              <c:f>Ratios!$A$9</c:f>
              <c:strCache>
                <c:ptCount val="1"/>
                <c:pt idx="0">
                  <c:v>Operating Profit margin</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Ratios!$D$3:$G$3</c:f>
              <c:numCache>
                <c:formatCode>General</c:formatCode>
                <c:ptCount val="4"/>
                <c:pt idx="0">
                  <c:v>2015</c:v>
                </c:pt>
                <c:pt idx="1">
                  <c:v>2016</c:v>
                </c:pt>
                <c:pt idx="2">
                  <c:v>2017</c:v>
                </c:pt>
                <c:pt idx="3">
                  <c:v>2018</c:v>
                </c:pt>
              </c:numCache>
            </c:numRef>
          </c:cat>
          <c:val>
            <c:numRef>
              <c:f>Ratios!$D$9:$G$9</c:f>
              <c:numCache>
                <c:formatCode>_(* #,##0.00_);_(* \(#,##0.00\);_(* "-"??_);_(@_)</c:formatCode>
                <c:ptCount val="4"/>
                <c:pt idx="0">
                  <c:v>19.423783493144548</c:v>
                </c:pt>
                <c:pt idx="1">
                  <c:v>-20.170160455486545</c:v>
                </c:pt>
                <c:pt idx="2">
                  <c:v>30.698707065430327</c:v>
                </c:pt>
                <c:pt idx="3">
                  <c:v>36.656125395297678</c:v>
                </c:pt>
              </c:numCache>
            </c:numRef>
          </c:val>
          <c:smooth val="0"/>
        </c:ser>
        <c:ser>
          <c:idx val="0"/>
          <c:order val="1"/>
          <c:tx>
            <c:strRef>
              <c:f>Ratios!$A$13</c:f>
              <c:strCache>
                <c:ptCount val="1"/>
                <c:pt idx="0">
                  <c:v>Net Profit margin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Ratios!$D$13:$G$13</c:f>
              <c:numCache>
                <c:formatCode>_(* #,##0.00_);_(* \(#,##0.00\);_(* "-"??_);_(@_)</c:formatCode>
                <c:ptCount val="4"/>
                <c:pt idx="0">
                  <c:v>9.835110672999372</c:v>
                </c:pt>
                <c:pt idx="1">
                  <c:v>-20.079580745341616</c:v>
                </c:pt>
                <c:pt idx="2">
                  <c:v>16.25179574245788</c:v>
                </c:pt>
                <c:pt idx="3">
                  <c:v>17.746001191621978</c:v>
                </c:pt>
              </c:numCache>
            </c:numRef>
          </c:val>
          <c:smooth val="0"/>
        </c:ser>
        <c:ser>
          <c:idx val="1"/>
          <c:order val="2"/>
          <c:tx>
            <c:strRef>
              <c:f>Ratios!$A$18</c:f>
              <c:strCache>
                <c:ptCount val="1"/>
                <c:pt idx="0">
                  <c:v>Return On Capital Employeed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Ratios!$D$3:$G$3</c:f>
              <c:numCache>
                <c:formatCode>General</c:formatCode>
                <c:ptCount val="4"/>
                <c:pt idx="0">
                  <c:v>2015</c:v>
                </c:pt>
                <c:pt idx="1">
                  <c:v>2016</c:v>
                </c:pt>
                <c:pt idx="2">
                  <c:v>2017</c:v>
                </c:pt>
                <c:pt idx="3">
                  <c:v>2018</c:v>
                </c:pt>
              </c:numCache>
            </c:numRef>
          </c:cat>
          <c:val>
            <c:numRef>
              <c:f>Ratios!$D$18:$G$18</c:f>
              <c:numCache>
                <c:formatCode>_(* #,##0.00_);_(* \(#,##0.00\);_(* "-"??_);_(@_)</c:formatCode>
                <c:ptCount val="4"/>
                <c:pt idx="0">
                  <c:v>3.9292203317013796</c:v>
                </c:pt>
                <c:pt idx="1">
                  <c:v>-5.8219916895688142</c:v>
                </c:pt>
                <c:pt idx="2">
                  <c:v>5.8898144642180998</c:v>
                </c:pt>
                <c:pt idx="3">
                  <c:v>7.9017182972123585</c:v>
                </c:pt>
              </c:numCache>
            </c:numRef>
          </c:val>
          <c:smooth val="0"/>
        </c:ser>
        <c:dLbls>
          <c:showLegendKey val="0"/>
          <c:showVal val="0"/>
          <c:showCatName val="0"/>
          <c:showSerName val="0"/>
          <c:showPercent val="0"/>
          <c:showBubbleSize val="0"/>
        </c:dLbls>
        <c:marker val="1"/>
        <c:smooth val="0"/>
        <c:axId val="-1184022896"/>
        <c:axId val="-1184012016"/>
      </c:lineChart>
      <c:catAx>
        <c:axId val="-11840228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2016"/>
        <c:crosses val="autoZero"/>
        <c:auto val="1"/>
        <c:lblAlgn val="ctr"/>
        <c:lblOffset val="100"/>
        <c:noMultiLvlLbl val="0"/>
      </c:catAx>
      <c:valAx>
        <c:axId val="-118401201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2289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a:t>
            </a:r>
            <a:r>
              <a:rPr lang="en-GB" baseline="0"/>
              <a:t> Ratios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v>Current Ratio</c:v>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Ratios!$D$3:$G$3</c:f>
              <c:numCache>
                <c:formatCode>General</c:formatCode>
                <c:ptCount val="4"/>
                <c:pt idx="0">
                  <c:v>2015</c:v>
                </c:pt>
                <c:pt idx="1">
                  <c:v>2016</c:v>
                </c:pt>
                <c:pt idx="2">
                  <c:v>2017</c:v>
                </c:pt>
                <c:pt idx="3">
                  <c:v>2018</c:v>
                </c:pt>
              </c:numCache>
            </c:numRef>
          </c:cat>
          <c:val>
            <c:numRef>
              <c:f>Ratios!$D$24:$G$24</c:f>
              <c:numCache>
                <c:formatCode>_(* #,##0.00_);_(* \(#,##0.00\);_(* "-"??_);_(@_)</c:formatCode>
                <c:ptCount val="4"/>
                <c:pt idx="0">
                  <c:v>1.2735548121061231</c:v>
                </c:pt>
                <c:pt idx="1">
                  <c:v>1.4354943273905996</c:v>
                </c:pt>
                <c:pt idx="2">
                  <c:v>1.8525426711244062</c:v>
                </c:pt>
                <c:pt idx="3">
                  <c:v>2.5112588462363283</c:v>
                </c:pt>
              </c:numCache>
            </c:numRef>
          </c:val>
          <c:smooth val="0"/>
        </c:ser>
        <c:ser>
          <c:idx val="0"/>
          <c:order val="1"/>
          <c:tx>
            <c:strRef>
              <c:f>Ratios!$A$29</c:f>
              <c:strCache>
                <c:ptCount val="1"/>
                <c:pt idx="0">
                  <c:v>Quick Ratio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Ratios!$D$29:$G$29</c:f>
              <c:numCache>
                <c:formatCode>_(* #,##0.00_);_(* \(#,##0.00\);_(* "-"??_);_(@_)</c:formatCode>
                <c:ptCount val="4"/>
                <c:pt idx="0">
                  <c:v>0.93962499027464408</c:v>
                </c:pt>
                <c:pt idx="1">
                  <c:v>1.1590761750405187</c:v>
                </c:pt>
                <c:pt idx="2">
                  <c:v>1.529385887735351</c:v>
                </c:pt>
                <c:pt idx="3">
                  <c:v>2.2421902923725785</c:v>
                </c:pt>
              </c:numCache>
            </c:numRef>
          </c:val>
          <c:smooth val="0"/>
        </c:ser>
        <c:dLbls>
          <c:showLegendKey val="0"/>
          <c:showVal val="0"/>
          <c:showCatName val="0"/>
          <c:showSerName val="0"/>
          <c:showPercent val="0"/>
          <c:showBubbleSize val="0"/>
        </c:dLbls>
        <c:marker val="1"/>
        <c:smooth val="0"/>
        <c:axId val="-1184021264"/>
        <c:axId val="-1184022352"/>
      </c:lineChart>
      <c:catAx>
        <c:axId val="-11840212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22352"/>
        <c:crosses val="autoZero"/>
        <c:auto val="1"/>
        <c:lblAlgn val="ctr"/>
        <c:lblOffset val="100"/>
        <c:noMultiLvlLbl val="0"/>
      </c:catAx>
      <c:valAx>
        <c:axId val="-1184022352"/>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21264"/>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Total Asset Turnover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Ratios!$A$35</c:f>
              <c:strCache>
                <c:ptCount val="1"/>
                <c:pt idx="0">
                  <c:v>Total Asset Turnover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Ratios!$D$35:$G$35</c:f>
              <c:numCache>
                <c:formatCode>_(* #,##0.00_);_(* \(#,##0.00\);_(* "-"??_);_(@_)</c:formatCode>
                <c:ptCount val="4"/>
                <c:pt idx="0">
                  <c:v>0.35829186065179003</c:v>
                </c:pt>
                <c:pt idx="1">
                  <c:v>0.25986734256386979</c:v>
                </c:pt>
                <c:pt idx="2">
                  <c:v>0.32720544245594241</c:v>
                </c:pt>
                <c:pt idx="3">
                  <c:v>0.38964935308456777</c:v>
                </c:pt>
              </c:numCache>
            </c:numRef>
          </c:val>
          <c:smooth val="0"/>
        </c:ser>
        <c:dLbls>
          <c:showLegendKey val="0"/>
          <c:showVal val="0"/>
          <c:showCatName val="0"/>
          <c:showSerName val="0"/>
          <c:showPercent val="0"/>
          <c:showBubbleSize val="0"/>
        </c:dLbls>
        <c:marker val="1"/>
        <c:smooth val="0"/>
        <c:axId val="-1184016368"/>
        <c:axId val="-1184014736"/>
      </c:lineChart>
      <c:catAx>
        <c:axId val="-1184016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4736"/>
        <c:crosses val="autoZero"/>
        <c:auto val="1"/>
        <c:lblAlgn val="ctr"/>
        <c:lblOffset val="100"/>
        <c:noMultiLvlLbl val="0"/>
      </c:catAx>
      <c:valAx>
        <c:axId val="-1184014736"/>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636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Cash Conversion</a:t>
            </a:r>
            <a:r>
              <a:rPr lang="en-GB" baseline="0"/>
              <a:t> Cycle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Ratios!$A$50</c:f>
              <c:strCache>
                <c:ptCount val="1"/>
                <c:pt idx="0">
                  <c:v>Cash Conversion Cycle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Ratios!$D$50:$G$50</c:f>
              <c:numCache>
                <c:formatCode>_(* #,##0.00_);_(* \(#,##0.00\);_(* "-"??_);_(@_)</c:formatCode>
                <c:ptCount val="4"/>
                <c:pt idx="0">
                  <c:v>4.7906917315793436</c:v>
                </c:pt>
                <c:pt idx="1">
                  <c:v>16.908698793360074</c:v>
                </c:pt>
                <c:pt idx="2">
                  <c:v>2.1477650279707632</c:v>
                </c:pt>
                <c:pt idx="3">
                  <c:v>-2.9152141006974972</c:v>
                </c:pt>
              </c:numCache>
            </c:numRef>
          </c:val>
          <c:smooth val="0"/>
        </c:ser>
        <c:dLbls>
          <c:showLegendKey val="0"/>
          <c:showVal val="0"/>
          <c:showCatName val="0"/>
          <c:showSerName val="0"/>
          <c:showPercent val="0"/>
          <c:showBubbleSize val="0"/>
        </c:dLbls>
        <c:marker val="1"/>
        <c:smooth val="0"/>
        <c:axId val="-1184020176"/>
        <c:axId val="-1184014192"/>
      </c:lineChart>
      <c:catAx>
        <c:axId val="-118402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4192"/>
        <c:crosses val="autoZero"/>
        <c:auto val="1"/>
        <c:lblAlgn val="ctr"/>
        <c:lblOffset val="100"/>
        <c:noMultiLvlLbl val="0"/>
      </c:catAx>
      <c:valAx>
        <c:axId val="-1184014192"/>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20176"/>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Long-Term</a:t>
            </a:r>
            <a:r>
              <a:rPr lang="en-GB" baseline="0"/>
              <a:t> Debt / Equity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Ratios!$A$56</c:f>
              <c:strCache>
                <c:ptCount val="1"/>
                <c:pt idx="0">
                  <c:v>Long-term Debt/ Equity</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Ratios!$D$56:$G$56</c:f>
              <c:numCache>
                <c:formatCode>0%</c:formatCode>
                <c:ptCount val="4"/>
                <c:pt idx="0">
                  <c:v>0.58376922531717346</c:v>
                </c:pt>
                <c:pt idx="1">
                  <c:v>0.77478317324499346</c:v>
                </c:pt>
                <c:pt idx="2">
                  <c:v>0.6841501131907024</c:v>
                </c:pt>
                <c:pt idx="3">
                  <c:v>0.61536179330805996</c:v>
                </c:pt>
              </c:numCache>
            </c:numRef>
          </c:val>
          <c:smooth val="0"/>
        </c:ser>
        <c:dLbls>
          <c:showLegendKey val="0"/>
          <c:showVal val="0"/>
          <c:showCatName val="0"/>
          <c:showSerName val="0"/>
          <c:showPercent val="0"/>
          <c:showBubbleSize val="0"/>
        </c:dLbls>
        <c:marker val="1"/>
        <c:smooth val="0"/>
        <c:axId val="-1184011472"/>
        <c:axId val="-1184017456"/>
      </c:lineChart>
      <c:catAx>
        <c:axId val="-1184011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7456"/>
        <c:crosses val="autoZero"/>
        <c:auto val="1"/>
        <c:lblAlgn val="ctr"/>
        <c:lblOffset val="100"/>
        <c:noMultiLvlLbl val="0"/>
      </c:catAx>
      <c:valAx>
        <c:axId val="-118401745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14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Times Interest Earned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Ratios!$A$60</c:f>
              <c:strCache>
                <c:ptCount val="1"/>
                <c:pt idx="0">
                  <c:v>Interest Cover</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Ratios!$D$60:$G$60</c:f>
              <c:numCache>
                <c:formatCode>_(* #,##0.00_);_(* \(#,##0.00\);_(* "-"??_);_(@_)</c:formatCode>
                <c:ptCount val="4"/>
                <c:pt idx="0">
                  <c:v>12.350427350427351</c:v>
                </c:pt>
                <c:pt idx="1">
                  <c:v>-5.3703703703703702</c:v>
                </c:pt>
                <c:pt idx="2">
                  <c:v>7.466963151207116</c:v>
                </c:pt>
                <c:pt idx="3">
                  <c:v>10.208040842373963</c:v>
                </c:pt>
              </c:numCache>
            </c:numRef>
          </c:val>
          <c:smooth val="0"/>
        </c:ser>
        <c:dLbls>
          <c:showLegendKey val="0"/>
          <c:showVal val="0"/>
          <c:showCatName val="0"/>
          <c:showSerName val="0"/>
          <c:showPercent val="0"/>
          <c:showBubbleSize val="0"/>
        </c:dLbls>
        <c:marker val="1"/>
        <c:smooth val="0"/>
        <c:axId val="-1184016912"/>
        <c:axId val="-1184018544"/>
      </c:lineChart>
      <c:catAx>
        <c:axId val="-1184016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8544"/>
        <c:crosses val="autoZero"/>
        <c:auto val="1"/>
        <c:lblAlgn val="ctr"/>
        <c:lblOffset val="100"/>
        <c:noMultiLvlLbl val="0"/>
      </c:catAx>
      <c:valAx>
        <c:axId val="-118401854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691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Earnings per Share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Ratios!$A$63</c:f>
              <c:strCache>
                <c:ptCount val="1"/>
                <c:pt idx="0">
                  <c:v>Eps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Ratios!$D$63:$G$63</c:f>
              <c:numCache>
                <c:formatCode>_(* #,##0.00_);_(* \(#,##0.00\);_(* "-"??_);_(@_)</c:formatCode>
                <c:ptCount val="4"/>
                <c:pt idx="0">
                  <c:v>0.65500000000000003</c:v>
                </c:pt>
                <c:pt idx="1">
                  <c:v>-1.2</c:v>
                </c:pt>
                <c:pt idx="2">
                  <c:v>1.107</c:v>
                </c:pt>
                <c:pt idx="3">
                  <c:v>1.25</c:v>
                </c:pt>
              </c:numCache>
            </c:numRef>
          </c:val>
          <c:smooth val="0"/>
        </c:ser>
        <c:dLbls>
          <c:showLegendKey val="0"/>
          <c:showVal val="0"/>
          <c:showCatName val="0"/>
          <c:showSerName val="0"/>
          <c:showPercent val="0"/>
          <c:showBubbleSize val="0"/>
        </c:dLbls>
        <c:marker val="1"/>
        <c:smooth val="0"/>
        <c:axId val="-1184010928"/>
        <c:axId val="-1184010384"/>
      </c:lineChart>
      <c:catAx>
        <c:axId val="-1184010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0384"/>
        <c:crosses val="autoZero"/>
        <c:auto val="1"/>
        <c:lblAlgn val="ctr"/>
        <c:lblOffset val="100"/>
        <c:noMultiLvlLbl val="0"/>
      </c:catAx>
      <c:valAx>
        <c:axId val="-1184010384"/>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1092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Price to Earnings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Ratios!$A$67</c:f>
              <c:strCache>
                <c:ptCount val="1"/>
                <c:pt idx="0">
                  <c:v>Price / Earnings Ratio</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Ratios!$D$3:$G$3</c:f>
              <c:numCache>
                <c:formatCode>General</c:formatCode>
                <c:ptCount val="4"/>
                <c:pt idx="0">
                  <c:v>2015</c:v>
                </c:pt>
                <c:pt idx="1">
                  <c:v>2016</c:v>
                </c:pt>
                <c:pt idx="2">
                  <c:v>2017</c:v>
                </c:pt>
                <c:pt idx="3">
                  <c:v>2018</c:v>
                </c:pt>
              </c:numCache>
            </c:numRef>
          </c:cat>
          <c:val>
            <c:numRef>
              <c:f>Ratios!$D$67:$G$67</c:f>
              <c:numCache>
                <c:formatCode>_(* #,##0.00_);_(* \(#,##0.00\);_(* "-"??_);_(@_)</c:formatCode>
                <c:ptCount val="4"/>
                <c:pt idx="0">
                  <c:v>18.053435114503817</c:v>
                </c:pt>
                <c:pt idx="1">
                  <c:v>-7.8725001000000008</c:v>
                </c:pt>
                <c:pt idx="2">
                  <c:v>12.448057813911472</c:v>
                </c:pt>
                <c:pt idx="3">
                  <c:v>14.036799808000001</c:v>
                </c:pt>
              </c:numCache>
            </c:numRef>
          </c:val>
          <c:smooth val="0"/>
        </c:ser>
        <c:dLbls>
          <c:showLegendKey val="0"/>
          <c:showVal val="0"/>
          <c:showCatName val="0"/>
          <c:showSerName val="0"/>
          <c:showPercent val="0"/>
          <c:showBubbleSize val="0"/>
        </c:dLbls>
        <c:marker val="1"/>
        <c:smooth val="0"/>
        <c:axId val="-1184025072"/>
        <c:axId val="-1327454288"/>
      </c:lineChart>
      <c:catAx>
        <c:axId val="-1184025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27454288"/>
        <c:crosses val="autoZero"/>
        <c:auto val="1"/>
        <c:lblAlgn val="ctr"/>
        <c:lblOffset val="100"/>
        <c:noMultiLvlLbl val="0"/>
      </c:catAx>
      <c:valAx>
        <c:axId val="-1327454288"/>
        <c:scaling>
          <c:orientation val="minMax"/>
        </c:scaling>
        <c:delete val="0"/>
        <c:axPos val="l"/>
        <c:majorGridlines>
          <c:spPr>
            <a:ln w="9525" cap="flat" cmpd="sng" algn="ctr">
              <a:solidFill>
                <a:schemeClr val="tx1">
                  <a:lumMod val="15000"/>
                  <a:lumOff val="85000"/>
                </a:schemeClr>
              </a:solidFill>
              <a:round/>
            </a:ln>
            <a:effectLst/>
          </c:spPr>
        </c:majorGridlines>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84025072"/>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8901F-593E-4FAC-A331-6A0DCB0043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5496</Words>
  <Characters>31328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Aqeel Shakir</dc:creator>
  <cp:keywords/>
  <dc:description/>
  <cp:lastModifiedBy>Aasima Shakir</cp:lastModifiedBy>
  <cp:revision>3</cp:revision>
  <cp:lastPrinted>2018-07-31T18:52:00Z</cp:lastPrinted>
  <dcterms:created xsi:type="dcterms:W3CDTF">2019-01-17T10:55:00Z</dcterms:created>
  <dcterms:modified xsi:type="dcterms:W3CDTF">2019-01-17T10:55:00Z</dcterms:modified>
</cp:coreProperties>
</file>