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7F3D48" w14:textId="77777777" w:rsidR="003E6D66" w:rsidRDefault="003E6D66" w:rsidP="003E6D66">
      <w:pPr>
        <w:spacing w:after="0" w:line="360" w:lineRule="auto"/>
        <w:rPr>
          <w:rFonts w:ascii="Arial" w:eastAsia="Times New Roman" w:hAnsi="Arial" w:cs="Arial"/>
          <w:b/>
          <w:kern w:val="2"/>
          <w:sz w:val="44"/>
          <w:szCs w:val="44"/>
          <w:lang w:val="en-GB" w:eastAsia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  <w14:ligatures w14:val="standardContextual"/>
        </w:rPr>
      </w:pPr>
      <w:r w:rsidRPr="00665BA9">
        <w:rPr>
          <w:rFonts w:ascii="Arial" w:eastAsia="Aptos" w:hAnsi="Arial" w:cs="Arial"/>
          <w:noProof/>
          <w:sz w:val="24"/>
          <w:szCs w:val="24"/>
          <w:lang w:bidi="hi-IN"/>
        </w:rPr>
        <w:drawing>
          <wp:anchor distT="0" distB="0" distL="114300" distR="114300" simplePos="0" relativeHeight="251659264" behindDoc="0" locked="0" layoutInCell="1" allowOverlap="1" wp14:anchorId="64E6DB48" wp14:editId="26ED548A">
            <wp:simplePos x="0" y="0"/>
            <wp:positionH relativeFrom="margin">
              <wp:align>left</wp:align>
            </wp:positionH>
            <wp:positionV relativeFrom="paragraph">
              <wp:posOffset>182</wp:posOffset>
            </wp:positionV>
            <wp:extent cx="2411604" cy="713433"/>
            <wp:effectExtent l="0" t="0" r="8255" b="0"/>
            <wp:wrapSquare wrapText="bothSides"/>
            <wp:docPr id="2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411604" cy="713433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  <w:r>
        <w:rPr>
          <w:rFonts w:ascii="Arial" w:eastAsia="Times New Roman" w:hAnsi="Arial" w:cs="Arial"/>
          <w:b/>
          <w:kern w:val="2"/>
          <w:sz w:val="44"/>
          <w:szCs w:val="44"/>
          <w:lang w:val="en-GB" w:eastAsia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  <w14:ligatures w14:val="standardContextual"/>
        </w:rPr>
        <w:t xml:space="preserve">                                      </w:t>
      </w:r>
    </w:p>
    <w:p w14:paraId="7794BCAD" w14:textId="77777777" w:rsidR="003E6D66" w:rsidRDefault="003E6D66" w:rsidP="003E6D66">
      <w:pPr>
        <w:spacing w:after="0" w:line="360" w:lineRule="auto"/>
        <w:rPr>
          <w:rFonts w:ascii="Arial" w:eastAsia="Times New Roman" w:hAnsi="Arial" w:cs="Arial"/>
          <w:b/>
          <w:kern w:val="2"/>
          <w:sz w:val="44"/>
          <w:szCs w:val="44"/>
          <w:lang w:val="en-GB" w:eastAsia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  <w14:ligatures w14:val="standardContextual"/>
        </w:rPr>
      </w:pPr>
    </w:p>
    <w:p w14:paraId="0AEE00F3" w14:textId="20172BA4" w:rsidR="003E6D66" w:rsidRPr="003E6D66" w:rsidRDefault="003E6D66" w:rsidP="003E6D66">
      <w:pPr>
        <w:spacing w:after="0" w:line="360" w:lineRule="auto"/>
        <w:jc w:val="center"/>
        <w:rPr>
          <w:rFonts w:ascii="Arial" w:eastAsia="Times New Roman" w:hAnsi="Arial" w:cs="Arial"/>
          <w:b/>
          <w:kern w:val="2"/>
          <w:sz w:val="44"/>
          <w:szCs w:val="44"/>
          <w:lang w:val="en-GB" w:eastAsia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  <w14:ligatures w14:val="standardContextual"/>
        </w:rPr>
      </w:pPr>
      <w:r>
        <w:rPr>
          <w:rFonts w:ascii="Arial" w:eastAsia="Times New Roman" w:hAnsi="Arial" w:cs="Arial"/>
          <w:b/>
          <w:kern w:val="2"/>
          <w:sz w:val="44"/>
          <w:szCs w:val="44"/>
          <w:lang w:val="en-GB" w:eastAsia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  <w14:ligatures w14:val="standardContextual"/>
        </w:rPr>
        <w:t>Research method Poster</w:t>
      </w:r>
    </w:p>
    <w:p w14:paraId="67A733EE" w14:textId="77777777" w:rsidR="003E6D66" w:rsidRPr="003E6D66" w:rsidRDefault="003E6D66" w:rsidP="003E6D66">
      <w:pPr>
        <w:spacing w:before="240" w:after="240" w:line="360" w:lineRule="auto"/>
        <w:jc w:val="center"/>
        <w:rPr>
          <w:rFonts w:ascii="Arial" w:eastAsia="Times New Roman" w:hAnsi="Arial" w:cs="Arial"/>
          <w:b/>
          <w:kern w:val="2"/>
          <w:sz w:val="36"/>
          <w:szCs w:val="36"/>
          <w:lang w:val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</w:pPr>
      <w:proofErr w:type="spellStart"/>
      <w:r w:rsidRPr="003E6D66">
        <w:rPr>
          <w:rFonts w:ascii="Arial" w:eastAsia="Times New Roman" w:hAnsi="Arial" w:cs="Arial"/>
          <w:b/>
          <w:kern w:val="2"/>
          <w:sz w:val="36"/>
          <w:szCs w:val="36"/>
          <w:lang w:val="en" w:eastAsia="en-IN"/>
          <w14:ligatures w14:val="standardContextual"/>
        </w:rPr>
        <w:t>Programme</w:t>
      </w:r>
      <w:proofErr w:type="spellEnd"/>
      <w:r w:rsidRPr="003E6D66">
        <w:rPr>
          <w:rFonts w:ascii="Arial" w:eastAsia="Times New Roman" w:hAnsi="Arial" w:cs="Arial"/>
          <w:b/>
          <w:kern w:val="2"/>
          <w:sz w:val="36"/>
          <w:szCs w:val="36"/>
          <w:lang w:val="en" w:eastAsia="en-IN"/>
          <w14:ligatures w14:val="standardContextual"/>
        </w:rPr>
        <w:t>: BSc (Hons) in Health and Social Care</w:t>
      </w:r>
    </w:p>
    <w:p w14:paraId="14802082" w14:textId="77777777" w:rsidR="003E6D66" w:rsidRPr="003E6D66" w:rsidRDefault="003E6D66" w:rsidP="003E6D66">
      <w:pPr>
        <w:spacing w:after="160" w:line="259" w:lineRule="auto"/>
        <w:jc w:val="center"/>
        <w:rPr>
          <w:rFonts w:ascii="Arial" w:eastAsiaTheme="majorEastAsia" w:hAnsi="Arial" w:cs="Arial"/>
          <w:b/>
          <w:kern w:val="2"/>
          <w:sz w:val="40"/>
          <w:szCs w:val="40"/>
          <w:lang w:val="en-GB"/>
          <w14:ligatures w14:val="standardContextual"/>
        </w:rPr>
      </w:pPr>
      <w:r w:rsidRPr="003E6D66">
        <w:rPr>
          <w:rFonts w:ascii="Arial" w:eastAsia="Times New Roman" w:hAnsi="Arial" w:cs="Arial"/>
          <w:b/>
          <w:bCs/>
          <w:kern w:val="2"/>
          <w:sz w:val="32"/>
          <w:szCs w:val="32"/>
          <w:lang w:val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  <w:t>MODULE CODE:</w:t>
      </w:r>
      <w:r w:rsidRPr="003E6D66">
        <w:rPr>
          <w:rFonts w:ascii="Arial" w:eastAsia="Times New Roman" w:hAnsi="Arial" w:cs="Arial"/>
          <w:kern w:val="2"/>
          <w:sz w:val="32"/>
          <w:szCs w:val="32"/>
          <w:lang w:val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  <w:t xml:space="preserve"> </w:t>
      </w:r>
      <w:r w:rsidRPr="003E6D66">
        <w:rPr>
          <w:rFonts w:ascii="Arial" w:eastAsiaTheme="majorEastAsia" w:hAnsi="Arial" w:cs="Arial"/>
          <w:b/>
          <w:kern w:val="2"/>
          <w:sz w:val="40"/>
          <w:szCs w:val="40"/>
          <w:lang w:val="en-GB"/>
          <w14:ligatures w14:val="standardContextual"/>
        </w:rPr>
        <w:t>BMHP6020</w:t>
      </w:r>
    </w:p>
    <w:p w14:paraId="126BD60C" w14:textId="77777777" w:rsidR="003E6D66" w:rsidRPr="003E6D66" w:rsidRDefault="003E6D66" w:rsidP="003E6D66">
      <w:pPr>
        <w:spacing w:line="360" w:lineRule="auto"/>
        <w:rPr>
          <w:rFonts w:ascii="Arial" w:eastAsiaTheme="minorHAnsi" w:hAnsi="Arial" w:cs="Arial"/>
          <w:b/>
          <w:bCs/>
          <w:sz w:val="28"/>
          <w:szCs w:val="28"/>
          <w:lang w:val="en-GB"/>
        </w:rPr>
      </w:pPr>
      <w:r w:rsidRPr="003E6D66">
        <w:rPr>
          <w:rFonts w:ascii="Arial" w:eastAsia="Times New Roman" w:hAnsi="Arial" w:cs="Arial"/>
          <w:kern w:val="2"/>
          <w:sz w:val="32"/>
          <w:szCs w:val="32"/>
          <w:lang w:val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  <w:t xml:space="preserve">Topics: </w:t>
      </w:r>
      <w:r w:rsidRPr="003E6D66">
        <w:rPr>
          <w:rFonts w:ascii="Arial" w:eastAsia="Times New Roman" w:hAnsi="Arial" w:cs="Arial"/>
          <w:b/>
          <w:bCs/>
          <w:kern w:val="2"/>
          <w:sz w:val="32"/>
          <w:szCs w:val="32"/>
          <w:lang w:val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  <w:t xml:space="preserve">   </w:t>
      </w:r>
      <w:r w:rsidRPr="003E6D66">
        <w:rPr>
          <w:rFonts w:ascii="Arial" w:eastAsia="Times New Roman" w:hAnsi="Arial" w:cs="Arial"/>
          <w:b/>
          <w:bCs/>
          <w:i/>
          <w:iCs/>
          <w:sz w:val="24"/>
          <w:szCs w:val="24"/>
          <w:lang w:val="en-GB" w:eastAsia="en-GB"/>
        </w:rPr>
        <w:t xml:space="preserve">A Comprehensive Evaluation of Treatment Pathways and Service Delivery for Schizophrenia in the United Kingdom: Effectiveness, Accessibility, and Strategic Directions for Future Improvement. </w:t>
      </w:r>
      <w:r w:rsidRPr="003E6D66">
        <w:rPr>
          <w:rFonts w:ascii="Arial" w:eastAsia="Times New Roman" w:hAnsi="Arial" w:cs="Arial"/>
          <w:b/>
          <w:bCs/>
          <w:kern w:val="2"/>
          <w:sz w:val="32"/>
          <w:szCs w:val="32"/>
          <w:lang w:val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  <w:t xml:space="preserve">     </w:t>
      </w:r>
    </w:p>
    <w:p w14:paraId="4DFF5463" w14:textId="77777777" w:rsidR="003E6D66" w:rsidRPr="003E6D66" w:rsidRDefault="003E6D66" w:rsidP="003E6D66">
      <w:pPr>
        <w:spacing w:before="240" w:after="240" w:line="360" w:lineRule="auto"/>
        <w:jc w:val="center"/>
        <w:rPr>
          <w:rFonts w:ascii="Arial" w:eastAsia="Times New Roman" w:hAnsi="Arial" w:cs="Arial"/>
          <w:kern w:val="2"/>
          <w:sz w:val="32"/>
          <w:szCs w:val="32"/>
          <w:lang w:val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</w:pPr>
      <w:r w:rsidRPr="003E6D66">
        <w:rPr>
          <w:rFonts w:eastAsiaTheme="minorHAnsi"/>
          <w:noProof/>
          <w:kern w:val="2"/>
          <w:lang w:val="en-GB"/>
          <w14:ligatures w14:val="standardContextual"/>
        </w:rPr>
        <w:drawing>
          <wp:inline distT="0" distB="0" distL="0" distR="0" wp14:anchorId="00741E8E" wp14:editId="20D1EDEA">
            <wp:extent cx="8540625" cy="1587405"/>
            <wp:effectExtent l="0" t="0" r="0" b="0"/>
            <wp:docPr id="2848002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692771" cy="16156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55457C" w14:textId="0C735038" w:rsidR="003E6D66" w:rsidRPr="003E6D66" w:rsidRDefault="003E6D66" w:rsidP="003E6D66">
      <w:pPr>
        <w:spacing w:after="0" w:line="360" w:lineRule="auto"/>
        <w:rPr>
          <w:rFonts w:ascii="Arial" w:eastAsia="Times New Roman" w:hAnsi="Arial" w:cs="Arial"/>
          <w:kern w:val="2"/>
          <w:sz w:val="32"/>
          <w:szCs w:val="32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</w:pPr>
      <w:r>
        <w:rPr>
          <w:rFonts w:ascii="Arial" w:eastAsia="Times New Roman" w:hAnsi="Arial" w:cs="Arial"/>
          <w:kern w:val="2"/>
          <w:sz w:val="32"/>
          <w:szCs w:val="32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  <w:t xml:space="preserve">             </w:t>
      </w:r>
      <w:r w:rsidR="00E6423B">
        <w:rPr>
          <w:rFonts w:ascii="Arial" w:eastAsia="Times New Roman" w:hAnsi="Arial" w:cs="Arial"/>
          <w:kern w:val="2"/>
          <w:sz w:val="32"/>
          <w:szCs w:val="32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  <w:t xml:space="preserve">  </w:t>
      </w:r>
      <w:r w:rsidRPr="003E6D66">
        <w:rPr>
          <w:rFonts w:ascii="Arial" w:eastAsia="Times New Roman" w:hAnsi="Arial" w:cs="Arial"/>
          <w:kern w:val="2"/>
          <w:sz w:val="32"/>
          <w:szCs w:val="32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  <w:t>Submitted by,</w:t>
      </w:r>
      <w:r w:rsidRPr="003E6D66">
        <w:rPr>
          <w:rFonts w:ascii="Arial" w:eastAsia="Times New Roman" w:hAnsi="Arial" w:cs="Arial"/>
          <w:kern w:val="2"/>
          <w:sz w:val="32"/>
          <w:szCs w:val="32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  <w:tab/>
      </w:r>
      <w:r w:rsidRPr="003E6D66">
        <w:rPr>
          <w:rFonts w:ascii="Arial" w:eastAsia="Times New Roman" w:hAnsi="Arial" w:cs="Arial"/>
          <w:kern w:val="2"/>
          <w:sz w:val="32"/>
          <w:szCs w:val="32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  <w:tab/>
      </w:r>
      <w:r w:rsidRPr="003E6D66">
        <w:rPr>
          <w:rFonts w:ascii="Arial" w:eastAsia="Times New Roman" w:hAnsi="Arial" w:cs="Arial"/>
          <w:kern w:val="2"/>
          <w:sz w:val="32"/>
          <w:szCs w:val="32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  <w:tab/>
      </w:r>
      <w:r w:rsidRPr="003E6D66">
        <w:rPr>
          <w:rFonts w:ascii="Arial" w:eastAsia="Times New Roman" w:hAnsi="Arial" w:cs="Arial"/>
          <w:kern w:val="2"/>
          <w:sz w:val="32"/>
          <w:szCs w:val="32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  <w:tab/>
      </w:r>
      <w:r w:rsidRPr="003E6D66">
        <w:rPr>
          <w:rFonts w:ascii="Arial" w:eastAsia="Times New Roman" w:hAnsi="Arial" w:cs="Arial"/>
          <w:kern w:val="2"/>
          <w:sz w:val="32"/>
          <w:szCs w:val="32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  <w:tab/>
        <w:t xml:space="preserve">             </w:t>
      </w:r>
      <w:r>
        <w:rPr>
          <w:rFonts w:ascii="Arial" w:eastAsia="Times New Roman" w:hAnsi="Arial" w:cs="Arial"/>
          <w:kern w:val="2"/>
          <w:sz w:val="32"/>
          <w:szCs w:val="32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  <w:t xml:space="preserve">         </w:t>
      </w:r>
      <w:r w:rsidRPr="003E6D66">
        <w:rPr>
          <w:rFonts w:ascii="Arial" w:eastAsia="Times New Roman" w:hAnsi="Arial" w:cs="Arial"/>
          <w:kern w:val="2"/>
          <w:sz w:val="32"/>
          <w:szCs w:val="32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  <w:t xml:space="preserve">  Submitted to,</w:t>
      </w:r>
    </w:p>
    <w:p w14:paraId="7D5798FC" w14:textId="7D7B5B3B" w:rsidR="003E6D66" w:rsidRPr="003E6D66" w:rsidRDefault="003E6D66" w:rsidP="003E6D66">
      <w:pPr>
        <w:spacing w:after="0" w:line="360" w:lineRule="auto"/>
        <w:rPr>
          <w:rFonts w:ascii="Arial" w:eastAsia="Times New Roman" w:hAnsi="Arial" w:cs="Arial"/>
          <w:kern w:val="2"/>
          <w:sz w:val="32"/>
          <w:szCs w:val="32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</w:pPr>
      <w:r>
        <w:rPr>
          <w:rFonts w:ascii="Arial" w:eastAsia="Times New Roman" w:hAnsi="Arial" w:cs="Arial"/>
          <w:kern w:val="2"/>
          <w:sz w:val="32"/>
          <w:szCs w:val="32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  <w:t xml:space="preserve">              </w:t>
      </w:r>
      <w:r w:rsidR="00E6423B">
        <w:rPr>
          <w:rFonts w:ascii="Arial" w:eastAsia="Times New Roman" w:hAnsi="Arial" w:cs="Arial"/>
          <w:kern w:val="2"/>
          <w:sz w:val="32"/>
          <w:szCs w:val="32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  <w:t xml:space="preserve"> </w:t>
      </w:r>
      <w:r w:rsidRPr="003E6D66">
        <w:rPr>
          <w:rFonts w:ascii="Arial" w:eastAsia="Times New Roman" w:hAnsi="Arial" w:cs="Arial"/>
          <w:kern w:val="2"/>
          <w:sz w:val="32"/>
          <w:szCs w:val="32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  <w:t xml:space="preserve">Md. Arif Ullah                                                 </w:t>
      </w:r>
      <w:r w:rsidRPr="003E6D66">
        <w:rPr>
          <w:rFonts w:ascii="Arial" w:eastAsia="Times New Roman" w:hAnsi="Arial" w:cs="Arial"/>
          <w:kern w:val="2"/>
          <w:sz w:val="28"/>
          <w:szCs w:val="28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  <w:t xml:space="preserve"> </w:t>
      </w:r>
      <w:r>
        <w:rPr>
          <w:rFonts w:ascii="Arial" w:eastAsia="Times New Roman" w:hAnsi="Arial" w:cs="Arial"/>
          <w:kern w:val="2"/>
          <w:sz w:val="28"/>
          <w:szCs w:val="28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  <w:t xml:space="preserve">             </w:t>
      </w:r>
      <w:r w:rsidRPr="003E6D66">
        <w:rPr>
          <w:rFonts w:ascii="Arial" w:hAnsi="Arial" w:cs="Arial"/>
          <w:b/>
          <w:bCs/>
          <w:color w:val="1D2125"/>
          <w:sz w:val="28"/>
          <w:szCs w:val="28"/>
          <w:shd w:val="clear" w:color="auto" w:fill="FFFFFF"/>
        </w:rPr>
        <w:t>Chloe Harries</w:t>
      </w:r>
    </w:p>
    <w:p w14:paraId="2494EDD1" w14:textId="0067D375" w:rsidR="003E6D66" w:rsidRPr="003E6D66" w:rsidRDefault="003E6D66" w:rsidP="003E6D66">
      <w:pPr>
        <w:spacing w:after="0" w:line="360" w:lineRule="auto"/>
        <w:rPr>
          <w:rFonts w:ascii="Arial" w:eastAsia="Times New Roman" w:hAnsi="Arial" w:cs="Arial"/>
          <w:bCs/>
          <w:kern w:val="2"/>
          <w:sz w:val="32"/>
          <w:szCs w:val="32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</w:pPr>
      <w:r>
        <w:rPr>
          <w:rFonts w:ascii="Arial" w:eastAsia="Times New Roman" w:hAnsi="Arial" w:cs="Arial"/>
          <w:kern w:val="2"/>
          <w:sz w:val="32"/>
          <w:szCs w:val="32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  <w:t xml:space="preserve">        </w:t>
      </w:r>
      <w:r w:rsidR="00E6423B">
        <w:rPr>
          <w:rFonts w:ascii="Arial" w:eastAsia="Times New Roman" w:hAnsi="Arial" w:cs="Arial"/>
          <w:kern w:val="2"/>
          <w:sz w:val="32"/>
          <w:szCs w:val="32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  <w:t xml:space="preserve">      </w:t>
      </w:r>
      <w:r>
        <w:rPr>
          <w:rFonts w:ascii="Arial" w:eastAsia="Times New Roman" w:hAnsi="Arial" w:cs="Arial"/>
          <w:kern w:val="2"/>
          <w:sz w:val="32"/>
          <w:szCs w:val="32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  <w:t xml:space="preserve"> </w:t>
      </w:r>
      <w:r w:rsidRPr="003E6D66">
        <w:rPr>
          <w:rFonts w:ascii="Arial" w:eastAsia="Times New Roman" w:hAnsi="Arial" w:cs="Arial"/>
          <w:kern w:val="2"/>
          <w:sz w:val="32"/>
          <w:szCs w:val="32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  <w:t xml:space="preserve">Student ID: </w:t>
      </w:r>
      <w:r w:rsidRPr="003E6D66">
        <w:rPr>
          <w:rFonts w:ascii="Arial" w:eastAsia="Times New Roman" w:hAnsi="Arial" w:cs="Arial"/>
          <w:bCs/>
          <w:kern w:val="2"/>
          <w:sz w:val="32"/>
          <w:szCs w:val="32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  <w:t>2245624</w:t>
      </w:r>
    </w:p>
    <w:p w14:paraId="498201CB" w14:textId="77777777" w:rsidR="003E6D66" w:rsidRDefault="003E6D66" w:rsidP="003E6D66">
      <w:pPr>
        <w:rPr>
          <w:rFonts w:ascii="Arial" w:hAnsi="Arial" w:cs="Arial"/>
          <w:b/>
          <w:color w:val="1F4E79" w:themeColor="accent5" w:themeShade="80"/>
          <w:sz w:val="28"/>
          <w:szCs w:val="28"/>
        </w:rPr>
      </w:pPr>
    </w:p>
    <w:p w14:paraId="230DBE1E" w14:textId="4EE886A3" w:rsidR="001D2227" w:rsidRPr="00844C30" w:rsidRDefault="001D2227" w:rsidP="003E6D66">
      <w:pPr>
        <w:rPr>
          <w:rFonts w:ascii="Arial" w:hAnsi="Arial" w:cs="Arial"/>
          <w:color w:val="1F4E79" w:themeColor="accent5" w:themeShade="80"/>
          <w:sz w:val="28"/>
          <w:szCs w:val="28"/>
        </w:rPr>
      </w:pPr>
      <w:r w:rsidRPr="00844C30">
        <w:rPr>
          <w:rFonts w:ascii="Arial" w:hAnsi="Arial" w:cs="Arial"/>
          <w:b/>
          <w:color w:val="1F4E79" w:themeColor="accent5" w:themeShade="80"/>
          <w:sz w:val="28"/>
          <w:szCs w:val="28"/>
        </w:rPr>
        <w:lastRenderedPageBreak/>
        <w:t>A Comprehensive Evaluation of Treatment Pathways and Service Delivery for Schizophrenia in the UK</w:t>
      </w:r>
    </w:p>
    <w:p w14:paraId="61433B12" w14:textId="77777777" w:rsidR="001D2227" w:rsidRPr="00844C30" w:rsidRDefault="001D2227" w:rsidP="001D2227">
      <w:pPr>
        <w:jc w:val="center"/>
        <w:rPr>
          <w:rFonts w:ascii="Arial" w:hAnsi="Arial" w:cs="Arial"/>
          <w:color w:val="1F4E79" w:themeColor="accent5" w:themeShade="80"/>
          <w:sz w:val="28"/>
          <w:szCs w:val="28"/>
        </w:rPr>
      </w:pPr>
      <w:r w:rsidRPr="00844C30">
        <w:rPr>
          <w:rFonts w:ascii="Arial" w:hAnsi="Arial" w:cs="Arial"/>
          <w:i/>
          <w:color w:val="1F4E79" w:themeColor="accent5" w:themeShade="80"/>
          <w:sz w:val="28"/>
          <w:szCs w:val="28"/>
        </w:rPr>
        <w:t>Effectiveness | Accessibility | Strategic Improvement</w:t>
      </w:r>
    </w:p>
    <w:tbl>
      <w:tblPr>
        <w:tblW w:w="14684" w:type="dxa"/>
        <w:jc w:val="center"/>
        <w:tblLayout w:type="fixed"/>
        <w:tblLook w:val="04A0" w:firstRow="1" w:lastRow="0" w:firstColumn="1" w:lastColumn="0" w:noHBand="0" w:noVBand="1"/>
      </w:tblPr>
      <w:tblGrid>
        <w:gridCol w:w="2837"/>
        <w:gridCol w:w="3125"/>
        <w:gridCol w:w="8722"/>
      </w:tblGrid>
      <w:tr w:rsidR="001D2227" w14:paraId="7A18F7BF" w14:textId="77777777" w:rsidTr="006D24C3">
        <w:trPr>
          <w:jc w:val="center"/>
        </w:trPr>
        <w:tc>
          <w:tcPr>
            <w:tcW w:w="2837" w:type="dxa"/>
            <w:shd w:val="clear" w:color="auto" w:fill="DCE6F1"/>
          </w:tcPr>
          <w:p w14:paraId="6B3E07E4" w14:textId="77777777" w:rsidR="001D2227" w:rsidRPr="009E5C97" w:rsidRDefault="001D2227" w:rsidP="006D24C3">
            <w:pPr>
              <w:rPr>
                <w:rFonts w:ascii="Arial" w:hAnsi="Arial" w:cs="Arial"/>
              </w:rPr>
            </w:pPr>
            <w:r w:rsidRPr="009E5C97">
              <w:rPr>
                <w:rFonts w:ascii="Segoe UI Emoji" w:hAnsi="Segoe UI Emoji" w:cs="Segoe UI Emoji"/>
              </w:rPr>
              <w:t>🔍</w:t>
            </w:r>
            <w:r w:rsidRPr="009E5C97">
              <w:rPr>
                <w:rFonts w:ascii="Arial" w:hAnsi="Arial" w:cs="Arial"/>
              </w:rPr>
              <w:t xml:space="preserve"> </w:t>
            </w:r>
            <w:r w:rsidRPr="009E5C97">
              <w:rPr>
                <w:rFonts w:ascii="Arial" w:hAnsi="Arial" w:cs="Arial"/>
                <w:b/>
                <w:bCs/>
              </w:rPr>
              <w:t>RESEARCH AIM &amp; DESIGN</w:t>
            </w:r>
            <w:r w:rsidRPr="009E5C97">
              <w:rPr>
                <w:rFonts w:ascii="Arial" w:hAnsi="Arial" w:cs="Arial"/>
              </w:rPr>
              <w:br/>
            </w:r>
            <w:r w:rsidRPr="009E5C97">
              <w:rPr>
                <w:rFonts w:ascii="Arial" w:hAnsi="Arial" w:cs="Arial"/>
                <w:b/>
                <w:bCs/>
                <w:sz w:val="20"/>
                <w:szCs w:val="20"/>
              </w:rPr>
              <w:t>Aim:</w:t>
            </w:r>
            <w:r w:rsidRPr="009E5C97">
              <w:rPr>
                <w:rFonts w:ascii="Arial" w:hAnsi="Arial" w:cs="Arial"/>
                <w:sz w:val="20"/>
                <w:szCs w:val="20"/>
              </w:rPr>
              <w:br/>
              <w:t>• Evaluate NHS schizophrenia pathways (WHO, 2023; NHS England, 2022)</w:t>
            </w:r>
            <w:r w:rsidRPr="009E5C97">
              <w:rPr>
                <w:rFonts w:ascii="Arial" w:hAnsi="Arial" w:cs="Arial"/>
                <w:sz w:val="20"/>
                <w:szCs w:val="20"/>
              </w:rPr>
              <w:br/>
              <w:t>• Assess effectiveness &amp; accessibility (Leucht et al., 2019; NICE, 2020)</w:t>
            </w:r>
            <w:r w:rsidRPr="009E5C97">
              <w:rPr>
                <w:rFonts w:ascii="Arial" w:hAnsi="Arial" w:cs="Arial"/>
                <w:sz w:val="20"/>
                <w:szCs w:val="20"/>
              </w:rPr>
              <w:br/>
              <w:t>• Examine inequalities &amp; policy impact (</w:t>
            </w:r>
            <w:proofErr w:type="spellStart"/>
            <w:r w:rsidRPr="009E5C97">
              <w:rPr>
                <w:rFonts w:ascii="Arial" w:hAnsi="Arial" w:cs="Arial"/>
                <w:sz w:val="20"/>
                <w:szCs w:val="20"/>
              </w:rPr>
              <w:t>Nazroo</w:t>
            </w:r>
            <w:proofErr w:type="spellEnd"/>
            <w:r w:rsidRPr="009E5C97">
              <w:rPr>
                <w:rFonts w:ascii="Arial" w:hAnsi="Arial" w:cs="Arial"/>
                <w:sz w:val="20"/>
                <w:szCs w:val="20"/>
              </w:rPr>
              <w:t xml:space="preserve"> et al., 2019; Rogers &amp; Pilgrim, 2020)</w:t>
            </w:r>
            <w:r w:rsidRPr="009E5C97">
              <w:rPr>
                <w:rFonts w:ascii="Arial" w:hAnsi="Arial" w:cs="Arial"/>
                <w:sz w:val="20"/>
                <w:szCs w:val="20"/>
              </w:rPr>
              <w:br/>
            </w:r>
            <w:r w:rsidRPr="009E5C97">
              <w:rPr>
                <w:rFonts w:ascii="Arial" w:hAnsi="Arial" w:cs="Arial"/>
                <w:b/>
                <w:bCs/>
                <w:sz w:val="20"/>
                <w:szCs w:val="20"/>
              </w:rPr>
              <w:t>Design:</w:t>
            </w:r>
            <w:r w:rsidRPr="009E5C97">
              <w:rPr>
                <w:rFonts w:ascii="Arial" w:hAnsi="Arial" w:cs="Arial"/>
                <w:sz w:val="20"/>
                <w:szCs w:val="20"/>
              </w:rPr>
              <w:br/>
              <w:t>• Desk-based secondary research (Aveyard, 2019)</w:t>
            </w:r>
            <w:r w:rsidRPr="009E5C97">
              <w:rPr>
                <w:rFonts w:ascii="Arial" w:hAnsi="Arial" w:cs="Arial"/>
                <w:sz w:val="20"/>
                <w:szCs w:val="20"/>
              </w:rPr>
              <w:br/>
              <w:t>• Systematic literature review (Booth et al., 2021)</w:t>
            </w:r>
          </w:p>
        </w:tc>
        <w:tc>
          <w:tcPr>
            <w:tcW w:w="3125" w:type="dxa"/>
            <w:shd w:val="clear" w:color="auto" w:fill="E6F2FF"/>
          </w:tcPr>
          <w:p w14:paraId="45C19450" w14:textId="77777777" w:rsidR="001D2227" w:rsidRPr="009E5C97" w:rsidRDefault="001D2227" w:rsidP="006D24C3">
            <w:pPr>
              <w:rPr>
                <w:rFonts w:ascii="Arial" w:hAnsi="Arial" w:cs="Arial"/>
              </w:rPr>
            </w:pPr>
            <w:r w:rsidRPr="009E5C97">
              <w:rPr>
                <w:rFonts w:ascii="Segoe UI Emoji" w:hAnsi="Segoe UI Emoji" w:cs="Segoe UI Emoji"/>
              </w:rPr>
              <w:t>📚</w:t>
            </w:r>
            <w:r w:rsidRPr="009E5C97">
              <w:rPr>
                <w:rFonts w:ascii="Arial" w:hAnsi="Arial" w:cs="Arial"/>
              </w:rPr>
              <w:t xml:space="preserve"> </w:t>
            </w:r>
            <w:r w:rsidRPr="009E5C97">
              <w:rPr>
                <w:rFonts w:ascii="Arial" w:hAnsi="Arial" w:cs="Arial"/>
                <w:b/>
                <w:bCs/>
              </w:rPr>
              <w:t>SEARCH STRATEGY</w:t>
            </w:r>
            <w:r w:rsidRPr="005F7D75">
              <w:rPr>
                <w:rFonts w:ascii="Aptos" w:hAnsi="Aptos"/>
                <w:b/>
                <w:bCs/>
              </w:rPr>
              <w:t xml:space="preserve"> </w:t>
            </w:r>
            <w:r>
              <w:rPr>
                <w:rFonts w:ascii="Aptos" w:hAnsi="Aptos"/>
                <w:b/>
                <w:bCs/>
              </w:rPr>
              <w:t xml:space="preserve">and </w:t>
            </w:r>
            <w:r w:rsidRPr="005F7D75">
              <w:rPr>
                <w:rFonts w:ascii="Aptos" w:hAnsi="Aptos"/>
                <w:b/>
                <w:bCs/>
              </w:rPr>
              <w:t>Searching for Information</w:t>
            </w:r>
            <w:r>
              <w:rPr>
                <w:rFonts w:ascii="Aptos" w:hAnsi="Aptos"/>
                <w:b/>
                <w:bCs/>
              </w:rPr>
              <w:t xml:space="preserve">: </w:t>
            </w:r>
            <w:r w:rsidRPr="009E5C97">
              <w:rPr>
                <w:rFonts w:ascii="Arial" w:hAnsi="Arial" w:cs="Arial"/>
              </w:rPr>
              <w:br/>
            </w:r>
            <w:r w:rsidRPr="009E5C97">
              <w:rPr>
                <w:rFonts w:ascii="Arial" w:hAnsi="Arial" w:cs="Arial"/>
                <w:b/>
                <w:bCs/>
                <w:sz w:val="20"/>
                <w:szCs w:val="20"/>
              </w:rPr>
              <w:t>Core Terms developed from research question: (Booth et al., 2021)</w:t>
            </w:r>
            <w:r w:rsidRPr="009E5C97">
              <w:rPr>
                <w:rFonts w:ascii="Arial" w:hAnsi="Arial" w:cs="Arial"/>
                <w:sz w:val="20"/>
                <w:szCs w:val="20"/>
              </w:rPr>
              <w:br/>
              <w:t>• Schizophrenia</w:t>
            </w:r>
            <w:r w:rsidRPr="009E5C97">
              <w:rPr>
                <w:rFonts w:ascii="Arial" w:hAnsi="Arial" w:cs="Arial"/>
                <w:sz w:val="20"/>
                <w:szCs w:val="20"/>
              </w:rPr>
              <w:br/>
              <w:t>• Treatment pathways</w:t>
            </w:r>
            <w:r w:rsidRPr="009E5C97">
              <w:rPr>
                <w:rFonts w:ascii="Arial" w:hAnsi="Arial" w:cs="Arial"/>
                <w:sz w:val="20"/>
                <w:szCs w:val="20"/>
              </w:rPr>
              <w:br/>
              <w:t>• Service delivery</w:t>
            </w:r>
            <w:r w:rsidRPr="009E5C97">
              <w:rPr>
                <w:rFonts w:ascii="Arial" w:hAnsi="Arial" w:cs="Arial"/>
                <w:sz w:val="20"/>
                <w:szCs w:val="20"/>
              </w:rPr>
              <w:br/>
            </w:r>
            <w:r w:rsidRPr="009E5C97">
              <w:rPr>
                <w:rFonts w:ascii="Arial" w:hAnsi="Arial" w:cs="Arial"/>
                <w:b/>
                <w:bCs/>
                <w:sz w:val="20"/>
                <w:szCs w:val="20"/>
              </w:rPr>
              <w:t>Databases:</w:t>
            </w:r>
            <w:r w:rsidRPr="009E5C97">
              <w:rPr>
                <w:rFonts w:ascii="Arial" w:hAnsi="Arial" w:cs="Arial"/>
                <w:sz w:val="20"/>
                <w:szCs w:val="20"/>
              </w:rPr>
              <w:br/>
              <w:t>PubMed | PsycINFO | ScienceDirect | UWTSD | Google Scholar</w:t>
            </w:r>
            <w:r w:rsidRPr="009E5C97">
              <w:rPr>
                <w:rFonts w:ascii="Arial" w:hAnsi="Arial" w:cs="Arial"/>
                <w:sz w:val="20"/>
                <w:szCs w:val="20"/>
              </w:rPr>
              <w:br/>
            </w:r>
            <w:r w:rsidRPr="009E5C97">
              <w:rPr>
                <w:rFonts w:ascii="Arial" w:hAnsi="Arial" w:cs="Arial"/>
                <w:b/>
                <w:bCs/>
                <w:sz w:val="20"/>
                <w:szCs w:val="20"/>
              </w:rPr>
              <w:t>Grey Literature:</w:t>
            </w:r>
            <w:r w:rsidRPr="009E5C97">
              <w:rPr>
                <w:rFonts w:ascii="Arial" w:hAnsi="Arial" w:cs="Arial"/>
                <w:sz w:val="20"/>
                <w:szCs w:val="20"/>
              </w:rPr>
              <w:br/>
              <w:t>NHS England (2022) | NICE (2020) | CQC (2023) | GOV.UK</w:t>
            </w:r>
            <w:r w:rsidRPr="009E5C97">
              <w:rPr>
                <w:rFonts w:ascii="Arial" w:hAnsi="Arial" w:cs="Arial"/>
                <w:sz w:val="20"/>
                <w:szCs w:val="20"/>
              </w:rPr>
              <w:br/>
            </w:r>
            <w:r w:rsidRPr="009E5C97">
              <w:rPr>
                <w:rFonts w:ascii="Arial" w:hAnsi="Arial" w:cs="Arial"/>
                <w:b/>
                <w:bCs/>
                <w:sz w:val="20"/>
                <w:szCs w:val="20"/>
              </w:rPr>
              <w:t>Filters</w:t>
            </w:r>
            <w:r w:rsidRPr="009E5C97">
              <w:rPr>
                <w:rFonts w:ascii="Arial" w:hAnsi="Arial" w:cs="Arial"/>
                <w:sz w:val="20"/>
                <w:szCs w:val="20"/>
              </w:rPr>
              <w:t>: UK | English | 2015–2025</w:t>
            </w:r>
          </w:p>
        </w:tc>
        <w:tc>
          <w:tcPr>
            <w:tcW w:w="8722" w:type="dxa"/>
            <w:shd w:val="clear" w:color="auto" w:fill="F2F2F2"/>
          </w:tcPr>
          <w:p w14:paraId="2E639CDA" w14:textId="29BE65DA" w:rsidR="001D2227" w:rsidRPr="00A71E46" w:rsidRDefault="001D2227" w:rsidP="006D24C3">
            <w:pPr>
              <w:rPr>
                <w:rFonts w:ascii="Arial" w:hAnsi="Arial" w:cs="Arial"/>
                <w:b/>
                <w:bCs/>
              </w:rPr>
            </w:pPr>
            <w:r w:rsidRPr="009E5C97">
              <w:rPr>
                <w:rFonts w:ascii="Segoe UI Emoji" w:hAnsi="Segoe UI Emoji" w:cs="Segoe UI Emoji"/>
              </w:rPr>
              <w:t>📊</w:t>
            </w:r>
            <w:r w:rsidRPr="009E5C97">
              <w:rPr>
                <w:rFonts w:ascii="Arial" w:hAnsi="Arial" w:cs="Arial"/>
              </w:rPr>
              <w:t xml:space="preserve"> </w:t>
            </w:r>
            <w:r w:rsidRPr="009E5C97">
              <w:rPr>
                <w:rFonts w:ascii="Arial" w:hAnsi="Arial" w:cs="Arial"/>
                <w:b/>
                <w:bCs/>
              </w:rPr>
              <w:t>SCREENING PROCESS</w:t>
            </w:r>
            <w:r w:rsidRPr="009E5C97">
              <w:rPr>
                <w:rFonts w:ascii="Arial" w:hAnsi="Arial" w:cs="Arial"/>
              </w:rPr>
              <w:br/>
            </w:r>
            <w:r w:rsidR="00C22247">
              <w:rPr>
                <w:rFonts w:ascii="Arial" w:hAnsi="Arial" w:cs="Arial"/>
                <w:noProof/>
                <w14:ligatures w14:val="standardContextual"/>
              </w:rPr>
              <w:drawing>
                <wp:inline distT="0" distB="0" distL="0" distR="0" wp14:anchorId="08561D29" wp14:editId="76DE11B3">
                  <wp:extent cx="5432564" cy="2567354"/>
                  <wp:effectExtent l="0" t="0" r="0" b="4445"/>
                  <wp:docPr id="2116969413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16969413" name="Picture 2116969413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32564" cy="256735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139E3E7" w14:textId="7DBB0152" w:rsidR="001D2227" w:rsidRDefault="001D2227" w:rsidP="006D24C3">
            <w:pPr>
              <w:rPr>
                <w:rFonts w:ascii="Arial" w:hAnsi="Arial" w:cs="Arial"/>
              </w:rPr>
            </w:pPr>
          </w:p>
          <w:p w14:paraId="04E902B1" w14:textId="5C6B92CC" w:rsidR="001D2227" w:rsidRPr="009E5C97" w:rsidRDefault="001D2227" w:rsidP="006D24C3">
            <w:pPr>
              <w:rPr>
                <w:rFonts w:ascii="Arial" w:hAnsi="Arial" w:cs="Arial"/>
              </w:rPr>
            </w:pPr>
          </w:p>
        </w:tc>
      </w:tr>
      <w:tr w:rsidR="001D2227" w14:paraId="6DEA2E12" w14:textId="77777777" w:rsidTr="006D24C3">
        <w:trPr>
          <w:jc w:val="center"/>
        </w:trPr>
        <w:tc>
          <w:tcPr>
            <w:tcW w:w="2837" w:type="dxa"/>
            <w:shd w:val="clear" w:color="auto" w:fill="E8F5E9"/>
          </w:tcPr>
          <w:p w14:paraId="2AE5441D" w14:textId="77777777" w:rsidR="001D2227" w:rsidRPr="009E5C97" w:rsidRDefault="001D2227" w:rsidP="006D24C3">
            <w:pPr>
              <w:spacing w:after="0"/>
              <w:rPr>
                <w:rFonts w:ascii="Arial" w:hAnsi="Arial" w:cs="Arial"/>
              </w:rPr>
            </w:pPr>
            <w:r w:rsidRPr="009E5C97">
              <w:rPr>
                <w:rFonts w:ascii="Segoe UI Symbol" w:hAnsi="Segoe UI Symbol" w:cs="Segoe UI Symbol"/>
              </w:rPr>
              <w:t>✔</w:t>
            </w:r>
            <w:r w:rsidRPr="009E5C97">
              <w:rPr>
                <w:rFonts w:ascii="Arial" w:hAnsi="Arial" w:cs="Arial"/>
              </w:rPr>
              <w:t xml:space="preserve"> </w:t>
            </w:r>
            <w:r w:rsidRPr="009E5C97">
              <w:rPr>
                <w:rFonts w:ascii="Arial" w:hAnsi="Arial" w:cs="Arial"/>
                <w:b/>
                <w:bCs/>
              </w:rPr>
              <w:t>INCLUSION &amp; EXCLUSION</w:t>
            </w:r>
            <w:r w:rsidRPr="009E5C97">
              <w:rPr>
                <w:rFonts w:ascii="Arial" w:hAnsi="Arial" w:cs="Arial"/>
              </w:rPr>
              <w:br/>
            </w:r>
            <w:r w:rsidRPr="009E5C97">
              <w:rPr>
                <w:rFonts w:ascii="Arial" w:hAnsi="Arial" w:cs="Arial"/>
                <w:b/>
                <w:bCs/>
                <w:sz w:val="20"/>
                <w:szCs w:val="20"/>
              </w:rPr>
              <w:t>Inclusion:</w:t>
            </w:r>
            <w:r w:rsidRPr="009E5C97">
              <w:rPr>
                <w:rFonts w:ascii="Arial" w:hAnsi="Arial" w:cs="Arial"/>
                <w:sz w:val="20"/>
                <w:szCs w:val="20"/>
              </w:rPr>
              <w:br/>
              <w:t>• 2015–2025</w:t>
            </w:r>
            <w:r w:rsidRPr="009E5C97">
              <w:rPr>
                <w:rFonts w:ascii="Arial" w:hAnsi="Arial" w:cs="Arial"/>
                <w:sz w:val="20"/>
                <w:szCs w:val="20"/>
              </w:rPr>
              <w:br/>
              <w:t>• Peer-reviewed/official (NHS England, 2022; CQC, 2023)</w:t>
            </w:r>
            <w:r w:rsidRPr="009E5C97">
              <w:rPr>
                <w:rFonts w:ascii="Arial" w:hAnsi="Arial" w:cs="Arial"/>
                <w:sz w:val="20"/>
                <w:szCs w:val="20"/>
              </w:rPr>
              <w:br/>
              <w:t>• UK-relevant</w:t>
            </w:r>
            <w:r w:rsidRPr="009E5C97">
              <w:rPr>
                <w:rFonts w:ascii="Arial" w:hAnsi="Arial" w:cs="Arial"/>
                <w:sz w:val="20"/>
                <w:szCs w:val="20"/>
              </w:rPr>
              <w:br/>
              <w:t xml:space="preserve">• Schizophrenia </w:t>
            </w:r>
            <w:proofErr w:type="gramStart"/>
            <w:r w:rsidRPr="009E5C97">
              <w:rPr>
                <w:rFonts w:ascii="Arial" w:hAnsi="Arial" w:cs="Arial"/>
                <w:sz w:val="20"/>
                <w:szCs w:val="20"/>
              </w:rPr>
              <w:t>focus</w:t>
            </w:r>
            <w:proofErr w:type="gramEnd"/>
            <w:r w:rsidRPr="009E5C97">
              <w:rPr>
                <w:rFonts w:ascii="Arial" w:hAnsi="Arial" w:cs="Arial"/>
                <w:sz w:val="20"/>
                <w:szCs w:val="20"/>
              </w:rPr>
              <w:br/>
            </w:r>
            <w:r w:rsidRPr="009E5C97">
              <w:rPr>
                <w:rFonts w:ascii="Arial" w:hAnsi="Arial" w:cs="Arial"/>
                <w:b/>
                <w:bCs/>
                <w:sz w:val="20"/>
                <w:szCs w:val="20"/>
              </w:rPr>
              <w:t>Exclusion:</w:t>
            </w:r>
            <w:r w:rsidRPr="009E5C97">
              <w:rPr>
                <w:rFonts w:ascii="Arial" w:hAnsi="Arial" w:cs="Arial"/>
                <w:sz w:val="20"/>
                <w:szCs w:val="20"/>
              </w:rPr>
              <w:br/>
              <w:t xml:space="preserve">• </w:t>
            </w:r>
            <w:proofErr w:type="gramStart"/>
            <w:r w:rsidRPr="009E5C97">
              <w:rPr>
                <w:rFonts w:ascii="Arial" w:hAnsi="Arial" w:cs="Arial"/>
                <w:sz w:val="20"/>
                <w:szCs w:val="20"/>
              </w:rPr>
              <w:t>Pre-2015</w:t>
            </w:r>
            <w:proofErr w:type="gramEnd"/>
            <w:r w:rsidRPr="009E5C97">
              <w:rPr>
                <w:rFonts w:ascii="Arial" w:hAnsi="Arial" w:cs="Arial"/>
                <w:sz w:val="20"/>
                <w:szCs w:val="20"/>
              </w:rPr>
              <w:t xml:space="preserve"> (unless seminal e.g. Birchwood et al., 2000)</w:t>
            </w:r>
            <w:r w:rsidRPr="009E5C97">
              <w:rPr>
                <w:rFonts w:ascii="Arial" w:hAnsi="Arial" w:cs="Arial"/>
                <w:sz w:val="20"/>
                <w:szCs w:val="20"/>
              </w:rPr>
              <w:br/>
              <w:t xml:space="preserve">• </w:t>
            </w:r>
            <w:proofErr w:type="gramStart"/>
            <w:r w:rsidRPr="009E5C97">
              <w:rPr>
                <w:rFonts w:ascii="Arial" w:hAnsi="Arial" w:cs="Arial"/>
                <w:sz w:val="20"/>
                <w:szCs w:val="20"/>
              </w:rPr>
              <w:t>Non-UK</w:t>
            </w:r>
            <w:proofErr w:type="gramEnd"/>
            <w:r w:rsidRPr="009E5C97">
              <w:rPr>
                <w:rFonts w:ascii="Arial" w:hAnsi="Arial" w:cs="Arial"/>
                <w:sz w:val="20"/>
                <w:szCs w:val="20"/>
              </w:rPr>
              <w:t xml:space="preserve"> irrelevant</w:t>
            </w:r>
            <w:r w:rsidRPr="009E5C97">
              <w:rPr>
                <w:rFonts w:ascii="Arial" w:hAnsi="Arial" w:cs="Arial"/>
                <w:sz w:val="20"/>
                <w:szCs w:val="20"/>
              </w:rPr>
              <w:br/>
              <w:t>• Blogs/media</w:t>
            </w:r>
            <w:r w:rsidRPr="009E5C97">
              <w:rPr>
                <w:rFonts w:ascii="Arial" w:hAnsi="Arial" w:cs="Arial"/>
                <w:sz w:val="20"/>
                <w:szCs w:val="20"/>
              </w:rPr>
              <w:br/>
              <w:t xml:space="preserve">• </w:t>
            </w:r>
            <w:proofErr w:type="gramStart"/>
            <w:r w:rsidRPr="009E5C97">
              <w:rPr>
                <w:rFonts w:ascii="Arial" w:hAnsi="Arial" w:cs="Arial"/>
                <w:sz w:val="20"/>
                <w:szCs w:val="20"/>
              </w:rPr>
              <w:t>Non-English</w:t>
            </w:r>
            <w:proofErr w:type="gramEnd"/>
          </w:p>
        </w:tc>
        <w:tc>
          <w:tcPr>
            <w:tcW w:w="3125" w:type="dxa"/>
            <w:shd w:val="clear" w:color="auto" w:fill="FFF2CC"/>
          </w:tcPr>
          <w:p w14:paraId="3872CB67" w14:textId="77777777" w:rsidR="001D2227" w:rsidRPr="009E5C97" w:rsidRDefault="001D2227" w:rsidP="006D24C3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9E5C97">
              <w:rPr>
                <w:rFonts w:ascii="Segoe UI Emoji" w:hAnsi="Segoe UI Emoji" w:cs="Segoe UI Emoji"/>
                <w:sz w:val="20"/>
                <w:szCs w:val="20"/>
              </w:rPr>
              <w:t>🧪</w:t>
            </w:r>
            <w:r w:rsidRPr="009E5C97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9E5C97">
              <w:rPr>
                <w:rFonts w:ascii="Arial" w:hAnsi="Arial" w:cs="Arial"/>
                <w:b/>
                <w:bCs/>
              </w:rPr>
              <w:t>VALIDATION &amp; ANALYSIS</w:t>
            </w:r>
            <w:r w:rsidRPr="009E5C97">
              <w:rPr>
                <w:rFonts w:ascii="Arial" w:hAnsi="Arial" w:cs="Arial"/>
                <w:sz w:val="20"/>
                <w:szCs w:val="20"/>
              </w:rPr>
              <w:br/>
            </w:r>
            <w:r w:rsidRPr="00A71E46">
              <w:rPr>
                <w:rFonts w:ascii="Arial" w:hAnsi="Arial" w:cs="Arial"/>
                <w:b/>
                <w:bCs/>
                <w:sz w:val="18"/>
                <w:szCs w:val="18"/>
              </w:rPr>
              <w:t>CRAAP Framework (Blakeslee, 2018):</w:t>
            </w:r>
            <w:r w:rsidRPr="00A71E46">
              <w:rPr>
                <w:rFonts w:ascii="Arial" w:hAnsi="Arial" w:cs="Arial"/>
                <w:sz w:val="18"/>
                <w:szCs w:val="18"/>
              </w:rPr>
              <w:br/>
              <w:t>• Currency | Relevance</w:t>
            </w:r>
            <w:r w:rsidRPr="00A71E46">
              <w:rPr>
                <w:rFonts w:ascii="Arial" w:hAnsi="Arial" w:cs="Arial"/>
                <w:sz w:val="18"/>
                <w:szCs w:val="18"/>
              </w:rPr>
              <w:br/>
              <w:t>• Authority | Accuracy | Purpose</w:t>
            </w:r>
            <w:r w:rsidRPr="00A71E46">
              <w:rPr>
                <w:rFonts w:ascii="Arial" w:hAnsi="Arial" w:cs="Arial"/>
                <w:sz w:val="18"/>
                <w:szCs w:val="18"/>
              </w:rPr>
              <w:br/>
            </w:r>
            <w:r w:rsidRPr="00A71E46">
              <w:rPr>
                <w:rFonts w:ascii="Arial" w:hAnsi="Arial" w:cs="Arial"/>
                <w:b/>
                <w:bCs/>
                <w:sz w:val="18"/>
                <w:szCs w:val="18"/>
              </w:rPr>
              <w:t>Thematic Analysis (Braun &amp; Clarke, 2019):</w:t>
            </w:r>
            <w:r w:rsidRPr="00A71E46">
              <w:rPr>
                <w:rFonts w:ascii="Arial" w:hAnsi="Arial" w:cs="Arial"/>
                <w:sz w:val="18"/>
                <w:szCs w:val="18"/>
              </w:rPr>
              <w:br/>
              <w:t>• Coding</w:t>
            </w:r>
            <w:r w:rsidRPr="00A71E46">
              <w:rPr>
                <w:rFonts w:ascii="Arial" w:hAnsi="Arial" w:cs="Arial"/>
                <w:sz w:val="18"/>
                <w:szCs w:val="18"/>
              </w:rPr>
              <w:br/>
              <w:t xml:space="preserve">• </w:t>
            </w:r>
            <w:proofErr w:type="spellStart"/>
            <w:r w:rsidRPr="00A71E46">
              <w:rPr>
                <w:rFonts w:ascii="Arial" w:hAnsi="Arial" w:cs="Arial"/>
                <w:sz w:val="18"/>
                <w:szCs w:val="18"/>
              </w:rPr>
              <w:t>Categorisation</w:t>
            </w:r>
            <w:proofErr w:type="spellEnd"/>
            <w:r w:rsidRPr="00A71E46">
              <w:rPr>
                <w:rFonts w:ascii="Arial" w:hAnsi="Arial" w:cs="Arial"/>
                <w:sz w:val="18"/>
                <w:szCs w:val="18"/>
              </w:rPr>
              <w:br/>
              <w:t>• Theme development</w:t>
            </w:r>
            <w:r w:rsidRPr="00A71E46">
              <w:rPr>
                <w:rFonts w:ascii="Arial" w:hAnsi="Arial" w:cs="Arial"/>
                <w:sz w:val="18"/>
                <w:szCs w:val="18"/>
              </w:rPr>
              <w:br/>
            </w:r>
            <w:r w:rsidRPr="00A71E46">
              <w:rPr>
                <w:rFonts w:ascii="Arial" w:hAnsi="Arial" w:cs="Arial"/>
                <w:b/>
                <w:bCs/>
                <w:sz w:val="18"/>
                <w:szCs w:val="18"/>
              </w:rPr>
              <w:t>Key Themes:</w:t>
            </w:r>
            <w:r w:rsidRPr="00A71E46">
              <w:rPr>
                <w:rFonts w:ascii="Arial" w:hAnsi="Arial" w:cs="Arial"/>
                <w:sz w:val="18"/>
                <w:szCs w:val="18"/>
              </w:rPr>
              <w:br/>
              <w:t>• Effectiveness (Leucht et al., 2019)</w:t>
            </w:r>
            <w:r w:rsidRPr="00A71E46">
              <w:rPr>
                <w:rFonts w:ascii="Arial" w:hAnsi="Arial" w:cs="Arial"/>
                <w:sz w:val="18"/>
                <w:szCs w:val="18"/>
              </w:rPr>
              <w:br/>
              <w:t>• Accessibility barriers (NHS England, 2022)</w:t>
            </w:r>
            <w:r w:rsidRPr="00A71E46">
              <w:rPr>
                <w:rFonts w:ascii="Arial" w:hAnsi="Arial" w:cs="Arial"/>
                <w:sz w:val="18"/>
                <w:szCs w:val="18"/>
              </w:rPr>
              <w:br/>
              <w:t>• System pressures (CQC, 2023)</w:t>
            </w:r>
          </w:p>
        </w:tc>
        <w:tc>
          <w:tcPr>
            <w:tcW w:w="8722" w:type="dxa"/>
            <w:shd w:val="clear" w:color="auto" w:fill="FCE4D6"/>
          </w:tcPr>
          <w:p w14:paraId="26F1F11B" w14:textId="77777777" w:rsidR="001D2227" w:rsidRPr="008033A6" w:rsidRDefault="001D2227" w:rsidP="006D24C3">
            <w:pPr>
              <w:tabs>
                <w:tab w:val="left" w:pos="4785"/>
              </w:tabs>
              <w:spacing w:before="100" w:beforeAutospacing="1" w:after="0" w:line="240" w:lineRule="auto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ab/>
            </w:r>
          </w:p>
          <w:tbl>
            <w:tblPr>
              <w:tblStyle w:val="TableGrid"/>
              <w:tblpPr w:leftFromText="180" w:rightFromText="180" w:vertAnchor="page" w:horzAnchor="margin" w:tblpY="556"/>
              <w:tblOverlap w:val="never"/>
              <w:tblW w:w="0" w:type="auto"/>
              <w:tblLook w:val="04A0" w:firstRow="1" w:lastRow="0" w:firstColumn="1" w:lastColumn="0" w:noHBand="0" w:noVBand="1"/>
            </w:tblPr>
            <w:tblGrid>
              <w:gridCol w:w="4245"/>
              <w:gridCol w:w="4246"/>
            </w:tblGrid>
            <w:tr w:rsidR="001D2227" w14:paraId="26107F7C" w14:textId="77777777" w:rsidTr="006D24C3">
              <w:trPr>
                <w:trHeight w:val="3396"/>
              </w:trPr>
              <w:tc>
                <w:tcPr>
                  <w:tcW w:w="4245" w:type="dxa"/>
                </w:tcPr>
                <w:p w14:paraId="2ABB659D" w14:textId="77777777" w:rsidR="001D2227" w:rsidRDefault="001D2227" w:rsidP="006D24C3">
                  <w:pPr>
                    <w:outlineLvl w:val="2"/>
                    <w:rPr>
                      <w:rFonts w:ascii="Arial" w:eastAsia="Times New Roman" w:hAnsi="Arial" w:cs="Arial"/>
                      <w:b/>
                      <w:bCs/>
                      <w:sz w:val="16"/>
                      <w:szCs w:val="16"/>
                      <w:lang w:val="en-GB" w:eastAsia="en-GB"/>
                    </w:rPr>
                  </w:pPr>
                </w:p>
                <w:p w14:paraId="7235F27A" w14:textId="77777777" w:rsidR="001D2227" w:rsidRPr="008033A6" w:rsidRDefault="001D2227" w:rsidP="006D24C3">
                  <w:pPr>
                    <w:spacing w:line="240" w:lineRule="auto"/>
                    <w:outlineLvl w:val="2"/>
                    <w:rPr>
                      <w:rFonts w:ascii="Arial" w:eastAsia="Times New Roman" w:hAnsi="Arial" w:cs="Arial"/>
                      <w:b/>
                      <w:bCs/>
                      <w:sz w:val="16"/>
                      <w:szCs w:val="16"/>
                      <w:lang w:val="en-GB" w:eastAsia="en-GB"/>
                    </w:rPr>
                  </w:pPr>
                  <w:r w:rsidRPr="008033A6">
                    <w:rPr>
                      <w:rFonts w:ascii="Arial" w:eastAsia="Times New Roman" w:hAnsi="Arial" w:cs="Arial"/>
                      <w:b/>
                      <w:bCs/>
                      <w:sz w:val="16"/>
                      <w:szCs w:val="16"/>
                      <w:lang w:val="en-GB" w:eastAsia="en-GB"/>
                    </w:rPr>
                    <w:t>Respect for Intellectual Property:</w:t>
                  </w:r>
                </w:p>
                <w:p w14:paraId="1AA4263D" w14:textId="77777777" w:rsidR="001D2227" w:rsidRDefault="001D2227" w:rsidP="006D24C3">
                  <w:pPr>
                    <w:outlineLvl w:val="2"/>
                    <w:rPr>
                      <w:rFonts w:ascii="Arial" w:eastAsia="Times New Roman" w:hAnsi="Arial" w:cs="Arial"/>
                      <w:b/>
                      <w:bCs/>
                      <w:sz w:val="16"/>
                      <w:szCs w:val="16"/>
                      <w:lang w:val="en-GB" w:eastAsia="en-GB"/>
                    </w:rPr>
                  </w:pPr>
                  <w:r w:rsidRPr="008033A6">
                    <w:rPr>
                      <w:rFonts w:ascii="Arial" w:eastAsia="Times New Roman" w:hAnsi="Arial" w:cs="Arial"/>
                      <w:sz w:val="16"/>
                      <w:szCs w:val="16"/>
                      <w:lang w:val="en-GB" w:eastAsia="en-GB"/>
                    </w:rPr>
                    <w:t>• Accurate academic referencing and citations were maintained throughout.</w:t>
                  </w:r>
                  <w:r w:rsidRPr="008033A6">
                    <w:rPr>
                      <w:rFonts w:ascii="Arial" w:eastAsia="Times New Roman" w:hAnsi="Arial" w:cs="Arial"/>
                      <w:sz w:val="16"/>
                      <w:szCs w:val="16"/>
                      <w:lang w:val="en-GB" w:eastAsia="en-GB"/>
                    </w:rPr>
                    <w:br/>
                    <w:t>• All original authors were acknowledged to avoid plagiarism and uphold academic integrity.</w:t>
                  </w:r>
                </w:p>
                <w:p w14:paraId="265BA5A3" w14:textId="77777777" w:rsidR="001D2227" w:rsidRPr="008033A6" w:rsidRDefault="001D2227" w:rsidP="006D24C3">
                  <w:pPr>
                    <w:spacing w:line="240" w:lineRule="auto"/>
                    <w:outlineLvl w:val="2"/>
                    <w:rPr>
                      <w:rFonts w:ascii="Arial" w:eastAsia="Times New Roman" w:hAnsi="Arial" w:cs="Arial"/>
                      <w:b/>
                      <w:bCs/>
                      <w:sz w:val="16"/>
                      <w:szCs w:val="16"/>
                      <w:lang w:val="en-GB" w:eastAsia="en-GB"/>
                    </w:rPr>
                  </w:pPr>
                  <w:r w:rsidRPr="008033A6">
                    <w:rPr>
                      <w:rFonts w:ascii="Arial" w:eastAsia="Times New Roman" w:hAnsi="Arial" w:cs="Arial"/>
                      <w:b/>
                      <w:bCs/>
                      <w:sz w:val="16"/>
                      <w:szCs w:val="16"/>
                      <w:lang w:val="en-GB" w:eastAsia="en-GB"/>
                    </w:rPr>
                    <w:t>Privacy and Confidentiality</w:t>
                  </w:r>
                </w:p>
                <w:p w14:paraId="24EE2FE3" w14:textId="77777777" w:rsidR="001D2227" w:rsidRPr="008033A6" w:rsidRDefault="001D2227" w:rsidP="006D24C3">
                  <w:pPr>
                    <w:spacing w:after="0" w:line="240" w:lineRule="auto"/>
                    <w:rPr>
                      <w:rFonts w:ascii="Arial" w:eastAsia="Times New Roman" w:hAnsi="Arial" w:cs="Arial"/>
                      <w:sz w:val="16"/>
                      <w:szCs w:val="16"/>
                      <w:lang w:val="en-GB" w:eastAsia="en-GB"/>
                    </w:rPr>
                  </w:pPr>
                  <w:r w:rsidRPr="008033A6">
                    <w:rPr>
                      <w:rFonts w:ascii="Arial" w:eastAsia="Times New Roman" w:hAnsi="Arial" w:cs="Arial"/>
                      <w:sz w:val="16"/>
                      <w:szCs w:val="16"/>
                      <w:lang w:val="en-GB" w:eastAsia="en-GB"/>
                    </w:rPr>
                    <w:t>• No primary data were collected.</w:t>
                  </w:r>
                  <w:r w:rsidRPr="008033A6">
                    <w:rPr>
                      <w:rFonts w:ascii="Arial" w:eastAsia="Times New Roman" w:hAnsi="Arial" w:cs="Arial"/>
                      <w:sz w:val="16"/>
                      <w:szCs w:val="16"/>
                      <w:lang w:val="en-GB" w:eastAsia="en-GB"/>
                    </w:rPr>
                    <w:br/>
                    <w:t>• Sensitive or identifiable information was anonymised or excluded.</w:t>
                  </w:r>
                  <w:r w:rsidRPr="008033A6">
                    <w:rPr>
                      <w:rFonts w:ascii="Arial" w:eastAsia="Times New Roman" w:hAnsi="Arial" w:cs="Arial"/>
                      <w:sz w:val="16"/>
                      <w:szCs w:val="16"/>
                      <w:lang w:val="en-GB" w:eastAsia="en-GB"/>
                    </w:rPr>
                    <w:br/>
                    <w:t>• Use of secondary data ensured protection of individual privacy in line with ethical standards.</w:t>
                  </w:r>
                </w:p>
                <w:p w14:paraId="1EAB1DC6" w14:textId="41617FE2" w:rsidR="001D2227" w:rsidRPr="001D2227" w:rsidRDefault="001D2227" w:rsidP="001D2227">
                  <w:pPr>
                    <w:spacing w:after="0" w:line="240" w:lineRule="auto"/>
                    <w:outlineLvl w:val="2"/>
                    <w:rPr>
                      <w:rFonts w:ascii="Arial" w:eastAsia="Times New Roman" w:hAnsi="Arial" w:cs="Arial"/>
                      <w:b/>
                      <w:bCs/>
                      <w:sz w:val="16"/>
                      <w:szCs w:val="16"/>
                      <w:lang w:val="en-GB" w:eastAsia="en-GB"/>
                    </w:rPr>
                  </w:pPr>
                </w:p>
              </w:tc>
              <w:tc>
                <w:tcPr>
                  <w:tcW w:w="4246" w:type="dxa"/>
                </w:tcPr>
                <w:p w14:paraId="25A200E9" w14:textId="77777777" w:rsidR="001D2227" w:rsidRDefault="001D2227" w:rsidP="006D24C3">
                  <w:pPr>
                    <w:outlineLvl w:val="2"/>
                    <w:rPr>
                      <w:rFonts w:ascii="Arial" w:eastAsia="Times New Roman" w:hAnsi="Arial" w:cs="Arial"/>
                      <w:b/>
                      <w:bCs/>
                      <w:sz w:val="16"/>
                      <w:szCs w:val="16"/>
                      <w:lang w:val="en-GB" w:eastAsia="en-GB"/>
                    </w:rPr>
                  </w:pPr>
                </w:p>
                <w:p w14:paraId="5309A52A" w14:textId="77777777" w:rsidR="001D2227" w:rsidRPr="008033A6" w:rsidRDefault="001D2227" w:rsidP="006D24C3">
                  <w:pPr>
                    <w:spacing w:after="0" w:line="240" w:lineRule="auto"/>
                    <w:outlineLvl w:val="2"/>
                    <w:rPr>
                      <w:rFonts w:ascii="Arial" w:eastAsia="Times New Roman" w:hAnsi="Arial" w:cs="Arial"/>
                      <w:b/>
                      <w:bCs/>
                      <w:sz w:val="16"/>
                      <w:szCs w:val="16"/>
                      <w:lang w:val="en-GB" w:eastAsia="en-GB"/>
                    </w:rPr>
                  </w:pPr>
                  <w:r w:rsidRPr="008033A6">
                    <w:rPr>
                      <w:rFonts w:ascii="Arial" w:eastAsia="Times New Roman" w:hAnsi="Arial" w:cs="Arial"/>
                      <w:b/>
                      <w:bCs/>
                      <w:sz w:val="16"/>
                      <w:szCs w:val="16"/>
                      <w:lang w:val="en-GB" w:eastAsia="en-GB"/>
                    </w:rPr>
                    <w:t>Data Integrity and Reliability</w:t>
                  </w:r>
                </w:p>
                <w:p w14:paraId="341210C7" w14:textId="77777777" w:rsidR="001D2227" w:rsidRPr="008033A6" w:rsidRDefault="001D2227" w:rsidP="006D24C3">
                  <w:pPr>
                    <w:spacing w:after="0" w:line="240" w:lineRule="auto"/>
                    <w:rPr>
                      <w:rFonts w:ascii="Arial" w:eastAsia="Times New Roman" w:hAnsi="Arial" w:cs="Arial"/>
                      <w:sz w:val="16"/>
                      <w:szCs w:val="16"/>
                      <w:lang w:val="en-GB" w:eastAsia="en-GB"/>
                    </w:rPr>
                  </w:pPr>
                  <w:r w:rsidRPr="008033A6">
                    <w:rPr>
                      <w:rFonts w:ascii="Arial" w:eastAsia="Times New Roman" w:hAnsi="Arial" w:cs="Arial"/>
                      <w:sz w:val="16"/>
                      <w:szCs w:val="16"/>
                      <w:lang w:val="en-GB" w:eastAsia="en-GB"/>
                    </w:rPr>
                    <w:t>• Only reputable and validated sources were included.</w:t>
                  </w:r>
                  <w:r w:rsidRPr="008033A6">
                    <w:rPr>
                      <w:rFonts w:ascii="Arial" w:eastAsia="Times New Roman" w:hAnsi="Arial" w:cs="Arial"/>
                      <w:sz w:val="16"/>
                      <w:szCs w:val="16"/>
                      <w:lang w:val="en-GB" w:eastAsia="en-GB"/>
                    </w:rPr>
                    <w:br/>
                    <w:t>• Sources were assessed for quality, recency, and credibility.</w:t>
                  </w:r>
                  <w:r w:rsidRPr="008033A6">
                    <w:rPr>
                      <w:rFonts w:ascii="Arial" w:eastAsia="Times New Roman" w:hAnsi="Arial" w:cs="Arial"/>
                      <w:sz w:val="16"/>
                      <w:szCs w:val="16"/>
                      <w:lang w:val="en-GB" w:eastAsia="en-GB"/>
                    </w:rPr>
                    <w:br/>
                    <w:t>• This ensured reliability and avoided misrepresentation of findings.</w:t>
                  </w:r>
                </w:p>
                <w:p w14:paraId="341A77F0" w14:textId="77777777" w:rsidR="001D2227" w:rsidRPr="008033A6" w:rsidRDefault="001D2227" w:rsidP="006D24C3">
                  <w:pPr>
                    <w:spacing w:after="0" w:line="240" w:lineRule="auto"/>
                    <w:outlineLvl w:val="2"/>
                    <w:rPr>
                      <w:rFonts w:ascii="Arial" w:eastAsia="Times New Roman" w:hAnsi="Arial" w:cs="Arial"/>
                      <w:b/>
                      <w:bCs/>
                      <w:sz w:val="16"/>
                      <w:szCs w:val="16"/>
                      <w:lang w:val="en-GB" w:eastAsia="en-GB"/>
                    </w:rPr>
                  </w:pPr>
                  <w:r w:rsidRPr="008033A6">
                    <w:rPr>
                      <w:rFonts w:ascii="Arial" w:eastAsia="Times New Roman" w:hAnsi="Arial" w:cs="Arial"/>
                      <w:b/>
                      <w:bCs/>
                      <w:sz w:val="16"/>
                      <w:szCs w:val="16"/>
                      <w:lang w:val="en-GB" w:eastAsia="en-GB"/>
                    </w:rPr>
                    <w:t>Compliance with Laws and Regulations</w:t>
                  </w:r>
                </w:p>
                <w:p w14:paraId="7677FD43" w14:textId="77777777" w:rsidR="001D2227" w:rsidRDefault="001D2227" w:rsidP="006D24C3">
                  <w:pPr>
                    <w:spacing w:after="0"/>
                    <w:rPr>
                      <w:rFonts w:ascii="Arial" w:eastAsia="Times New Roman" w:hAnsi="Arial" w:cs="Arial"/>
                      <w:sz w:val="16"/>
                      <w:szCs w:val="16"/>
                      <w:lang w:val="en-GB" w:eastAsia="en-GB"/>
                    </w:rPr>
                  </w:pPr>
                  <w:r w:rsidRPr="008033A6">
                    <w:rPr>
                      <w:rFonts w:ascii="Arial" w:eastAsia="Times New Roman" w:hAnsi="Arial" w:cs="Arial"/>
                      <w:sz w:val="16"/>
                      <w:szCs w:val="16"/>
                      <w:lang w:val="en-GB" w:eastAsia="en-GB"/>
                    </w:rPr>
                    <w:t>• The study adhered to relevant legal and regulatory frameworks, including GDPR where applicable.</w:t>
                  </w:r>
                  <w:r w:rsidRPr="008033A6">
                    <w:rPr>
                      <w:rFonts w:ascii="Arial" w:eastAsia="Times New Roman" w:hAnsi="Arial" w:cs="Arial"/>
                      <w:sz w:val="16"/>
                      <w:szCs w:val="16"/>
                      <w:lang w:val="en-GB" w:eastAsia="en-GB"/>
                    </w:rPr>
                    <w:br/>
                    <w:t>• Publicly available data were used within lawful and fair use guidelines.</w:t>
                  </w:r>
                </w:p>
                <w:p w14:paraId="743BF3B0" w14:textId="77777777" w:rsidR="001D2227" w:rsidRPr="008033A6" w:rsidRDefault="001D2227" w:rsidP="006D24C3">
                  <w:pPr>
                    <w:spacing w:after="0" w:line="240" w:lineRule="auto"/>
                    <w:rPr>
                      <w:rFonts w:ascii="Arial" w:eastAsia="Times New Roman" w:hAnsi="Arial" w:cs="Arial"/>
                      <w:sz w:val="16"/>
                      <w:szCs w:val="16"/>
                      <w:lang w:val="en-GB" w:eastAsia="en-GB"/>
                    </w:rPr>
                  </w:pPr>
                  <w:r w:rsidRPr="008033A6">
                    <w:rPr>
                      <w:rFonts w:ascii="Arial" w:eastAsia="Times New Roman" w:hAnsi="Arial" w:cs="Arial"/>
                      <w:b/>
                      <w:bCs/>
                      <w:sz w:val="16"/>
                      <w:szCs w:val="16"/>
                      <w:lang w:val="en-GB" w:eastAsia="en-GB"/>
                    </w:rPr>
                    <w:t>Informed Consent</w:t>
                  </w:r>
                </w:p>
                <w:p w14:paraId="23F917BD" w14:textId="2B013F6B" w:rsidR="001D2227" w:rsidRDefault="001D2227" w:rsidP="006D24C3">
                  <w:pPr>
                    <w:spacing w:after="0" w:line="240" w:lineRule="auto"/>
                    <w:rPr>
                      <w:rFonts w:ascii="Arial" w:eastAsia="Times New Roman" w:hAnsi="Arial" w:cs="Arial"/>
                      <w:sz w:val="16"/>
                      <w:szCs w:val="16"/>
                      <w:lang w:val="en-GB" w:eastAsia="en-GB"/>
                    </w:rPr>
                  </w:pPr>
                  <w:r w:rsidRPr="008033A6">
                    <w:rPr>
                      <w:rFonts w:ascii="Arial" w:eastAsia="Times New Roman" w:hAnsi="Arial" w:cs="Arial"/>
                      <w:sz w:val="16"/>
                      <w:szCs w:val="16"/>
                      <w:lang w:val="en-GB" w:eastAsia="en-GB"/>
                    </w:rPr>
                    <w:t>• As the research relied solely on secondary data, direct informed consent was not required.</w:t>
                  </w:r>
                  <w:r w:rsidRPr="008033A6">
                    <w:rPr>
                      <w:rFonts w:ascii="Arial" w:eastAsia="Times New Roman" w:hAnsi="Arial" w:cs="Arial"/>
                      <w:sz w:val="16"/>
                      <w:szCs w:val="16"/>
                      <w:lang w:val="en-GB" w:eastAsia="en-GB"/>
                    </w:rPr>
                    <w:br/>
                    <w:t>• Secondary sources referencing primary data were screened to ensure ethical approval had been obtained.</w:t>
                  </w:r>
                </w:p>
              </w:tc>
            </w:tr>
          </w:tbl>
          <w:p w14:paraId="61F77902" w14:textId="0498720B" w:rsidR="001D2227" w:rsidRPr="00A71E46" w:rsidRDefault="001D2227" w:rsidP="006D24C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val="en-GB" w:eastAsia="en-GB"/>
              </w:rPr>
            </w:pPr>
            <w:r w:rsidRPr="00A71E46">
              <w:rPr>
                <w:rFonts w:ascii="Segoe UI Symbol" w:hAnsi="Segoe UI Symbol" w:cs="Segoe UI Symbol"/>
                <w:b/>
                <w:bCs/>
              </w:rPr>
              <w:t>⚖</w:t>
            </w:r>
            <w:r w:rsidRPr="00A71E46">
              <w:rPr>
                <w:rFonts w:ascii="Arial" w:hAnsi="Arial" w:cs="Arial"/>
                <w:b/>
                <w:bCs/>
              </w:rPr>
              <w:t xml:space="preserve"> ETHICAL CONSIDERATION</w:t>
            </w:r>
          </w:p>
        </w:tc>
      </w:tr>
    </w:tbl>
    <w:p w14:paraId="027D3B41" w14:textId="74F43892" w:rsidR="003E6D66" w:rsidRPr="003E6D66" w:rsidRDefault="003E6D66" w:rsidP="00740A68">
      <w:pPr>
        <w:keepNext/>
        <w:keepLines/>
        <w:spacing w:before="360" w:after="80" w:line="259" w:lineRule="auto"/>
        <w:outlineLvl w:val="0"/>
        <w:rPr>
          <w:rFonts w:ascii="Arial" w:eastAsiaTheme="majorEastAsia" w:hAnsi="Arial" w:cs="Arial"/>
          <w:color w:val="2F5496" w:themeColor="accent1" w:themeShade="BF"/>
          <w:kern w:val="2"/>
          <w:sz w:val="20"/>
          <w:szCs w:val="20"/>
          <w:lang w:val="en-GB"/>
          <w14:ligatures w14:val="standardContextual"/>
        </w:rPr>
      </w:pPr>
      <w:r w:rsidRPr="003E6D66">
        <w:rPr>
          <w:rFonts w:ascii="Arial" w:eastAsiaTheme="majorEastAsia" w:hAnsi="Arial" w:cs="Arial"/>
          <w:color w:val="2F5496" w:themeColor="accent1" w:themeShade="BF"/>
          <w:kern w:val="2"/>
          <w:sz w:val="20"/>
          <w:szCs w:val="20"/>
          <w:lang w:val="en-GB"/>
          <w14:ligatures w14:val="standardContextual"/>
        </w:rPr>
        <w:lastRenderedPageBreak/>
        <w:t>Appendix B: Thematic Coding Table</w:t>
      </w:r>
    </w:p>
    <w:tbl>
      <w:tblPr>
        <w:tblStyle w:val="GridTable4-Accent4"/>
        <w:tblW w:w="14596" w:type="dxa"/>
        <w:tblLayout w:type="fixed"/>
        <w:tblLook w:val="04A0" w:firstRow="1" w:lastRow="0" w:firstColumn="1" w:lastColumn="0" w:noHBand="0" w:noVBand="1"/>
      </w:tblPr>
      <w:tblGrid>
        <w:gridCol w:w="562"/>
        <w:gridCol w:w="1134"/>
        <w:gridCol w:w="1657"/>
        <w:gridCol w:w="4864"/>
        <w:gridCol w:w="4961"/>
        <w:gridCol w:w="1418"/>
      </w:tblGrid>
      <w:tr w:rsidR="003E6D66" w:rsidRPr="003E6D66" w14:paraId="78CDFC93" w14:textId="77777777" w:rsidTr="00BA273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9CC2E5" w:themeFill="accent5" w:themeFillTint="99"/>
          </w:tcPr>
          <w:p w14:paraId="1956ED94" w14:textId="77777777" w:rsidR="003E6D66" w:rsidRPr="003E6D66" w:rsidRDefault="003E6D66" w:rsidP="003E6D66">
            <w:pPr>
              <w:spacing w:after="0" w:line="240" w:lineRule="auto"/>
              <w:jc w:val="both"/>
              <w:rPr>
                <w:rFonts w:ascii="Arial" w:hAnsi="Arial" w:cs="Arial"/>
                <w:color w:val="1F4E79" w:themeColor="accent5" w:themeShade="80"/>
                <w:sz w:val="16"/>
                <w:szCs w:val="16"/>
              </w:rPr>
            </w:pPr>
            <w:r w:rsidRPr="003E6D66">
              <w:rPr>
                <w:rFonts w:ascii="Arial" w:hAnsi="Arial" w:cs="Arial"/>
                <w:color w:val="1F4E79" w:themeColor="accent5" w:themeShade="80"/>
                <w:sz w:val="16"/>
                <w:szCs w:val="16"/>
              </w:rPr>
              <w:t>Saved?</w:t>
            </w:r>
          </w:p>
        </w:tc>
        <w:tc>
          <w:tcPr>
            <w:tcW w:w="1134" w:type="dxa"/>
            <w:shd w:val="clear" w:color="auto" w:fill="9CC2E5" w:themeFill="accent5" w:themeFillTint="99"/>
          </w:tcPr>
          <w:p w14:paraId="36E50CC0" w14:textId="77777777" w:rsidR="003E6D66" w:rsidRPr="003E6D66" w:rsidRDefault="003E6D66" w:rsidP="003E6D66">
            <w:pPr>
              <w:spacing w:after="0" w:line="24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1F4E79" w:themeColor="accent5" w:themeShade="80"/>
                <w:sz w:val="16"/>
                <w:szCs w:val="16"/>
              </w:rPr>
            </w:pPr>
            <w:r w:rsidRPr="003E6D66">
              <w:rPr>
                <w:rFonts w:ascii="Arial" w:hAnsi="Arial" w:cs="Arial"/>
                <w:color w:val="1F4E79" w:themeColor="accent5" w:themeShade="80"/>
                <w:sz w:val="16"/>
                <w:szCs w:val="16"/>
              </w:rPr>
              <w:t>Author &amp; Year</w:t>
            </w:r>
          </w:p>
        </w:tc>
        <w:tc>
          <w:tcPr>
            <w:tcW w:w="1657" w:type="dxa"/>
            <w:shd w:val="clear" w:color="auto" w:fill="9CC2E5" w:themeFill="accent5" w:themeFillTint="99"/>
          </w:tcPr>
          <w:p w14:paraId="0C270542" w14:textId="77777777" w:rsidR="003E6D66" w:rsidRPr="003E6D66" w:rsidRDefault="003E6D66" w:rsidP="003E6D66">
            <w:pPr>
              <w:spacing w:after="0" w:line="24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1F4E79" w:themeColor="accent5" w:themeShade="80"/>
                <w:sz w:val="16"/>
                <w:szCs w:val="16"/>
              </w:rPr>
            </w:pPr>
            <w:r w:rsidRPr="003E6D66">
              <w:rPr>
                <w:rFonts w:ascii="Arial" w:hAnsi="Arial" w:cs="Arial"/>
                <w:color w:val="1F4E79" w:themeColor="accent5" w:themeShade="80"/>
                <w:sz w:val="16"/>
                <w:szCs w:val="16"/>
              </w:rPr>
              <w:t>Title</w:t>
            </w:r>
          </w:p>
        </w:tc>
        <w:tc>
          <w:tcPr>
            <w:tcW w:w="4864" w:type="dxa"/>
            <w:shd w:val="clear" w:color="auto" w:fill="9CC2E5" w:themeFill="accent5" w:themeFillTint="99"/>
          </w:tcPr>
          <w:p w14:paraId="500170D8" w14:textId="77777777" w:rsidR="003E6D66" w:rsidRPr="003E6D66" w:rsidRDefault="003E6D66" w:rsidP="003E6D66">
            <w:pPr>
              <w:spacing w:after="0" w:line="24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1F4E79" w:themeColor="accent5" w:themeShade="80"/>
                <w:sz w:val="16"/>
                <w:szCs w:val="16"/>
              </w:rPr>
            </w:pPr>
            <w:r w:rsidRPr="003E6D66">
              <w:rPr>
                <w:rFonts w:ascii="Arial" w:hAnsi="Arial" w:cs="Arial"/>
                <w:color w:val="1F4E79" w:themeColor="accent5" w:themeShade="80"/>
                <w:sz w:val="16"/>
                <w:szCs w:val="16"/>
              </w:rPr>
              <w:t>Summary</w:t>
            </w:r>
          </w:p>
        </w:tc>
        <w:tc>
          <w:tcPr>
            <w:tcW w:w="4961" w:type="dxa"/>
            <w:shd w:val="clear" w:color="auto" w:fill="9CC2E5" w:themeFill="accent5" w:themeFillTint="99"/>
          </w:tcPr>
          <w:p w14:paraId="6252ED54" w14:textId="77777777" w:rsidR="003E6D66" w:rsidRPr="003E6D66" w:rsidRDefault="003E6D66" w:rsidP="003E6D66">
            <w:pPr>
              <w:spacing w:after="0" w:line="24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1F4E79" w:themeColor="accent5" w:themeShade="80"/>
                <w:sz w:val="16"/>
                <w:szCs w:val="16"/>
              </w:rPr>
            </w:pPr>
            <w:r w:rsidRPr="003E6D66">
              <w:rPr>
                <w:rFonts w:ascii="Arial" w:hAnsi="Arial" w:cs="Arial"/>
                <w:color w:val="1F4E79" w:themeColor="accent5" w:themeShade="80"/>
                <w:sz w:val="16"/>
                <w:szCs w:val="16"/>
              </w:rPr>
              <w:t>CRAAP Notes</w:t>
            </w:r>
          </w:p>
        </w:tc>
        <w:tc>
          <w:tcPr>
            <w:tcW w:w="1418" w:type="dxa"/>
            <w:shd w:val="clear" w:color="auto" w:fill="9CC2E5" w:themeFill="accent5" w:themeFillTint="99"/>
          </w:tcPr>
          <w:p w14:paraId="226787B5" w14:textId="77777777" w:rsidR="003E6D66" w:rsidRPr="003E6D66" w:rsidRDefault="003E6D66" w:rsidP="003E6D66">
            <w:pPr>
              <w:spacing w:after="0" w:line="24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1F4E79" w:themeColor="accent5" w:themeShade="80"/>
                <w:sz w:val="16"/>
                <w:szCs w:val="16"/>
              </w:rPr>
            </w:pPr>
            <w:r w:rsidRPr="003E6D66">
              <w:rPr>
                <w:rFonts w:ascii="Arial" w:hAnsi="Arial" w:cs="Arial"/>
                <w:color w:val="1F4E79" w:themeColor="accent5" w:themeShade="80"/>
                <w:sz w:val="16"/>
                <w:szCs w:val="16"/>
              </w:rPr>
              <w:t>File Name / Link</w:t>
            </w:r>
          </w:p>
        </w:tc>
      </w:tr>
      <w:tr w:rsidR="003E6D66" w:rsidRPr="003E6D66" w14:paraId="631A7215" w14:textId="77777777" w:rsidTr="00740A6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E2EFD9" w:themeFill="accent6" w:themeFillTint="33"/>
          </w:tcPr>
          <w:p w14:paraId="115F7ABB" w14:textId="77777777" w:rsidR="003E6D66" w:rsidRPr="003E6D66" w:rsidRDefault="003E6D66" w:rsidP="003E6D66">
            <w:pPr>
              <w:spacing w:after="0" w:line="24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Yes</w:t>
            </w:r>
          </w:p>
        </w:tc>
        <w:tc>
          <w:tcPr>
            <w:tcW w:w="1134" w:type="dxa"/>
            <w:shd w:val="clear" w:color="auto" w:fill="E2EFD9" w:themeFill="accent6" w:themeFillTint="33"/>
          </w:tcPr>
          <w:p w14:paraId="16F41DFF" w14:textId="77777777" w:rsidR="003E6D66" w:rsidRPr="003E6D66" w:rsidRDefault="003E6D66" w:rsidP="003E6D66">
            <w:pPr>
              <w:spacing w:after="0"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World Health Organization (2023)</w:t>
            </w:r>
          </w:p>
        </w:tc>
        <w:tc>
          <w:tcPr>
            <w:tcW w:w="1657" w:type="dxa"/>
            <w:shd w:val="clear" w:color="auto" w:fill="E2EFD9" w:themeFill="accent6" w:themeFillTint="33"/>
          </w:tcPr>
          <w:p w14:paraId="2E2F6CBF" w14:textId="77777777" w:rsidR="003E6D66" w:rsidRPr="003E6D66" w:rsidRDefault="003E6D66" w:rsidP="003E6D66">
            <w:pPr>
              <w:spacing w:after="0"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Schizophrenia Fact Sheet</w:t>
            </w:r>
          </w:p>
        </w:tc>
        <w:tc>
          <w:tcPr>
            <w:tcW w:w="4864" w:type="dxa"/>
            <w:shd w:val="clear" w:color="auto" w:fill="E2EFD9" w:themeFill="accent6" w:themeFillTint="33"/>
          </w:tcPr>
          <w:p w14:paraId="6C6B9C33" w14:textId="77777777" w:rsidR="003E6D66" w:rsidRPr="003E6D66" w:rsidRDefault="003E6D66" w:rsidP="003E6D66">
            <w:pPr>
              <w:spacing w:after="0"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Provides a global overview of schizophrenia, including prevalence, symptoms, and recommended treatment approaches. Used to define schizophrenia and establish global relevance.</w:t>
            </w:r>
          </w:p>
        </w:tc>
        <w:tc>
          <w:tcPr>
            <w:tcW w:w="4961" w:type="dxa"/>
            <w:shd w:val="clear" w:color="auto" w:fill="E2EFD9" w:themeFill="accent6" w:themeFillTint="33"/>
          </w:tcPr>
          <w:p w14:paraId="77542EEF" w14:textId="77777777" w:rsidR="003E6D66" w:rsidRPr="003E6D66" w:rsidRDefault="003E6D66" w:rsidP="003E6D66">
            <w:pPr>
              <w:spacing w:after="0"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Currency: 2023; Relevance: High; Authority: WHO; Accuracy: Evidence-based; Purpose: Informative</w:t>
            </w:r>
          </w:p>
        </w:tc>
        <w:tc>
          <w:tcPr>
            <w:tcW w:w="1418" w:type="dxa"/>
            <w:shd w:val="clear" w:color="auto" w:fill="E2EFD9" w:themeFill="accent6" w:themeFillTint="33"/>
          </w:tcPr>
          <w:p w14:paraId="739981EE" w14:textId="77777777" w:rsidR="003E6D66" w:rsidRPr="003E6D66" w:rsidRDefault="003E6D66" w:rsidP="003E6D66">
            <w:pPr>
              <w:spacing w:after="0"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WHO_Schizophrenia_2023</w:t>
            </w:r>
          </w:p>
        </w:tc>
      </w:tr>
      <w:tr w:rsidR="003E6D66" w:rsidRPr="003E6D66" w14:paraId="452A869B" w14:textId="77777777" w:rsidTr="00740A6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E2EFD9" w:themeFill="accent6" w:themeFillTint="33"/>
          </w:tcPr>
          <w:p w14:paraId="08977BC1" w14:textId="77777777" w:rsidR="003E6D66" w:rsidRPr="003E6D66" w:rsidRDefault="003E6D66" w:rsidP="003E6D66">
            <w:pPr>
              <w:spacing w:after="0" w:line="24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Yes</w:t>
            </w:r>
          </w:p>
        </w:tc>
        <w:tc>
          <w:tcPr>
            <w:tcW w:w="1134" w:type="dxa"/>
            <w:shd w:val="clear" w:color="auto" w:fill="E2EFD9" w:themeFill="accent6" w:themeFillTint="33"/>
          </w:tcPr>
          <w:p w14:paraId="367352B6" w14:textId="77777777" w:rsidR="003E6D66" w:rsidRPr="003E6D66" w:rsidRDefault="003E6D66" w:rsidP="003E6D66">
            <w:pPr>
              <w:spacing w:after="0" w:line="24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NHS England (2022)</w:t>
            </w:r>
          </w:p>
        </w:tc>
        <w:tc>
          <w:tcPr>
            <w:tcW w:w="1657" w:type="dxa"/>
            <w:shd w:val="clear" w:color="auto" w:fill="E2EFD9" w:themeFill="accent6" w:themeFillTint="33"/>
          </w:tcPr>
          <w:p w14:paraId="0138E16B" w14:textId="77777777" w:rsidR="003E6D66" w:rsidRPr="003E6D66" w:rsidRDefault="003E6D66" w:rsidP="003E6D66">
            <w:pPr>
              <w:spacing w:after="0" w:line="24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Mental Health Services: Access and Waiting Times</w:t>
            </w:r>
          </w:p>
        </w:tc>
        <w:tc>
          <w:tcPr>
            <w:tcW w:w="4864" w:type="dxa"/>
            <w:shd w:val="clear" w:color="auto" w:fill="E2EFD9" w:themeFill="accent6" w:themeFillTint="33"/>
          </w:tcPr>
          <w:p w14:paraId="7E2C7C6A" w14:textId="77777777" w:rsidR="003E6D66" w:rsidRPr="003E6D66" w:rsidRDefault="003E6D66" w:rsidP="003E6D66">
            <w:pPr>
              <w:spacing w:after="0" w:line="24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Presents national data on access, waiting times, and performance of mental health services in England, including EIP standards.</w:t>
            </w:r>
          </w:p>
        </w:tc>
        <w:tc>
          <w:tcPr>
            <w:tcW w:w="4961" w:type="dxa"/>
            <w:shd w:val="clear" w:color="auto" w:fill="E2EFD9" w:themeFill="accent6" w:themeFillTint="33"/>
          </w:tcPr>
          <w:p w14:paraId="0BADF7B5" w14:textId="77777777" w:rsidR="003E6D66" w:rsidRPr="003E6D66" w:rsidRDefault="003E6D66" w:rsidP="003E6D66">
            <w:pPr>
              <w:spacing w:after="0" w:line="24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Currency: Recent; Relevance: UK services; Authority: NHS; Accuracy: Official data; Purpose: Evaluation</w:t>
            </w:r>
          </w:p>
        </w:tc>
        <w:tc>
          <w:tcPr>
            <w:tcW w:w="1418" w:type="dxa"/>
            <w:shd w:val="clear" w:color="auto" w:fill="E2EFD9" w:themeFill="accent6" w:themeFillTint="33"/>
          </w:tcPr>
          <w:p w14:paraId="2C0489E3" w14:textId="77777777" w:rsidR="003E6D66" w:rsidRPr="003E6D66" w:rsidRDefault="003E6D66" w:rsidP="003E6D66">
            <w:pPr>
              <w:spacing w:after="0" w:line="24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NHS_MH_Access_2022</w:t>
            </w:r>
          </w:p>
        </w:tc>
      </w:tr>
      <w:tr w:rsidR="003E6D66" w:rsidRPr="003E6D66" w14:paraId="6F763886" w14:textId="77777777" w:rsidTr="00740A6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E2EFD9" w:themeFill="accent6" w:themeFillTint="33"/>
          </w:tcPr>
          <w:p w14:paraId="0B7ACA8B" w14:textId="77777777" w:rsidR="003E6D66" w:rsidRPr="003E6D66" w:rsidRDefault="003E6D66" w:rsidP="003E6D66">
            <w:pPr>
              <w:spacing w:after="0" w:line="24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Yes</w:t>
            </w:r>
          </w:p>
        </w:tc>
        <w:tc>
          <w:tcPr>
            <w:tcW w:w="1134" w:type="dxa"/>
            <w:shd w:val="clear" w:color="auto" w:fill="E2EFD9" w:themeFill="accent6" w:themeFillTint="33"/>
          </w:tcPr>
          <w:p w14:paraId="00B8EEFF" w14:textId="77777777" w:rsidR="003E6D66" w:rsidRPr="003E6D66" w:rsidRDefault="003E6D66" w:rsidP="003E6D66">
            <w:pPr>
              <w:spacing w:after="0"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Care Quality Commission (2023)</w:t>
            </w:r>
          </w:p>
        </w:tc>
        <w:tc>
          <w:tcPr>
            <w:tcW w:w="1657" w:type="dxa"/>
            <w:shd w:val="clear" w:color="auto" w:fill="E2EFD9" w:themeFill="accent6" w:themeFillTint="33"/>
          </w:tcPr>
          <w:p w14:paraId="51B55E77" w14:textId="77777777" w:rsidR="003E6D66" w:rsidRPr="003E6D66" w:rsidRDefault="003E6D66" w:rsidP="003E6D66">
            <w:pPr>
              <w:spacing w:after="0"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Mental Health Services Annual Report</w:t>
            </w:r>
          </w:p>
        </w:tc>
        <w:tc>
          <w:tcPr>
            <w:tcW w:w="4864" w:type="dxa"/>
            <w:shd w:val="clear" w:color="auto" w:fill="E2EFD9" w:themeFill="accent6" w:themeFillTint="33"/>
          </w:tcPr>
          <w:p w14:paraId="35F5CD0E" w14:textId="77777777" w:rsidR="003E6D66" w:rsidRPr="003E6D66" w:rsidRDefault="003E6D66" w:rsidP="003E6D66">
            <w:pPr>
              <w:spacing w:after="0"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Examines quality, safety, workforce pressures, and inequalities across NHS mental health services.</w:t>
            </w:r>
          </w:p>
        </w:tc>
        <w:tc>
          <w:tcPr>
            <w:tcW w:w="4961" w:type="dxa"/>
            <w:shd w:val="clear" w:color="auto" w:fill="E2EFD9" w:themeFill="accent6" w:themeFillTint="33"/>
          </w:tcPr>
          <w:p w14:paraId="31C85E84" w14:textId="77777777" w:rsidR="003E6D66" w:rsidRPr="003E6D66" w:rsidRDefault="003E6D66" w:rsidP="003E6D66">
            <w:pPr>
              <w:spacing w:after="0"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Currency: Current; Relevance: Service delivery; Authority: Regulator; Accuracy: Inspection-based; Purpose: Monitoring</w:t>
            </w:r>
          </w:p>
        </w:tc>
        <w:tc>
          <w:tcPr>
            <w:tcW w:w="1418" w:type="dxa"/>
            <w:shd w:val="clear" w:color="auto" w:fill="E2EFD9" w:themeFill="accent6" w:themeFillTint="33"/>
          </w:tcPr>
          <w:p w14:paraId="6EDEABEB" w14:textId="77777777" w:rsidR="003E6D66" w:rsidRPr="003E6D66" w:rsidRDefault="003E6D66" w:rsidP="003E6D66">
            <w:pPr>
              <w:spacing w:after="0"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CQC_MH_Report_2023</w:t>
            </w:r>
          </w:p>
        </w:tc>
      </w:tr>
      <w:tr w:rsidR="003E6D66" w:rsidRPr="003E6D66" w14:paraId="097729ED" w14:textId="77777777" w:rsidTr="00740A6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E2EFD9" w:themeFill="accent6" w:themeFillTint="33"/>
          </w:tcPr>
          <w:p w14:paraId="25636B16" w14:textId="77777777" w:rsidR="003E6D66" w:rsidRPr="003E6D66" w:rsidRDefault="003E6D66" w:rsidP="003E6D66">
            <w:pPr>
              <w:spacing w:after="0" w:line="24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Yes</w:t>
            </w:r>
          </w:p>
        </w:tc>
        <w:tc>
          <w:tcPr>
            <w:tcW w:w="1134" w:type="dxa"/>
            <w:shd w:val="clear" w:color="auto" w:fill="E2EFD9" w:themeFill="accent6" w:themeFillTint="33"/>
          </w:tcPr>
          <w:p w14:paraId="720FEEF3" w14:textId="77777777" w:rsidR="003E6D66" w:rsidRPr="003E6D66" w:rsidRDefault="003E6D66" w:rsidP="003E6D66">
            <w:pPr>
              <w:spacing w:after="0" w:line="24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NICE (2020)</w:t>
            </w:r>
          </w:p>
        </w:tc>
        <w:tc>
          <w:tcPr>
            <w:tcW w:w="1657" w:type="dxa"/>
            <w:shd w:val="clear" w:color="auto" w:fill="E2EFD9" w:themeFill="accent6" w:themeFillTint="33"/>
          </w:tcPr>
          <w:p w14:paraId="684ED6D0" w14:textId="77777777" w:rsidR="003E6D66" w:rsidRPr="003E6D66" w:rsidRDefault="003E6D66" w:rsidP="003E6D66">
            <w:pPr>
              <w:spacing w:after="0" w:line="24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Psychosis and Schizophrenia in Adults (NG222)</w:t>
            </w:r>
          </w:p>
        </w:tc>
        <w:tc>
          <w:tcPr>
            <w:tcW w:w="4864" w:type="dxa"/>
            <w:shd w:val="clear" w:color="auto" w:fill="E2EFD9" w:themeFill="accent6" w:themeFillTint="33"/>
          </w:tcPr>
          <w:p w14:paraId="3393D130" w14:textId="77777777" w:rsidR="003E6D66" w:rsidRPr="003E6D66" w:rsidRDefault="003E6D66" w:rsidP="003E6D66">
            <w:pPr>
              <w:spacing w:after="0" w:line="24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National clinical guideline outlining recommended pharmacological, psychological, and social interventions for schizophrenia.</w:t>
            </w:r>
          </w:p>
        </w:tc>
        <w:tc>
          <w:tcPr>
            <w:tcW w:w="4961" w:type="dxa"/>
            <w:shd w:val="clear" w:color="auto" w:fill="E2EFD9" w:themeFill="accent6" w:themeFillTint="33"/>
          </w:tcPr>
          <w:p w14:paraId="48CD004B" w14:textId="77777777" w:rsidR="003E6D66" w:rsidRPr="003E6D66" w:rsidRDefault="003E6D66" w:rsidP="003E6D66">
            <w:pPr>
              <w:spacing w:after="0" w:line="24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Currency: Current; Relevance: Core guidance; Authority: NICE; Accuracy: Systematic reviews; Purpose: Clinical guidance</w:t>
            </w:r>
          </w:p>
        </w:tc>
        <w:tc>
          <w:tcPr>
            <w:tcW w:w="1418" w:type="dxa"/>
            <w:shd w:val="clear" w:color="auto" w:fill="E2EFD9" w:themeFill="accent6" w:themeFillTint="33"/>
          </w:tcPr>
          <w:p w14:paraId="7B911FA0" w14:textId="77777777" w:rsidR="003E6D66" w:rsidRPr="003E6D66" w:rsidRDefault="003E6D66" w:rsidP="003E6D66">
            <w:pPr>
              <w:spacing w:after="0" w:line="24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NICE_NG222_2020</w:t>
            </w:r>
          </w:p>
        </w:tc>
      </w:tr>
      <w:tr w:rsidR="003E6D66" w:rsidRPr="003E6D66" w14:paraId="19C92E5D" w14:textId="77777777" w:rsidTr="00740A6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E2EFD9" w:themeFill="accent6" w:themeFillTint="33"/>
          </w:tcPr>
          <w:p w14:paraId="3B9012AF" w14:textId="77777777" w:rsidR="003E6D66" w:rsidRPr="003E6D66" w:rsidRDefault="003E6D66" w:rsidP="003E6D66">
            <w:pPr>
              <w:spacing w:after="0" w:line="24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Yes</w:t>
            </w:r>
          </w:p>
        </w:tc>
        <w:tc>
          <w:tcPr>
            <w:tcW w:w="1134" w:type="dxa"/>
            <w:shd w:val="clear" w:color="auto" w:fill="E2EFD9" w:themeFill="accent6" w:themeFillTint="33"/>
          </w:tcPr>
          <w:p w14:paraId="21299626" w14:textId="77777777" w:rsidR="003E6D66" w:rsidRPr="003E6D66" w:rsidRDefault="003E6D66" w:rsidP="003E6D66">
            <w:pPr>
              <w:spacing w:after="0"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Thornicroft et al. (2022)</w:t>
            </w:r>
          </w:p>
        </w:tc>
        <w:tc>
          <w:tcPr>
            <w:tcW w:w="1657" w:type="dxa"/>
            <w:shd w:val="clear" w:color="auto" w:fill="E2EFD9" w:themeFill="accent6" w:themeFillTint="33"/>
          </w:tcPr>
          <w:p w14:paraId="5371E9B9" w14:textId="77777777" w:rsidR="003E6D66" w:rsidRPr="003E6D66" w:rsidRDefault="003E6D66" w:rsidP="003E6D66">
            <w:pPr>
              <w:spacing w:after="0"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Community Mental Health Care</w:t>
            </w:r>
          </w:p>
        </w:tc>
        <w:tc>
          <w:tcPr>
            <w:tcW w:w="4864" w:type="dxa"/>
            <w:shd w:val="clear" w:color="auto" w:fill="E2EFD9" w:themeFill="accent6" w:themeFillTint="33"/>
          </w:tcPr>
          <w:p w14:paraId="542047B5" w14:textId="77777777" w:rsidR="003E6D66" w:rsidRPr="003E6D66" w:rsidRDefault="003E6D66" w:rsidP="003E6D66">
            <w:pPr>
              <w:spacing w:after="0"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Explores effectiveness of community-based mental health services and continuity of care for severe mental illness.</w:t>
            </w:r>
          </w:p>
        </w:tc>
        <w:tc>
          <w:tcPr>
            <w:tcW w:w="4961" w:type="dxa"/>
            <w:shd w:val="clear" w:color="auto" w:fill="E2EFD9" w:themeFill="accent6" w:themeFillTint="33"/>
          </w:tcPr>
          <w:p w14:paraId="756BBB00" w14:textId="77777777" w:rsidR="003E6D66" w:rsidRPr="003E6D66" w:rsidRDefault="003E6D66" w:rsidP="003E6D66">
            <w:pPr>
              <w:spacing w:after="0"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Currency: Recent; Relevance: Community care; Authority: Academic experts; Accuracy: Evidence-based; Purpose: Scholarly</w:t>
            </w:r>
          </w:p>
        </w:tc>
        <w:tc>
          <w:tcPr>
            <w:tcW w:w="1418" w:type="dxa"/>
            <w:shd w:val="clear" w:color="auto" w:fill="E2EFD9" w:themeFill="accent6" w:themeFillTint="33"/>
          </w:tcPr>
          <w:p w14:paraId="40F1DD72" w14:textId="77777777" w:rsidR="003E6D66" w:rsidRPr="003E6D66" w:rsidRDefault="003E6D66" w:rsidP="003E6D66">
            <w:pPr>
              <w:spacing w:after="0"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Thornicroft_2022</w:t>
            </w:r>
          </w:p>
        </w:tc>
      </w:tr>
      <w:tr w:rsidR="003E6D66" w:rsidRPr="003E6D66" w14:paraId="653E6FA1" w14:textId="77777777" w:rsidTr="00740A6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E2EFD9" w:themeFill="accent6" w:themeFillTint="33"/>
          </w:tcPr>
          <w:p w14:paraId="5604785B" w14:textId="77777777" w:rsidR="003E6D66" w:rsidRPr="003E6D66" w:rsidRDefault="003E6D66" w:rsidP="003E6D66">
            <w:pPr>
              <w:spacing w:after="0" w:line="24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Yes</w:t>
            </w:r>
          </w:p>
        </w:tc>
        <w:tc>
          <w:tcPr>
            <w:tcW w:w="1134" w:type="dxa"/>
            <w:shd w:val="clear" w:color="auto" w:fill="E2EFD9" w:themeFill="accent6" w:themeFillTint="33"/>
          </w:tcPr>
          <w:p w14:paraId="048A1B58" w14:textId="77777777" w:rsidR="003E6D66" w:rsidRPr="003E6D66" w:rsidRDefault="003E6D66" w:rsidP="003E6D66">
            <w:pPr>
              <w:spacing w:after="0" w:line="24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Leucht et al. (2019)</w:t>
            </w:r>
          </w:p>
        </w:tc>
        <w:tc>
          <w:tcPr>
            <w:tcW w:w="1657" w:type="dxa"/>
            <w:shd w:val="clear" w:color="auto" w:fill="E2EFD9" w:themeFill="accent6" w:themeFillTint="33"/>
          </w:tcPr>
          <w:p w14:paraId="4147C21B" w14:textId="77777777" w:rsidR="003E6D66" w:rsidRPr="003E6D66" w:rsidRDefault="003E6D66" w:rsidP="003E6D66">
            <w:pPr>
              <w:spacing w:after="0" w:line="24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Antipsychotic Drugs versus Placebo for Relapse Prevention</w:t>
            </w:r>
          </w:p>
        </w:tc>
        <w:tc>
          <w:tcPr>
            <w:tcW w:w="4864" w:type="dxa"/>
            <w:shd w:val="clear" w:color="auto" w:fill="E2EFD9" w:themeFill="accent6" w:themeFillTint="33"/>
          </w:tcPr>
          <w:p w14:paraId="78EE560E" w14:textId="77777777" w:rsidR="003E6D66" w:rsidRPr="003E6D66" w:rsidRDefault="003E6D66" w:rsidP="003E6D66">
            <w:pPr>
              <w:spacing w:after="0" w:line="24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Meta-analysis demonstrating the effectiveness of antipsychotic medication in preventing relapse in schizophrenia.</w:t>
            </w:r>
          </w:p>
        </w:tc>
        <w:tc>
          <w:tcPr>
            <w:tcW w:w="4961" w:type="dxa"/>
            <w:shd w:val="clear" w:color="auto" w:fill="E2EFD9" w:themeFill="accent6" w:themeFillTint="33"/>
          </w:tcPr>
          <w:p w14:paraId="6A684587" w14:textId="77777777" w:rsidR="003E6D66" w:rsidRPr="003E6D66" w:rsidRDefault="003E6D66" w:rsidP="003E6D66">
            <w:pPr>
              <w:spacing w:after="0" w:line="24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Currency: Seminal; Relevance: Treatment effectiveness; Authority: Lancet Psychiatry; Accuracy: Meta-analysis; Purpose: Scientific</w:t>
            </w:r>
          </w:p>
        </w:tc>
        <w:tc>
          <w:tcPr>
            <w:tcW w:w="1418" w:type="dxa"/>
            <w:shd w:val="clear" w:color="auto" w:fill="E2EFD9" w:themeFill="accent6" w:themeFillTint="33"/>
          </w:tcPr>
          <w:p w14:paraId="3D40425B" w14:textId="77777777" w:rsidR="003E6D66" w:rsidRPr="003E6D66" w:rsidRDefault="003E6D66" w:rsidP="003E6D66">
            <w:pPr>
              <w:spacing w:after="0" w:line="24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Leucht_2019</w:t>
            </w:r>
          </w:p>
        </w:tc>
      </w:tr>
      <w:tr w:rsidR="003E6D66" w:rsidRPr="003E6D66" w14:paraId="5CFCEB0F" w14:textId="77777777" w:rsidTr="00740A6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E2EFD9" w:themeFill="accent6" w:themeFillTint="33"/>
          </w:tcPr>
          <w:p w14:paraId="436888AF" w14:textId="77777777" w:rsidR="003E6D66" w:rsidRPr="003E6D66" w:rsidRDefault="003E6D66" w:rsidP="003E6D66">
            <w:pPr>
              <w:spacing w:after="0" w:line="24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Yes</w:t>
            </w:r>
          </w:p>
        </w:tc>
        <w:tc>
          <w:tcPr>
            <w:tcW w:w="1134" w:type="dxa"/>
            <w:shd w:val="clear" w:color="auto" w:fill="E2EFD9" w:themeFill="accent6" w:themeFillTint="33"/>
          </w:tcPr>
          <w:p w14:paraId="1C5078DE" w14:textId="77777777" w:rsidR="003E6D66" w:rsidRPr="003E6D66" w:rsidRDefault="003E6D66" w:rsidP="003E6D66">
            <w:pPr>
              <w:spacing w:after="0"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Rogers &amp; Pilgrim (2020)</w:t>
            </w:r>
          </w:p>
        </w:tc>
        <w:tc>
          <w:tcPr>
            <w:tcW w:w="1657" w:type="dxa"/>
            <w:shd w:val="clear" w:color="auto" w:fill="E2EFD9" w:themeFill="accent6" w:themeFillTint="33"/>
          </w:tcPr>
          <w:p w14:paraId="5639A793" w14:textId="77777777" w:rsidR="003E6D66" w:rsidRPr="003E6D66" w:rsidRDefault="003E6D66" w:rsidP="003E6D66">
            <w:pPr>
              <w:spacing w:after="0"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Mental Health Policy in Britain</w:t>
            </w:r>
          </w:p>
        </w:tc>
        <w:tc>
          <w:tcPr>
            <w:tcW w:w="4864" w:type="dxa"/>
            <w:shd w:val="clear" w:color="auto" w:fill="E2EFD9" w:themeFill="accent6" w:themeFillTint="33"/>
          </w:tcPr>
          <w:p w14:paraId="7CDEA4D1" w14:textId="77777777" w:rsidR="003E6D66" w:rsidRPr="003E6D66" w:rsidRDefault="003E6D66" w:rsidP="003E6D66">
            <w:pPr>
              <w:spacing w:after="0"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Provides historical and sociopolitical analysis of UK mental health policy and service development.</w:t>
            </w:r>
          </w:p>
        </w:tc>
        <w:tc>
          <w:tcPr>
            <w:tcW w:w="4961" w:type="dxa"/>
            <w:shd w:val="clear" w:color="auto" w:fill="E2EFD9" w:themeFill="accent6" w:themeFillTint="33"/>
          </w:tcPr>
          <w:p w14:paraId="0465CDC8" w14:textId="77777777" w:rsidR="003E6D66" w:rsidRPr="003E6D66" w:rsidRDefault="003E6D66" w:rsidP="003E6D66">
            <w:pPr>
              <w:spacing w:after="0"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Currency: Updated edition; Relevance: Policy context; Authority: Established authors; Accuracy: Scholarly synthesis; Purpose: Academic</w:t>
            </w:r>
          </w:p>
        </w:tc>
        <w:tc>
          <w:tcPr>
            <w:tcW w:w="1418" w:type="dxa"/>
            <w:shd w:val="clear" w:color="auto" w:fill="E2EFD9" w:themeFill="accent6" w:themeFillTint="33"/>
          </w:tcPr>
          <w:p w14:paraId="50941BD7" w14:textId="77777777" w:rsidR="003E6D66" w:rsidRPr="003E6D66" w:rsidRDefault="003E6D66" w:rsidP="003E6D66">
            <w:pPr>
              <w:spacing w:after="0"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Rogers_Pilgrim_2020</w:t>
            </w:r>
          </w:p>
        </w:tc>
      </w:tr>
      <w:tr w:rsidR="003E6D66" w:rsidRPr="003E6D66" w14:paraId="7B16F6A5" w14:textId="77777777" w:rsidTr="00740A6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E2EFD9" w:themeFill="accent6" w:themeFillTint="33"/>
          </w:tcPr>
          <w:p w14:paraId="21FF9B54" w14:textId="77777777" w:rsidR="003E6D66" w:rsidRPr="003E6D66" w:rsidRDefault="003E6D66" w:rsidP="003E6D66">
            <w:pPr>
              <w:spacing w:after="0" w:line="24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Yes</w:t>
            </w:r>
          </w:p>
        </w:tc>
        <w:tc>
          <w:tcPr>
            <w:tcW w:w="1134" w:type="dxa"/>
            <w:shd w:val="clear" w:color="auto" w:fill="E2EFD9" w:themeFill="accent6" w:themeFillTint="33"/>
          </w:tcPr>
          <w:p w14:paraId="65F6AF05" w14:textId="77777777" w:rsidR="003E6D66" w:rsidRPr="003E6D66" w:rsidRDefault="003E6D66" w:rsidP="003E6D66">
            <w:pPr>
              <w:spacing w:after="0" w:line="24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Slade (2009)</w:t>
            </w:r>
          </w:p>
        </w:tc>
        <w:tc>
          <w:tcPr>
            <w:tcW w:w="1657" w:type="dxa"/>
            <w:shd w:val="clear" w:color="auto" w:fill="E2EFD9" w:themeFill="accent6" w:themeFillTint="33"/>
          </w:tcPr>
          <w:p w14:paraId="43A533EC" w14:textId="77777777" w:rsidR="003E6D66" w:rsidRPr="003E6D66" w:rsidRDefault="003E6D66" w:rsidP="003E6D66">
            <w:pPr>
              <w:spacing w:after="0" w:line="24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Personal Recovery and Mental Illness</w:t>
            </w:r>
          </w:p>
        </w:tc>
        <w:tc>
          <w:tcPr>
            <w:tcW w:w="4864" w:type="dxa"/>
            <w:shd w:val="clear" w:color="auto" w:fill="E2EFD9" w:themeFill="accent6" w:themeFillTint="33"/>
          </w:tcPr>
          <w:p w14:paraId="33C5CE29" w14:textId="77777777" w:rsidR="003E6D66" w:rsidRPr="003E6D66" w:rsidRDefault="003E6D66" w:rsidP="003E6D66">
            <w:pPr>
              <w:spacing w:after="0" w:line="24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Defines recovery-oriented practice, focusing on meaningful life outcomes beyond symptom reduction.</w:t>
            </w:r>
          </w:p>
        </w:tc>
        <w:tc>
          <w:tcPr>
            <w:tcW w:w="4961" w:type="dxa"/>
            <w:shd w:val="clear" w:color="auto" w:fill="E2EFD9" w:themeFill="accent6" w:themeFillTint="33"/>
          </w:tcPr>
          <w:p w14:paraId="4682C42D" w14:textId="77777777" w:rsidR="003E6D66" w:rsidRPr="003E6D66" w:rsidRDefault="003E6D66" w:rsidP="003E6D66">
            <w:pPr>
              <w:spacing w:after="0" w:line="24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Currency: Seminal; Relevance: Recovery framework; Authority: Leading scholar; Accuracy: Conceptual; Purpose: Theory</w:t>
            </w:r>
          </w:p>
        </w:tc>
        <w:tc>
          <w:tcPr>
            <w:tcW w:w="1418" w:type="dxa"/>
            <w:shd w:val="clear" w:color="auto" w:fill="E2EFD9" w:themeFill="accent6" w:themeFillTint="33"/>
          </w:tcPr>
          <w:p w14:paraId="21ACBE8D" w14:textId="77777777" w:rsidR="003E6D66" w:rsidRPr="003E6D66" w:rsidRDefault="003E6D66" w:rsidP="003E6D66">
            <w:pPr>
              <w:spacing w:after="0" w:line="24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Slade_2009</w:t>
            </w:r>
          </w:p>
        </w:tc>
      </w:tr>
      <w:tr w:rsidR="003E6D66" w:rsidRPr="003E6D66" w14:paraId="2B0A9251" w14:textId="77777777" w:rsidTr="00740A6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E2EFD9" w:themeFill="accent6" w:themeFillTint="33"/>
          </w:tcPr>
          <w:p w14:paraId="3B010676" w14:textId="77777777" w:rsidR="003E6D66" w:rsidRPr="003E6D66" w:rsidRDefault="003E6D66" w:rsidP="003E6D66">
            <w:pPr>
              <w:spacing w:after="0" w:line="24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Yes</w:t>
            </w:r>
          </w:p>
        </w:tc>
        <w:tc>
          <w:tcPr>
            <w:tcW w:w="1134" w:type="dxa"/>
            <w:shd w:val="clear" w:color="auto" w:fill="E2EFD9" w:themeFill="accent6" w:themeFillTint="33"/>
          </w:tcPr>
          <w:p w14:paraId="3161B3B6" w14:textId="77777777" w:rsidR="003E6D66" w:rsidRPr="003E6D66" w:rsidRDefault="003E6D66" w:rsidP="003E6D66">
            <w:pPr>
              <w:spacing w:after="0"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proofErr w:type="spellStart"/>
            <w:r w:rsidRPr="003E6D66">
              <w:rPr>
                <w:rFonts w:ascii="Arial" w:hAnsi="Arial" w:cs="Arial"/>
                <w:sz w:val="16"/>
                <w:szCs w:val="16"/>
              </w:rPr>
              <w:t>Nazroo</w:t>
            </w:r>
            <w:proofErr w:type="spellEnd"/>
            <w:r w:rsidRPr="003E6D66">
              <w:rPr>
                <w:rFonts w:ascii="Arial" w:hAnsi="Arial" w:cs="Arial"/>
                <w:sz w:val="16"/>
                <w:szCs w:val="16"/>
              </w:rPr>
              <w:t xml:space="preserve"> et al. (2019)</w:t>
            </w:r>
          </w:p>
        </w:tc>
        <w:tc>
          <w:tcPr>
            <w:tcW w:w="1657" w:type="dxa"/>
            <w:shd w:val="clear" w:color="auto" w:fill="E2EFD9" w:themeFill="accent6" w:themeFillTint="33"/>
          </w:tcPr>
          <w:p w14:paraId="0C38149A" w14:textId="77777777" w:rsidR="003E6D66" w:rsidRPr="003E6D66" w:rsidRDefault="003E6D66" w:rsidP="003E6D66">
            <w:pPr>
              <w:spacing w:after="0"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Structural Racism and Mental Health Inequalities</w:t>
            </w:r>
          </w:p>
        </w:tc>
        <w:tc>
          <w:tcPr>
            <w:tcW w:w="4864" w:type="dxa"/>
            <w:shd w:val="clear" w:color="auto" w:fill="E2EFD9" w:themeFill="accent6" w:themeFillTint="33"/>
          </w:tcPr>
          <w:p w14:paraId="5E7B165C" w14:textId="77777777" w:rsidR="003E6D66" w:rsidRPr="003E6D66" w:rsidRDefault="003E6D66" w:rsidP="003E6D66">
            <w:pPr>
              <w:spacing w:after="0"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Analyses how structural racism contributes to inequalities in mental health care, relevant to schizophrenia services.</w:t>
            </w:r>
          </w:p>
        </w:tc>
        <w:tc>
          <w:tcPr>
            <w:tcW w:w="4961" w:type="dxa"/>
            <w:shd w:val="clear" w:color="auto" w:fill="E2EFD9" w:themeFill="accent6" w:themeFillTint="33"/>
          </w:tcPr>
          <w:p w14:paraId="3315AD07" w14:textId="77777777" w:rsidR="003E6D66" w:rsidRPr="003E6D66" w:rsidRDefault="003E6D66" w:rsidP="003E6D66">
            <w:pPr>
              <w:spacing w:after="0"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Currency: Relevant; Relevance: Inequalities; Authority: Peer-reviewed; Accuracy: Empirical; Purpose: Analytical</w:t>
            </w:r>
          </w:p>
        </w:tc>
        <w:tc>
          <w:tcPr>
            <w:tcW w:w="1418" w:type="dxa"/>
            <w:shd w:val="clear" w:color="auto" w:fill="E2EFD9" w:themeFill="accent6" w:themeFillTint="33"/>
          </w:tcPr>
          <w:p w14:paraId="619BA4B5" w14:textId="77777777" w:rsidR="003E6D66" w:rsidRPr="003E6D66" w:rsidRDefault="003E6D66" w:rsidP="003E6D66">
            <w:pPr>
              <w:spacing w:after="0"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Nazroo_2019</w:t>
            </w:r>
          </w:p>
        </w:tc>
      </w:tr>
      <w:tr w:rsidR="003E6D66" w:rsidRPr="003E6D66" w14:paraId="405B4108" w14:textId="77777777" w:rsidTr="00740A6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E2EFD9" w:themeFill="accent6" w:themeFillTint="33"/>
          </w:tcPr>
          <w:p w14:paraId="4F9BE9BE" w14:textId="77777777" w:rsidR="003E6D66" w:rsidRPr="003E6D66" w:rsidRDefault="003E6D66" w:rsidP="003E6D66">
            <w:pPr>
              <w:spacing w:after="0" w:line="24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Yes</w:t>
            </w:r>
          </w:p>
        </w:tc>
        <w:tc>
          <w:tcPr>
            <w:tcW w:w="1134" w:type="dxa"/>
            <w:shd w:val="clear" w:color="auto" w:fill="E2EFD9" w:themeFill="accent6" w:themeFillTint="33"/>
          </w:tcPr>
          <w:p w14:paraId="2B630055" w14:textId="77777777" w:rsidR="003E6D66" w:rsidRPr="003E6D66" w:rsidRDefault="003E6D66" w:rsidP="003E6D66">
            <w:pPr>
              <w:spacing w:after="0" w:line="24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Braun &amp; Clarke (2019)</w:t>
            </w:r>
          </w:p>
        </w:tc>
        <w:tc>
          <w:tcPr>
            <w:tcW w:w="1657" w:type="dxa"/>
            <w:shd w:val="clear" w:color="auto" w:fill="E2EFD9" w:themeFill="accent6" w:themeFillTint="33"/>
          </w:tcPr>
          <w:p w14:paraId="10107C59" w14:textId="77777777" w:rsidR="003E6D66" w:rsidRPr="003E6D66" w:rsidRDefault="003E6D66" w:rsidP="003E6D66">
            <w:pPr>
              <w:spacing w:after="0" w:line="24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Reflexive Thematic Analysis</w:t>
            </w:r>
          </w:p>
        </w:tc>
        <w:tc>
          <w:tcPr>
            <w:tcW w:w="4864" w:type="dxa"/>
            <w:shd w:val="clear" w:color="auto" w:fill="E2EFD9" w:themeFill="accent6" w:themeFillTint="33"/>
          </w:tcPr>
          <w:p w14:paraId="637F1009" w14:textId="77777777" w:rsidR="003E6D66" w:rsidRPr="003E6D66" w:rsidRDefault="003E6D66" w:rsidP="003E6D66">
            <w:pPr>
              <w:spacing w:after="0" w:line="24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Provides methodological guidance for thematic analysis, supporting the analytical approach used in the dissertation.</w:t>
            </w:r>
          </w:p>
        </w:tc>
        <w:tc>
          <w:tcPr>
            <w:tcW w:w="4961" w:type="dxa"/>
            <w:shd w:val="clear" w:color="auto" w:fill="E2EFD9" w:themeFill="accent6" w:themeFillTint="33"/>
          </w:tcPr>
          <w:p w14:paraId="1C9721D5" w14:textId="77777777" w:rsidR="003E6D66" w:rsidRPr="003E6D66" w:rsidRDefault="003E6D66" w:rsidP="003E6D66">
            <w:pPr>
              <w:spacing w:after="0" w:line="24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Currency: Current; Relevance: Methods; Authority: Leading methodologists; Accuracy: Widely cited; Purpose: Methodological</w:t>
            </w:r>
          </w:p>
        </w:tc>
        <w:tc>
          <w:tcPr>
            <w:tcW w:w="1418" w:type="dxa"/>
            <w:shd w:val="clear" w:color="auto" w:fill="E2EFD9" w:themeFill="accent6" w:themeFillTint="33"/>
          </w:tcPr>
          <w:p w14:paraId="6CF9A5D1" w14:textId="77777777" w:rsidR="003E6D66" w:rsidRPr="003E6D66" w:rsidRDefault="003E6D66" w:rsidP="003E6D66">
            <w:pPr>
              <w:spacing w:after="0" w:line="24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Braun_Clarke_2019</w:t>
            </w:r>
          </w:p>
        </w:tc>
      </w:tr>
    </w:tbl>
    <w:p w14:paraId="392D2583" w14:textId="3C701194" w:rsidR="003E6D66" w:rsidRPr="003E6D66" w:rsidRDefault="003E6D66" w:rsidP="00740A68">
      <w:pPr>
        <w:keepNext/>
        <w:keepLines/>
        <w:spacing w:after="80" w:line="259" w:lineRule="auto"/>
        <w:outlineLvl w:val="0"/>
        <w:rPr>
          <w:rFonts w:ascii="Arial" w:eastAsiaTheme="majorEastAsia" w:hAnsi="Arial" w:cs="Arial"/>
          <w:color w:val="2F5496" w:themeColor="accent1" w:themeShade="BF"/>
          <w:kern w:val="2"/>
          <w:sz w:val="18"/>
          <w:szCs w:val="18"/>
          <w:lang w:val="en-GB"/>
          <w14:ligatures w14:val="standardContextual"/>
        </w:rPr>
      </w:pPr>
      <w:r w:rsidRPr="003E6D66">
        <w:rPr>
          <w:rFonts w:ascii="Arial" w:eastAsiaTheme="majorEastAsia" w:hAnsi="Arial" w:cs="Arial"/>
          <w:b/>
          <w:bCs/>
          <w:kern w:val="2"/>
          <w:sz w:val="18"/>
          <w:szCs w:val="18"/>
          <w:lang w:val="en-GB"/>
          <w14:ligatures w14:val="standardContextual"/>
        </w:rPr>
        <w:t>Appendix -C</w:t>
      </w:r>
      <w:r w:rsidRPr="003E6D66">
        <w:rPr>
          <w:rFonts w:ascii="Arial" w:eastAsiaTheme="majorEastAsia" w:hAnsi="Arial" w:cs="Arial"/>
          <w:kern w:val="2"/>
          <w:sz w:val="18"/>
          <w:szCs w:val="18"/>
          <w:lang w:val="en-GB"/>
          <w14:ligatures w14:val="standardContextual"/>
        </w:rPr>
        <w:t xml:space="preserve"> </w:t>
      </w:r>
      <w:r w:rsidRPr="003E6D66">
        <w:rPr>
          <w:rFonts w:ascii="Arial" w:eastAsiaTheme="majorEastAsia" w:hAnsi="Arial" w:cs="Arial"/>
          <w:color w:val="2F5496" w:themeColor="accent1" w:themeShade="BF"/>
          <w:kern w:val="2"/>
          <w:sz w:val="18"/>
          <w:szCs w:val="18"/>
          <w:lang w:val="en-GB"/>
          <w14:ligatures w14:val="standardContextual"/>
        </w:rPr>
        <w:t>Results Summary Table</w:t>
      </w:r>
    </w:p>
    <w:tbl>
      <w:tblPr>
        <w:tblStyle w:val="TableGrid1"/>
        <w:tblW w:w="14850" w:type="dxa"/>
        <w:tblInd w:w="-113" w:type="dxa"/>
        <w:tblLayout w:type="fixed"/>
        <w:tblLook w:val="04A0" w:firstRow="1" w:lastRow="0" w:firstColumn="1" w:lastColumn="0" w:noHBand="0" w:noVBand="1"/>
      </w:tblPr>
      <w:tblGrid>
        <w:gridCol w:w="853"/>
        <w:gridCol w:w="1523"/>
        <w:gridCol w:w="1560"/>
        <w:gridCol w:w="1842"/>
        <w:gridCol w:w="2410"/>
        <w:gridCol w:w="2977"/>
        <w:gridCol w:w="1843"/>
        <w:gridCol w:w="1842"/>
      </w:tblGrid>
      <w:tr w:rsidR="00740A68" w:rsidRPr="003E6D66" w14:paraId="03EFF878" w14:textId="77777777" w:rsidTr="00740A68">
        <w:tc>
          <w:tcPr>
            <w:tcW w:w="853" w:type="dxa"/>
            <w:shd w:val="clear" w:color="auto" w:fill="00B0F0"/>
          </w:tcPr>
          <w:p w14:paraId="1404DC8C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Author &amp; Year</w:t>
            </w:r>
          </w:p>
        </w:tc>
        <w:tc>
          <w:tcPr>
            <w:tcW w:w="1523" w:type="dxa"/>
            <w:shd w:val="clear" w:color="auto" w:fill="00B0F0"/>
          </w:tcPr>
          <w:p w14:paraId="198DA50D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Article Title</w:t>
            </w:r>
          </w:p>
        </w:tc>
        <w:tc>
          <w:tcPr>
            <w:tcW w:w="1560" w:type="dxa"/>
            <w:shd w:val="clear" w:color="auto" w:fill="00B0F0"/>
          </w:tcPr>
          <w:p w14:paraId="6A01B46B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Type of Study</w:t>
            </w:r>
          </w:p>
        </w:tc>
        <w:tc>
          <w:tcPr>
            <w:tcW w:w="1842" w:type="dxa"/>
            <w:shd w:val="clear" w:color="auto" w:fill="00B0F0"/>
          </w:tcPr>
          <w:p w14:paraId="5E735EC3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Research Method &amp; Sample Size</w:t>
            </w:r>
          </w:p>
        </w:tc>
        <w:tc>
          <w:tcPr>
            <w:tcW w:w="2410" w:type="dxa"/>
            <w:shd w:val="clear" w:color="auto" w:fill="00B0F0"/>
          </w:tcPr>
          <w:p w14:paraId="0B073C47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Strengths &amp; Limitations</w:t>
            </w:r>
          </w:p>
        </w:tc>
        <w:tc>
          <w:tcPr>
            <w:tcW w:w="2977" w:type="dxa"/>
            <w:shd w:val="clear" w:color="auto" w:fill="00B0F0"/>
          </w:tcPr>
          <w:p w14:paraId="2FA036AD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Main Findings</w:t>
            </w:r>
          </w:p>
        </w:tc>
        <w:tc>
          <w:tcPr>
            <w:tcW w:w="1843" w:type="dxa"/>
            <w:shd w:val="clear" w:color="auto" w:fill="00B0F0"/>
          </w:tcPr>
          <w:p w14:paraId="305E5E3E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Keywords &amp; Codes</w:t>
            </w:r>
          </w:p>
        </w:tc>
        <w:tc>
          <w:tcPr>
            <w:tcW w:w="1842" w:type="dxa"/>
            <w:shd w:val="clear" w:color="auto" w:fill="00B0F0"/>
          </w:tcPr>
          <w:p w14:paraId="2F5250BC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Notes and Comments</w:t>
            </w:r>
          </w:p>
        </w:tc>
      </w:tr>
      <w:tr w:rsidR="00740A68" w:rsidRPr="003E6D66" w14:paraId="083E9F82" w14:textId="77777777" w:rsidTr="00740A68">
        <w:tc>
          <w:tcPr>
            <w:tcW w:w="853" w:type="dxa"/>
            <w:shd w:val="clear" w:color="auto" w:fill="D5DCE4" w:themeFill="text2" w:themeFillTint="33"/>
          </w:tcPr>
          <w:p w14:paraId="281BC19A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WHO (2023)</w:t>
            </w:r>
          </w:p>
        </w:tc>
        <w:tc>
          <w:tcPr>
            <w:tcW w:w="1523" w:type="dxa"/>
            <w:shd w:val="clear" w:color="auto" w:fill="D5DCE4" w:themeFill="text2" w:themeFillTint="33"/>
          </w:tcPr>
          <w:p w14:paraId="4BDEF8A7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Schizophrenia Fact Sheet</w:t>
            </w:r>
          </w:p>
        </w:tc>
        <w:tc>
          <w:tcPr>
            <w:tcW w:w="1560" w:type="dxa"/>
            <w:shd w:val="clear" w:color="auto" w:fill="D5DCE4" w:themeFill="text2" w:themeFillTint="33"/>
          </w:tcPr>
          <w:p w14:paraId="43F5F1FD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Global epidemiological review</w:t>
            </w:r>
          </w:p>
        </w:tc>
        <w:tc>
          <w:tcPr>
            <w:tcW w:w="1842" w:type="dxa"/>
            <w:shd w:val="clear" w:color="auto" w:fill="D5DCE4" w:themeFill="text2" w:themeFillTint="33"/>
          </w:tcPr>
          <w:p w14:paraId="4D515026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Secondary analysis of international health data; population-level data</w:t>
            </w:r>
          </w:p>
        </w:tc>
        <w:tc>
          <w:tcPr>
            <w:tcW w:w="2410" w:type="dxa"/>
            <w:shd w:val="clear" w:color="auto" w:fill="D5DCE4" w:themeFill="text2" w:themeFillTint="33"/>
          </w:tcPr>
          <w:p w14:paraId="437CA875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Strength: Authoritative global source. Limitation: Not UK-specific.</w:t>
            </w:r>
          </w:p>
        </w:tc>
        <w:tc>
          <w:tcPr>
            <w:tcW w:w="2977" w:type="dxa"/>
            <w:shd w:val="clear" w:color="auto" w:fill="D5DCE4" w:themeFill="text2" w:themeFillTint="33"/>
          </w:tcPr>
          <w:p w14:paraId="20576480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Schizophrenia is a severe, chronic disorder with high global burden; effective treatment requires integrated medical and social care.</w:t>
            </w:r>
          </w:p>
        </w:tc>
        <w:tc>
          <w:tcPr>
            <w:tcW w:w="1843" w:type="dxa"/>
            <w:shd w:val="clear" w:color="auto" w:fill="D5DCE4" w:themeFill="text2" w:themeFillTint="33"/>
          </w:tcPr>
          <w:p w14:paraId="53B74DBA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Prevalence; Global burden; Treatment pathways</w:t>
            </w:r>
          </w:p>
        </w:tc>
        <w:tc>
          <w:tcPr>
            <w:tcW w:w="1842" w:type="dxa"/>
            <w:shd w:val="clear" w:color="auto" w:fill="D5DCE4" w:themeFill="text2" w:themeFillTint="33"/>
          </w:tcPr>
          <w:p w14:paraId="3A2DC07F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Used for definitions and global context</w:t>
            </w:r>
          </w:p>
        </w:tc>
      </w:tr>
      <w:tr w:rsidR="00740A68" w:rsidRPr="003E6D66" w14:paraId="60C8800E" w14:textId="77777777" w:rsidTr="00740A68">
        <w:tc>
          <w:tcPr>
            <w:tcW w:w="853" w:type="dxa"/>
            <w:shd w:val="clear" w:color="auto" w:fill="D5DCE4" w:themeFill="text2" w:themeFillTint="33"/>
          </w:tcPr>
          <w:p w14:paraId="6579E9C2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NHS England (2022)</w:t>
            </w:r>
          </w:p>
        </w:tc>
        <w:tc>
          <w:tcPr>
            <w:tcW w:w="1523" w:type="dxa"/>
            <w:shd w:val="clear" w:color="auto" w:fill="D5DCE4" w:themeFill="text2" w:themeFillTint="33"/>
          </w:tcPr>
          <w:p w14:paraId="1109A5C6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Mental Health Services: Access and Waiting Times</w:t>
            </w:r>
          </w:p>
        </w:tc>
        <w:tc>
          <w:tcPr>
            <w:tcW w:w="1560" w:type="dxa"/>
            <w:shd w:val="clear" w:color="auto" w:fill="D5DCE4" w:themeFill="text2" w:themeFillTint="33"/>
          </w:tcPr>
          <w:p w14:paraId="3A295ECB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National service evaluation</w:t>
            </w:r>
          </w:p>
        </w:tc>
        <w:tc>
          <w:tcPr>
            <w:tcW w:w="1842" w:type="dxa"/>
            <w:shd w:val="clear" w:color="auto" w:fill="D5DCE4" w:themeFill="text2" w:themeFillTint="33"/>
          </w:tcPr>
          <w:p w14:paraId="60265E9F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Analysis of NHS administrative datasets across England</w:t>
            </w:r>
          </w:p>
        </w:tc>
        <w:tc>
          <w:tcPr>
            <w:tcW w:w="2410" w:type="dxa"/>
            <w:shd w:val="clear" w:color="auto" w:fill="D5DCE4" w:themeFill="text2" w:themeFillTint="33"/>
          </w:tcPr>
          <w:p w14:paraId="3B08E18A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Strength: Comprehensive national data. Limitation: Limited qualitative insight.</w:t>
            </w:r>
          </w:p>
        </w:tc>
        <w:tc>
          <w:tcPr>
            <w:tcW w:w="2977" w:type="dxa"/>
            <w:shd w:val="clear" w:color="auto" w:fill="D5DCE4" w:themeFill="text2" w:themeFillTint="33"/>
          </w:tcPr>
          <w:p w14:paraId="5EC13490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Significant variation in access and waiting times for psychosis services across regions.</w:t>
            </w:r>
          </w:p>
        </w:tc>
        <w:tc>
          <w:tcPr>
            <w:tcW w:w="1843" w:type="dxa"/>
            <w:shd w:val="clear" w:color="auto" w:fill="D5DCE4" w:themeFill="text2" w:themeFillTint="33"/>
          </w:tcPr>
          <w:p w14:paraId="350A5274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Accessibility; Waiting times; EIP</w:t>
            </w:r>
          </w:p>
        </w:tc>
        <w:tc>
          <w:tcPr>
            <w:tcW w:w="1842" w:type="dxa"/>
            <w:shd w:val="clear" w:color="auto" w:fill="D5DCE4" w:themeFill="text2" w:themeFillTint="33"/>
          </w:tcPr>
          <w:p w14:paraId="6809F352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Key UK evidence for service access</w:t>
            </w:r>
          </w:p>
        </w:tc>
      </w:tr>
      <w:tr w:rsidR="00740A68" w:rsidRPr="003E6D66" w14:paraId="6F7094D3" w14:textId="77777777" w:rsidTr="00740A68">
        <w:tc>
          <w:tcPr>
            <w:tcW w:w="853" w:type="dxa"/>
            <w:shd w:val="clear" w:color="auto" w:fill="D5DCE4" w:themeFill="text2" w:themeFillTint="33"/>
          </w:tcPr>
          <w:p w14:paraId="06E58F2D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CQC (2023)</w:t>
            </w:r>
          </w:p>
        </w:tc>
        <w:tc>
          <w:tcPr>
            <w:tcW w:w="1523" w:type="dxa"/>
            <w:shd w:val="clear" w:color="auto" w:fill="D5DCE4" w:themeFill="text2" w:themeFillTint="33"/>
          </w:tcPr>
          <w:p w14:paraId="2FB26F04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Mental Health Services Annual Report</w:t>
            </w:r>
          </w:p>
        </w:tc>
        <w:tc>
          <w:tcPr>
            <w:tcW w:w="1560" w:type="dxa"/>
            <w:shd w:val="clear" w:color="auto" w:fill="D5DCE4" w:themeFill="text2" w:themeFillTint="33"/>
          </w:tcPr>
          <w:p w14:paraId="6B59B2BC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Regulatory inspection report</w:t>
            </w:r>
          </w:p>
        </w:tc>
        <w:tc>
          <w:tcPr>
            <w:tcW w:w="1842" w:type="dxa"/>
            <w:shd w:val="clear" w:color="auto" w:fill="D5DCE4" w:themeFill="text2" w:themeFillTint="33"/>
          </w:tcPr>
          <w:p w14:paraId="6B2ABEAB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National inspection findings across NHS Trusts</w:t>
            </w:r>
          </w:p>
        </w:tc>
        <w:tc>
          <w:tcPr>
            <w:tcW w:w="2410" w:type="dxa"/>
            <w:shd w:val="clear" w:color="auto" w:fill="D5DCE4" w:themeFill="text2" w:themeFillTint="33"/>
          </w:tcPr>
          <w:p w14:paraId="61E1A75F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Strength: Independent regulator. Limitation: Snapshot rather than longitudinal.</w:t>
            </w:r>
          </w:p>
        </w:tc>
        <w:tc>
          <w:tcPr>
            <w:tcW w:w="2977" w:type="dxa"/>
            <w:shd w:val="clear" w:color="auto" w:fill="D5DCE4" w:themeFill="text2" w:themeFillTint="33"/>
          </w:tcPr>
          <w:p w14:paraId="28DECE17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Identifies workforce shortages, fragmented care, and inequalities in schizophrenia services.</w:t>
            </w:r>
          </w:p>
        </w:tc>
        <w:tc>
          <w:tcPr>
            <w:tcW w:w="1843" w:type="dxa"/>
            <w:shd w:val="clear" w:color="auto" w:fill="D5DCE4" w:themeFill="text2" w:themeFillTint="33"/>
          </w:tcPr>
          <w:p w14:paraId="06951563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Service quality; Inequality; Workforce</w:t>
            </w:r>
          </w:p>
        </w:tc>
        <w:tc>
          <w:tcPr>
            <w:tcW w:w="1842" w:type="dxa"/>
            <w:shd w:val="clear" w:color="auto" w:fill="D5DCE4" w:themeFill="text2" w:themeFillTint="33"/>
          </w:tcPr>
          <w:p w14:paraId="20621FF4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Central to service delivery critique</w:t>
            </w:r>
          </w:p>
        </w:tc>
      </w:tr>
      <w:tr w:rsidR="00740A68" w:rsidRPr="003E6D66" w14:paraId="2842F640" w14:textId="77777777" w:rsidTr="00740A68">
        <w:tc>
          <w:tcPr>
            <w:tcW w:w="853" w:type="dxa"/>
            <w:shd w:val="clear" w:color="auto" w:fill="D5DCE4" w:themeFill="text2" w:themeFillTint="33"/>
          </w:tcPr>
          <w:p w14:paraId="4D0A63E7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NICE (2020)</w:t>
            </w:r>
          </w:p>
        </w:tc>
        <w:tc>
          <w:tcPr>
            <w:tcW w:w="1523" w:type="dxa"/>
            <w:shd w:val="clear" w:color="auto" w:fill="D5DCE4" w:themeFill="text2" w:themeFillTint="33"/>
          </w:tcPr>
          <w:p w14:paraId="22A77B7F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Psychosis and Schizophrenia in Adults (NG222)</w:t>
            </w:r>
          </w:p>
        </w:tc>
        <w:tc>
          <w:tcPr>
            <w:tcW w:w="1560" w:type="dxa"/>
            <w:shd w:val="clear" w:color="auto" w:fill="D5DCE4" w:themeFill="text2" w:themeFillTint="33"/>
          </w:tcPr>
          <w:p w14:paraId="0E39842B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Clinical guideline</w:t>
            </w:r>
          </w:p>
        </w:tc>
        <w:tc>
          <w:tcPr>
            <w:tcW w:w="1842" w:type="dxa"/>
            <w:shd w:val="clear" w:color="auto" w:fill="D5DCE4" w:themeFill="text2" w:themeFillTint="33"/>
          </w:tcPr>
          <w:p w14:paraId="4F900E9B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Systematic evidence review; guideline development</w:t>
            </w:r>
          </w:p>
        </w:tc>
        <w:tc>
          <w:tcPr>
            <w:tcW w:w="2410" w:type="dxa"/>
            <w:shd w:val="clear" w:color="auto" w:fill="D5DCE4" w:themeFill="text2" w:themeFillTint="33"/>
          </w:tcPr>
          <w:p w14:paraId="648D37DC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Strength: Gold-standard guidance. Limitation: Implementation variability.</w:t>
            </w:r>
          </w:p>
        </w:tc>
        <w:tc>
          <w:tcPr>
            <w:tcW w:w="2977" w:type="dxa"/>
            <w:shd w:val="clear" w:color="auto" w:fill="D5DCE4" w:themeFill="text2" w:themeFillTint="33"/>
          </w:tcPr>
          <w:p w14:paraId="18A4CDD0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Recommends combined pharmacological, psychological, and social interventions.</w:t>
            </w:r>
          </w:p>
        </w:tc>
        <w:tc>
          <w:tcPr>
            <w:tcW w:w="1843" w:type="dxa"/>
            <w:shd w:val="clear" w:color="auto" w:fill="D5DCE4" w:themeFill="text2" w:themeFillTint="33"/>
          </w:tcPr>
          <w:p w14:paraId="057864B4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 xml:space="preserve">Treatment pathways; </w:t>
            </w:r>
            <w:proofErr w:type="spellStart"/>
            <w:r w:rsidRPr="003E6D66">
              <w:rPr>
                <w:rFonts w:ascii="Arial" w:hAnsi="Arial" w:cs="Arial"/>
                <w:sz w:val="16"/>
                <w:szCs w:val="16"/>
              </w:rPr>
              <w:t>CBTp</w:t>
            </w:r>
            <w:proofErr w:type="spellEnd"/>
            <w:r w:rsidRPr="003E6D66">
              <w:rPr>
                <w:rFonts w:ascii="Arial" w:hAnsi="Arial" w:cs="Arial"/>
                <w:sz w:val="16"/>
                <w:szCs w:val="16"/>
              </w:rPr>
              <w:t>; Antipsychotics</w:t>
            </w:r>
          </w:p>
        </w:tc>
        <w:tc>
          <w:tcPr>
            <w:tcW w:w="1842" w:type="dxa"/>
            <w:shd w:val="clear" w:color="auto" w:fill="D5DCE4" w:themeFill="text2" w:themeFillTint="33"/>
          </w:tcPr>
          <w:p w14:paraId="76BC1372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Benchmark for UK treatment pathways</w:t>
            </w:r>
          </w:p>
        </w:tc>
      </w:tr>
      <w:tr w:rsidR="00740A68" w:rsidRPr="003E6D66" w14:paraId="6826B549" w14:textId="77777777" w:rsidTr="00740A68">
        <w:tc>
          <w:tcPr>
            <w:tcW w:w="853" w:type="dxa"/>
            <w:shd w:val="clear" w:color="auto" w:fill="D5DCE4" w:themeFill="text2" w:themeFillTint="33"/>
          </w:tcPr>
          <w:p w14:paraId="2BEDB637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Leucht et al. (2019)</w:t>
            </w:r>
          </w:p>
        </w:tc>
        <w:tc>
          <w:tcPr>
            <w:tcW w:w="1523" w:type="dxa"/>
            <w:shd w:val="clear" w:color="auto" w:fill="D5DCE4" w:themeFill="text2" w:themeFillTint="33"/>
          </w:tcPr>
          <w:p w14:paraId="597421F6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Antipsychotic Drugs versus Placebo for Relapse Prevention</w:t>
            </w:r>
          </w:p>
        </w:tc>
        <w:tc>
          <w:tcPr>
            <w:tcW w:w="1560" w:type="dxa"/>
            <w:shd w:val="clear" w:color="auto" w:fill="D5DCE4" w:themeFill="text2" w:themeFillTint="33"/>
          </w:tcPr>
          <w:p w14:paraId="5747CD3B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Systematic review and meta-analysis</w:t>
            </w:r>
          </w:p>
        </w:tc>
        <w:tc>
          <w:tcPr>
            <w:tcW w:w="1842" w:type="dxa"/>
            <w:shd w:val="clear" w:color="auto" w:fill="D5DCE4" w:themeFill="text2" w:themeFillTint="33"/>
          </w:tcPr>
          <w:p w14:paraId="78993BBA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Meta-analysis of RCTs; large pooled samples</w:t>
            </w:r>
          </w:p>
        </w:tc>
        <w:tc>
          <w:tcPr>
            <w:tcW w:w="2410" w:type="dxa"/>
            <w:shd w:val="clear" w:color="auto" w:fill="D5DCE4" w:themeFill="text2" w:themeFillTint="33"/>
          </w:tcPr>
          <w:p w14:paraId="299552F8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 xml:space="preserve">Strength: High methodological </w:t>
            </w:r>
            <w:proofErr w:type="spellStart"/>
            <w:r w:rsidRPr="003E6D66">
              <w:rPr>
                <w:rFonts w:ascii="Arial" w:hAnsi="Arial" w:cs="Arial"/>
                <w:sz w:val="16"/>
                <w:szCs w:val="16"/>
              </w:rPr>
              <w:t>rigour</w:t>
            </w:r>
            <w:proofErr w:type="spellEnd"/>
            <w:r w:rsidRPr="003E6D66">
              <w:rPr>
                <w:rFonts w:ascii="Arial" w:hAnsi="Arial" w:cs="Arial"/>
                <w:sz w:val="16"/>
                <w:szCs w:val="16"/>
              </w:rPr>
              <w:t>. Limitation: Focus on medication only.</w:t>
            </w:r>
          </w:p>
        </w:tc>
        <w:tc>
          <w:tcPr>
            <w:tcW w:w="2977" w:type="dxa"/>
            <w:shd w:val="clear" w:color="auto" w:fill="D5DCE4" w:themeFill="text2" w:themeFillTint="33"/>
          </w:tcPr>
          <w:p w14:paraId="609CCC6F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Antipsychotics significantly reduce relapse risk compared to placebo.</w:t>
            </w:r>
          </w:p>
        </w:tc>
        <w:tc>
          <w:tcPr>
            <w:tcW w:w="1843" w:type="dxa"/>
            <w:shd w:val="clear" w:color="auto" w:fill="D5DCE4" w:themeFill="text2" w:themeFillTint="33"/>
          </w:tcPr>
          <w:p w14:paraId="7A5B9E14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Effectiveness; Medication; Relapse prevention</w:t>
            </w:r>
          </w:p>
        </w:tc>
        <w:tc>
          <w:tcPr>
            <w:tcW w:w="1842" w:type="dxa"/>
            <w:shd w:val="clear" w:color="auto" w:fill="D5DCE4" w:themeFill="text2" w:themeFillTint="33"/>
          </w:tcPr>
          <w:p w14:paraId="27CC6AB7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Supports pharmacological effectiveness</w:t>
            </w:r>
          </w:p>
        </w:tc>
      </w:tr>
      <w:tr w:rsidR="00740A68" w:rsidRPr="003E6D66" w14:paraId="2AF09F1F" w14:textId="77777777" w:rsidTr="00740A68">
        <w:tc>
          <w:tcPr>
            <w:tcW w:w="853" w:type="dxa"/>
            <w:shd w:val="clear" w:color="auto" w:fill="D5DCE4" w:themeFill="text2" w:themeFillTint="33"/>
          </w:tcPr>
          <w:p w14:paraId="587FC7B6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Braun &amp; Clarke (2019)</w:t>
            </w:r>
          </w:p>
        </w:tc>
        <w:tc>
          <w:tcPr>
            <w:tcW w:w="1523" w:type="dxa"/>
            <w:shd w:val="clear" w:color="auto" w:fill="D5DCE4" w:themeFill="text2" w:themeFillTint="33"/>
          </w:tcPr>
          <w:p w14:paraId="391D712D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Reflecting on Reflexive Thematic Analysis</w:t>
            </w:r>
          </w:p>
        </w:tc>
        <w:tc>
          <w:tcPr>
            <w:tcW w:w="1560" w:type="dxa"/>
            <w:shd w:val="clear" w:color="auto" w:fill="D5DCE4" w:themeFill="text2" w:themeFillTint="33"/>
          </w:tcPr>
          <w:p w14:paraId="398B9FF1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Methodological paper</w:t>
            </w:r>
          </w:p>
        </w:tc>
        <w:tc>
          <w:tcPr>
            <w:tcW w:w="1842" w:type="dxa"/>
            <w:shd w:val="clear" w:color="auto" w:fill="D5DCE4" w:themeFill="text2" w:themeFillTint="33"/>
          </w:tcPr>
          <w:p w14:paraId="3C83BD2A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Conceptual and applied qualitative methodology</w:t>
            </w:r>
          </w:p>
        </w:tc>
        <w:tc>
          <w:tcPr>
            <w:tcW w:w="2410" w:type="dxa"/>
            <w:shd w:val="clear" w:color="auto" w:fill="D5DCE4" w:themeFill="text2" w:themeFillTint="33"/>
          </w:tcPr>
          <w:p w14:paraId="24FCBB38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Strength: Widely cited method. Limitation: Not condition-specific.</w:t>
            </w:r>
          </w:p>
        </w:tc>
        <w:tc>
          <w:tcPr>
            <w:tcW w:w="2977" w:type="dxa"/>
            <w:shd w:val="clear" w:color="auto" w:fill="D5DCE4" w:themeFill="text2" w:themeFillTint="33"/>
          </w:tcPr>
          <w:p w14:paraId="0EA70759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Provides a rigorous framework for thematic analysis in qualitative research.</w:t>
            </w:r>
          </w:p>
        </w:tc>
        <w:tc>
          <w:tcPr>
            <w:tcW w:w="1843" w:type="dxa"/>
            <w:shd w:val="clear" w:color="auto" w:fill="D5DCE4" w:themeFill="text2" w:themeFillTint="33"/>
          </w:tcPr>
          <w:p w14:paraId="38D1970E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Thematic analysis; Coding; Qualitative methods</w:t>
            </w:r>
          </w:p>
        </w:tc>
        <w:tc>
          <w:tcPr>
            <w:tcW w:w="1842" w:type="dxa"/>
            <w:shd w:val="clear" w:color="auto" w:fill="D5DCE4" w:themeFill="text2" w:themeFillTint="33"/>
          </w:tcPr>
          <w:p w14:paraId="5B9CD6FD" w14:textId="77777777" w:rsidR="003E6D66" w:rsidRPr="003E6D66" w:rsidRDefault="003E6D66" w:rsidP="003E6D66">
            <w:pPr>
              <w:spacing w:after="0" w:line="240" w:lineRule="auto"/>
              <w:rPr>
                <w:rFonts w:ascii="Arial" w:hAnsi="Arial" w:cs="Arial"/>
                <w:sz w:val="16"/>
                <w:szCs w:val="16"/>
              </w:rPr>
            </w:pPr>
            <w:r w:rsidRPr="003E6D66">
              <w:rPr>
                <w:rFonts w:ascii="Arial" w:hAnsi="Arial" w:cs="Arial"/>
                <w:sz w:val="16"/>
                <w:szCs w:val="16"/>
              </w:rPr>
              <w:t>Justifies analytical approach in Chapter 4</w:t>
            </w:r>
          </w:p>
        </w:tc>
      </w:tr>
    </w:tbl>
    <w:p w14:paraId="3C5B02F6" w14:textId="58FC8138" w:rsidR="00174D3E" w:rsidRPr="00174D3E" w:rsidRDefault="00174D3E" w:rsidP="00622943">
      <w:pPr>
        <w:spacing w:before="100" w:beforeAutospacing="1" w:after="100" w:afterAutospacing="1" w:line="240" w:lineRule="auto"/>
        <w:jc w:val="both"/>
        <w:outlineLvl w:val="0"/>
        <w:rPr>
          <w:rFonts w:ascii="Arial" w:eastAsia="Times New Roman" w:hAnsi="Arial" w:cs="Arial"/>
          <w:b/>
          <w:bCs/>
          <w:kern w:val="36"/>
          <w:sz w:val="32"/>
          <w:szCs w:val="32"/>
          <w:lang w:val="en-GB" w:eastAsia="en-GB"/>
        </w:rPr>
      </w:pPr>
      <w:r w:rsidRPr="00174D3E">
        <w:rPr>
          <w:rFonts w:ascii="Arial" w:eastAsia="Times New Roman" w:hAnsi="Arial" w:cs="Arial"/>
          <w:b/>
          <w:bCs/>
          <w:kern w:val="36"/>
          <w:sz w:val="32"/>
          <w:szCs w:val="32"/>
          <w:lang w:val="en-GB" w:eastAsia="en-GB"/>
        </w:rPr>
        <w:lastRenderedPageBreak/>
        <w:t>Reference List</w:t>
      </w:r>
    </w:p>
    <w:p w14:paraId="0A8D61D9" w14:textId="77777777" w:rsidR="00174D3E" w:rsidRPr="00174D3E" w:rsidRDefault="00174D3E" w:rsidP="006E6CB7">
      <w:pPr>
        <w:spacing w:before="100" w:beforeAutospacing="1" w:after="100" w:afterAutospacing="1" w:line="240" w:lineRule="auto"/>
        <w:rPr>
          <w:rFonts w:ascii="Arial" w:eastAsia="Times New Roman" w:hAnsi="Arial" w:cs="Arial"/>
          <w:lang w:val="en-GB" w:eastAsia="en-GB"/>
        </w:rPr>
      </w:pPr>
      <w:r w:rsidRPr="00174D3E">
        <w:rPr>
          <w:rFonts w:ascii="Arial" w:eastAsia="Times New Roman" w:hAnsi="Arial" w:cs="Arial"/>
          <w:lang w:val="en-GB" w:eastAsia="en-GB"/>
        </w:rPr>
        <w:t xml:space="preserve">Aveyard, H. (2019) </w:t>
      </w:r>
      <w:r w:rsidRPr="00174D3E">
        <w:rPr>
          <w:rFonts w:ascii="Arial" w:eastAsia="Times New Roman" w:hAnsi="Arial" w:cs="Arial"/>
          <w:i/>
          <w:iCs/>
          <w:lang w:val="en-GB" w:eastAsia="en-GB"/>
        </w:rPr>
        <w:t>Doing a literature review in health and social care: A practical guide</w:t>
      </w:r>
      <w:r w:rsidRPr="00174D3E">
        <w:rPr>
          <w:rFonts w:ascii="Arial" w:eastAsia="Times New Roman" w:hAnsi="Arial" w:cs="Arial"/>
          <w:lang w:val="en-GB" w:eastAsia="en-GB"/>
        </w:rPr>
        <w:t xml:space="preserve">. 4th </w:t>
      </w:r>
      <w:proofErr w:type="spellStart"/>
      <w:r w:rsidRPr="00174D3E">
        <w:rPr>
          <w:rFonts w:ascii="Arial" w:eastAsia="Times New Roman" w:hAnsi="Arial" w:cs="Arial"/>
          <w:lang w:val="en-GB" w:eastAsia="en-GB"/>
        </w:rPr>
        <w:t>edn</w:t>
      </w:r>
      <w:proofErr w:type="spellEnd"/>
      <w:r w:rsidRPr="00174D3E">
        <w:rPr>
          <w:rFonts w:ascii="Arial" w:eastAsia="Times New Roman" w:hAnsi="Arial" w:cs="Arial"/>
          <w:lang w:val="en-GB" w:eastAsia="en-GB"/>
        </w:rPr>
        <w:t>. London: Open University Press.</w:t>
      </w:r>
    </w:p>
    <w:p w14:paraId="6CEF8A6F" w14:textId="77777777" w:rsidR="00174D3E" w:rsidRPr="00174D3E" w:rsidRDefault="00174D3E" w:rsidP="006E6CB7">
      <w:pPr>
        <w:spacing w:before="100" w:beforeAutospacing="1" w:after="100" w:afterAutospacing="1" w:line="240" w:lineRule="auto"/>
        <w:rPr>
          <w:rFonts w:ascii="Arial" w:eastAsia="Times New Roman" w:hAnsi="Arial" w:cs="Arial"/>
          <w:lang w:val="en-GB" w:eastAsia="en-GB"/>
        </w:rPr>
      </w:pPr>
      <w:r w:rsidRPr="00174D3E">
        <w:rPr>
          <w:rFonts w:ascii="Arial" w:eastAsia="Times New Roman" w:hAnsi="Arial" w:cs="Arial"/>
          <w:lang w:val="en-GB" w:eastAsia="en-GB"/>
        </w:rPr>
        <w:t xml:space="preserve">Birchwood, M., Todd, P. and Jackson, C. (2000) ‘Early intervention in psychosis: The critical period hypothesis’, </w:t>
      </w:r>
      <w:r w:rsidRPr="00174D3E">
        <w:rPr>
          <w:rFonts w:ascii="Arial" w:eastAsia="Times New Roman" w:hAnsi="Arial" w:cs="Arial"/>
          <w:i/>
          <w:iCs/>
          <w:lang w:val="en-GB" w:eastAsia="en-GB"/>
        </w:rPr>
        <w:t>British Journal of Psychiatry</w:t>
      </w:r>
      <w:r w:rsidRPr="00174D3E">
        <w:rPr>
          <w:rFonts w:ascii="Arial" w:eastAsia="Times New Roman" w:hAnsi="Arial" w:cs="Arial"/>
          <w:lang w:val="en-GB" w:eastAsia="en-GB"/>
        </w:rPr>
        <w:t>, 177(1), pp. 53–59.</w:t>
      </w:r>
    </w:p>
    <w:p w14:paraId="3C9EC4E7" w14:textId="77777777" w:rsidR="00174D3E" w:rsidRPr="00174D3E" w:rsidRDefault="00174D3E" w:rsidP="006E6CB7">
      <w:pPr>
        <w:spacing w:before="100" w:beforeAutospacing="1" w:after="100" w:afterAutospacing="1" w:line="240" w:lineRule="auto"/>
        <w:rPr>
          <w:rFonts w:ascii="Arial" w:eastAsia="Times New Roman" w:hAnsi="Arial" w:cs="Arial"/>
          <w:lang w:val="en-GB" w:eastAsia="en-GB"/>
        </w:rPr>
      </w:pPr>
      <w:r w:rsidRPr="00174D3E">
        <w:rPr>
          <w:rFonts w:ascii="Arial" w:eastAsia="Times New Roman" w:hAnsi="Arial" w:cs="Arial"/>
          <w:lang w:val="en-GB" w:eastAsia="en-GB"/>
        </w:rPr>
        <w:t xml:space="preserve">Blakeslee, S. (2018) ‘The CRAAP test’, </w:t>
      </w:r>
      <w:r w:rsidRPr="00174D3E">
        <w:rPr>
          <w:rFonts w:ascii="Arial" w:eastAsia="Times New Roman" w:hAnsi="Arial" w:cs="Arial"/>
          <w:i/>
          <w:iCs/>
          <w:lang w:val="en-GB" w:eastAsia="en-GB"/>
        </w:rPr>
        <w:t>Journal of Academic Research</w:t>
      </w:r>
      <w:r w:rsidRPr="00174D3E">
        <w:rPr>
          <w:rFonts w:ascii="Arial" w:eastAsia="Times New Roman" w:hAnsi="Arial" w:cs="Arial"/>
          <w:lang w:val="en-GB" w:eastAsia="en-GB"/>
        </w:rPr>
        <w:t>, 22(3), pp. 45–49.</w:t>
      </w:r>
    </w:p>
    <w:p w14:paraId="31F4A012" w14:textId="77777777" w:rsidR="00174D3E" w:rsidRPr="00174D3E" w:rsidRDefault="00174D3E" w:rsidP="006E6CB7">
      <w:pPr>
        <w:spacing w:before="100" w:beforeAutospacing="1" w:after="100" w:afterAutospacing="1" w:line="240" w:lineRule="auto"/>
        <w:rPr>
          <w:rFonts w:ascii="Arial" w:eastAsia="Times New Roman" w:hAnsi="Arial" w:cs="Arial"/>
          <w:lang w:val="en-GB" w:eastAsia="en-GB"/>
        </w:rPr>
      </w:pPr>
      <w:r w:rsidRPr="00174D3E">
        <w:rPr>
          <w:rFonts w:ascii="Arial" w:eastAsia="Times New Roman" w:hAnsi="Arial" w:cs="Arial"/>
          <w:lang w:val="en-GB" w:eastAsia="en-GB"/>
        </w:rPr>
        <w:t xml:space="preserve">Booth, A., Sutton, A. and Papaioannou, D. (2021) </w:t>
      </w:r>
      <w:r w:rsidRPr="00174D3E">
        <w:rPr>
          <w:rFonts w:ascii="Arial" w:eastAsia="Times New Roman" w:hAnsi="Arial" w:cs="Arial"/>
          <w:i/>
          <w:iCs/>
          <w:lang w:val="en-GB" w:eastAsia="en-GB"/>
        </w:rPr>
        <w:t>Systematic approaches to a successful literature review</w:t>
      </w:r>
      <w:r w:rsidRPr="00174D3E">
        <w:rPr>
          <w:rFonts w:ascii="Arial" w:eastAsia="Times New Roman" w:hAnsi="Arial" w:cs="Arial"/>
          <w:lang w:val="en-GB" w:eastAsia="en-GB"/>
        </w:rPr>
        <w:t xml:space="preserve">. 3rd </w:t>
      </w:r>
      <w:proofErr w:type="spellStart"/>
      <w:r w:rsidRPr="00174D3E">
        <w:rPr>
          <w:rFonts w:ascii="Arial" w:eastAsia="Times New Roman" w:hAnsi="Arial" w:cs="Arial"/>
          <w:lang w:val="en-GB" w:eastAsia="en-GB"/>
        </w:rPr>
        <w:t>edn</w:t>
      </w:r>
      <w:proofErr w:type="spellEnd"/>
      <w:r w:rsidRPr="00174D3E">
        <w:rPr>
          <w:rFonts w:ascii="Arial" w:eastAsia="Times New Roman" w:hAnsi="Arial" w:cs="Arial"/>
          <w:lang w:val="en-GB" w:eastAsia="en-GB"/>
        </w:rPr>
        <w:t>. London: Sage.</w:t>
      </w:r>
    </w:p>
    <w:p w14:paraId="10AD9754" w14:textId="77777777" w:rsidR="00174D3E" w:rsidRPr="00174D3E" w:rsidRDefault="00174D3E" w:rsidP="006E6CB7">
      <w:pPr>
        <w:spacing w:before="100" w:beforeAutospacing="1" w:after="100" w:afterAutospacing="1" w:line="240" w:lineRule="auto"/>
        <w:rPr>
          <w:rFonts w:ascii="Arial" w:eastAsia="Times New Roman" w:hAnsi="Arial" w:cs="Arial"/>
          <w:lang w:val="en-GB" w:eastAsia="en-GB"/>
        </w:rPr>
      </w:pPr>
      <w:r w:rsidRPr="00174D3E">
        <w:rPr>
          <w:rFonts w:ascii="Arial" w:eastAsia="Times New Roman" w:hAnsi="Arial" w:cs="Arial"/>
          <w:lang w:val="en-GB" w:eastAsia="en-GB"/>
        </w:rPr>
        <w:t xml:space="preserve">Braun, V. and Clarke, V. (2019) ‘Reflecting on reflexive thematic analysis’, </w:t>
      </w:r>
      <w:r w:rsidRPr="00174D3E">
        <w:rPr>
          <w:rFonts w:ascii="Arial" w:eastAsia="Times New Roman" w:hAnsi="Arial" w:cs="Arial"/>
          <w:i/>
          <w:iCs/>
          <w:lang w:val="en-GB" w:eastAsia="en-GB"/>
        </w:rPr>
        <w:t>Qualitative Research in Sport, Exercise and Health</w:t>
      </w:r>
      <w:r w:rsidRPr="00174D3E">
        <w:rPr>
          <w:rFonts w:ascii="Arial" w:eastAsia="Times New Roman" w:hAnsi="Arial" w:cs="Arial"/>
          <w:lang w:val="en-GB" w:eastAsia="en-GB"/>
        </w:rPr>
        <w:t>, 11(4), pp. 589–597.</w:t>
      </w:r>
    </w:p>
    <w:p w14:paraId="6E931B40" w14:textId="6C8D4904" w:rsidR="00174D3E" w:rsidRPr="00174D3E" w:rsidRDefault="00174D3E" w:rsidP="006E6CB7">
      <w:pPr>
        <w:spacing w:before="100" w:beforeAutospacing="1" w:after="100" w:afterAutospacing="1" w:line="240" w:lineRule="auto"/>
        <w:rPr>
          <w:rFonts w:ascii="Arial" w:eastAsia="Times New Roman" w:hAnsi="Arial" w:cs="Arial"/>
          <w:lang w:val="en-GB" w:eastAsia="en-GB"/>
        </w:rPr>
      </w:pPr>
      <w:r w:rsidRPr="00174D3E">
        <w:rPr>
          <w:rFonts w:ascii="Arial" w:eastAsia="Times New Roman" w:hAnsi="Arial" w:cs="Arial"/>
          <w:lang w:val="en-GB" w:eastAsia="en-GB"/>
        </w:rPr>
        <w:t xml:space="preserve">Care Quality Commission (CQC) (2023) </w:t>
      </w:r>
      <w:r w:rsidRPr="00174D3E">
        <w:rPr>
          <w:rFonts w:ascii="Arial" w:eastAsia="Times New Roman" w:hAnsi="Arial" w:cs="Arial"/>
          <w:i/>
          <w:iCs/>
          <w:lang w:val="en-GB" w:eastAsia="en-GB"/>
        </w:rPr>
        <w:t>Mental health services annual report</w:t>
      </w:r>
      <w:r w:rsidRPr="00174D3E">
        <w:rPr>
          <w:rFonts w:ascii="Arial" w:eastAsia="Times New Roman" w:hAnsi="Arial" w:cs="Arial"/>
          <w:lang w:val="en-GB" w:eastAsia="en-GB"/>
        </w:rPr>
        <w:t xml:space="preserve">. Available at: </w:t>
      </w:r>
      <w:hyperlink r:id="rId10" w:tgtFrame="_new" w:history="1">
        <w:r w:rsidRPr="00174D3E">
          <w:rPr>
            <w:rFonts w:ascii="Arial" w:eastAsia="Times New Roman" w:hAnsi="Arial" w:cs="Arial"/>
            <w:color w:val="0000FF"/>
            <w:u w:val="single"/>
            <w:lang w:val="en-GB" w:eastAsia="en-GB"/>
          </w:rPr>
          <w:t>https://www.cqc.org.uk/publications/mental-health-services-annual-report</w:t>
        </w:r>
      </w:hyperlink>
      <w:r w:rsidRPr="00174D3E">
        <w:rPr>
          <w:rFonts w:ascii="Arial" w:eastAsia="Times New Roman" w:hAnsi="Arial" w:cs="Arial"/>
          <w:lang w:val="en-GB" w:eastAsia="en-GB"/>
        </w:rPr>
        <w:t xml:space="preserve"> (Accessed: </w:t>
      </w:r>
      <w:r>
        <w:rPr>
          <w:rFonts w:ascii="Arial" w:eastAsia="Times New Roman" w:hAnsi="Arial" w:cs="Arial"/>
          <w:lang w:val="en-GB" w:eastAsia="en-GB"/>
        </w:rPr>
        <w:t>8</w:t>
      </w:r>
      <w:r w:rsidRPr="00174D3E">
        <w:rPr>
          <w:rFonts w:ascii="Arial" w:eastAsia="Times New Roman" w:hAnsi="Arial" w:cs="Arial"/>
          <w:lang w:val="en-GB" w:eastAsia="en-GB"/>
        </w:rPr>
        <w:t xml:space="preserve"> January 2026).</w:t>
      </w:r>
    </w:p>
    <w:p w14:paraId="1C8946C3" w14:textId="77777777" w:rsidR="00174D3E" w:rsidRPr="00174D3E" w:rsidRDefault="00174D3E" w:rsidP="006E6CB7">
      <w:pPr>
        <w:spacing w:before="100" w:beforeAutospacing="1" w:after="100" w:afterAutospacing="1" w:line="240" w:lineRule="auto"/>
        <w:rPr>
          <w:rFonts w:ascii="Arial" w:eastAsia="Times New Roman" w:hAnsi="Arial" w:cs="Arial"/>
          <w:lang w:val="en-GB" w:eastAsia="en-GB"/>
        </w:rPr>
      </w:pPr>
      <w:r w:rsidRPr="00174D3E">
        <w:rPr>
          <w:rFonts w:ascii="Arial" w:eastAsia="Times New Roman" w:hAnsi="Arial" w:cs="Arial"/>
          <w:lang w:val="en-GB" w:eastAsia="en-GB"/>
        </w:rPr>
        <w:t xml:space="preserve">Leucht, S., Helfer, B. and Davis, J. (2019) ‘Antipsychotic drugs versus placebo for relapse prevention in schizophrenia: A systematic review and meta-analysis’, </w:t>
      </w:r>
      <w:r w:rsidRPr="00174D3E">
        <w:rPr>
          <w:rFonts w:ascii="Arial" w:eastAsia="Times New Roman" w:hAnsi="Arial" w:cs="Arial"/>
          <w:i/>
          <w:iCs/>
          <w:lang w:val="en-GB" w:eastAsia="en-GB"/>
        </w:rPr>
        <w:t>The Lancet Psychiatry</w:t>
      </w:r>
      <w:r w:rsidRPr="00174D3E">
        <w:rPr>
          <w:rFonts w:ascii="Arial" w:eastAsia="Times New Roman" w:hAnsi="Arial" w:cs="Arial"/>
          <w:lang w:val="en-GB" w:eastAsia="en-GB"/>
        </w:rPr>
        <w:t>, 6(5), pp. 418–428.</w:t>
      </w:r>
    </w:p>
    <w:p w14:paraId="596C5884" w14:textId="77777777" w:rsidR="00174D3E" w:rsidRPr="00174D3E" w:rsidRDefault="00174D3E" w:rsidP="006E6CB7">
      <w:pPr>
        <w:spacing w:before="100" w:beforeAutospacing="1" w:after="100" w:afterAutospacing="1" w:line="240" w:lineRule="auto"/>
        <w:rPr>
          <w:rFonts w:ascii="Arial" w:eastAsia="Times New Roman" w:hAnsi="Arial" w:cs="Arial"/>
          <w:lang w:val="en-GB" w:eastAsia="en-GB"/>
        </w:rPr>
      </w:pPr>
      <w:proofErr w:type="spellStart"/>
      <w:r w:rsidRPr="00174D3E">
        <w:rPr>
          <w:rFonts w:ascii="Arial" w:eastAsia="Times New Roman" w:hAnsi="Arial" w:cs="Arial"/>
          <w:lang w:val="en-GB" w:eastAsia="en-GB"/>
        </w:rPr>
        <w:t>Nazroo</w:t>
      </w:r>
      <w:proofErr w:type="spellEnd"/>
      <w:r w:rsidRPr="00174D3E">
        <w:rPr>
          <w:rFonts w:ascii="Arial" w:eastAsia="Times New Roman" w:hAnsi="Arial" w:cs="Arial"/>
          <w:lang w:val="en-GB" w:eastAsia="en-GB"/>
        </w:rPr>
        <w:t xml:space="preserve">, J., </w:t>
      </w:r>
      <w:proofErr w:type="spellStart"/>
      <w:r w:rsidRPr="00174D3E">
        <w:rPr>
          <w:rFonts w:ascii="Arial" w:eastAsia="Times New Roman" w:hAnsi="Arial" w:cs="Arial"/>
          <w:lang w:val="en-GB" w:eastAsia="en-GB"/>
        </w:rPr>
        <w:t>Bhui</w:t>
      </w:r>
      <w:proofErr w:type="spellEnd"/>
      <w:r w:rsidRPr="00174D3E">
        <w:rPr>
          <w:rFonts w:ascii="Arial" w:eastAsia="Times New Roman" w:hAnsi="Arial" w:cs="Arial"/>
          <w:lang w:val="en-GB" w:eastAsia="en-GB"/>
        </w:rPr>
        <w:t xml:space="preserve">, K. and Rhodes, J. (2019) ‘Structural racism and mental health inequalities’, </w:t>
      </w:r>
      <w:r w:rsidRPr="00174D3E">
        <w:rPr>
          <w:rFonts w:ascii="Arial" w:eastAsia="Times New Roman" w:hAnsi="Arial" w:cs="Arial"/>
          <w:i/>
          <w:iCs/>
          <w:lang w:val="en-GB" w:eastAsia="en-GB"/>
        </w:rPr>
        <w:t>Ethnicity &amp; Health</w:t>
      </w:r>
      <w:r w:rsidRPr="00174D3E">
        <w:rPr>
          <w:rFonts w:ascii="Arial" w:eastAsia="Times New Roman" w:hAnsi="Arial" w:cs="Arial"/>
          <w:lang w:val="en-GB" w:eastAsia="en-GB"/>
        </w:rPr>
        <w:t>, 24(1), pp. 1–19.</w:t>
      </w:r>
    </w:p>
    <w:p w14:paraId="2C8CAA34" w14:textId="106FEBA9" w:rsidR="00174D3E" w:rsidRPr="00174D3E" w:rsidRDefault="00174D3E" w:rsidP="006E6CB7">
      <w:pPr>
        <w:spacing w:before="100" w:beforeAutospacing="1" w:after="100" w:afterAutospacing="1" w:line="240" w:lineRule="auto"/>
        <w:rPr>
          <w:rFonts w:ascii="Arial" w:eastAsia="Times New Roman" w:hAnsi="Arial" w:cs="Arial"/>
          <w:lang w:val="en-GB" w:eastAsia="en-GB"/>
        </w:rPr>
      </w:pPr>
      <w:r w:rsidRPr="00174D3E">
        <w:rPr>
          <w:rFonts w:ascii="Arial" w:eastAsia="Times New Roman" w:hAnsi="Arial" w:cs="Arial"/>
          <w:lang w:val="en-GB" w:eastAsia="en-GB"/>
        </w:rPr>
        <w:t xml:space="preserve">NHS England (2022) </w:t>
      </w:r>
      <w:r w:rsidRPr="00174D3E">
        <w:rPr>
          <w:rFonts w:ascii="Arial" w:eastAsia="Times New Roman" w:hAnsi="Arial" w:cs="Arial"/>
          <w:i/>
          <w:iCs/>
          <w:lang w:val="en-GB" w:eastAsia="en-GB"/>
        </w:rPr>
        <w:t>Mental health services: Access and waiting times</w:t>
      </w:r>
      <w:r w:rsidRPr="00174D3E">
        <w:rPr>
          <w:rFonts w:ascii="Arial" w:eastAsia="Times New Roman" w:hAnsi="Arial" w:cs="Arial"/>
          <w:lang w:val="en-GB" w:eastAsia="en-GB"/>
        </w:rPr>
        <w:t xml:space="preserve">. Available at: </w:t>
      </w:r>
      <w:hyperlink r:id="rId11" w:tgtFrame="_new" w:history="1">
        <w:r w:rsidRPr="00174D3E">
          <w:rPr>
            <w:rFonts w:ascii="Arial" w:eastAsia="Times New Roman" w:hAnsi="Arial" w:cs="Arial"/>
            <w:color w:val="0000FF"/>
            <w:u w:val="single"/>
            <w:lang w:val="en-GB" w:eastAsia="en-GB"/>
          </w:rPr>
          <w:t>https://www.england.nhs.uk/statistics/statistical-work-areas/mental-health-services</w:t>
        </w:r>
      </w:hyperlink>
      <w:r w:rsidRPr="00174D3E">
        <w:rPr>
          <w:rFonts w:ascii="Arial" w:eastAsia="Times New Roman" w:hAnsi="Arial" w:cs="Arial"/>
          <w:lang w:val="en-GB" w:eastAsia="en-GB"/>
        </w:rPr>
        <w:t xml:space="preserve"> (Accessed: 1</w:t>
      </w:r>
      <w:r>
        <w:rPr>
          <w:rFonts w:ascii="Arial" w:eastAsia="Times New Roman" w:hAnsi="Arial" w:cs="Arial"/>
          <w:lang w:val="en-GB" w:eastAsia="en-GB"/>
        </w:rPr>
        <w:t>1</w:t>
      </w:r>
      <w:r w:rsidRPr="00174D3E">
        <w:rPr>
          <w:rFonts w:ascii="Arial" w:eastAsia="Times New Roman" w:hAnsi="Arial" w:cs="Arial"/>
          <w:lang w:val="en-GB" w:eastAsia="en-GB"/>
        </w:rPr>
        <w:t xml:space="preserve"> January 2026).</w:t>
      </w:r>
    </w:p>
    <w:p w14:paraId="2B6A5619" w14:textId="77777777" w:rsidR="00174D3E" w:rsidRPr="00174D3E" w:rsidRDefault="00174D3E" w:rsidP="006E6CB7">
      <w:pPr>
        <w:spacing w:before="100" w:beforeAutospacing="1" w:after="100" w:afterAutospacing="1" w:line="240" w:lineRule="auto"/>
        <w:rPr>
          <w:rFonts w:ascii="Arial" w:eastAsia="Times New Roman" w:hAnsi="Arial" w:cs="Arial"/>
          <w:lang w:val="en-GB" w:eastAsia="en-GB"/>
        </w:rPr>
      </w:pPr>
      <w:r w:rsidRPr="00174D3E">
        <w:rPr>
          <w:rFonts w:ascii="Arial" w:eastAsia="Times New Roman" w:hAnsi="Arial" w:cs="Arial"/>
          <w:lang w:val="en-GB" w:eastAsia="en-GB"/>
        </w:rPr>
        <w:t xml:space="preserve">NICE (2020) </w:t>
      </w:r>
      <w:r w:rsidRPr="00174D3E">
        <w:rPr>
          <w:rFonts w:ascii="Arial" w:eastAsia="Times New Roman" w:hAnsi="Arial" w:cs="Arial"/>
          <w:i/>
          <w:iCs/>
          <w:lang w:val="en-GB" w:eastAsia="en-GB"/>
        </w:rPr>
        <w:t>Psychosis and schizophrenia in adults (NG222)</w:t>
      </w:r>
      <w:r w:rsidRPr="00174D3E">
        <w:rPr>
          <w:rFonts w:ascii="Arial" w:eastAsia="Times New Roman" w:hAnsi="Arial" w:cs="Arial"/>
          <w:lang w:val="en-GB" w:eastAsia="en-GB"/>
        </w:rPr>
        <w:t xml:space="preserve">. Available at: </w:t>
      </w:r>
      <w:hyperlink r:id="rId12" w:tgtFrame="_new" w:history="1">
        <w:r w:rsidRPr="00174D3E">
          <w:rPr>
            <w:rFonts w:ascii="Arial" w:eastAsia="Times New Roman" w:hAnsi="Arial" w:cs="Arial"/>
            <w:color w:val="0000FF"/>
            <w:u w:val="single"/>
            <w:lang w:val="en-GB" w:eastAsia="en-GB"/>
          </w:rPr>
          <w:t>https://www.nice.org.uk/guidance/ng222</w:t>
        </w:r>
      </w:hyperlink>
      <w:r w:rsidRPr="00174D3E">
        <w:rPr>
          <w:rFonts w:ascii="Arial" w:eastAsia="Times New Roman" w:hAnsi="Arial" w:cs="Arial"/>
          <w:lang w:val="en-GB" w:eastAsia="en-GB"/>
        </w:rPr>
        <w:t xml:space="preserve"> (Accessed: 12 January 2026).</w:t>
      </w:r>
    </w:p>
    <w:p w14:paraId="2975C251" w14:textId="77777777" w:rsidR="00174D3E" w:rsidRPr="00174D3E" w:rsidRDefault="00174D3E" w:rsidP="006E6CB7">
      <w:pPr>
        <w:spacing w:before="100" w:beforeAutospacing="1" w:after="100" w:afterAutospacing="1" w:line="240" w:lineRule="auto"/>
        <w:rPr>
          <w:rFonts w:ascii="Arial" w:eastAsia="Times New Roman" w:hAnsi="Arial" w:cs="Arial"/>
          <w:lang w:val="en-GB" w:eastAsia="en-GB"/>
        </w:rPr>
      </w:pPr>
      <w:proofErr w:type="spellStart"/>
      <w:r w:rsidRPr="00174D3E">
        <w:rPr>
          <w:rFonts w:ascii="Arial" w:eastAsia="Times New Roman" w:hAnsi="Arial" w:cs="Arial"/>
          <w:lang w:val="en-GB" w:eastAsia="en-GB"/>
        </w:rPr>
        <w:t>Pagdon</w:t>
      </w:r>
      <w:proofErr w:type="spellEnd"/>
      <w:r w:rsidRPr="00174D3E">
        <w:rPr>
          <w:rFonts w:ascii="Arial" w:eastAsia="Times New Roman" w:hAnsi="Arial" w:cs="Arial"/>
          <w:lang w:val="en-GB" w:eastAsia="en-GB"/>
        </w:rPr>
        <w:t xml:space="preserve">, A. (2024) ‘Peer support and burnout in NHS psychosis services’, </w:t>
      </w:r>
      <w:r w:rsidRPr="00174D3E">
        <w:rPr>
          <w:rFonts w:ascii="Arial" w:eastAsia="Times New Roman" w:hAnsi="Arial" w:cs="Arial"/>
          <w:i/>
          <w:iCs/>
          <w:lang w:val="en-GB" w:eastAsia="en-GB"/>
        </w:rPr>
        <w:t>Journal of Mental Health Practice</w:t>
      </w:r>
      <w:r w:rsidRPr="00174D3E">
        <w:rPr>
          <w:rFonts w:ascii="Arial" w:eastAsia="Times New Roman" w:hAnsi="Arial" w:cs="Arial"/>
          <w:lang w:val="en-GB" w:eastAsia="en-GB"/>
        </w:rPr>
        <w:t>, 18(3), pp. 201–213.</w:t>
      </w:r>
    </w:p>
    <w:p w14:paraId="25AC70F9" w14:textId="62D73687" w:rsidR="00174D3E" w:rsidRPr="00174D3E" w:rsidRDefault="00174D3E" w:rsidP="006E6CB7">
      <w:pPr>
        <w:spacing w:before="100" w:beforeAutospacing="1" w:after="100" w:afterAutospacing="1" w:line="240" w:lineRule="auto"/>
        <w:rPr>
          <w:rFonts w:ascii="Arial" w:eastAsia="Times New Roman" w:hAnsi="Arial" w:cs="Arial"/>
          <w:lang w:val="en-GB" w:eastAsia="en-GB"/>
        </w:rPr>
      </w:pPr>
      <w:r w:rsidRPr="00174D3E">
        <w:rPr>
          <w:rFonts w:ascii="Arial" w:eastAsia="Times New Roman" w:hAnsi="Arial" w:cs="Arial"/>
          <w:lang w:val="en-GB" w:eastAsia="en-GB"/>
        </w:rPr>
        <w:t xml:space="preserve">Resnik, D.B. (2015) </w:t>
      </w:r>
      <w:r w:rsidRPr="00174D3E">
        <w:rPr>
          <w:rFonts w:ascii="Arial" w:eastAsia="Times New Roman" w:hAnsi="Arial" w:cs="Arial"/>
          <w:i/>
          <w:iCs/>
          <w:lang w:val="en-GB" w:eastAsia="en-GB"/>
        </w:rPr>
        <w:t>What is ethics in research and why is it important?</w:t>
      </w:r>
      <w:r w:rsidRPr="00174D3E">
        <w:rPr>
          <w:rFonts w:ascii="Arial" w:eastAsia="Times New Roman" w:hAnsi="Arial" w:cs="Arial"/>
          <w:lang w:val="en-GB" w:eastAsia="en-GB"/>
        </w:rPr>
        <w:t xml:space="preserve"> Available at: </w:t>
      </w:r>
      <w:hyperlink r:id="rId13" w:tgtFrame="_new" w:history="1">
        <w:r w:rsidRPr="00174D3E">
          <w:rPr>
            <w:rFonts w:ascii="Arial" w:eastAsia="Times New Roman" w:hAnsi="Arial" w:cs="Arial"/>
            <w:color w:val="0000FF"/>
            <w:u w:val="single"/>
            <w:lang w:val="en-GB" w:eastAsia="en-GB"/>
          </w:rPr>
          <w:t>https://www.niehs.nih.gov/research/resources/bioethics/whatis/index.cfm</w:t>
        </w:r>
      </w:hyperlink>
      <w:r w:rsidRPr="00174D3E">
        <w:rPr>
          <w:rFonts w:ascii="Arial" w:eastAsia="Times New Roman" w:hAnsi="Arial" w:cs="Arial"/>
          <w:lang w:val="en-GB" w:eastAsia="en-GB"/>
        </w:rPr>
        <w:t xml:space="preserve"> (Accessed: 3 </w:t>
      </w:r>
      <w:r>
        <w:rPr>
          <w:rFonts w:ascii="Arial" w:eastAsia="Times New Roman" w:hAnsi="Arial" w:cs="Arial"/>
          <w:lang w:val="en-GB" w:eastAsia="en-GB"/>
        </w:rPr>
        <w:t>January</w:t>
      </w:r>
      <w:r w:rsidRPr="00174D3E">
        <w:rPr>
          <w:rFonts w:ascii="Arial" w:eastAsia="Times New Roman" w:hAnsi="Arial" w:cs="Arial"/>
          <w:lang w:val="en-GB" w:eastAsia="en-GB"/>
        </w:rPr>
        <w:t xml:space="preserve"> 202</w:t>
      </w:r>
      <w:r>
        <w:rPr>
          <w:rFonts w:ascii="Arial" w:eastAsia="Times New Roman" w:hAnsi="Arial" w:cs="Arial"/>
          <w:lang w:val="en-GB" w:eastAsia="en-GB"/>
        </w:rPr>
        <w:t>6</w:t>
      </w:r>
      <w:r w:rsidRPr="00174D3E">
        <w:rPr>
          <w:rFonts w:ascii="Arial" w:eastAsia="Times New Roman" w:hAnsi="Arial" w:cs="Arial"/>
          <w:lang w:val="en-GB" w:eastAsia="en-GB"/>
        </w:rPr>
        <w:t>).</w:t>
      </w:r>
    </w:p>
    <w:p w14:paraId="6376C83D" w14:textId="77777777" w:rsidR="00174D3E" w:rsidRPr="00174D3E" w:rsidRDefault="00174D3E" w:rsidP="006E6CB7">
      <w:pPr>
        <w:spacing w:before="100" w:beforeAutospacing="1" w:after="100" w:afterAutospacing="1" w:line="240" w:lineRule="auto"/>
        <w:rPr>
          <w:rFonts w:ascii="Arial" w:eastAsia="Times New Roman" w:hAnsi="Arial" w:cs="Arial"/>
          <w:lang w:val="en-GB" w:eastAsia="en-GB"/>
        </w:rPr>
      </w:pPr>
      <w:r w:rsidRPr="00174D3E">
        <w:rPr>
          <w:rFonts w:ascii="Arial" w:eastAsia="Times New Roman" w:hAnsi="Arial" w:cs="Arial"/>
          <w:lang w:val="en-GB" w:eastAsia="en-GB"/>
        </w:rPr>
        <w:t xml:space="preserve">Rogers, A. and Pilgrim, D. (2020) </w:t>
      </w:r>
      <w:r w:rsidRPr="00174D3E">
        <w:rPr>
          <w:rFonts w:ascii="Arial" w:eastAsia="Times New Roman" w:hAnsi="Arial" w:cs="Arial"/>
          <w:i/>
          <w:iCs/>
          <w:lang w:val="en-GB" w:eastAsia="en-GB"/>
        </w:rPr>
        <w:t>Mental health policy in Britain</w:t>
      </w:r>
      <w:r w:rsidRPr="00174D3E">
        <w:rPr>
          <w:rFonts w:ascii="Arial" w:eastAsia="Times New Roman" w:hAnsi="Arial" w:cs="Arial"/>
          <w:lang w:val="en-GB" w:eastAsia="en-GB"/>
        </w:rPr>
        <w:t xml:space="preserve">. 2nd </w:t>
      </w:r>
      <w:proofErr w:type="spellStart"/>
      <w:r w:rsidRPr="00174D3E">
        <w:rPr>
          <w:rFonts w:ascii="Arial" w:eastAsia="Times New Roman" w:hAnsi="Arial" w:cs="Arial"/>
          <w:lang w:val="en-GB" w:eastAsia="en-GB"/>
        </w:rPr>
        <w:t>edn</w:t>
      </w:r>
      <w:proofErr w:type="spellEnd"/>
      <w:r w:rsidRPr="00174D3E">
        <w:rPr>
          <w:rFonts w:ascii="Arial" w:eastAsia="Times New Roman" w:hAnsi="Arial" w:cs="Arial"/>
          <w:lang w:val="en-GB" w:eastAsia="en-GB"/>
        </w:rPr>
        <w:t>. London: Palgrave.</w:t>
      </w:r>
    </w:p>
    <w:p w14:paraId="3DA90C82" w14:textId="0A40E6AC" w:rsidR="002906B1" w:rsidRPr="006E6CB7" w:rsidRDefault="00174D3E" w:rsidP="006E6CB7">
      <w:pPr>
        <w:spacing w:before="100" w:beforeAutospacing="1" w:after="100" w:afterAutospacing="1" w:line="240" w:lineRule="auto"/>
        <w:rPr>
          <w:rFonts w:ascii="Arial" w:eastAsia="Times New Roman" w:hAnsi="Arial" w:cs="Arial"/>
          <w:lang w:val="en-GB" w:eastAsia="en-GB"/>
        </w:rPr>
      </w:pPr>
      <w:r w:rsidRPr="00174D3E">
        <w:rPr>
          <w:rFonts w:ascii="Arial" w:eastAsia="Times New Roman" w:hAnsi="Arial" w:cs="Arial"/>
          <w:lang w:val="en-GB" w:eastAsia="en-GB"/>
        </w:rPr>
        <w:t xml:space="preserve">World Health Organization (WHO) (2023) </w:t>
      </w:r>
      <w:r w:rsidRPr="00174D3E">
        <w:rPr>
          <w:rFonts w:ascii="Arial" w:eastAsia="Times New Roman" w:hAnsi="Arial" w:cs="Arial"/>
          <w:i/>
          <w:iCs/>
          <w:lang w:val="en-GB" w:eastAsia="en-GB"/>
        </w:rPr>
        <w:t>Schizophrenia fact sheet</w:t>
      </w:r>
      <w:r w:rsidRPr="00174D3E">
        <w:rPr>
          <w:rFonts w:ascii="Arial" w:eastAsia="Times New Roman" w:hAnsi="Arial" w:cs="Arial"/>
          <w:lang w:val="en-GB" w:eastAsia="en-GB"/>
        </w:rPr>
        <w:t xml:space="preserve">. Available at: </w:t>
      </w:r>
      <w:hyperlink r:id="rId14" w:tgtFrame="_new" w:history="1">
        <w:r w:rsidRPr="00174D3E">
          <w:rPr>
            <w:rFonts w:ascii="Arial" w:eastAsia="Times New Roman" w:hAnsi="Arial" w:cs="Arial"/>
            <w:color w:val="0000FF"/>
            <w:u w:val="single"/>
            <w:lang w:val="en-GB" w:eastAsia="en-GB"/>
          </w:rPr>
          <w:t>https://www.who.int/news-room/fact-sheets/detail/schizophrenia</w:t>
        </w:r>
      </w:hyperlink>
      <w:r w:rsidRPr="00174D3E">
        <w:rPr>
          <w:rFonts w:ascii="Arial" w:eastAsia="Times New Roman" w:hAnsi="Arial" w:cs="Arial"/>
          <w:lang w:val="en-GB" w:eastAsia="en-GB"/>
        </w:rPr>
        <w:t xml:space="preserve"> (Accessed: </w:t>
      </w:r>
      <w:r>
        <w:rPr>
          <w:rFonts w:ascii="Arial" w:eastAsia="Times New Roman" w:hAnsi="Arial" w:cs="Arial"/>
          <w:lang w:val="en-GB" w:eastAsia="en-GB"/>
        </w:rPr>
        <w:t>9</w:t>
      </w:r>
      <w:r w:rsidRPr="00174D3E">
        <w:rPr>
          <w:rFonts w:ascii="Arial" w:eastAsia="Times New Roman" w:hAnsi="Arial" w:cs="Arial"/>
          <w:lang w:val="en-GB" w:eastAsia="en-GB"/>
        </w:rPr>
        <w:t xml:space="preserve"> January 2026).</w:t>
      </w:r>
    </w:p>
    <w:sectPr w:rsidR="002906B1" w:rsidRPr="006E6CB7" w:rsidSect="00E0586E">
      <w:headerReference w:type="default" r:id="rId15"/>
      <w:headerReference w:type="first" r:id="rId16"/>
      <w:pgSz w:w="15840" w:h="12240" w:orient="landscape" w:code="1"/>
      <w:pgMar w:top="576" w:right="720" w:bottom="720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F08BB6" w14:textId="77777777" w:rsidR="000F4ADD" w:rsidRDefault="000F4ADD">
      <w:pPr>
        <w:spacing w:after="0" w:line="240" w:lineRule="auto"/>
      </w:pPr>
      <w:r>
        <w:separator/>
      </w:r>
    </w:p>
  </w:endnote>
  <w:endnote w:type="continuationSeparator" w:id="0">
    <w:p w14:paraId="46E3B9CC" w14:textId="77777777" w:rsidR="000F4ADD" w:rsidRDefault="000F4A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F0C4C6" w14:textId="77777777" w:rsidR="000F4ADD" w:rsidRDefault="000F4ADD">
      <w:pPr>
        <w:spacing w:after="0" w:line="240" w:lineRule="auto"/>
      </w:pPr>
      <w:r>
        <w:separator/>
      </w:r>
    </w:p>
  </w:footnote>
  <w:footnote w:type="continuationSeparator" w:id="0">
    <w:p w14:paraId="2FB9DC04" w14:textId="77777777" w:rsidR="000F4ADD" w:rsidRDefault="000F4AD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4DA6A5F" w14:textId="77777777" w:rsidR="00432391" w:rsidRDefault="00432391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11C79A" w14:textId="77777777" w:rsidR="00432391" w:rsidRDefault="00432391">
    <w:pPr>
      <w:pStyle w:val="Header"/>
    </w:pPr>
  </w:p>
  <w:p w14:paraId="61234FA3" w14:textId="77777777" w:rsidR="00432391" w:rsidRDefault="0043239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2645F3"/>
    <w:multiLevelType w:val="hybridMultilevel"/>
    <w:tmpl w:val="8564B626"/>
    <w:lvl w:ilvl="0" w:tplc="653069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E29F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7436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6EF0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8899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1A6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9CFE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466B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2616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7DE0813"/>
    <w:multiLevelType w:val="hybridMultilevel"/>
    <w:tmpl w:val="D6889992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12468ED"/>
    <w:multiLevelType w:val="hybridMultilevel"/>
    <w:tmpl w:val="428072E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5303FC"/>
    <w:multiLevelType w:val="hybridMultilevel"/>
    <w:tmpl w:val="0DF23BD2"/>
    <w:lvl w:ilvl="0" w:tplc="62ACD16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468278">
    <w:abstractNumId w:val="0"/>
  </w:num>
  <w:num w:numId="2" w16cid:durableId="537133619">
    <w:abstractNumId w:val="3"/>
  </w:num>
  <w:num w:numId="3" w16cid:durableId="719130917">
    <w:abstractNumId w:val="2"/>
  </w:num>
  <w:num w:numId="4" w16cid:durableId="41617768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2391"/>
    <w:rsid w:val="000F4ADD"/>
    <w:rsid w:val="00174D3E"/>
    <w:rsid w:val="001C639F"/>
    <w:rsid w:val="001D2227"/>
    <w:rsid w:val="002906B1"/>
    <w:rsid w:val="002A00D0"/>
    <w:rsid w:val="003A5576"/>
    <w:rsid w:val="003E6D66"/>
    <w:rsid w:val="003E7966"/>
    <w:rsid w:val="00432391"/>
    <w:rsid w:val="005A7E19"/>
    <w:rsid w:val="00622943"/>
    <w:rsid w:val="00676FA7"/>
    <w:rsid w:val="006E6CB7"/>
    <w:rsid w:val="00740A68"/>
    <w:rsid w:val="007C2DB2"/>
    <w:rsid w:val="00844C30"/>
    <w:rsid w:val="00BA2731"/>
    <w:rsid w:val="00C22247"/>
    <w:rsid w:val="00C54AD1"/>
    <w:rsid w:val="00E0586E"/>
    <w:rsid w:val="00E61E4D"/>
    <w:rsid w:val="00E642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D01972"/>
  <w15:chartTrackingRefBased/>
  <w15:docId w15:val="{A4B86AB5-AD37-4DCD-94F5-A6C21D37E0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0586E"/>
    <w:pPr>
      <w:spacing w:after="200" w:line="276" w:lineRule="auto"/>
    </w:pPr>
    <w:rPr>
      <w:rFonts w:eastAsiaTheme="minorEastAsia"/>
      <w:kern w:val="0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32391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kern w:val="2"/>
      <w:sz w:val="40"/>
      <w:szCs w:val="40"/>
      <w:lang w:val="en-GB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2391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kern w:val="2"/>
      <w:sz w:val="32"/>
      <w:szCs w:val="32"/>
      <w:lang w:val="en-GB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32391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2F5496" w:themeColor="accent1" w:themeShade="BF"/>
      <w:kern w:val="2"/>
      <w:sz w:val="28"/>
      <w:szCs w:val="28"/>
      <w:lang w:val="en-GB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2391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2F5496" w:themeColor="accent1" w:themeShade="BF"/>
      <w:kern w:val="2"/>
      <w:lang w:val="en-GB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2391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2F5496" w:themeColor="accent1" w:themeShade="BF"/>
      <w:kern w:val="2"/>
      <w:lang w:val="en-GB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2391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lang w:val="en-GB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2391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  <w:kern w:val="2"/>
      <w:lang w:val="en-GB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2391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lang w:val="en-GB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2391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  <w:kern w:val="2"/>
      <w:lang w:val="en-GB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2391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3239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32391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32391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32391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323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323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323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323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323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4323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32391"/>
    <w:pPr>
      <w:numPr>
        <w:ilvl w:val="1"/>
      </w:numPr>
      <w:spacing w:after="160" w:line="259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GB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4323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32391"/>
    <w:pPr>
      <w:spacing w:before="160" w:after="160" w:line="259" w:lineRule="auto"/>
      <w:jc w:val="center"/>
    </w:pPr>
    <w:rPr>
      <w:rFonts w:eastAsiaTheme="minorHAnsi"/>
      <w:i/>
      <w:iCs/>
      <w:color w:val="404040" w:themeColor="text1" w:themeTint="BF"/>
      <w:kern w:val="2"/>
      <w:lang w:val="en-GB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4323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32391"/>
    <w:pPr>
      <w:spacing w:after="160" w:line="259" w:lineRule="auto"/>
      <w:ind w:left="720"/>
      <w:contextualSpacing/>
    </w:pPr>
    <w:rPr>
      <w:rFonts w:eastAsiaTheme="minorHAnsi"/>
      <w:kern w:val="2"/>
      <w:lang w:val="en-GB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43239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32391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 w:line="259" w:lineRule="auto"/>
      <w:ind w:left="864" w:right="864"/>
      <w:jc w:val="center"/>
    </w:pPr>
    <w:rPr>
      <w:rFonts w:eastAsiaTheme="minorHAnsi"/>
      <w:i/>
      <w:iCs/>
      <w:color w:val="2F5496" w:themeColor="accent1" w:themeShade="BF"/>
      <w:kern w:val="2"/>
      <w:lang w:val="en-GB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32391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32391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semiHidden/>
    <w:unhideWhenUsed/>
    <w:rsid w:val="00432391"/>
    <w:pPr>
      <w:tabs>
        <w:tab w:val="center" w:pos="4513"/>
        <w:tab w:val="right" w:pos="9026"/>
      </w:tabs>
      <w:spacing w:after="0" w:line="240" w:lineRule="auto"/>
    </w:pPr>
    <w:rPr>
      <w:rFonts w:eastAsiaTheme="minorHAnsi"/>
      <w:kern w:val="2"/>
      <w:lang w:val="en-GB"/>
      <w14:ligatures w14:val="standardContextual"/>
    </w:rPr>
  </w:style>
  <w:style w:type="character" w:customStyle="1" w:styleId="HeaderChar">
    <w:name w:val="Header Char"/>
    <w:basedOn w:val="DefaultParagraphFont"/>
    <w:link w:val="Header"/>
    <w:uiPriority w:val="99"/>
    <w:semiHidden/>
    <w:rsid w:val="00432391"/>
  </w:style>
  <w:style w:type="table" w:styleId="TableGrid">
    <w:name w:val="Table Grid"/>
    <w:basedOn w:val="TableNormal"/>
    <w:uiPriority w:val="59"/>
    <w:rsid w:val="00432391"/>
    <w:pPr>
      <w:spacing w:after="220" w:line="240" w:lineRule="auto"/>
    </w:pPr>
    <w:rPr>
      <w:kern w:val="0"/>
      <w:lang w:val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59"/>
    <w:rsid w:val="003E6D66"/>
    <w:pPr>
      <w:spacing w:after="0" w:line="240" w:lineRule="auto"/>
    </w:pPr>
    <w:rPr>
      <w:rFonts w:eastAsiaTheme="minorEastAsia"/>
      <w:kern w:val="0"/>
      <w:lang w:val="en-US"/>
      <w14:ligatures w14:val="none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4">
    <w:name w:val="Grid Table 4 Accent 4"/>
    <w:basedOn w:val="TableNormal"/>
    <w:uiPriority w:val="49"/>
    <w:rsid w:val="00740A68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niehs.nih.gov/research/resources/bioethics/whatis/index.cfm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nice.org.uk/guidance/ng222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eader" Target="head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ngland.nhs.uk/statistics/statistical-work-areas/mental-health-services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www.cqc.org.uk/publications/mental-health-services-annual-report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who.int/news-room/fact-sheets/detail/schizophreni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4</Pages>
  <Words>1713</Words>
  <Characters>9767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ARIF ULLAH</dc:creator>
  <cp:keywords/>
  <dc:description/>
  <cp:lastModifiedBy>MD ARIF ULLAH</cp:lastModifiedBy>
  <cp:revision>11</cp:revision>
  <dcterms:created xsi:type="dcterms:W3CDTF">2026-02-17T13:13:00Z</dcterms:created>
  <dcterms:modified xsi:type="dcterms:W3CDTF">2026-02-18T01:53:00Z</dcterms:modified>
</cp:coreProperties>
</file>