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67A00451"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126936">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5761D054" w14:textId="126FB2B0" w:rsidR="008F5E87" w:rsidRPr="009C4BF1" w:rsidRDefault="008F5E87" w:rsidP="008F5E87">
      <w:pPr>
        <w:numPr>
          <w:ilvl w:val="0"/>
          <w:numId w:val="29"/>
        </w:numPr>
        <w:spacing w:before="100" w:beforeAutospacing="1" w:after="100" w:afterAutospacing="1"/>
        <w:rPr>
          <w:rFonts w:ascii="SymbolMT" w:hAnsi="SymbolMT"/>
        </w:rPr>
      </w:pPr>
      <w:r>
        <w:rPr>
          <w:rFonts w:ascii="Calibri" w:hAnsi="Calibri" w:cs="Calibri"/>
        </w:rPr>
        <w:t>Sustainability within the hotel industry</w:t>
      </w:r>
      <w:r w:rsidR="003F7792">
        <w:rPr>
          <w:rFonts w:ascii="Calibri" w:hAnsi="Calibri" w:cs="Calibri"/>
        </w:rPr>
        <w:t>.</w:t>
      </w:r>
    </w:p>
    <w:p w14:paraId="3FD54C62" w14:textId="6838B940" w:rsidR="008F5E87" w:rsidRPr="00126936" w:rsidRDefault="008F5E87" w:rsidP="00126936">
      <w:pPr>
        <w:numPr>
          <w:ilvl w:val="0"/>
          <w:numId w:val="29"/>
        </w:numPr>
        <w:spacing w:before="100" w:beforeAutospacing="1" w:after="100" w:afterAutospacing="1"/>
        <w:rPr>
          <w:rFonts w:ascii="SymbolMT" w:hAnsi="SymbolMT"/>
        </w:rPr>
      </w:pPr>
      <w:r>
        <w:rPr>
          <w:rFonts w:ascii="Calibri" w:hAnsi="Calibri" w:cs="Calibri"/>
        </w:rPr>
        <w:t>Health &amp; Wellbeing – the emerging trend within hotels</w:t>
      </w:r>
      <w:r w:rsidR="00126936">
        <w:rPr>
          <w:rFonts w:ascii="Calibri" w:hAnsi="Calibri" w:cs="Calibri"/>
        </w:rPr>
        <w:t>.</w:t>
      </w:r>
    </w:p>
    <w:p w14:paraId="1EB2ED0E" w14:textId="77777777" w:rsidR="00B945EA" w:rsidRDefault="00B945EA" w:rsidP="00B945EA">
      <w:pPr>
        <w:jc w:val="both"/>
        <w:rPr>
          <w:rFonts w:ascii="Tahoma" w:hAnsi="Tahoma" w:cs="Tahoma"/>
        </w:rPr>
      </w:pPr>
    </w:p>
    <w:p w14:paraId="5D126ACE" w14:textId="77777777" w:rsidR="00126936" w:rsidRDefault="00126936" w:rsidP="00126936">
      <w:pPr>
        <w:jc w:val="both"/>
        <w:rPr>
          <w:rFonts w:ascii="Tahoma" w:hAnsi="Tahoma" w:cs="Tahoma"/>
        </w:rPr>
      </w:pPr>
      <w:r>
        <w:rPr>
          <w:rFonts w:ascii="Tahoma" w:hAnsi="Tahoma" w:cs="Tahoma"/>
        </w:rPr>
        <w:t xml:space="preserve">Consider the appropriate lectures. What was the topic and what have you learnt? Provide a </w:t>
      </w:r>
      <w:r>
        <w:rPr>
          <w:rFonts w:ascii="Tahoma" w:hAnsi="Tahoma" w:cs="Tahoma"/>
          <w:b/>
          <w:bCs/>
        </w:rPr>
        <w:t>brief summary</w:t>
      </w:r>
      <w:r>
        <w:rPr>
          <w:rFonts w:ascii="Tahoma" w:hAnsi="Tahoma" w:cs="Tahoma"/>
        </w:rPr>
        <w:t xml:space="preserve">. What </w:t>
      </w:r>
      <w:r>
        <w:rPr>
          <w:rFonts w:ascii="Tahoma" w:hAnsi="Tahoma" w:cs="Tahoma"/>
          <w:b/>
          <w:bCs/>
        </w:rPr>
        <w:t>new skills / knowledge have you acquired</w:t>
      </w:r>
      <w:r>
        <w:rPr>
          <w:rFonts w:ascii="Tahoma" w:hAnsi="Tahoma" w:cs="Tahoma"/>
        </w:rPr>
        <w:t xml:space="preserve">? How will you </w:t>
      </w:r>
      <w:r>
        <w:rPr>
          <w:rFonts w:ascii="Tahoma" w:hAnsi="Tahoma" w:cs="Tahoma"/>
          <w:b/>
          <w:bCs/>
        </w:rPr>
        <w:t>apply your knowledge in the future</w:t>
      </w:r>
      <w:r>
        <w:rPr>
          <w:rFonts w:ascii="Tahoma" w:hAnsi="Tahoma" w:cs="Tahoma"/>
        </w:rPr>
        <w:t xml:space="preserve">? What are your </w:t>
      </w:r>
      <w:r>
        <w:rPr>
          <w:rFonts w:ascii="Tahoma" w:hAnsi="Tahoma" w:cs="Tahoma"/>
          <w:b/>
          <w:bCs/>
        </w:rPr>
        <w:t>personal reflections</w:t>
      </w:r>
      <w:r>
        <w:rPr>
          <w:rFonts w:ascii="Tahoma" w:hAnsi="Tahoma" w:cs="Tahoma"/>
        </w:rPr>
        <w:t xml:space="preserve"> on the subject? Why is this </w:t>
      </w:r>
      <w:r>
        <w:rPr>
          <w:rFonts w:ascii="Tahoma" w:hAnsi="Tahoma" w:cs="Tahoma"/>
          <w:b/>
          <w:bCs/>
        </w:rPr>
        <w:t>topic important within the industry</w:t>
      </w:r>
      <w:r>
        <w:rPr>
          <w:rFonts w:ascii="Tahoma" w:hAnsi="Tahoma" w:cs="Tahoma"/>
        </w:rPr>
        <w:t xml:space="preserve">? Provide </w:t>
      </w:r>
      <w:r>
        <w:rPr>
          <w:rFonts w:ascii="Tahoma" w:hAnsi="Tahoma" w:cs="Tahoma"/>
          <w:b/>
          <w:bCs/>
        </w:rPr>
        <w:t>evidence of further reading</w:t>
      </w:r>
      <w:r>
        <w:rPr>
          <w:rFonts w:ascii="Tahoma" w:hAnsi="Tahoma" w:cs="Tahoma"/>
        </w:rPr>
        <w:t>. Include a minimum of 5 references.</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0253B32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2222D0" w:rsidRPr="003B5629">
              <w:rPr>
                <w:rFonts w:ascii="Tahoma" w:hAnsi="Tahoma" w:cs="Tahoma"/>
                <w:b/>
                <w:sz w:val="20"/>
                <w:szCs w:val="20"/>
              </w:rPr>
              <w:t>Natalie</w:t>
            </w:r>
            <w:r w:rsidR="0098139B">
              <w:rPr>
                <w:rFonts w:ascii="Tahoma" w:hAnsi="Tahoma" w:cs="Tahoma"/>
                <w:b/>
                <w:sz w:val="20"/>
                <w:szCs w:val="20"/>
              </w:rPr>
              <w:t xml:space="preserve"> Berryman</w:t>
            </w:r>
          </w:p>
          <w:p w14:paraId="498F0B10" w14:textId="77777777" w:rsidR="001B69C8" w:rsidRPr="003C3341" w:rsidRDefault="001B69C8">
            <w:pPr>
              <w:rPr>
                <w:rFonts w:ascii="Tahoma" w:hAnsi="Tahoma" w:cs="Tahoma"/>
                <w:b/>
                <w:sz w:val="20"/>
                <w:szCs w:val="20"/>
              </w:rPr>
            </w:pPr>
          </w:p>
          <w:p w14:paraId="69E1F0CF" w14:textId="4A6FD8B9" w:rsidR="00B21F2E" w:rsidRPr="003C3341" w:rsidRDefault="001B69C8">
            <w:pPr>
              <w:rPr>
                <w:rFonts w:ascii="Tahoma" w:hAnsi="Tahoma" w:cs="Tahoma"/>
                <w:b/>
                <w:sz w:val="20"/>
                <w:szCs w:val="20"/>
              </w:rPr>
            </w:pPr>
            <w:r w:rsidRPr="00703EDC">
              <w:rPr>
                <w:rFonts w:ascii="Tahoma" w:hAnsi="Tahoma" w:cs="Tahoma"/>
                <w:b/>
                <w:sz w:val="20"/>
                <w:szCs w:val="20"/>
                <w:highlight w:val="yellow"/>
              </w:rPr>
              <w:t>Student Number:</w:t>
            </w:r>
            <w:r w:rsidR="003478CE">
              <w:rPr>
                <w:rFonts w:ascii="Tahoma" w:hAnsi="Tahoma" w:cs="Tahoma"/>
                <w:b/>
                <w:sz w:val="20"/>
                <w:szCs w:val="20"/>
              </w:rPr>
              <w:t xml:space="preserve"> </w:t>
            </w:r>
            <w:r w:rsidR="0098139B">
              <w:rPr>
                <w:rFonts w:ascii="Tahoma" w:hAnsi="Tahoma" w:cs="Tahoma"/>
                <w:b/>
                <w:sz w:val="20"/>
                <w:szCs w:val="20"/>
              </w:rPr>
              <w:t>2019172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F998151"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201467" w:rsidRPr="00201467">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69334170" w:rsidR="001B69C8" w:rsidRPr="003C3341" w:rsidRDefault="001B69C8" w:rsidP="00B21F2E">
            <w:pPr>
              <w:rPr>
                <w:rFonts w:ascii="Tahoma" w:hAnsi="Tahoma" w:cs="Tahoma"/>
                <w:b/>
                <w:sz w:val="20"/>
                <w:szCs w:val="20"/>
              </w:rPr>
            </w:pPr>
            <w:r w:rsidRPr="00703EDC">
              <w:rPr>
                <w:rFonts w:ascii="Tahoma" w:hAnsi="Tahoma" w:cs="Tahoma"/>
                <w:b/>
                <w:sz w:val="20"/>
                <w:szCs w:val="20"/>
                <w:highlight w:val="yellow"/>
              </w:rPr>
              <w:t>Lecturer:</w:t>
            </w:r>
            <w:r w:rsidR="003478CE">
              <w:rPr>
                <w:rFonts w:ascii="Tahoma" w:hAnsi="Tahoma" w:cs="Tahoma"/>
                <w:b/>
                <w:sz w:val="20"/>
                <w:szCs w:val="20"/>
              </w:rPr>
              <w:t xml:space="preserve"> </w:t>
            </w:r>
            <w:r w:rsidR="0098139B">
              <w:rPr>
                <w:rFonts w:ascii="Tahoma" w:hAnsi="Tahoma" w:cs="Tahoma"/>
                <w:b/>
                <w:sz w:val="20"/>
                <w:szCs w:val="20"/>
              </w:rPr>
              <w:t xml:space="preserve">Ffion </w:t>
            </w:r>
            <w:proofErr w:type="spellStart"/>
            <w:r w:rsidR="0098139B">
              <w:rPr>
                <w:rFonts w:ascii="Tahoma" w:hAnsi="Tahoma" w:cs="Tahoma"/>
                <w:b/>
                <w:sz w:val="20"/>
                <w:szCs w:val="20"/>
              </w:rPr>
              <w:t>cumberpatch</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037BF5EB"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7656C9" w:rsidRPr="007656C9">
              <w:rPr>
                <w:rFonts w:ascii="Tahoma" w:hAnsi="Tahoma" w:cs="Tahoma"/>
                <w:b/>
                <w:sz w:val="20"/>
                <w:szCs w:val="20"/>
              </w:rPr>
              <w:t>Health &amp; Wellbeing – the emerging trend within hotels.</w:t>
            </w:r>
          </w:p>
        </w:tc>
        <w:tc>
          <w:tcPr>
            <w:tcW w:w="7199" w:type="dxa"/>
            <w:shd w:val="clear" w:color="auto" w:fill="FBD4B4" w:themeFill="accent6" w:themeFillTint="66"/>
          </w:tcPr>
          <w:p w14:paraId="46D7ECC8" w14:textId="615CD7E1"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98139B">
              <w:rPr>
                <w:rFonts w:ascii="Tahoma" w:hAnsi="Tahoma" w:cs="Tahoma"/>
                <w:b/>
                <w:sz w:val="20"/>
                <w:szCs w:val="20"/>
              </w:rPr>
              <w:t>01/06/2022</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53B57A85" w14:textId="77777777" w:rsidR="000C322E" w:rsidRDefault="00B54E83" w:rsidP="003B5629">
            <w:pPr>
              <w:jc w:val="both"/>
              <w:rPr>
                <w:rFonts w:cs="Arial"/>
              </w:rPr>
            </w:pPr>
            <w:r w:rsidRPr="00B54E83">
              <w:rPr>
                <w:rFonts w:cs="Arial"/>
              </w:rPr>
              <w:t xml:space="preserve">Food intolerance and food allergy, known as food hypersensitivity, are critical conditions which affect </w:t>
            </w:r>
            <w:proofErr w:type="gramStart"/>
            <w:r w:rsidRPr="00B54E83">
              <w:rPr>
                <w:rFonts w:cs="Arial"/>
              </w:rPr>
              <w:t>a number of</w:t>
            </w:r>
            <w:proofErr w:type="gramEnd"/>
            <w:r w:rsidRPr="00B54E83">
              <w:rPr>
                <w:rFonts w:cs="Arial"/>
              </w:rPr>
              <w:t xml:space="preserve"> people</w:t>
            </w:r>
            <w:sdt>
              <w:sdtPr>
                <w:rPr>
                  <w:rFonts w:cs="Arial"/>
                </w:rPr>
                <w:id w:val="1881431709"/>
                <w:citation/>
              </w:sdtPr>
              <w:sdtEndPr/>
              <w:sdtContent>
                <w:r w:rsidR="003D2837">
                  <w:rPr>
                    <w:rFonts w:cs="Arial"/>
                  </w:rPr>
                  <w:fldChar w:fldCharType="begin"/>
                </w:r>
                <w:r w:rsidR="003D2837">
                  <w:rPr>
                    <w:rFonts w:cs="Arial"/>
                    <w:lang w:val="en-US"/>
                  </w:rPr>
                  <w:instrText xml:space="preserve"> CITATION Ort06 \l 1033 </w:instrText>
                </w:r>
                <w:r w:rsidR="003D2837">
                  <w:rPr>
                    <w:rFonts w:cs="Arial"/>
                  </w:rPr>
                  <w:fldChar w:fldCharType="separate"/>
                </w:r>
                <w:r w:rsidR="003D2837">
                  <w:rPr>
                    <w:rFonts w:cs="Arial"/>
                    <w:noProof/>
                    <w:lang w:val="en-US"/>
                  </w:rPr>
                  <w:t xml:space="preserve"> </w:t>
                </w:r>
                <w:r w:rsidR="003D2837" w:rsidRPr="003D2837">
                  <w:rPr>
                    <w:rFonts w:cs="Arial"/>
                    <w:noProof/>
                    <w:lang w:val="en-US"/>
                  </w:rPr>
                  <w:t>(Ortolani &amp; Pastorello, 2006)</w:t>
                </w:r>
                <w:r w:rsidR="003D2837">
                  <w:rPr>
                    <w:rFonts w:cs="Arial"/>
                  </w:rPr>
                  <w:fldChar w:fldCharType="end"/>
                </w:r>
              </w:sdtContent>
            </w:sdt>
            <w:r w:rsidRPr="00B54E83">
              <w:rPr>
                <w:rFonts w:cs="Arial"/>
              </w:rPr>
              <w:t>. Nearly 1 in 4 individuals in the United Kingdom, or equivalent to 35% of the population, live</w:t>
            </w:r>
            <w:r w:rsidR="00F50039">
              <w:rPr>
                <w:rFonts w:cs="Arial"/>
              </w:rPr>
              <w:t xml:space="preserve">s with a </w:t>
            </w:r>
            <w:r w:rsidRPr="00B54E83">
              <w:rPr>
                <w:rFonts w:cs="Arial"/>
              </w:rPr>
              <w:t xml:space="preserve">diagnosed food allergy, and nearly 600000 </w:t>
            </w:r>
            <w:r w:rsidR="00F50039">
              <w:rPr>
                <w:rFonts w:cs="Arial"/>
              </w:rPr>
              <w:t xml:space="preserve">have a </w:t>
            </w:r>
            <w:r w:rsidRPr="00B54E83">
              <w:rPr>
                <w:rFonts w:cs="Arial"/>
              </w:rPr>
              <w:t>celiac disease</w:t>
            </w:r>
            <w:sdt>
              <w:sdtPr>
                <w:rPr>
                  <w:rFonts w:cs="Arial"/>
                </w:rPr>
                <w:id w:val="2059668767"/>
                <w:citation/>
              </w:sdtPr>
              <w:sdtEndPr/>
              <w:sdtContent>
                <w:r w:rsidR="006E1C2E">
                  <w:rPr>
                    <w:rFonts w:cs="Arial"/>
                  </w:rPr>
                  <w:fldChar w:fldCharType="begin"/>
                </w:r>
                <w:r w:rsidR="006E1C2E">
                  <w:rPr>
                    <w:rFonts w:cs="Arial"/>
                    <w:lang w:val="en-US"/>
                  </w:rPr>
                  <w:instrText xml:space="preserve"> CITATION PSN22 \l 1033 </w:instrText>
                </w:r>
                <w:r w:rsidR="006E1C2E">
                  <w:rPr>
                    <w:rFonts w:cs="Arial"/>
                  </w:rPr>
                  <w:fldChar w:fldCharType="separate"/>
                </w:r>
                <w:r w:rsidR="006E1C2E">
                  <w:rPr>
                    <w:rFonts w:cs="Arial"/>
                    <w:noProof/>
                    <w:lang w:val="en-US"/>
                  </w:rPr>
                  <w:t xml:space="preserve"> </w:t>
                </w:r>
                <w:r w:rsidR="006E1C2E" w:rsidRPr="006E1C2E">
                  <w:rPr>
                    <w:rFonts w:cs="Arial"/>
                    <w:noProof/>
                    <w:lang w:val="en-US"/>
                  </w:rPr>
                  <w:t>(PSNC, 2022)</w:t>
                </w:r>
                <w:r w:rsidR="006E1C2E">
                  <w:rPr>
                    <w:rFonts w:cs="Arial"/>
                  </w:rPr>
                  <w:fldChar w:fldCharType="end"/>
                </w:r>
              </w:sdtContent>
            </w:sdt>
            <w:r w:rsidRPr="00B54E83">
              <w:rPr>
                <w:rFonts w:cs="Arial"/>
              </w:rPr>
              <w:t xml:space="preserve">. It is a condition that needs a diet free of gluten. People having food allergies experience challenges when eating food made in restaurants. Allergic reactions can be acute and, at times, fatal too. While restaurant staff members </w:t>
            </w:r>
            <w:r w:rsidR="00F50039">
              <w:rPr>
                <w:rFonts w:cs="Arial"/>
              </w:rPr>
              <w:t>may</w:t>
            </w:r>
            <w:r w:rsidRPr="00B54E83">
              <w:rPr>
                <w:rFonts w:cs="Arial"/>
              </w:rPr>
              <w:t xml:space="preserve"> feel comfortable offering allergen-safe meals, shortfalls exist in staff members’ knowledge and training in food allergies. The United Kingdom Information Amendment is also called Natasha’s L</w:t>
            </w:r>
            <w:r w:rsidR="00F50039">
              <w:rPr>
                <w:rFonts w:cs="Arial"/>
              </w:rPr>
              <w:t>aw, which aims to protect people with</w:t>
            </w:r>
            <w:r w:rsidRPr="00B54E83">
              <w:rPr>
                <w:rFonts w:cs="Arial"/>
              </w:rPr>
              <w:t xml:space="preserve"> food allergies and provide them safety in the food that they are purchasing. This Law intends to elevate transparency in the food industry to effectively protect both the businesses and consumers. </w:t>
            </w:r>
            <w:r w:rsidR="0079741F">
              <w:rPr>
                <w:rFonts w:cs="Arial"/>
              </w:rPr>
              <w:t>It</w:t>
            </w:r>
            <w:r w:rsidRPr="00B54E83">
              <w:rPr>
                <w:rFonts w:cs="Arial"/>
              </w:rPr>
              <w:t xml:space="preserve"> refers to the widespread </w:t>
            </w:r>
            <w:r w:rsidRPr="00B54E83">
              <w:rPr>
                <w:rFonts w:cs="Arial"/>
              </w:rPr>
              <w:lastRenderedPageBreak/>
              <w:t>trend regarding food intolerance and allergy awareness in the United Kingdom. The last two decades have observed a major rise in food allergies in the West, and today 5-8% of kids and 1-2% of adults live with a food allergy</w:t>
            </w:r>
            <w:sdt>
              <w:sdtPr>
                <w:rPr>
                  <w:rFonts w:cs="Arial"/>
                </w:rPr>
                <w:id w:val="-2041039085"/>
                <w:citation/>
              </w:sdtPr>
              <w:sdtEndPr/>
              <w:sdtContent>
                <w:r w:rsidR="006E1C2E">
                  <w:rPr>
                    <w:rFonts w:cs="Arial"/>
                  </w:rPr>
                  <w:fldChar w:fldCharType="begin"/>
                </w:r>
                <w:r w:rsidR="006E1C2E">
                  <w:rPr>
                    <w:rFonts w:cs="Arial"/>
                    <w:lang w:val="en-US"/>
                  </w:rPr>
                  <w:instrText xml:space="preserve"> CITATION Boy12 \l 1033 </w:instrText>
                </w:r>
                <w:r w:rsidR="006E1C2E">
                  <w:rPr>
                    <w:rFonts w:cs="Arial"/>
                  </w:rPr>
                  <w:fldChar w:fldCharType="separate"/>
                </w:r>
                <w:r w:rsidR="006E1C2E">
                  <w:rPr>
                    <w:rFonts w:cs="Arial"/>
                    <w:noProof/>
                    <w:lang w:val="en-US"/>
                  </w:rPr>
                  <w:t xml:space="preserve"> </w:t>
                </w:r>
                <w:r w:rsidR="006E1C2E" w:rsidRPr="006E1C2E">
                  <w:rPr>
                    <w:rFonts w:cs="Arial"/>
                    <w:noProof/>
                    <w:lang w:val="en-US"/>
                  </w:rPr>
                  <w:t>(Boye, 2012)</w:t>
                </w:r>
                <w:r w:rsidR="006E1C2E">
                  <w:rPr>
                    <w:rFonts w:cs="Arial"/>
                  </w:rPr>
                  <w:fldChar w:fldCharType="end"/>
                </w:r>
              </w:sdtContent>
            </w:sdt>
            <w:r w:rsidRPr="00B54E83">
              <w:rPr>
                <w:rFonts w:cs="Arial"/>
              </w:rPr>
              <w:t xml:space="preserve">. Natasha’s Law offers all food packed and manufactured for sale in similar premises to </w:t>
            </w:r>
            <w:r w:rsidR="000C322E">
              <w:rPr>
                <w:rFonts w:cs="Arial"/>
              </w:rPr>
              <w:t>provide</w:t>
            </w:r>
            <w:r w:rsidRPr="00B54E83">
              <w:rPr>
                <w:rFonts w:cs="Arial"/>
              </w:rPr>
              <w:t xml:space="preserve"> complete ingredient lists. This means that any food-related business-selling Prepacked for Dir</w:t>
            </w:r>
            <w:r w:rsidR="000C322E">
              <w:rPr>
                <w:rFonts w:cs="Arial"/>
              </w:rPr>
              <w:t>ect Sale (PPDS) meals would be required to list</w:t>
            </w:r>
            <w:r w:rsidRPr="00B54E83">
              <w:rPr>
                <w:rFonts w:cs="Arial"/>
              </w:rPr>
              <w:t xml:space="preserve"> all ingredients on the label of the product, with the </w:t>
            </w:r>
            <w:proofErr w:type="gramStart"/>
            <w:r w:rsidRPr="00B54E83">
              <w:rPr>
                <w:rFonts w:cs="Arial"/>
              </w:rPr>
              <w:t>main focus</w:t>
            </w:r>
            <w:proofErr w:type="gramEnd"/>
            <w:r w:rsidRPr="00B54E83">
              <w:rPr>
                <w:rFonts w:cs="Arial"/>
              </w:rPr>
              <w:t xml:space="preserve"> on 14 allergenic ingredients. Any food which is wrapped in paper bags, in foil, and in a membrane before being sold is targeted by Natasha’s Law. This new regulation covers Northern Ireland, England, Scotland, and Wales. When people order a takeaway and eat out, the café and restaurant should offer people written information about allergens. For instance, allergen information on the menu and a quick explanation of how a person can get this information. </w:t>
            </w:r>
          </w:p>
          <w:p w14:paraId="5EEA5678" w14:textId="4DD6C863" w:rsidR="007A605A" w:rsidRPr="003B5629" w:rsidRDefault="000C322E" w:rsidP="003B5629">
            <w:pPr>
              <w:jc w:val="both"/>
              <w:rPr>
                <w:rFonts w:cs="Arial"/>
              </w:rPr>
            </w:pPr>
            <w:r>
              <w:rPr>
                <w:rFonts w:cs="Arial"/>
              </w:rPr>
              <w:t>During COVID-19, the need for hygienic food and practicing hygiene at restaurants increased. However, a</w:t>
            </w:r>
            <w:r w:rsidR="00B54E83" w:rsidRPr="00B54E83">
              <w:rPr>
                <w:rFonts w:cs="Arial"/>
              </w:rPr>
              <w:t xml:space="preserve">ccording to the </w:t>
            </w:r>
            <w:r>
              <w:rPr>
                <w:rFonts w:cs="Arial"/>
              </w:rPr>
              <w:t>W</w:t>
            </w:r>
            <w:r w:rsidR="00B54E83" w:rsidRPr="00B54E83">
              <w:rPr>
                <w:rFonts w:cs="Arial"/>
              </w:rPr>
              <w:t xml:space="preserve">orld </w:t>
            </w:r>
            <w:r>
              <w:rPr>
                <w:rFonts w:cs="Arial"/>
              </w:rPr>
              <w:t>H</w:t>
            </w:r>
            <w:r w:rsidR="00B54E83" w:rsidRPr="00B54E83">
              <w:rPr>
                <w:rFonts w:cs="Arial"/>
              </w:rPr>
              <w:t xml:space="preserve">ealth </w:t>
            </w:r>
            <w:r>
              <w:rPr>
                <w:rFonts w:cs="Arial"/>
              </w:rPr>
              <w:t>O</w:t>
            </w:r>
            <w:r w:rsidR="00B54E83" w:rsidRPr="00B54E83">
              <w:rPr>
                <w:rFonts w:cs="Arial"/>
              </w:rPr>
              <w:t>rganization, there is no evide</w:t>
            </w:r>
            <w:r w:rsidR="001243AC">
              <w:rPr>
                <w:rFonts w:cs="Arial"/>
              </w:rPr>
              <w:t xml:space="preserve">nce that the coronavirus can </w:t>
            </w:r>
            <w:r w:rsidR="00B54E83" w:rsidRPr="00B54E83">
              <w:rPr>
                <w:rFonts w:cs="Arial"/>
              </w:rPr>
              <w:t xml:space="preserve">spread by food involving vegetables and fruits. The virus can be destroyed whilst cooking food at a temperature of 70°C. Food buffets </w:t>
            </w:r>
            <w:r w:rsidR="001243AC">
              <w:rPr>
                <w:rFonts w:cs="Arial"/>
              </w:rPr>
              <w:t xml:space="preserve">were permitted </w:t>
            </w:r>
            <w:r w:rsidR="00B54E83" w:rsidRPr="00B54E83">
              <w:rPr>
                <w:rFonts w:cs="Arial"/>
              </w:rPr>
              <w:t>because of the physical contact with others</w:t>
            </w:r>
            <w:sdt>
              <w:sdtPr>
                <w:rPr>
                  <w:rFonts w:cs="Arial"/>
                </w:rPr>
                <w:id w:val="-513605096"/>
                <w:citation/>
              </w:sdtPr>
              <w:sdtEndPr/>
              <w:sdtContent>
                <w:r w:rsidR="003D2837">
                  <w:rPr>
                    <w:rFonts w:cs="Arial"/>
                  </w:rPr>
                  <w:fldChar w:fldCharType="begin"/>
                </w:r>
                <w:r w:rsidR="003D2837">
                  <w:rPr>
                    <w:rFonts w:cs="Arial"/>
                    <w:lang w:val="en-US"/>
                  </w:rPr>
                  <w:instrText xml:space="preserve"> CITATION WHO20 \l 1033 </w:instrText>
                </w:r>
                <w:r w:rsidR="003D2837">
                  <w:rPr>
                    <w:rFonts w:cs="Arial"/>
                  </w:rPr>
                  <w:fldChar w:fldCharType="separate"/>
                </w:r>
                <w:r w:rsidR="003D2837">
                  <w:rPr>
                    <w:rFonts w:cs="Arial"/>
                    <w:noProof/>
                    <w:lang w:val="en-US"/>
                  </w:rPr>
                  <w:t xml:space="preserve"> </w:t>
                </w:r>
                <w:r w:rsidR="003D2837" w:rsidRPr="003D2837">
                  <w:rPr>
                    <w:rFonts w:cs="Arial"/>
                    <w:noProof/>
                    <w:lang w:val="en-US"/>
                  </w:rPr>
                  <w:t>(WHO, 2020)</w:t>
                </w:r>
                <w:r w:rsidR="003D2837">
                  <w:rPr>
                    <w:rFonts w:cs="Arial"/>
                  </w:rPr>
                  <w:fldChar w:fldCharType="end"/>
                </w:r>
              </w:sdtContent>
            </w:sdt>
            <w:r w:rsidR="00B54E83" w:rsidRPr="00B54E83">
              <w:rPr>
                <w:rFonts w:cs="Arial"/>
              </w:rPr>
              <w:t xml:space="preserve">. Food Standards Agency, a government department of the UK, provided guidelines to restaurants to prevent cross-contamination with allergens in the hotel industry. These involve cleaning dishes before each usage, washing hands thoroughly every time, separately storing prepared food and ingredients, </w:t>
            </w:r>
            <w:r w:rsidR="001243AC">
              <w:rPr>
                <w:rFonts w:cs="Arial"/>
              </w:rPr>
              <w:t xml:space="preserve">and </w:t>
            </w:r>
            <w:r w:rsidR="00B54E83" w:rsidRPr="00B54E83">
              <w:rPr>
                <w:rFonts w:cs="Arial"/>
              </w:rPr>
              <w:t>keep</w:t>
            </w:r>
            <w:r w:rsidR="001243AC">
              <w:rPr>
                <w:rFonts w:cs="Arial"/>
              </w:rPr>
              <w:t>ing</w:t>
            </w:r>
            <w:r w:rsidR="00B54E83" w:rsidRPr="00B54E83">
              <w:rPr>
                <w:rFonts w:cs="Arial"/>
              </w:rPr>
              <w:t xml:space="preserve"> ingredients that have allergens separately from other ingredients</w:t>
            </w:r>
            <w:sdt>
              <w:sdtPr>
                <w:rPr>
                  <w:rFonts w:cs="Arial"/>
                </w:rPr>
                <w:id w:val="-424960147"/>
                <w:citation/>
              </w:sdtPr>
              <w:sdtEndPr/>
              <w:sdtContent>
                <w:r w:rsidR="003D2837">
                  <w:rPr>
                    <w:rFonts w:cs="Arial"/>
                  </w:rPr>
                  <w:fldChar w:fldCharType="begin"/>
                </w:r>
                <w:r w:rsidR="003D2837">
                  <w:rPr>
                    <w:rFonts w:cs="Arial"/>
                    <w:lang w:val="en-US"/>
                  </w:rPr>
                  <w:instrText xml:space="preserve"> CITATION FSA21 \l 1033 </w:instrText>
                </w:r>
                <w:r w:rsidR="003D2837">
                  <w:rPr>
                    <w:rFonts w:cs="Arial"/>
                  </w:rPr>
                  <w:fldChar w:fldCharType="separate"/>
                </w:r>
                <w:r w:rsidR="003D2837">
                  <w:rPr>
                    <w:rFonts w:cs="Arial"/>
                    <w:noProof/>
                    <w:lang w:val="en-US"/>
                  </w:rPr>
                  <w:t xml:space="preserve"> </w:t>
                </w:r>
                <w:r w:rsidR="003D2837" w:rsidRPr="003D2837">
                  <w:rPr>
                    <w:rFonts w:cs="Arial"/>
                    <w:noProof/>
                    <w:lang w:val="en-US"/>
                  </w:rPr>
                  <w:t>(FSA, 2021)</w:t>
                </w:r>
                <w:r w:rsidR="003D2837">
                  <w:rPr>
                    <w:rFonts w:cs="Arial"/>
                  </w:rPr>
                  <w:fldChar w:fldCharType="end"/>
                </w:r>
              </w:sdtContent>
            </w:sdt>
            <w:r w:rsidR="00B54E83" w:rsidRPr="00B54E83">
              <w:rPr>
                <w:rFonts w:cs="Arial"/>
              </w:rPr>
              <w:t xml:space="preserve">. </w:t>
            </w:r>
          </w:p>
          <w:p w14:paraId="3B344F1E" w14:textId="574DC81E" w:rsidR="00375882" w:rsidRPr="002222D0" w:rsidRDefault="00032965" w:rsidP="001243AC">
            <w:pPr>
              <w:jc w:val="both"/>
            </w:pPr>
            <w:r w:rsidRPr="00032965">
              <w:t>Throughout my learning, I learned about the 14 allergens: sulphites, celery, crustaceans, fish, milk, mustard, sesame, sulphur dioxide, cereals, eggs, lupin, molluscs, peanuts, and soybeans. I learned about food protection from the contamination risk, which includes foreign bodies, harmful bacteria, and poisons. Besides this, I have acquired knowledge and understanding of allergen management. Whenever I will start my food business or will hire a manager at any restaurant, I will ensure that all the staff members have training about allergy awareness on their first day. In order to avoid the risk of outdated information being available, I will consider cloud-base</w:t>
            </w:r>
            <w:r w:rsidR="001243AC">
              <w:t>d software such as a menu guide as it enables consumers to see which</w:t>
            </w:r>
            <w:r w:rsidRPr="00032965">
              <w:t xml:space="preserve"> food</w:t>
            </w:r>
            <w:r w:rsidR="001243AC">
              <w:t xml:space="preserve"> items</w:t>
            </w:r>
            <w:r w:rsidRPr="00032965">
              <w:t xml:space="preserve"> ha</w:t>
            </w:r>
            <w:r w:rsidR="001243AC">
              <w:t>ve</w:t>
            </w:r>
            <w:r w:rsidRPr="00032965">
              <w:t xml:space="preserve"> allergen ingredients that they cannot ea</w:t>
            </w:r>
            <w:r w:rsidR="001243AC">
              <w:t xml:space="preserve">t. Customers will be able </w:t>
            </w:r>
            <w:r w:rsidRPr="00032965">
              <w:t xml:space="preserve">to filter the menu according to </w:t>
            </w:r>
            <w:r w:rsidR="001243AC">
              <w:t>the items</w:t>
            </w:r>
            <w:r w:rsidRPr="00032965">
              <w:t xml:space="preserve"> they can eat. This subject is important in terms of health and wellbeing in the hotel industry. In this course, I have also learned about the hygiene checklist, which I can utilize in my professional career. Learning this subject can lead me to initiate my own start-up in the food business. This subject is the pool of all the required information and insights about food hygiene and safety. In addition, the matter of food allergies and safety is very critical in the hotel industry. Food safety and hygiene prevent bacteria from multiplying in meals and reaching hazardous levels</w:t>
            </w:r>
            <w:sdt>
              <w:sdtPr>
                <w:id w:val="-1570801661"/>
                <w:citation/>
              </w:sdtPr>
              <w:sdtEndPr/>
              <w:sdtContent>
                <w:r w:rsidR="006E1C2E">
                  <w:fldChar w:fldCharType="begin"/>
                </w:r>
                <w:r w:rsidR="006E1C2E">
                  <w:rPr>
                    <w:lang w:val="en-US"/>
                  </w:rPr>
                  <w:instrText xml:space="preserve"> CITATION Net10 \l 1033 </w:instrText>
                </w:r>
                <w:r w:rsidR="006E1C2E">
                  <w:fldChar w:fldCharType="separate"/>
                </w:r>
                <w:r w:rsidR="006E1C2E">
                  <w:rPr>
                    <w:noProof/>
                    <w:lang w:val="en-US"/>
                  </w:rPr>
                  <w:t xml:space="preserve"> </w:t>
                </w:r>
                <w:r w:rsidR="006E1C2E" w:rsidRPr="006E1C2E">
                  <w:rPr>
                    <w:noProof/>
                    <w:lang w:val="en-US"/>
                  </w:rPr>
                  <w:lastRenderedPageBreak/>
                  <w:t>(Nettleton, et al., 2010)</w:t>
                </w:r>
                <w:r w:rsidR="006E1C2E">
                  <w:fldChar w:fldCharType="end"/>
                </w:r>
              </w:sdtContent>
            </w:sdt>
            <w:r w:rsidRPr="00032965">
              <w:t xml:space="preserve">. In the hotel industry, food hygiene prevents the extra of having medical check-ups, treatment, and medication, which is why it is important in this business. </w:t>
            </w:r>
            <w:r w:rsidR="002222D0">
              <w:t xml:space="preserve">Food safety means to save customers from </w:t>
            </w:r>
            <w:r w:rsidR="002222D0" w:rsidRPr="00032965">
              <w:t>injuries and foodborne diseases related to the consumption of food</w:t>
            </w:r>
            <w:sdt>
              <w:sdtPr>
                <w:id w:val="-412471176"/>
                <w:citation/>
              </w:sdtPr>
              <w:sdtEndPr/>
              <w:sdtContent>
                <w:r w:rsidR="003D2837">
                  <w:fldChar w:fldCharType="begin"/>
                </w:r>
                <w:r w:rsidR="003D2837">
                  <w:rPr>
                    <w:lang w:val="en-US"/>
                  </w:rPr>
                  <w:instrText xml:space="preserve"> CITATION Tur15 \l 1033 </w:instrText>
                </w:r>
                <w:r w:rsidR="003D2837">
                  <w:fldChar w:fldCharType="separate"/>
                </w:r>
                <w:r w:rsidR="003D2837">
                  <w:rPr>
                    <w:noProof/>
                    <w:lang w:val="en-US"/>
                  </w:rPr>
                  <w:t xml:space="preserve"> </w:t>
                </w:r>
                <w:r w:rsidR="003D2837" w:rsidRPr="003D2837">
                  <w:rPr>
                    <w:noProof/>
                    <w:lang w:val="en-US"/>
                  </w:rPr>
                  <w:t>(Turnbull, et al., 2015)</w:t>
                </w:r>
                <w:r w:rsidR="003D2837">
                  <w:fldChar w:fldCharType="end"/>
                </w:r>
              </w:sdtContent>
            </w:sdt>
            <w:r w:rsidRPr="00032965">
              <w:t xml:space="preserve">. </w:t>
            </w:r>
            <w:r w:rsidR="002222D0" w:rsidRPr="002222D0">
              <w:t xml:space="preserve">Foodborne diseases </w:t>
            </w:r>
            <w:r w:rsidRPr="00032965">
              <w:t>are the highest threat t</w:t>
            </w:r>
            <w:r w:rsidR="002222D0">
              <w:t xml:space="preserve">o food businesses and influence </w:t>
            </w:r>
            <w:r w:rsidRPr="00032965">
              <w:t xml:space="preserve">everyone around the globe </w:t>
            </w:r>
            <w:proofErr w:type="gramStart"/>
            <w:r w:rsidRPr="00032965">
              <w:t>as a consequence of</w:t>
            </w:r>
            <w:proofErr w:type="gramEnd"/>
            <w:r w:rsidRPr="00032965">
              <w:t xml:space="preserve"> insufficient product safety. </w:t>
            </w: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14356474"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3F7792">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228F5D" w14:textId="77777777" w:rsidR="00375882" w:rsidRDefault="00375882" w:rsidP="007F6692">
            <w:pPr>
              <w:jc w:val="both"/>
              <w:rPr>
                <w:rFonts w:cs="Arial"/>
              </w:rPr>
            </w:pPr>
          </w:p>
          <w:sdt>
            <w:sdtPr>
              <w:rPr>
                <w:rFonts w:ascii="Arial" w:eastAsia="Times New Roman" w:hAnsi="Arial" w:cs="Times New Roman"/>
                <w:color w:val="auto"/>
                <w:sz w:val="24"/>
                <w:szCs w:val="24"/>
                <w:lang w:val="en-GB" w:eastAsia="en-GB"/>
              </w:rPr>
              <w:id w:val="1245538526"/>
              <w:docPartObj>
                <w:docPartGallery w:val="Bibliographies"/>
                <w:docPartUnique/>
              </w:docPartObj>
            </w:sdtPr>
            <w:sdtEndPr/>
            <w:sdtContent>
              <w:p w14:paraId="4BD8FC6D" w14:textId="2EA5A910" w:rsidR="003B5629" w:rsidRDefault="003B5629">
                <w:pPr>
                  <w:pStyle w:val="Heading1"/>
                </w:pPr>
              </w:p>
              <w:sdt>
                <w:sdtPr>
                  <w:id w:val="-573587230"/>
                  <w:bibliography/>
                </w:sdtPr>
                <w:sdtEndPr/>
                <w:sdtContent>
                  <w:p w14:paraId="79D17901" w14:textId="77777777" w:rsidR="003B5629" w:rsidRDefault="003B5629" w:rsidP="003B5629">
                    <w:pPr>
                      <w:pStyle w:val="Bibliography"/>
                      <w:rPr>
                        <w:noProof/>
                      </w:rPr>
                    </w:pPr>
                    <w:r>
                      <w:fldChar w:fldCharType="begin"/>
                    </w:r>
                    <w:r>
                      <w:instrText xml:space="preserve"> BIBLIOGRAPHY </w:instrText>
                    </w:r>
                    <w:r>
                      <w:fldChar w:fldCharType="separate"/>
                    </w:r>
                    <w:r>
                      <w:rPr>
                        <w:noProof/>
                      </w:rPr>
                      <w:t xml:space="preserve">Boye, J. I., 2012. Food allergies in developing and emerging economies: Need for comprehensive data on prevalence rates. </w:t>
                    </w:r>
                    <w:r>
                      <w:rPr>
                        <w:i/>
                        <w:iCs/>
                        <w:noProof/>
                      </w:rPr>
                      <w:t xml:space="preserve">Clinical and translational allergy, </w:t>
                    </w:r>
                    <w:r>
                      <w:rPr>
                        <w:noProof/>
                      </w:rPr>
                      <w:t>2(1), pp. 1-9..</w:t>
                    </w:r>
                  </w:p>
                  <w:p w14:paraId="741C23A8" w14:textId="77777777" w:rsidR="003B5629" w:rsidRDefault="003B5629" w:rsidP="003B5629">
                    <w:pPr>
                      <w:pStyle w:val="Bibliography"/>
                      <w:rPr>
                        <w:noProof/>
                      </w:rPr>
                    </w:pPr>
                    <w:r>
                      <w:rPr>
                        <w:noProof/>
                      </w:rPr>
                      <w:t xml:space="preserve">FSA, 2021. </w:t>
                    </w:r>
                    <w:r>
                      <w:rPr>
                        <w:i/>
                        <w:iCs/>
                        <w:noProof/>
                      </w:rPr>
                      <w:t xml:space="preserve">Food allergy and intolerance. </w:t>
                    </w:r>
                    <w:r>
                      <w:rPr>
                        <w:noProof/>
                      </w:rPr>
                      <w:t xml:space="preserve">[Online] </w:t>
                    </w:r>
                    <w:r>
                      <w:rPr>
                        <w:noProof/>
                      </w:rPr>
                      <w:br/>
                      <w:t xml:space="preserve">Available at: </w:t>
                    </w:r>
                    <w:r>
                      <w:rPr>
                        <w:noProof/>
                        <w:u w:val="single"/>
                      </w:rPr>
                      <w:t>https://www.food.gov.uk/safety-hygiene/food-allergy-and-intolerance</w:t>
                    </w:r>
                    <w:r>
                      <w:rPr>
                        <w:noProof/>
                      </w:rPr>
                      <w:br/>
                      <w:t>[Accessed 03 June 2022].</w:t>
                    </w:r>
                  </w:p>
                  <w:p w14:paraId="7690CD74" w14:textId="77777777" w:rsidR="003B5629" w:rsidRDefault="003B5629" w:rsidP="003B5629">
                    <w:pPr>
                      <w:pStyle w:val="Bibliography"/>
                      <w:rPr>
                        <w:noProof/>
                      </w:rPr>
                    </w:pPr>
                    <w:r>
                      <w:rPr>
                        <w:noProof/>
                      </w:rPr>
                      <w:t xml:space="preserve">Nettleton, S., Woods, B., Burrows, R. &amp; Kerr, A. .., 2010. Experiencing food allergy and food intolerance: An analysis of lay accounts. </w:t>
                    </w:r>
                    <w:r>
                      <w:rPr>
                        <w:i/>
                        <w:iCs/>
                        <w:noProof/>
                      </w:rPr>
                      <w:t xml:space="preserve">Sociology , </w:t>
                    </w:r>
                    <w:r>
                      <w:rPr>
                        <w:noProof/>
                      </w:rPr>
                      <w:t>44(2), pp. 289-305..</w:t>
                    </w:r>
                  </w:p>
                  <w:p w14:paraId="2C26CADC" w14:textId="77777777" w:rsidR="003B5629" w:rsidRDefault="003B5629" w:rsidP="003B5629">
                    <w:pPr>
                      <w:pStyle w:val="Bibliography"/>
                      <w:rPr>
                        <w:noProof/>
                      </w:rPr>
                    </w:pPr>
                    <w:r>
                      <w:rPr>
                        <w:noProof/>
                      </w:rPr>
                      <w:t xml:space="preserve">Ortolani, C. &amp; Pastorello, E. A., 2006. Food allergies and food intolerances. </w:t>
                    </w:r>
                    <w:r>
                      <w:rPr>
                        <w:i/>
                        <w:iCs/>
                        <w:noProof/>
                      </w:rPr>
                      <w:t xml:space="preserve">Best Practice &amp; Research Clinical Gastroenterology, </w:t>
                    </w:r>
                    <w:r>
                      <w:rPr>
                        <w:noProof/>
                      </w:rPr>
                      <w:t>20(3), pp. 467-483..</w:t>
                    </w:r>
                  </w:p>
                  <w:p w14:paraId="67412D2A" w14:textId="77777777" w:rsidR="003B5629" w:rsidRDefault="003B5629" w:rsidP="003B5629">
                    <w:pPr>
                      <w:pStyle w:val="Bibliography"/>
                      <w:rPr>
                        <w:noProof/>
                      </w:rPr>
                    </w:pPr>
                    <w:r>
                      <w:rPr>
                        <w:noProof/>
                      </w:rPr>
                      <w:t xml:space="preserve">PSNC, 2022. </w:t>
                    </w:r>
                    <w:r>
                      <w:rPr>
                        <w:i/>
                        <w:iCs/>
                        <w:noProof/>
                      </w:rPr>
                      <w:t xml:space="preserve">Essential facts, stats and quotes relating to coeliac disease. </w:t>
                    </w:r>
                    <w:r>
                      <w:rPr>
                        <w:noProof/>
                      </w:rPr>
                      <w:t xml:space="preserve">[Online] </w:t>
                    </w:r>
                    <w:r>
                      <w:rPr>
                        <w:noProof/>
                      </w:rPr>
                      <w:br/>
                      <w:t xml:space="preserve">Available at: </w:t>
                    </w:r>
                    <w:r>
                      <w:rPr>
                        <w:noProof/>
                        <w:u w:val="single"/>
                      </w:rPr>
                      <w:t>https://psnc.org.uk/services-commissioning/coeliac-disease/</w:t>
                    </w:r>
                    <w:r>
                      <w:rPr>
                        <w:noProof/>
                      </w:rPr>
                      <w:br/>
                      <w:t>[Accessed 3 May 2022].</w:t>
                    </w:r>
                  </w:p>
                  <w:p w14:paraId="4A6E9CE4" w14:textId="77777777" w:rsidR="003B5629" w:rsidRDefault="003B5629" w:rsidP="003B5629">
                    <w:pPr>
                      <w:pStyle w:val="Bibliography"/>
                      <w:rPr>
                        <w:noProof/>
                      </w:rPr>
                    </w:pPr>
                    <w:r>
                      <w:rPr>
                        <w:noProof/>
                      </w:rPr>
                      <w:t xml:space="preserve">Turnbull, J. L., Adams, H. N. &amp; Gorard, D. A. .., 2015. The diagnosis and management of food allergy and food intolerances. </w:t>
                    </w:r>
                    <w:r>
                      <w:rPr>
                        <w:i/>
                        <w:iCs/>
                        <w:noProof/>
                      </w:rPr>
                      <w:t xml:space="preserve">Alimentary pharmacology &amp; therapeutics, </w:t>
                    </w:r>
                    <w:r>
                      <w:rPr>
                        <w:noProof/>
                      </w:rPr>
                      <w:t>41(1), pp. 3-25..</w:t>
                    </w:r>
                  </w:p>
                  <w:p w14:paraId="1085C19B" w14:textId="77777777" w:rsidR="003B5629" w:rsidRDefault="003B5629" w:rsidP="003B5629">
                    <w:pPr>
                      <w:pStyle w:val="Bibliography"/>
                      <w:rPr>
                        <w:noProof/>
                      </w:rPr>
                    </w:pPr>
                    <w:r>
                      <w:rPr>
                        <w:noProof/>
                      </w:rPr>
                      <w:t xml:space="preserve">WHO, 2020. </w:t>
                    </w:r>
                    <w:r>
                      <w:rPr>
                        <w:i/>
                        <w:iCs/>
                        <w:noProof/>
                      </w:rPr>
                      <w:t xml:space="preserve">Coronavirus disease (COVID-19): Staying at hotels and accommodation establishments. </w:t>
                    </w:r>
                    <w:r>
                      <w:rPr>
                        <w:noProof/>
                      </w:rPr>
                      <w:t xml:space="preserve">[Online] </w:t>
                    </w:r>
                    <w:r>
                      <w:rPr>
                        <w:noProof/>
                      </w:rPr>
                      <w:br/>
                      <w:t xml:space="preserve">Available at: </w:t>
                    </w:r>
                    <w:r>
                      <w:rPr>
                        <w:noProof/>
                        <w:u w:val="single"/>
                      </w:rPr>
                      <w:t>https://www.who.int/news-room/questions-and-answers/item/coronavirus-disease-covid-19-staying-at-hotels-and-accommodation-establishments#:~:text=There%20is%20no%20evidence%20that,by%20staff%20and%20guests.</w:t>
                    </w:r>
                    <w:r>
                      <w:rPr>
                        <w:noProof/>
                      </w:rPr>
                      <w:br/>
                      <w:t>[Accessed 03 June 2022].</w:t>
                    </w:r>
                  </w:p>
                  <w:p w14:paraId="2E020AEF" w14:textId="5E756EF0" w:rsidR="00375882" w:rsidRPr="003B5629" w:rsidRDefault="003B5629" w:rsidP="003B5629">
                    <w:r>
                      <w:rPr>
                        <w:b/>
                        <w:bCs/>
                        <w:noProof/>
                      </w:rPr>
                      <w:fldChar w:fldCharType="end"/>
                    </w:r>
                  </w:p>
                </w:sdtContent>
              </w:sdt>
            </w:sdtContent>
          </w:sdt>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00744" w14:textId="77777777" w:rsidR="003352AB" w:rsidRDefault="003352AB">
      <w:r>
        <w:separator/>
      </w:r>
    </w:p>
  </w:endnote>
  <w:endnote w:type="continuationSeparator" w:id="0">
    <w:p w14:paraId="2E301744" w14:textId="77777777" w:rsidR="003352AB" w:rsidRDefault="003352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703EDC">
          <w:rPr>
            <w:noProof/>
          </w:rPr>
          <w:t>4</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30495E" w14:textId="77777777" w:rsidR="003352AB" w:rsidRDefault="003352AB">
      <w:r>
        <w:separator/>
      </w:r>
    </w:p>
  </w:footnote>
  <w:footnote w:type="continuationSeparator" w:id="0">
    <w:p w14:paraId="756CCBCF" w14:textId="77777777" w:rsidR="003352AB" w:rsidRDefault="003352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B99390A"/>
    <w:multiLevelType w:val="multilevel"/>
    <w:tmpl w:val="F9480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1C2D20"/>
    <w:multiLevelType w:val="multilevel"/>
    <w:tmpl w:val="C162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661661183">
    <w:abstractNumId w:val="13"/>
  </w:num>
  <w:num w:numId="2" w16cid:durableId="1072436073">
    <w:abstractNumId w:val="4"/>
  </w:num>
  <w:num w:numId="3" w16cid:durableId="1765880031">
    <w:abstractNumId w:val="29"/>
  </w:num>
  <w:num w:numId="4" w16cid:durableId="2134057544">
    <w:abstractNumId w:val="5"/>
  </w:num>
  <w:num w:numId="5" w16cid:durableId="1556812102">
    <w:abstractNumId w:val="24"/>
  </w:num>
  <w:num w:numId="6" w16cid:durableId="1059093835">
    <w:abstractNumId w:val="6"/>
  </w:num>
  <w:num w:numId="7" w16cid:durableId="808666827">
    <w:abstractNumId w:val="0"/>
  </w:num>
  <w:num w:numId="8" w16cid:durableId="1038121879">
    <w:abstractNumId w:val="28"/>
  </w:num>
  <w:num w:numId="9" w16cid:durableId="2029327068">
    <w:abstractNumId w:val="16"/>
  </w:num>
  <w:num w:numId="10" w16cid:durableId="550649180">
    <w:abstractNumId w:val="19"/>
  </w:num>
  <w:num w:numId="11" w16cid:durableId="1504125035">
    <w:abstractNumId w:val="3"/>
  </w:num>
  <w:num w:numId="12" w16cid:durableId="1912695359">
    <w:abstractNumId w:val="14"/>
  </w:num>
  <w:num w:numId="13" w16cid:durableId="1132137787">
    <w:abstractNumId w:val="2"/>
  </w:num>
  <w:num w:numId="14" w16cid:durableId="1352141654">
    <w:abstractNumId w:val="10"/>
  </w:num>
  <w:num w:numId="15" w16cid:durableId="1130779778">
    <w:abstractNumId w:val="18"/>
  </w:num>
  <w:num w:numId="16" w16cid:durableId="1074356707">
    <w:abstractNumId w:val="20"/>
  </w:num>
  <w:num w:numId="17" w16cid:durableId="1816801338">
    <w:abstractNumId w:val="1"/>
  </w:num>
  <w:num w:numId="18" w16cid:durableId="1261374686">
    <w:abstractNumId w:val="26"/>
  </w:num>
  <w:num w:numId="19" w16cid:durableId="961107469">
    <w:abstractNumId w:val="9"/>
  </w:num>
  <w:num w:numId="20" w16cid:durableId="27031411">
    <w:abstractNumId w:val="21"/>
  </w:num>
  <w:num w:numId="21" w16cid:durableId="263463649">
    <w:abstractNumId w:val="12"/>
  </w:num>
  <w:num w:numId="22" w16cid:durableId="356546537">
    <w:abstractNumId w:val="17"/>
  </w:num>
  <w:num w:numId="23" w16cid:durableId="1105423486">
    <w:abstractNumId w:val="25"/>
  </w:num>
  <w:num w:numId="24" w16cid:durableId="1653369500">
    <w:abstractNumId w:val="11"/>
  </w:num>
  <w:num w:numId="25" w16cid:durableId="1201431439">
    <w:abstractNumId w:val="23"/>
  </w:num>
  <w:num w:numId="26" w16cid:durableId="766728040">
    <w:abstractNumId w:val="7"/>
  </w:num>
  <w:num w:numId="27" w16cid:durableId="2031250285">
    <w:abstractNumId w:val="22"/>
  </w:num>
  <w:num w:numId="28" w16cid:durableId="626550890">
    <w:abstractNumId w:val="15"/>
  </w:num>
  <w:num w:numId="29" w16cid:durableId="1761945721">
    <w:abstractNumId w:val="27"/>
  </w:num>
  <w:num w:numId="30" w16cid:durableId="209520218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5586"/>
    <w:rsid w:val="0003038E"/>
    <w:rsid w:val="000304DF"/>
    <w:rsid w:val="00032965"/>
    <w:rsid w:val="00040CE8"/>
    <w:rsid w:val="0004729E"/>
    <w:rsid w:val="00067D0F"/>
    <w:rsid w:val="00076F40"/>
    <w:rsid w:val="00077E55"/>
    <w:rsid w:val="00085CFD"/>
    <w:rsid w:val="000A0C53"/>
    <w:rsid w:val="000B2F4F"/>
    <w:rsid w:val="000C322E"/>
    <w:rsid w:val="000F2E7C"/>
    <w:rsid w:val="00112CE0"/>
    <w:rsid w:val="001243AC"/>
    <w:rsid w:val="00126936"/>
    <w:rsid w:val="001306F2"/>
    <w:rsid w:val="00162FE2"/>
    <w:rsid w:val="001703BD"/>
    <w:rsid w:val="00170A87"/>
    <w:rsid w:val="0018449A"/>
    <w:rsid w:val="001A59E7"/>
    <w:rsid w:val="001B69C8"/>
    <w:rsid w:val="001B6DB4"/>
    <w:rsid w:val="001C5C4E"/>
    <w:rsid w:val="001D4719"/>
    <w:rsid w:val="001E720E"/>
    <w:rsid w:val="00201467"/>
    <w:rsid w:val="00202878"/>
    <w:rsid w:val="002222D0"/>
    <w:rsid w:val="002314D4"/>
    <w:rsid w:val="002430D4"/>
    <w:rsid w:val="00244B89"/>
    <w:rsid w:val="00244F84"/>
    <w:rsid w:val="002659F5"/>
    <w:rsid w:val="00283BE2"/>
    <w:rsid w:val="00294842"/>
    <w:rsid w:val="002B5E03"/>
    <w:rsid w:val="002E127C"/>
    <w:rsid w:val="002F7DD0"/>
    <w:rsid w:val="00301AD0"/>
    <w:rsid w:val="003036C9"/>
    <w:rsid w:val="0032684A"/>
    <w:rsid w:val="00332099"/>
    <w:rsid w:val="003352AB"/>
    <w:rsid w:val="00340C62"/>
    <w:rsid w:val="003478CE"/>
    <w:rsid w:val="00350544"/>
    <w:rsid w:val="003605B1"/>
    <w:rsid w:val="003617CF"/>
    <w:rsid w:val="00364940"/>
    <w:rsid w:val="00365786"/>
    <w:rsid w:val="00366D9C"/>
    <w:rsid w:val="00371DF4"/>
    <w:rsid w:val="00375882"/>
    <w:rsid w:val="00382DB9"/>
    <w:rsid w:val="00396412"/>
    <w:rsid w:val="003B5629"/>
    <w:rsid w:val="003C3341"/>
    <w:rsid w:val="003C7C45"/>
    <w:rsid w:val="003D2837"/>
    <w:rsid w:val="003E36D1"/>
    <w:rsid w:val="003E46A6"/>
    <w:rsid w:val="003F52F1"/>
    <w:rsid w:val="003F7792"/>
    <w:rsid w:val="00414F02"/>
    <w:rsid w:val="004208A6"/>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43EAD"/>
    <w:rsid w:val="00552EED"/>
    <w:rsid w:val="00566333"/>
    <w:rsid w:val="0058148D"/>
    <w:rsid w:val="00594021"/>
    <w:rsid w:val="005C6352"/>
    <w:rsid w:val="005D0DDE"/>
    <w:rsid w:val="005D5D0B"/>
    <w:rsid w:val="0062012D"/>
    <w:rsid w:val="006216BC"/>
    <w:rsid w:val="00643CB9"/>
    <w:rsid w:val="0065740D"/>
    <w:rsid w:val="0066732A"/>
    <w:rsid w:val="00677D1F"/>
    <w:rsid w:val="00697481"/>
    <w:rsid w:val="006A4F97"/>
    <w:rsid w:val="006C4640"/>
    <w:rsid w:val="006E1C2E"/>
    <w:rsid w:val="006F4FB6"/>
    <w:rsid w:val="006F501B"/>
    <w:rsid w:val="00702077"/>
    <w:rsid w:val="00703EDC"/>
    <w:rsid w:val="00725F0E"/>
    <w:rsid w:val="00734189"/>
    <w:rsid w:val="00735BB1"/>
    <w:rsid w:val="00744482"/>
    <w:rsid w:val="007451E8"/>
    <w:rsid w:val="007656C9"/>
    <w:rsid w:val="0078654A"/>
    <w:rsid w:val="0079230B"/>
    <w:rsid w:val="00797115"/>
    <w:rsid w:val="0079741F"/>
    <w:rsid w:val="007A5E44"/>
    <w:rsid w:val="007A605A"/>
    <w:rsid w:val="007D18CA"/>
    <w:rsid w:val="007E500C"/>
    <w:rsid w:val="007E7BB4"/>
    <w:rsid w:val="007F055A"/>
    <w:rsid w:val="007F418B"/>
    <w:rsid w:val="00814801"/>
    <w:rsid w:val="008158FC"/>
    <w:rsid w:val="0082407E"/>
    <w:rsid w:val="00826699"/>
    <w:rsid w:val="008446F7"/>
    <w:rsid w:val="00895843"/>
    <w:rsid w:val="008B4B9C"/>
    <w:rsid w:val="008B534C"/>
    <w:rsid w:val="008D3188"/>
    <w:rsid w:val="008E2A5A"/>
    <w:rsid w:val="008F0B0D"/>
    <w:rsid w:val="008F0D83"/>
    <w:rsid w:val="008F5E87"/>
    <w:rsid w:val="00911C43"/>
    <w:rsid w:val="009139BF"/>
    <w:rsid w:val="00923E76"/>
    <w:rsid w:val="00935820"/>
    <w:rsid w:val="009448FE"/>
    <w:rsid w:val="00946B23"/>
    <w:rsid w:val="0098139B"/>
    <w:rsid w:val="00985CF1"/>
    <w:rsid w:val="009B1D6A"/>
    <w:rsid w:val="009B1D87"/>
    <w:rsid w:val="009B52EB"/>
    <w:rsid w:val="009C438C"/>
    <w:rsid w:val="009C6CAE"/>
    <w:rsid w:val="009D0DDA"/>
    <w:rsid w:val="00A02728"/>
    <w:rsid w:val="00A14DA0"/>
    <w:rsid w:val="00A31552"/>
    <w:rsid w:val="00A43B8E"/>
    <w:rsid w:val="00A44FA9"/>
    <w:rsid w:val="00A45D42"/>
    <w:rsid w:val="00A551C6"/>
    <w:rsid w:val="00A5520C"/>
    <w:rsid w:val="00A656E2"/>
    <w:rsid w:val="00A65C1D"/>
    <w:rsid w:val="00A70B88"/>
    <w:rsid w:val="00A77C7A"/>
    <w:rsid w:val="00A8432F"/>
    <w:rsid w:val="00A90107"/>
    <w:rsid w:val="00A92741"/>
    <w:rsid w:val="00AA11D8"/>
    <w:rsid w:val="00AA1309"/>
    <w:rsid w:val="00AA1380"/>
    <w:rsid w:val="00AC382B"/>
    <w:rsid w:val="00AC67EF"/>
    <w:rsid w:val="00AD310F"/>
    <w:rsid w:val="00AE3E56"/>
    <w:rsid w:val="00AE467F"/>
    <w:rsid w:val="00AE799D"/>
    <w:rsid w:val="00B00678"/>
    <w:rsid w:val="00B03469"/>
    <w:rsid w:val="00B10EAB"/>
    <w:rsid w:val="00B11E4B"/>
    <w:rsid w:val="00B21F2E"/>
    <w:rsid w:val="00B44B68"/>
    <w:rsid w:val="00B54E83"/>
    <w:rsid w:val="00B5750B"/>
    <w:rsid w:val="00B60FDF"/>
    <w:rsid w:val="00B61256"/>
    <w:rsid w:val="00B73A1C"/>
    <w:rsid w:val="00B945EA"/>
    <w:rsid w:val="00B949BC"/>
    <w:rsid w:val="00BA53CD"/>
    <w:rsid w:val="00BB0FC6"/>
    <w:rsid w:val="00BB5FB3"/>
    <w:rsid w:val="00BC4D17"/>
    <w:rsid w:val="00BC7F1B"/>
    <w:rsid w:val="00BE2584"/>
    <w:rsid w:val="00C05F90"/>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02C45"/>
    <w:rsid w:val="00D1657F"/>
    <w:rsid w:val="00D54BB8"/>
    <w:rsid w:val="00D80D6E"/>
    <w:rsid w:val="00D833FD"/>
    <w:rsid w:val="00D95816"/>
    <w:rsid w:val="00DA09FA"/>
    <w:rsid w:val="00DD00CB"/>
    <w:rsid w:val="00DE6434"/>
    <w:rsid w:val="00E00580"/>
    <w:rsid w:val="00E26639"/>
    <w:rsid w:val="00E30C3C"/>
    <w:rsid w:val="00E42568"/>
    <w:rsid w:val="00E672A4"/>
    <w:rsid w:val="00E720BD"/>
    <w:rsid w:val="00E91AD6"/>
    <w:rsid w:val="00EB1AD3"/>
    <w:rsid w:val="00EB4BAF"/>
    <w:rsid w:val="00EC294D"/>
    <w:rsid w:val="00ED52B6"/>
    <w:rsid w:val="00EF41E3"/>
    <w:rsid w:val="00F007E2"/>
    <w:rsid w:val="00F118EC"/>
    <w:rsid w:val="00F225FD"/>
    <w:rsid w:val="00F34E01"/>
    <w:rsid w:val="00F37A71"/>
    <w:rsid w:val="00F43CED"/>
    <w:rsid w:val="00F50039"/>
    <w:rsid w:val="00F51904"/>
    <w:rsid w:val="00F537E9"/>
    <w:rsid w:val="00F720CF"/>
    <w:rsid w:val="00F75862"/>
    <w:rsid w:val="00F82FEB"/>
    <w:rsid w:val="00FB2CA9"/>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1D6A"/>
    <w:pPr>
      <w:spacing w:line="360" w:lineRule="auto"/>
    </w:pPr>
    <w:rPr>
      <w:rFonts w:ascii="Arial" w:hAnsi="Arial"/>
      <w:sz w:val="24"/>
      <w:szCs w:val="24"/>
    </w:rPr>
  </w:style>
  <w:style w:type="paragraph" w:styleId="Heading1">
    <w:name w:val="heading 1"/>
    <w:basedOn w:val="Normal"/>
    <w:next w:val="Normal"/>
    <w:link w:val="Heading1Char"/>
    <w:uiPriority w:val="9"/>
    <w:qFormat/>
    <w:rsid w:val="003B5629"/>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semiHidden/>
    <w:unhideWhenUsed/>
    <w:rsid w:val="007A605A"/>
    <w:rPr>
      <w:color w:val="0000FF"/>
      <w:u w:val="single"/>
    </w:rPr>
  </w:style>
  <w:style w:type="character" w:customStyle="1" w:styleId="Heading1Char">
    <w:name w:val="Heading 1 Char"/>
    <w:basedOn w:val="DefaultParagraphFont"/>
    <w:link w:val="Heading1"/>
    <w:uiPriority w:val="9"/>
    <w:rsid w:val="003B5629"/>
    <w:rPr>
      <w:rFonts w:asciiTheme="majorHAnsi" w:eastAsiaTheme="majorEastAsia" w:hAnsiTheme="majorHAnsi" w:cstheme="majorBidi"/>
      <w:color w:val="365F91" w:themeColor="accent1" w:themeShade="BF"/>
      <w:sz w:val="32"/>
      <w:szCs w:val="32"/>
      <w:lang w:val="en-US" w:eastAsia="en-US"/>
    </w:rPr>
  </w:style>
  <w:style w:type="paragraph" w:styleId="Bibliography">
    <w:name w:val="Bibliography"/>
    <w:basedOn w:val="Normal"/>
    <w:next w:val="Normal"/>
    <w:uiPriority w:val="37"/>
    <w:unhideWhenUsed/>
    <w:rsid w:val="003B56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194080962">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00656577">
      <w:bodyDiv w:val="1"/>
      <w:marLeft w:val="0"/>
      <w:marRight w:val="0"/>
      <w:marTop w:val="0"/>
      <w:marBottom w:val="0"/>
      <w:divBdr>
        <w:top w:val="none" w:sz="0" w:space="0" w:color="auto"/>
        <w:left w:val="none" w:sz="0" w:space="0" w:color="auto"/>
        <w:bottom w:val="none" w:sz="0" w:space="0" w:color="auto"/>
        <w:right w:val="none" w:sz="0" w:space="0" w:color="auto"/>
      </w:divBdr>
    </w:div>
    <w:div w:id="531310365">
      <w:bodyDiv w:val="1"/>
      <w:marLeft w:val="0"/>
      <w:marRight w:val="0"/>
      <w:marTop w:val="0"/>
      <w:marBottom w:val="0"/>
      <w:divBdr>
        <w:top w:val="none" w:sz="0" w:space="0" w:color="auto"/>
        <w:left w:val="none" w:sz="0" w:space="0" w:color="auto"/>
        <w:bottom w:val="none" w:sz="0" w:space="0" w:color="auto"/>
        <w:right w:val="none" w:sz="0" w:space="0" w:color="auto"/>
      </w:divBdr>
    </w:div>
    <w:div w:id="534923729">
      <w:bodyDiv w:val="1"/>
      <w:marLeft w:val="0"/>
      <w:marRight w:val="0"/>
      <w:marTop w:val="0"/>
      <w:marBottom w:val="0"/>
      <w:divBdr>
        <w:top w:val="none" w:sz="0" w:space="0" w:color="auto"/>
        <w:left w:val="none" w:sz="0" w:space="0" w:color="auto"/>
        <w:bottom w:val="none" w:sz="0" w:space="0" w:color="auto"/>
        <w:right w:val="none" w:sz="0" w:space="0" w:color="auto"/>
      </w:divBdr>
    </w:div>
    <w:div w:id="561797311">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50604556">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16399702">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323385334">
      <w:bodyDiv w:val="1"/>
      <w:marLeft w:val="0"/>
      <w:marRight w:val="0"/>
      <w:marTop w:val="0"/>
      <w:marBottom w:val="0"/>
      <w:divBdr>
        <w:top w:val="none" w:sz="0" w:space="0" w:color="auto"/>
        <w:left w:val="none" w:sz="0" w:space="0" w:color="auto"/>
        <w:bottom w:val="none" w:sz="0" w:space="0" w:color="auto"/>
        <w:right w:val="none" w:sz="0" w:space="0" w:color="auto"/>
      </w:divBdr>
    </w:div>
    <w:div w:id="1344895553">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02643009">
      <w:bodyDiv w:val="1"/>
      <w:marLeft w:val="0"/>
      <w:marRight w:val="0"/>
      <w:marTop w:val="0"/>
      <w:marBottom w:val="0"/>
      <w:divBdr>
        <w:top w:val="none" w:sz="0" w:space="0" w:color="auto"/>
        <w:left w:val="none" w:sz="0" w:space="0" w:color="auto"/>
        <w:bottom w:val="none" w:sz="0" w:space="0" w:color="auto"/>
        <w:right w:val="none" w:sz="0" w:space="0" w:color="auto"/>
      </w:divBdr>
    </w:div>
    <w:div w:id="1609846159">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62590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45971421">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17533695">
      <w:bodyDiv w:val="1"/>
      <w:marLeft w:val="0"/>
      <w:marRight w:val="0"/>
      <w:marTop w:val="0"/>
      <w:marBottom w:val="0"/>
      <w:divBdr>
        <w:top w:val="none" w:sz="0" w:space="0" w:color="auto"/>
        <w:left w:val="none" w:sz="0" w:space="0" w:color="auto"/>
        <w:bottom w:val="none" w:sz="0" w:space="0" w:color="auto"/>
        <w:right w:val="none" w:sz="0" w:space="0" w:color="auto"/>
      </w:divBdr>
    </w:div>
    <w:div w:id="2030982693">
      <w:bodyDiv w:val="1"/>
      <w:marLeft w:val="0"/>
      <w:marRight w:val="0"/>
      <w:marTop w:val="0"/>
      <w:marBottom w:val="0"/>
      <w:divBdr>
        <w:top w:val="none" w:sz="0" w:space="0" w:color="auto"/>
        <w:left w:val="none" w:sz="0" w:space="0" w:color="auto"/>
        <w:bottom w:val="none" w:sz="0" w:space="0" w:color="auto"/>
        <w:right w:val="none" w:sz="0" w:space="0" w:color="auto"/>
      </w:divBdr>
      <w:divsChild>
        <w:div w:id="586810744">
          <w:marLeft w:val="0"/>
          <w:marRight w:val="0"/>
          <w:marTop w:val="0"/>
          <w:marBottom w:val="0"/>
          <w:divBdr>
            <w:top w:val="none" w:sz="0" w:space="0" w:color="auto"/>
            <w:left w:val="none" w:sz="0" w:space="0" w:color="auto"/>
            <w:bottom w:val="none" w:sz="0" w:space="0" w:color="auto"/>
            <w:right w:val="none" w:sz="0" w:space="0" w:color="auto"/>
          </w:divBdr>
        </w:div>
        <w:div w:id="11837141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3D736006601784B93ABACF4164D4D52" ma:contentTypeVersion="4" ma:contentTypeDescription="Create a new document." ma:contentTypeScope="" ma:versionID="c5d969d0fa04ad6bdea057c4c7c328bd">
  <xsd:schema xmlns:xsd="http://www.w3.org/2001/XMLSchema" xmlns:xs="http://www.w3.org/2001/XMLSchema" xmlns:p="http://schemas.microsoft.com/office/2006/metadata/properties" xmlns:ns2="d13bb463-e822-434f-8878-051c27d76757" targetNamespace="http://schemas.microsoft.com/office/2006/metadata/properties" ma:root="true" ma:fieldsID="3224e95534d5f58af00d070a2fc2808d" ns2:_="">
    <xsd:import namespace="d13bb463-e822-434f-8878-051c27d767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13bb463-e822-434f-8878-051c27d767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Ort06</b:Tag>
    <b:SourceType>JournalArticle</b:SourceType>
    <b:Guid>{6C21B543-D44E-4A15-BA4B-D75AB90F6322}</b:Guid>
    <b:Author>
      <b:Author>
        <b:NameList>
          <b:Person>
            <b:Last>Ortolani</b:Last>
            <b:First>Claudio</b:First>
          </b:Person>
          <b:Person>
            <b:Last>Pastorello</b:Last>
            <b:First>Elide</b:First>
            <b:Middle>A.</b:Middle>
          </b:Person>
        </b:NameList>
      </b:Author>
    </b:Author>
    <b:Title>Food allergies and food intolerances</b:Title>
    <b:JournalName>Best Practice &amp; Research Clinical Gastroenterology</b:JournalName>
    <b:Year>2006</b:Year>
    <b:Pages> 467-483.</b:Pages>
    <b:Volume>20</b:Volume>
    <b:Issue>3</b:Issue>
    <b:RefOrder>1</b:RefOrder>
  </b:Source>
  <b:Source>
    <b:Tag>WHO20</b:Tag>
    <b:SourceType>InternetSite</b:SourceType>
    <b:Guid>{081E4E4E-CE62-4F39-B99E-EE63E72260FA}</b:Guid>
    <b:Title>Coronavirus disease (COVID-19): Staying at hotels and accommodation establishments</b:Title>
    <b:Year>2020</b:Year>
    <b:Author>
      <b:Author>
        <b:Corporate>WHO</b:Corporate>
      </b:Author>
    </b:Author>
    <b:YearAccessed>2022</b:YearAccessed>
    <b:MonthAccessed>June</b:MonthAccessed>
    <b:DayAccessed>03</b:DayAccessed>
    <b:URL>https://www.who.int/news-room/questions-and-answers/item/coronavirus-disease-covid-19-staying-at-hotels-and-accommodation-establishments#:~:text=There%20is%20no%20evidence%20that,by%20staff%20and%20guests.</b:URL>
    <b:RefOrder>4</b:RefOrder>
  </b:Source>
  <b:Source>
    <b:Tag>FSA21</b:Tag>
    <b:SourceType>InternetSite</b:SourceType>
    <b:Guid>{49642044-D3C0-4B33-90C6-6E1FFB403668}</b:Guid>
    <b:Author>
      <b:Author>
        <b:Corporate>FSA</b:Corporate>
      </b:Author>
    </b:Author>
    <b:Title>Food allergy and intolerance</b:Title>
    <b:Year>2021</b:Year>
    <b:YearAccessed>2022</b:YearAccessed>
    <b:MonthAccessed>June</b:MonthAccessed>
    <b:DayAccessed>03</b:DayAccessed>
    <b:URL>https://www.food.gov.uk/safety-hygiene/food-allergy-and-intolerance</b:URL>
    <b:RefOrder>5</b:RefOrder>
  </b:Source>
  <b:Source>
    <b:Tag>Tur15</b:Tag>
    <b:SourceType>JournalArticle</b:SourceType>
    <b:Guid>{FA544105-B57D-4022-9FA1-6B07DBB6A682}</b:Guid>
    <b:Title>The diagnosis and management of food allergy and food intolerances</b:Title>
    <b:Year>2015</b:Year>
    <b:Author>
      <b:Author>
        <b:NameList>
          <b:Person>
            <b:Last>Turnbull</b:Last>
            <b:First>J.</b:First>
            <b:Middle>L</b:Middle>
          </b:Person>
          <b:Person>
            <b:Last>Adams</b:Last>
            <b:First>H.</b:First>
            <b:Middle>N.</b:Middle>
          </b:Person>
          <b:Person>
            <b:Last>Gorard</b:Last>
            <b:First>D.</b:First>
            <b:Middle>A. .</b:Middle>
          </b:Person>
        </b:NameList>
      </b:Author>
    </b:Author>
    <b:JournalName> Alimentary pharmacology &amp; therapeutics</b:JournalName>
    <b:Pages> 3-25.</b:Pages>
    <b:Volume> 41</b:Volume>
    <b:Issue>1</b:Issue>
    <b:RefOrder>7</b:RefOrder>
  </b:Source>
  <b:Source>
    <b:Tag>Net10</b:Tag>
    <b:SourceType>JournalArticle</b:SourceType>
    <b:Guid>{19A4E965-2A3B-4990-9EFD-4CF5B501F05D}</b:Guid>
    <b:Author>
      <b:Author>
        <b:NameList>
          <b:Person>
            <b:Last>Nettleton</b:Last>
            <b:First>Sarah</b:First>
          </b:Person>
          <b:Person>
            <b:Last>Woods</b:Last>
            <b:First>Brian</b:First>
          </b:Person>
          <b:Person>
            <b:Last>Burrows</b:Last>
            <b:First>Roger</b:First>
          </b:Person>
          <b:Person>
            <b:Last>Kerr</b:Last>
            <b:First>Anne</b:First>
            <b:Middle>.</b:Middle>
          </b:Person>
        </b:NameList>
      </b:Author>
    </b:Author>
    <b:Title>Experiencing food allergy and food intolerance: An analysis of lay accounts</b:Title>
    <b:JournalName> Sociology </b:JournalName>
    <b:Year>2010</b:Year>
    <b:Pages>289-305.</b:Pages>
    <b:Volume>44</b:Volume>
    <b:Issue>2</b:Issue>
    <b:RefOrder>6</b:RefOrder>
  </b:Source>
  <b:Source>
    <b:Tag>Boy12</b:Tag>
    <b:SourceType>JournalArticle</b:SourceType>
    <b:Guid>{22775CBC-FECB-4FFF-8749-7FE1A24BAC98}</b:Guid>
    <b:Author>
      <b:Author>
        <b:NameList>
          <b:Person>
            <b:Last>Boye</b:Last>
            <b:First>Joyce</b:First>
            <b:Middle>Irene</b:Middle>
          </b:Person>
        </b:NameList>
      </b:Author>
    </b:Author>
    <b:Title>Food allergies in developing and emerging economies: Need for comprehensive data on prevalence rates</b:Title>
    <b:JournalName>Clinical and translational allergy</b:JournalName>
    <b:Year>2012</b:Year>
    <b:Pages> 1-9.</b:Pages>
    <b:Volume>2</b:Volume>
    <b:Issue>1</b:Issue>
    <b:RefOrder>3</b:RefOrder>
  </b:Source>
  <b:Source>
    <b:Tag>PSN22</b:Tag>
    <b:SourceType>InternetSite</b:SourceType>
    <b:Guid>{B7FF3B2B-019B-434A-8071-48682C824DD2}</b:Guid>
    <b:Title>Essential facts, stats and quotes relating to coeliac disease</b:Title>
    <b:Year>2022</b:Year>
    <b:Author>
      <b:Author>
        <b:Corporate>PSNC</b:Corporate>
      </b:Author>
    </b:Author>
    <b:YearAccessed>2022</b:YearAccessed>
    <b:MonthAccessed>May</b:MonthAccessed>
    <b:DayAccessed>3</b:DayAccessed>
    <b:URL>https://psnc.org.uk/services-commissioning/coeliac-disease/</b:URL>
    <b:RefOrder>2</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61BEA0-2AC5-4936-A8AC-38442C397999}">
  <ds:schemaRefs>
    <ds:schemaRef ds:uri="http://schemas.microsoft.com/office/2006/metadata/contentType"/>
    <ds:schemaRef ds:uri="http://schemas.microsoft.com/office/2006/metadata/properties/metaAttributes"/>
    <ds:schemaRef ds:uri="http://www.w3.org/2000/xmlns/"/>
    <ds:schemaRef ds:uri="http://www.w3.org/2001/XMLSchema"/>
    <ds:schemaRef ds:uri="d13bb463-e822-434f-8878-051c27d76757"/>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8A1F0F1-1825-4AF4-B777-4319F03EAEDA}">
  <ds:schemaRefs>
    <ds:schemaRef ds:uri="http://schemas.microsoft.com/sharepoint/v3/contenttype/forms"/>
  </ds:schemaRefs>
</ds:datastoreItem>
</file>

<file path=customXml/itemProps3.xml><?xml version="1.0" encoding="utf-8"?>
<ds:datastoreItem xmlns:ds="http://schemas.openxmlformats.org/officeDocument/2006/customXml" ds:itemID="{826421E7-2EC9-428D-B974-8AF9E5D7E05E}">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A449B3B4-6782-4060-8941-05003A8F153C}">
  <ds:schemaRefs>
    <ds:schemaRef ds:uri="http://schemas.microsoft.com/office/2006/metadata/properties"/>
    <ds:schemaRef ds:uri="http://www.w3.org/2000/xmln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1035</Words>
  <Characters>6244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berrymannatalie24@gmail.com</cp:lastModifiedBy>
  <cp:revision>2</cp:revision>
  <cp:lastPrinted>2020-09-28T20:53:00Z</cp:lastPrinted>
  <dcterms:created xsi:type="dcterms:W3CDTF">2022-06-03T14:53:00Z</dcterms:created>
  <dcterms:modified xsi:type="dcterms:W3CDTF">2022-06-03T14:53:00Z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0x01010073D736006601784B93ABACF4164D4D52</vt:lpwstr>
  </property>
</Properties>
</file>