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D0F7A" w14:textId="77777777" w:rsidR="005F1E59" w:rsidRDefault="005F1E59">
      <w:pPr>
        <w:spacing w:line="360" w:lineRule="auto"/>
        <w:jc w:val="center"/>
        <w:rPr>
          <w:rFonts w:ascii="Times New Roman" w:eastAsia="Times New Roman" w:hAnsi="Times New Roman" w:cs="Times New Roman"/>
          <w:b/>
          <w:bCs/>
          <w:sz w:val="24"/>
          <w:szCs w:val="24"/>
        </w:rPr>
      </w:pPr>
    </w:p>
    <w:p w14:paraId="2C87ACB0" w14:textId="77777777" w:rsidR="005F1E59" w:rsidRDefault="005F1E59">
      <w:pPr>
        <w:spacing w:line="360" w:lineRule="auto"/>
        <w:jc w:val="center"/>
        <w:rPr>
          <w:rFonts w:ascii="Times New Roman" w:eastAsia="Times New Roman" w:hAnsi="Times New Roman" w:cs="Times New Roman"/>
          <w:b/>
          <w:bCs/>
          <w:sz w:val="24"/>
          <w:szCs w:val="24"/>
        </w:rPr>
      </w:pPr>
    </w:p>
    <w:p w14:paraId="6BF8AEF5" w14:textId="77777777" w:rsidR="005F1E59" w:rsidRDefault="005F1E59">
      <w:pPr>
        <w:spacing w:line="360" w:lineRule="auto"/>
        <w:jc w:val="center"/>
        <w:rPr>
          <w:rFonts w:ascii="Times New Roman" w:eastAsia="Times New Roman" w:hAnsi="Times New Roman" w:cs="Times New Roman"/>
          <w:b/>
          <w:bCs/>
          <w:sz w:val="24"/>
          <w:szCs w:val="24"/>
        </w:rPr>
      </w:pPr>
    </w:p>
    <w:p w14:paraId="3E5CD0BC" w14:textId="77777777" w:rsidR="005F1E59" w:rsidRDefault="006909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Title: PROJECT BIOSCALE – AN AI-ENABLED PREDICTIVE ANALYTICS STRATEGY FOR EXPANDING BIOCON BIOLOGICS’ BIOSIMILARS BUSINESS </w:t>
      </w:r>
    </w:p>
    <w:p w14:paraId="09C08D26" w14:textId="77777777" w:rsidR="005F1E59" w:rsidRDefault="005F1E59">
      <w:pPr>
        <w:spacing w:line="360" w:lineRule="auto"/>
        <w:jc w:val="center"/>
        <w:rPr>
          <w:rFonts w:ascii="Times New Roman" w:eastAsia="Times New Roman" w:hAnsi="Times New Roman" w:cs="Times New Roman"/>
          <w:b/>
          <w:bCs/>
          <w:sz w:val="24"/>
          <w:szCs w:val="24"/>
        </w:rPr>
      </w:pPr>
    </w:p>
    <w:p w14:paraId="3AF39DE8" w14:textId="77777777" w:rsidR="005F1E59" w:rsidRDefault="005F1E59">
      <w:pPr>
        <w:spacing w:line="360" w:lineRule="auto"/>
        <w:jc w:val="center"/>
        <w:rPr>
          <w:rFonts w:ascii="Times New Roman" w:eastAsia="Times New Roman" w:hAnsi="Times New Roman" w:cs="Times New Roman"/>
          <w:b/>
          <w:bCs/>
          <w:sz w:val="24"/>
          <w:szCs w:val="24"/>
        </w:rPr>
      </w:pPr>
    </w:p>
    <w:p w14:paraId="2EFDA27A" w14:textId="77777777" w:rsidR="005F1E59" w:rsidRDefault="006909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Program: Business Development Proposal </w:t>
      </w:r>
    </w:p>
    <w:p w14:paraId="534EE9F3" w14:textId="77777777" w:rsidR="005F1E59" w:rsidRDefault="006909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Name: </w:t>
      </w:r>
      <w:proofErr w:type="spellStart"/>
      <w:r>
        <w:rPr>
          <w:rFonts w:ascii="Times New Roman" w:eastAsia="Times New Roman" w:hAnsi="Times New Roman" w:cs="Times New Roman"/>
          <w:b/>
          <w:bCs/>
          <w:sz w:val="24"/>
          <w:szCs w:val="24"/>
        </w:rPr>
        <w:t>AshabenSavdasOdedra</w:t>
      </w:r>
      <w:proofErr w:type="spellEnd"/>
    </w:p>
    <w:p w14:paraId="157201FF" w14:textId="77777777" w:rsidR="005F1E59" w:rsidRDefault="006909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2525489</w:t>
      </w:r>
    </w:p>
    <w:p w14:paraId="51C34AA2" w14:textId="77777777" w:rsidR="005F1E59" w:rsidRDefault="0069098B">
      <w:pPr>
        <w:rPr>
          <w:rFonts w:ascii="Times New Roman" w:eastAsia="Times New Roman" w:hAnsi="Times New Roman" w:cs="Times New Roman"/>
          <w:b/>
          <w:bCs/>
          <w:sz w:val="24"/>
          <w:szCs w:val="24"/>
        </w:rPr>
      </w:pPr>
      <w:r>
        <w:br w:type="page"/>
      </w:r>
    </w:p>
    <w:p w14:paraId="4C130F21" w14:textId="77777777" w:rsidR="005F1E59" w:rsidRDefault="0069098B">
      <w:pPr>
        <w:keepNext/>
        <w:keepLines/>
        <w:pBdr>
          <w:top w:val="nil"/>
          <w:left w:val="nil"/>
          <w:bottom w:val="nil"/>
          <w:right w:val="nil"/>
          <w:between w:val="nil"/>
        </w:pBdr>
        <w:spacing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Table of Contents</w:t>
      </w:r>
    </w:p>
    <w:sdt>
      <w:sdtPr>
        <w:rPr>
          <w:rFonts w:ascii="Times New Roman" w:hAnsi="Times New Roman" w:cs="Times New Roman"/>
          <w:sz w:val="24"/>
          <w:szCs w:val="24"/>
        </w:rPr>
        <w:id w:val="-256078558"/>
        <w:docPartObj>
          <w:docPartGallery w:val="Table of Contents"/>
          <w:docPartUnique/>
        </w:docPartObj>
      </w:sdtPr>
      <w:sdtEndPr/>
      <w:sdtContent>
        <w:p w14:paraId="12383C82" w14:textId="77777777" w:rsidR="0032783B" w:rsidRPr="0032783B" w:rsidRDefault="002476C9">
          <w:pPr>
            <w:pStyle w:val="TOC1"/>
            <w:rPr>
              <w:rFonts w:ascii="Times New Roman" w:eastAsiaTheme="minorEastAsia" w:hAnsi="Times New Roman" w:cs="Times New Roman"/>
              <w:noProof/>
              <w:sz w:val="24"/>
              <w:szCs w:val="24"/>
              <w:lang w:val="en-US" w:eastAsia="en-US"/>
            </w:rPr>
          </w:pPr>
          <w:r w:rsidRPr="0032783B">
            <w:rPr>
              <w:rFonts w:ascii="Times New Roman" w:hAnsi="Times New Roman" w:cs="Times New Roman"/>
              <w:sz w:val="24"/>
              <w:szCs w:val="24"/>
            </w:rPr>
            <w:fldChar w:fldCharType="begin"/>
          </w:r>
          <w:r w:rsidR="0069098B" w:rsidRPr="0032783B">
            <w:rPr>
              <w:rFonts w:ascii="Times New Roman" w:hAnsi="Times New Roman" w:cs="Times New Roman"/>
              <w:sz w:val="24"/>
              <w:szCs w:val="24"/>
            </w:rPr>
            <w:instrText xml:space="preserve"> TOC \h \u \z \t "Heading 1,1,Heading 2,2,Heading 3,3,"</w:instrText>
          </w:r>
          <w:r w:rsidRPr="0032783B">
            <w:rPr>
              <w:rFonts w:ascii="Times New Roman" w:hAnsi="Times New Roman" w:cs="Times New Roman"/>
              <w:sz w:val="24"/>
              <w:szCs w:val="24"/>
            </w:rPr>
            <w:fldChar w:fldCharType="separate"/>
          </w:r>
          <w:hyperlink w:anchor="_Toc240888855" w:history="1">
            <w:r w:rsidR="0032783B" w:rsidRPr="0032783B">
              <w:rPr>
                <w:rStyle w:val="Hyperlink"/>
                <w:rFonts w:ascii="Times New Roman" w:hAnsi="Times New Roman" w:cs="Times New Roman"/>
                <w:noProof/>
                <w:sz w:val="24"/>
                <w:szCs w:val="24"/>
              </w:rPr>
              <w:t>1 Introduction</w:t>
            </w:r>
            <w:r w:rsidR="0032783B" w:rsidRPr="0032783B">
              <w:rPr>
                <w:rFonts w:ascii="Times New Roman" w:hAnsi="Times New Roman" w:cs="Times New Roman"/>
                <w:noProof/>
                <w:webHidden/>
                <w:sz w:val="24"/>
                <w:szCs w:val="24"/>
              </w:rPr>
              <w:tab/>
            </w:r>
            <w:r w:rsidR="0032783B" w:rsidRPr="0032783B">
              <w:rPr>
                <w:rFonts w:ascii="Times New Roman" w:hAnsi="Times New Roman" w:cs="Times New Roman"/>
                <w:noProof/>
                <w:webHidden/>
                <w:sz w:val="24"/>
                <w:szCs w:val="24"/>
              </w:rPr>
              <w:fldChar w:fldCharType="begin"/>
            </w:r>
            <w:r w:rsidR="0032783B" w:rsidRPr="0032783B">
              <w:rPr>
                <w:rFonts w:ascii="Times New Roman" w:hAnsi="Times New Roman" w:cs="Times New Roman"/>
                <w:noProof/>
                <w:webHidden/>
                <w:sz w:val="24"/>
                <w:szCs w:val="24"/>
              </w:rPr>
              <w:instrText xml:space="preserve"> PAGEREF _Toc240888855 \h </w:instrText>
            </w:r>
            <w:r w:rsidR="0032783B" w:rsidRPr="0032783B">
              <w:rPr>
                <w:rFonts w:ascii="Times New Roman" w:hAnsi="Times New Roman" w:cs="Times New Roman"/>
                <w:noProof/>
                <w:webHidden/>
                <w:sz w:val="24"/>
                <w:szCs w:val="24"/>
              </w:rPr>
            </w:r>
            <w:r w:rsidR="0032783B" w:rsidRPr="0032783B">
              <w:rPr>
                <w:rFonts w:ascii="Times New Roman" w:hAnsi="Times New Roman" w:cs="Times New Roman"/>
                <w:noProof/>
                <w:webHidden/>
                <w:sz w:val="24"/>
                <w:szCs w:val="24"/>
              </w:rPr>
              <w:fldChar w:fldCharType="separate"/>
            </w:r>
            <w:r w:rsidR="0032783B" w:rsidRPr="0032783B">
              <w:rPr>
                <w:rFonts w:ascii="Times New Roman" w:hAnsi="Times New Roman" w:cs="Times New Roman"/>
                <w:noProof/>
                <w:webHidden/>
                <w:sz w:val="24"/>
                <w:szCs w:val="24"/>
              </w:rPr>
              <w:t>3</w:t>
            </w:r>
            <w:r w:rsidR="0032783B" w:rsidRPr="0032783B">
              <w:rPr>
                <w:rFonts w:ascii="Times New Roman" w:hAnsi="Times New Roman" w:cs="Times New Roman"/>
                <w:noProof/>
                <w:webHidden/>
                <w:sz w:val="24"/>
                <w:szCs w:val="24"/>
              </w:rPr>
              <w:fldChar w:fldCharType="end"/>
            </w:r>
          </w:hyperlink>
        </w:p>
        <w:p w14:paraId="127600B3" w14:textId="77777777" w:rsidR="0032783B" w:rsidRPr="0032783B" w:rsidRDefault="0032783B">
          <w:pPr>
            <w:pStyle w:val="TOC2"/>
            <w:tabs>
              <w:tab w:val="right" w:leader="dot" w:pos="9350"/>
            </w:tabs>
            <w:rPr>
              <w:rFonts w:ascii="Times New Roman" w:eastAsiaTheme="minorEastAsia" w:hAnsi="Times New Roman" w:cs="Times New Roman"/>
              <w:noProof/>
              <w:sz w:val="24"/>
              <w:szCs w:val="24"/>
              <w:lang w:val="en-US" w:eastAsia="en-US"/>
            </w:rPr>
          </w:pPr>
          <w:hyperlink w:anchor="_Toc240888856" w:history="1">
            <w:r w:rsidRPr="0032783B">
              <w:rPr>
                <w:rStyle w:val="Hyperlink"/>
                <w:rFonts w:ascii="Times New Roman" w:hAnsi="Times New Roman" w:cs="Times New Roman"/>
                <w:noProof/>
                <w:sz w:val="24"/>
                <w:szCs w:val="24"/>
              </w:rPr>
              <w:t>1.1 Company overview and research background</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_Toc240888856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3</w:t>
            </w:r>
            <w:r w:rsidRPr="0032783B">
              <w:rPr>
                <w:rFonts w:ascii="Times New Roman" w:hAnsi="Times New Roman" w:cs="Times New Roman"/>
                <w:noProof/>
                <w:webHidden/>
                <w:sz w:val="24"/>
                <w:szCs w:val="24"/>
              </w:rPr>
              <w:fldChar w:fldCharType="end"/>
            </w:r>
          </w:hyperlink>
        </w:p>
        <w:p w14:paraId="540592B7" w14:textId="77777777" w:rsidR="0032783B" w:rsidRPr="0032783B" w:rsidRDefault="0032783B">
          <w:pPr>
            <w:pStyle w:val="TOC2"/>
            <w:tabs>
              <w:tab w:val="right" w:leader="dot" w:pos="9350"/>
            </w:tabs>
            <w:rPr>
              <w:rFonts w:ascii="Times New Roman" w:eastAsiaTheme="minorEastAsia" w:hAnsi="Times New Roman" w:cs="Times New Roman"/>
              <w:noProof/>
              <w:sz w:val="24"/>
              <w:szCs w:val="24"/>
              <w:lang w:val="en-US" w:eastAsia="en-US"/>
            </w:rPr>
          </w:pPr>
          <w:hyperlink w:anchor="_Toc240888857" w:history="1">
            <w:r w:rsidRPr="0032783B">
              <w:rPr>
                <w:rStyle w:val="Hyperlink"/>
                <w:rFonts w:ascii="Times New Roman" w:hAnsi="Times New Roman" w:cs="Times New Roman"/>
                <w:noProof/>
                <w:sz w:val="24"/>
                <w:szCs w:val="24"/>
              </w:rPr>
              <w:t>1.2 Research rationale</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_Toc240888857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3</w:t>
            </w:r>
            <w:r w:rsidRPr="0032783B">
              <w:rPr>
                <w:rFonts w:ascii="Times New Roman" w:hAnsi="Times New Roman" w:cs="Times New Roman"/>
                <w:noProof/>
                <w:webHidden/>
                <w:sz w:val="24"/>
                <w:szCs w:val="24"/>
              </w:rPr>
              <w:fldChar w:fldCharType="end"/>
            </w:r>
          </w:hyperlink>
        </w:p>
        <w:p w14:paraId="74DA5F74" w14:textId="77777777" w:rsidR="0032783B" w:rsidRPr="0032783B" w:rsidRDefault="0032783B">
          <w:pPr>
            <w:pStyle w:val="TOC2"/>
            <w:tabs>
              <w:tab w:val="right" w:leader="dot" w:pos="9350"/>
            </w:tabs>
            <w:rPr>
              <w:rFonts w:ascii="Times New Roman" w:eastAsiaTheme="minorEastAsia" w:hAnsi="Times New Roman" w:cs="Times New Roman"/>
              <w:noProof/>
              <w:sz w:val="24"/>
              <w:szCs w:val="24"/>
              <w:lang w:val="en-US" w:eastAsia="en-US"/>
            </w:rPr>
          </w:pPr>
          <w:hyperlink w:anchor="_Toc240888858" w:history="1">
            <w:r w:rsidRPr="0032783B">
              <w:rPr>
                <w:rStyle w:val="Hyperlink"/>
                <w:rFonts w:ascii="Times New Roman" w:hAnsi="Times New Roman" w:cs="Times New Roman"/>
                <w:noProof/>
                <w:sz w:val="24"/>
                <w:szCs w:val="24"/>
              </w:rPr>
              <w:t>1.3 Problem statement</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_Toc240888858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5</w:t>
            </w:r>
            <w:r w:rsidRPr="0032783B">
              <w:rPr>
                <w:rFonts w:ascii="Times New Roman" w:hAnsi="Times New Roman" w:cs="Times New Roman"/>
                <w:noProof/>
                <w:webHidden/>
                <w:sz w:val="24"/>
                <w:szCs w:val="24"/>
              </w:rPr>
              <w:fldChar w:fldCharType="end"/>
            </w:r>
          </w:hyperlink>
        </w:p>
        <w:p w14:paraId="788CD155" w14:textId="77777777" w:rsidR="0032783B" w:rsidRPr="0032783B" w:rsidRDefault="0032783B">
          <w:pPr>
            <w:pStyle w:val="TOC2"/>
            <w:tabs>
              <w:tab w:val="right" w:leader="dot" w:pos="9350"/>
            </w:tabs>
            <w:rPr>
              <w:rFonts w:ascii="Times New Roman" w:eastAsiaTheme="minorEastAsia" w:hAnsi="Times New Roman" w:cs="Times New Roman"/>
              <w:noProof/>
              <w:sz w:val="24"/>
              <w:szCs w:val="24"/>
              <w:lang w:val="en-US" w:eastAsia="en-US"/>
            </w:rPr>
          </w:pPr>
          <w:hyperlink w:anchor="_Toc240888859" w:history="1">
            <w:r w:rsidRPr="0032783B">
              <w:rPr>
                <w:rStyle w:val="Hyperlink"/>
                <w:rFonts w:ascii="Times New Roman" w:hAnsi="Times New Roman" w:cs="Times New Roman"/>
                <w:noProof/>
                <w:sz w:val="24"/>
                <w:szCs w:val="24"/>
              </w:rPr>
              <w:t>1.4 Commercial Viability &amp; Target Market</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_Toc240888859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5</w:t>
            </w:r>
            <w:r w:rsidRPr="0032783B">
              <w:rPr>
                <w:rFonts w:ascii="Times New Roman" w:hAnsi="Times New Roman" w:cs="Times New Roman"/>
                <w:noProof/>
                <w:webHidden/>
                <w:sz w:val="24"/>
                <w:szCs w:val="24"/>
              </w:rPr>
              <w:fldChar w:fldCharType="end"/>
            </w:r>
          </w:hyperlink>
        </w:p>
        <w:p w14:paraId="4D47B52C" w14:textId="77777777" w:rsidR="0032783B" w:rsidRPr="0032783B" w:rsidRDefault="0032783B">
          <w:pPr>
            <w:pStyle w:val="TOC2"/>
            <w:tabs>
              <w:tab w:val="right" w:leader="dot" w:pos="9350"/>
            </w:tabs>
            <w:rPr>
              <w:rFonts w:ascii="Times New Roman" w:eastAsiaTheme="minorEastAsia" w:hAnsi="Times New Roman" w:cs="Times New Roman"/>
              <w:noProof/>
              <w:sz w:val="24"/>
              <w:szCs w:val="24"/>
              <w:lang w:val="en-US" w:eastAsia="en-US"/>
            </w:rPr>
          </w:pPr>
          <w:hyperlink w:anchor="_Toc240888860" w:history="1">
            <w:r w:rsidRPr="0032783B">
              <w:rPr>
                <w:rStyle w:val="Hyperlink"/>
                <w:rFonts w:ascii="Times New Roman" w:hAnsi="Times New Roman" w:cs="Times New Roman"/>
                <w:noProof/>
                <w:sz w:val="24"/>
                <w:szCs w:val="24"/>
              </w:rPr>
              <w:t>1.5 Aims &amp; SMART Objectives:</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_Toc240888860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6</w:t>
            </w:r>
            <w:r w:rsidRPr="0032783B">
              <w:rPr>
                <w:rFonts w:ascii="Times New Roman" w:hAnsi="Times New Roman" w:cs="Times New Roman"/>
                <w:noProof/>
                <w:webHidden/>
                <w:sz w:val="24"/>
                <w:szCs w:val="24"/>
              </w:rPr>
              <w:fldChar w:fldCharType="end"/>
            </w:r>
          </w:hyperlink>
        </w:p>
        <w:p w14:paraId="52FE263C" w14:textId="77777777" w:rsidR="0032783B" w:rsidRPr="0032783B" w:rsidRDefault="0032783B">
          <w:pPr>
            <w:pStyle w:val="TOC2"/>
            <w:tabs>
              <w:tab w:val="right" w:leader="dot" w:pos="9350"/>
            </w:tabs>
            <w:rPr>
              <w:rFonts w:ascii="Times New Roman" w:eastAsiaTheme="minorEastAsia" w:hAnsi="Times New Roman" w:cs="Times New Roman"/>
              <w:noProof/>
              <w:sz w:val="24"/>
              <w:szCs w:val="24"/>
              <w:lang w:val="en-US" w:eastAsia="en-US"/>
            </w:rPr>
          </w:pPr>
          <w:hyperlink w:anchor="_Toc240888861" w:history="1">
            <w:r w:rsidRPr="0032783B">
              <w:rPr>
                <w:rStyle w:val="Hyperlink"/>
                <w:rFonts w:ascii="Times New Roman" w:hAnsi="Times New Roman" w:cs="Times New Roman"/>
                <w:noProof/>
                <w:sz w:val="24"/>
                <w:szCs w:val="24"/>
              </w:rPr>
              <w:t>1.6 Strategic growth opportunities</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_Toc240888861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6</w:t>
            </w:r>
            <w:r w:rsidRPr="0032783B">
              <w:rPr>
                <w:rFonts w:ascii="Times New Roman" w:hAnsi="Times New Roman" w:cs="Times New Roman"/>
                <w:noProof/>
                <w:webHidden/>
                <w:sz w:val="24"/>
                <w:szCs w:val="24"/>
              </w:rPr>
              <w:fldChar w:fldCharType="end"/>
            </w:r>
          </w:hyperlink>
        </w:p>
        <w:p w14:paraId="7B0DB00C" w14:textId="77777777" w:rsidR="0032783B" w:rsidRPr="0032783B" w:rsidRDefault="0032783B">
          <w:pPr>
            <w:pStyle w:val="TOC1"/>
            <w:rPr>
              <w:rFonts w:ascii="Times New Roman" w:eastAsiaTheme="minorEastAsia" w:hAnsi="Times New Roman" w:cs="Times New Roman"/>
              <w:noProof/>
              <w:sz w:val="24"/>
              <w:szCs w:val="24"/>
              <w:lang w:val="en-US" w:eastAsia="en-US"/>
            </w:rPr>
          </w:pPr>
          <w:hyperlink w:anchor="_Toc240888862" w:history="1">
            <w:r w:rsidRPr="0032783B">
              <w:rPr>
                <w:rStyle w:val="Hyperlink"/>
                <w:rFonts w:ascii="Times New Roman" w:hAnsi="Times New Roman" w:cs="Times New Roman"/>
                <w:noProof/>
                <w:sz w:val="24"/>
                <w:szCs w:val="24"/>
              </w:rPr>
              <w:t>2 Methodology</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_Toc240888862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7</w:t>
            </w:r>
            <w:r w:rsidRPr="0032783B">
              <w:rPr>
                <w:rFonts w:ascii="Times New Roman" w:hAnsi="Times New Roman" w:cs="Times New Roman"/>
                <w:noProof/>
                <w:webHidden/>
                <w:sz w:val="24"/>
                <w:szCs w:val="24"/>
              </w:rPr>
              <w:fldChar w:fldCharType="end"/>
            </w:r>
          </w:hyperlink>
        </w:p>
        <w:p w14:paraId="5727BDE9" w14:textId="77777777" w:rsidR="0032783B" w:rsidRPr="0032783B" w:rsidRDefault="0032783B">
          <w:pPr>
            <w:pStyle w:val="TOC1"/>
            <w:rPr>
              <w:rFonts w:ascii="Times New Roman" w:eastAsiaTheme="minorEastAsia" w:hAnsi="Times New Roman" w:cs="Times New Roman"/>
              <w:noProof/>
              <w:sz w:val="24"/>
              <w:szCs w:val="24"/>
              <w:lang w:val="en-US" w:eastAsia="en-US"/>
            </w:rPr>
          </w:pPr>
          <w:hyperlink w:anchor="_Toc240888863" w:history="1">
            <w:r w:rsidRPr="0032783B">
              <w:rPr>
                <w:rStyle w:val="Hyperlink"/>
                <w:rFonts w:ascii="Times New Roman" w:hAnsi="Times New Roman" w:cs="Times New Roman"/>
                <w:noProof/>
                <w:sz w:val="24"/>
                <w:szCs w:val="24"/>
              </w:rPr>
              <w:t>3 Market research and validation</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_Toc240888863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9</w:t>
            </w:r>
            <w:r w:rsidRPr="0032783B">
              <w:rPr>
                <w:rFonts w:ascii="Times New Roman" w:hAnsi="Times New Roman" w:cs="Times New Roman"/>
                <w:noProof/>
                <w:webHidden/>
                <w:sz w:val="24"/>
                <w:szCs w:val="24"/>
              </w:rPr>
              <w:fldChar w:fldCharType="end"/>
            </w:r>
          </w:hyperlink>
        </w:p>
        <w:p w14:paraId="2AAD6FBC" w14:textId="77777777" w:rsidR="0032783B" w:rsidRPr="0032783B" w:rsidRDefault="0032783B">
          <w:pPr>
            <w:pStyle w:val="TOC1"/>
            <w:rPr>
              <w:rFonts w:ascii="Times New Roman" w:eastAsiaTheme="minorEastAsia" w:hAnsi="Times New Roman" w:cs="Times New Roman"/>
              <w:noProof/>
              <w:sz w:val="24"/>
              <w:szCs w:val="24"/>
              <w:lang w:val="en-US" w:eastAsia="en-US"/>
            </w:rPr>
          </w:pPr>
          <w:hyperlink w:anchor="_Toc240888864" w:history="1">
            <w:r w:rsidRPr="0032783B">
              <w:rPr>
                <w:rStyle w:val="Hyperlink"/>
                <w:rFonts w:ascii="Times New Roman" w:hAnsi="Times New Roman" w:cs="Times New Roman"/>
                <w:noProof/>
                <w:sz w:val="24"/>
                <w:szCs w:val="24"/>
              </w:rPr>
              <w:t>4 Risks</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_Toc240888864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10</w:t>
            </w:r>
            <w:r w:rsidRPr="0032783B">
              <w:rPr>
                <w:rFonts w:ascii="Times New Roman" w:hAnsi="Times New Roman" w:cs="Times New Roman"/>
                <w:noProof/>
                <w:webHidden/>
                <w:sz w:val="24"/>
                <w:szCs w:val="24"/>
              </w:rPr>
              <w:fldChar w:fldCharType="end"/>
            </w:r>
          </w:hyperlink>
        </w:p>
        <w:p w14:paraId="5AA43BD6" w14:textId="77777777" w:rsidR="0032783B" w:rsidRPr="0032783B" w:rsidRDefault="0032783B">
          <w:pPr>
            <w:pStyle w:val="TOC1"/>
            <w:rPr>
              <w:rFonts w:ascii="Times New Roman" w:eastAsiaTheme="minorEastAsia" w:hAnsi="Times New Roman" w:cs="Times New Roman"/>
              <w:noProof/>
              <w:sz w:val="24"/>
              <w:szCs w:val="24"/>
              <w:lang w:val="en-US" w:eastAsia="en-US"/>
            </w:rPr>
          </w:pPr>
          <w:hyperlink w:anchor="_Toc240888865" w:history="1">
            <w:r w:rsidRPr="0032783B">
              <w:rPr>
                <w:rStyle w:val="Hyperlink"/>
                <w:rFonts w:ascii="Times New Roman" w:hAnsi="Times New Roman" w:cs="Times New Roman"/>
                <w:noProof/>
                <w:sz w:val="24"/>
                <w:szCs w:val="24"/>
              </w:rPr>
              <w:t>5 Timeline (Gantt chart)</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_Toc240888865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11</w:t>
            </w:r>
            <w:r w:rsidRPr="0032783B">
              <w:rPr>
                <w:rFonts w:ascii="Times New Roman" w:hAnsi="Times New Roman" w:cs="Times New Roman"/>
                <w:noProof/>
                <w:webHidden/>
                <w:sz w:val="24"/>
                <w:szCs w:val="24"/>
              </w:rPr>
              <w:fldChar w:fldCharType="end"/>
            </w:r>
          </w:hyperlink>
        </w:p>
        <w:p w14:paraId="699877F3" w14:textId="77777777" w:rsidR="0032783B" w:rsidRPr="0032783B" w:rsidRDefault="0032783B">
          <w:pPr>
            <w:pStyle w:val="TOC1"/>
            <w:rPr>
              <w:rFonts w:ascii="Times New Roman" w:eastAsiaTheme="minorEastAsia" w:hAnsi="Times New Roman" w:cs="Times New Roman"/>
              <w:noProof/>
              <w:sz w:val="24"/>
              <w:szCs w:val="24"/>
              <w:lang w:val="en-US" w:eastAsia="en-US"/>
            </w:rPr>
          </w:pPr>
          <w:hyperlink w:anchor="_Toc240888866" w:history="1">
            <w:r w:rsidRPr="0032783B">
              <w:rPr>
                <w:rStyle w:val="Hyperlink"/>
                <w:rFonts w:ascii="Times New Roman" w:hAnsi="Times New Roman" w:cs="Times New Roman"/>
                <w:noProof/>
                <w:sz w:val="24"/>
                <w:szCs w:val="24"/>
              </w:rPr>
              <w:t>Reference list</w:t>
            </w:r>
            <w:r w:rsidRPr="0032783B">
              <w:rPr>
                <w:rFonts w:ascii="Times New Roman" w:hAnsi="Times New Roman" w:cs="Times New Roman"/>
                <w:noProof/>
                <w:webHidden/>
                <w:sz w:val="24"/>
                <w:szCs w:val="24"/>
              </w:rPr>
              <w:tab/>
            </w:r>
            <w:r w:rsidRPr="0032783B">
              <w:rPr>
                <w:rFonts w:ascii="Times New Roman" w:hAnsi="Times New Roman" w:cs="Times New Roman"/>
                <w:noProof/>
                <w:webHidden/>
                <w:sz w:val="24"/>
                <w:szCs w:val="24"/>
              </w:rPr>
              <w:fldChar w:fldCharType="begin"/>
            </w:r>
            <w:r w:rsidRPr="0032783B">
              <w:rPr>
                <w:rFonts w:ascii="Times New Roman" w:hAnsi="Times New Roman" w:cs="Times New Roman"/>
                <w:noProof/>
                <w:webHidden/>
                <w:sz w:val="24"/>
                <w:szCs w:val="24"/>
              </w:rPr>
              <w:instrText xml:space="preserve"> PAGEREF _Toc240888866 \h </w:instrText>
            </w:r>
            <w:r w:rsidRPr="0032783B">
              <w:rPr>
                <w:rFonts w:ascii="Times New Roman" w:hAnsi="Times New Roman" w:cs="Times New Roman"/>
                <w:noProof/>
                <w:webHidden/>
                <w:sz w:val="24"/>
                <w:szCs w:val="24"/>
              </w:rPr>
            </w:r>
            <w:r w:rsidRPr="0032783B">
              <w:rPr>
                <w:rFonts w:ascii="Times New Roman" w:hAnsi="Times New Roman" w:cs="Times New Roman"/>
                <w:noProof/>
                <w:webHidden/>
                <w:sz w:val="24"/>
                <w:szCs w:val="24"/>
              </w:rPr>
              <w:fldChar w:fldCharType="separate"/>
            </w:r>
            <w:r w:rsidRPr="0032783B">
              <w:rPr>
                <w:rFonts w:ascii="Times New Roman" w:hAnsi="Times New Roman" w:cs="Times New Roman"/>
                <w:noProof/>
                <w:webHidden/>
                <w:sz w:val="24"/>
                <w:szCs w:val="24"/>
              </w:rPr>
              <w:t>12</w:t>
            </w:r>
            <w:r w:rsidRPr="0032783B">
              <w:rPr>
                <w:rFonts w:ascii="Times New Roman" w:hAnsi="Times New Roman" w:cs="Times New Roman"/>
                <w:noProof/>
                <w:webHidden/>
                <w:sz w:val="24"/>
                <w:szCs w:val="24"/>
              </w:rPr>
              <w:fldChar w:fldCharType="end"/>
            </w:r>
          </w:hyperlink>
        </w:p>
        <w:p w14:paraId="193EA51C" w14:textId="77777777" w:rsidR="005F1E59" w:rsidRPr="0032783B" w:rsidRDefault="002476C9" w:rsidP="00797387">
          <w:pPr>
            <w:spacing w:line="360" w:lineRule="auto"/>
            <w:jc w:val="both"/>
            <w:rPr>
              <w:rFonts w:ascii="Times New Roman" w:hAnsi="Times New Roman" w:cs="Times New Roman"/>
              <w:sz w:val="24"/>
              <w:szCs w:val="24"/>
            </w:rPr>
          </w:pPr>
          <w:r w:rsidRPr="0032783B">
            <w:rPr>
              <w:rFonts w:ascii="Times New Roman" w:hAnsi="Times New Roman" w:cs="Times New Roman"/>
              <w:sz w:val="24"/>
              <w:szCs w:val="24"/>
            </w:rPr>
            <w:fldChar w:fldCharType="end"/>
          </w:r>
        </w:p>
      </w:sdtContent>
    </w:sdt>
    <w:p w14:paraId="1350D201" w14:textId="77777777" w:rsidR="005F1E59" w:rsidRPr="0032783B" w:rsidRDefault="005F1E59">
      <w:pPr>
        <w:spacing w:line="360" w:lineRule="auto"/>
        <w:jc w:val="center"/>
        <w:rPr>
          <w:rFonts w:ascii="Times New Roman" w:eastAsia="Times New Roman" w:hAnsi="Times New Roman" w:cs="Times New Roman"/>
          <w:b/>
          <w:bCs/>
          <w:sz w:val="24"/>
          <w:szCs w:val="24"/>
        </w:rPr>
      </w:pPr>
    </w:p>
    <w:p w14:paraId="1E9537FF" w14:textId="77777777" w:rsidR="005F1E59" w:rsidRPr="0032783B" w:rsidRDefault="0069098B">
      <w:pPr>
        <w:rPr>
          <w:rFonts w:ascii="Times New Roman" w:eastAsia="Times New Roman" w:hAnsi="Times New Roman" w:cs="Times New Roman"/>
          <w:b/>
          <w:bCs/>
          <w:sz w:val="24"/>
          <w:szCs w:val="24"/>
        </w:rPr>
      </w:pPr>
      <w:r w:rsidRPr="0032783B">
        <w:rPr>
          <w:rFonts w:ascii="Times New Roman" w:hAnsi="Times New Roman" w:cs="Times New Roman"/>
          <w:sz w:val="24"/>
          <w:szCs w:val="24"/>
        </w:rPr>
        <w:br w:type="page"/>
      </w:r>
    </w:p>
    <w:p w14:paraId="5D91FDFD" w14:textId="77777777" w:rsidR="005F1E59" w:rsidRDefault="00B72245">
      <w:pPr>
        <w:pStyle w:val="Heading1"/>
      </w:pPr>
      <w:bookmarkStart w:id="0" w:name="_Toc240888855"/>
      <w:r>
        <w:t xml:space="preserve">1 </w:t>
      </w:r>
      <w:r w:rsidR="0069098B">
        <w:t>Introduction</w:t>
      </w:r>
      <w:bookmarkEnd w:id="0"/>
    </w:p>
    <w:p w14:paraId="44C9B045" w14:textId="77777777" w:rsidR="005F1E59" w:rsidRDefault="00B72245">
      <w:pPr>
        <w:pStyle w:val="Heading2"/>
      </w:pPr>
      <w:bookmarkStart w:id="1" w:name="_Toc240888856"/>
      <w:r>
        <w:t xml:space="preserve">1.1 </w:t>
      </w:r>
      <w:r w:rsidR="0069098B">
        <w:t>Company overview and research background</w:t>
      </w:r>
      <w:bookmarkEnd w:id="1"/>
    </w:p>
    <w:p w14:paraId="087C2D59" w14:textId="77777777" w:rsidR="005F1E59" w:rsidRDefault="0069098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Limited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is a well-established biopharmaceutical leader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2026).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Limited, established by Kiran </w:t>
      </w:r>
      <w:proofErr w:type="spellStart"/>
      <w:r>
        <w:rPr>
          <w:rFonts w:ascii="Times New Roman" w:eastAsia="Times New Roman" w:hAnsi="Times New Roman" w:cs="Times New Roman"/>
          <w:sz w:val="24"/>
          <w:szCs w:val="24"/>
        </w:rPr>
        <w:t>Mazumdar</w:t>
      </w:r>
      <w:proofErr w:type="spellEnd"/>
      <w:r>
        <w:rPr>
          <w:rFonts w:ascii="Times New Roman" w:eastAsia="Times New Roman" w:hAnsi="Times New Roman" w:cs="Times New Roman"/>
          <w:sz w:val="24"/>
          <w:szCs w:val="24"/>
        </w:rPr>
        <w:t xml:space="preserve">-Shaw in 1978 in Bengaluru, India, and today led by its CEO </w:t>
      </w:r>
      <w:proofErr w:type="spellStart"/>
      <w:r>
        <w:rPr>
          <w:rFonts w:ascii="Times New Roman" w:eastAsia="Times New Roman" w:hAnsi="Times New Roman" w:cs="Times New Roman"/>
          <w:sz w:val="24"/>
          <w:szCs w:val="24"/>
        </w:rPr>
        <w:t>Shreehas</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Tambe</w:t>
      </w:r>
      <w:proofErr w:type="spellEnd"/>
      <w:r>
        <w:rPr>
          <w:rFonts w:ascii="Times New Roman" w:eastAsia="Times New Roman" w:hAnsi="Times New Roman" w:cs="Times New Roman"/>
          <w:sz w:val="24"/>
          <w:szCs w:val="24"/>
        </w:rPr>
        <w:t xml:space="preserve">, tackles the global problem of inequity in healthcare by providing affordable, high-quality therapeutics. It has a wide range of products including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insulin and generic APIs, as well as new biologics. It is run under the group entities </w:t>
      </w:r>
      <w:proofErr w:type="spellStart"/>
      <w:r>
        <w:rPr>
          <w:rFonts w:ascii="Times New Roman" w:eastAsia="Times New Roman" w:hAnsi="Times New Roman" w:cs="Times New Roman"/>
          <w:sz w:val="24"/>
          <w:szCs w:val="24"/>
        </w:rPr>
        <w:t>Syngene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and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Academy and its main mission is to drive universal access to life-saving medicines globally.</w:t>
      </w:r>
    </w:p>
    <w:p w14:paraId="1EE4607D" w14:textId="77777777" w:rsidR="005F1E59" w:rsidRDefault="0069098B" w:rsidP="00AC0B9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069CA34D" wp14:editId="423163F7">
            <wp:extent cx="5943600" cy="2857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857500"/>
                    </a:xfrm>
                    <a:prstGeom prst="rect">
                      <a:avLst/>
                    </a:prstGeom>
                    <a:ln/>
                  </pic:spPr>
                </pic:pic>
              </a:graphicData>
            </a:graphic>
          </wp:inline>
        </w:drawing>
      </w:r>
    </w:p>
    <w:p w14:paraId="3A5654E1" w14:textId="77777777" w:rsidR="00AC0B9E" w:rsidRPr="00AC0B9E" w:rsidRDefault="00AC0B9E" w:rsidP="00AC0B9E">
      <w:pPr>
        <w:spacing w:line="360" w:lineRule="auto"/>
        <w:jc w:val="center"/>
        <w:rPr>
          <w:rFonts w:ascii="Times New Roman" w:eastAsia="Times New Roman" w:hAnsi="Times New Roman" w:cs="Times New Roman"/>
          <w:b/>
          <w:bCs/>
          <w:sz w:val="24"/>
          <w:szCs w:val="24"/>
        </w:rPr>
      </w:pPr>
      <w:r w:rsidRPr="00AC0B9E">
        <w:rPr>
          <w:rFonts w:ascii="Times New Roman" w:eastAsia="Times New Roman" w:hAnsi="Times New Roman" w:cs="Times New Roman"/>
          <w:b/>
          <w:bCs/>
          <w:sz w:val="24"/>
          <w:szCs w:val="24"/>
        </w:rPr>
        <w:t xml:space="preserve">Figure 1: Key members of </w:t>
      </w:r>
      <w:proofErr w:type="spellStart"/>
      <w:r w:rsidRPr="00AC0B9E">
        <w:rPr>
          <w:rFonts w:ascii="Times New Roman" w:eastAsia="Times New Roman" w:hAnsi="Times New Roman" w:cs="Times New Roman"/>
          <w:b/>
          <w:bCs/>
          <w:sz w:val="24"/>
          <w:szCs w:val="24"/>
        </w:rPr>
        <w:t>Biocon</w:t>
      </w:r>
      <w:proofErr w:type="spellEnd"/>
    </w:p>
    <w:p w14:paraId="1D0321CB" w14:textId="77777777" w:rsidR="00AC0B9E" w:rsidRDefault="00AC0B9E" w:rsidP="00AC0B9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Pr="00AC0B9E">
        <w:rPr>
          <w:rFonts w:ascii="Times New Roman" w:eastAsia="Times New Roman" w:hAnsi="Times New Roman" w:cs="Times New Roman"/>
          <w:sz w:val="24"/>
          <w:szCs w:val="24"/>
        </w:rPr>
        <w:t>Biocon</w:t>
      </w:r>
      <w:proofErr w:type="spellEnd"/>
      <w:r w:rsidRPr="00AC0B9E">
        <w:rPr>
          <w:rFonts w:ascii="Times New Roman" w:eastAsia="Times New Roman" w:hAnsi="Times New Roman" w:cs="Times New Roman"/>
          <w:sz w:val="24"/>
          <w:szCs w:val="24"/>
        </w:rPr>
        <w:t>, 2026</w:t>
      </w:r>
      <w:r>
        <w:rPr>
          <w:rFonts w:ascii="Times New Roman" w:eastAsia="Times New Roman" w:hAnsi="Times New Roman" w:cs="Times New Roman"/>
          <w:sz w:val="24"/>
          <w:szCs w:val="24"/>
        </w:rPr>
        <w:t>)</w:t>
      </w:r>
    </w:p>
    <w:p w14:paraId="1C342B5C"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process of biosimilar development involves costly upfront R&amp;D investments, long and costly clinical trial cycles and a high degree of post-launch price erosion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2026).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xml:space="preserve"> aims to leverage </w:t>
      </w:r>
      <w:proofErr w:type="spellStart"/>
      <w:r>
        <w:rPr>
          <w:rFonts w:ascii="Times New Roman" w:eastAsia="Times New Roman" w:hAnsi="Times New Roman" w:cs="Times New Roman"/>
          <w:sz w:val="24"/>
          <w:szCs w:val="24"/>
        </w:rPr>
        <w:t>Biocon's</w:t>
      </w:r>
      <w:proofErr w:type="spellEnd"/>
      <w:r>
        <w:rPr>
          <w:rFonts w:ascii="Times New Roman" w:eastAsia="Times New Roman" w:hAnsi="Times New Roman" w:cs="Times New Roman"/>
          <w:sz w:val="24"/>
          <w:szCs w:val="24"/>
        </w:rPr>
        <w:t xml:space="preserve"> current research and development infrastructure by embedding an AI-based predictive analytics platform for rapid, efficient selection of biosimilar candidates, streamline development timeline, and mitigate avoidable risks during early development. </w:t>
      </w:r>
    </w:p>
    <w:p w14:paraId="18702E42" w14:textId="77777777" w:rsidR="005F1E59" w:rsidRDefault="00B72245">
      <w:pPr>
        <w:pStyle w:val="Heading2"/>
      </w:pPr>
      <w:bookmarkStart w:id="2" w:name="_Toc240888857"/>
      <w:r>
        <w:t xml:space="preserve">1.2 </w:t>
      </w:r>
      <w:r w:rsidR="0069098B">
        <w:t>Research rationale</w:t>
      </w:r>
      <w:bookmarkEnd w:id="2"/>
    </w:p>
    <w:p w14:paraId="22AB588B" w14:textId="77777777" w:rsidR="005F1E59" w:rsidRDefault="0069098B">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market will be growing at a 18.4% CAGR to reach over USD 151 billion by 2033, estimated at USD 46.4 billion by 2026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2026). By 2030, there will be $200 billion in biologic revenues that are running out of patent protection, creating unparalleled commercial potential and serious operational and financial challenges (</w:t>
      </w:r>
      <w:proofErr w:type="spellStart"/>
      <w:r>
        <w:rPr>
          <w:rFonts w:ascii="Times New Roman" w:eastAsia="Times New Roman" w:hAnsi="Times New Roman" w:cs="Times New Roman"/>
          <w:sz w:val="24"/>
          <w:szCs w:val="24"/>
        </w:rPr>
        <w:t>DelveInsight</w:t>
      </w:r>
      <w:proofErr w:type="spellEnd"/>
      <w:r>
        <w:rPr>
          <w:rFonts w:ascii="Times New Roman" w:eastAsia="Times New Roman" w:hAnsi="Times New Roman" w:cs="Times New Roman"/>
          <w:sz w:val="24"/>
          <w:szCs w:val="24"/>
        </w:rPr>
        <w:t xml:space="preserve">, 2025). In addition, the costs of clinical trials are as high as 50 percent of the total expenses, which means that manufacturers are facing a massive risk of expensive cost losses after the product has been introduced due to failure rates, and an average price erosion of 30% to 50% after going on the market (Chen et al. 2021).  </w:t>
      </w:r>
    </w:p>
    <w:p w14:paraId="227099AD" w14:textId="77777777" w:rsidR="005F1E59" w:rsidRDefault="0069098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7BD4CDE6" wp14:editId="2DEBE239">
            <wp:extent cx="5943600" cy="3632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632200"/>
                    </a:xfrm>
                    <a:prstGeom prst="rect">
                      <a:avLst/>
                    </a:prstGeom>
                    <a:ln/>
                  </pic:spPr>
                </pic:pic>
              </a:graphicData>
            </a:graphic>
          </wp:inline>
        </w:drawing>
      </w:r>
    </w:p>
    <w:p w14:paraId="54C438C5" w14:textId="77777777" w:rsidR="005F1E59" w:rsidRDefault="0069098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E79EC">
        <w:rPr>
          <w:rFonts w:ascii="Times New Roman" w:eastAsia="Times New Roman" w:hAnsi="Times New Roman" w:cs="Times New Roman"/>
          <w:b/>
          <w:bCs/>
          <w:sz w:val="24"/>
          <w:szCs w:val="24"/>
        </w:rPr>
        <w:t>2</w:t>
      </w:r>
      <w:r>
        <w:rPr>
          <w:rFonts w:ascii="Times New Roman" w:eastAsia="Times New Roman" w:hAnsi="Times New Roman" w:cs="Times New Roman"/>
          <w:b/>
          <w:bCs/>
          <w:sz w:val="24"/>
          <w:szCs w:val="24"/>
        </w:rPr>
        <w:t>: Biosimilar market scenario</w:t>
      </w:r>
    </w:p>
    <w:p w14:paraId="06C2BCE1" w14:textId="77777777" w:rsidR="005F1E59" w:rsidRDefault="0069098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2026)</w:t>
      </w:r>
    </w:p>
    <w:p w14:paraId="77D4B902"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tackle these cost and efficiency challenges, this study will explore the use of AI-empowered predictive analytics in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xml:space="preserve">. Combining machine learning with early target selection, molecular stability screening and predictive pharmacokinetic modelling can help to reduce upfront R&amp;D costs by as much as 20% and shorten development cycles from 1.5-2 years. However, manual pipeline prioritization exposes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to financial risks in a fiercely competitive market. The process of validating an AI-powered analytics framework truly empowers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to implement a proactive clinical attrition control mechanism, shorten time to market, and make informed pricing decisions in areas of the treatment spectrum that are always in demand.</w:t>
      </w:r>
    </w:p>
    <w:p w14:paraId="36CA878D" w14:textId="77777777" w:rsidR="005F1E59" w:rsidRDefault="00B72245">
      <w:pPr>
        <w:pStyle w:val="Heading2"/>
      </w:pPr>
      <w:bookmarkStart w:id="3" w:name="_heading=h.ruq9f6wn5qvu" w:colFirst="0" w:colLast="0"/>
      <w:bookmarkStart w:id="4" w:name="_Toc240888858"/>
      <w:bookmarkEnd w:id="3"/>
      <w:r>
        <w:t xml:space="preserve">1.3 </w:t>
      </w:r>
      <w:r w:rsidR="0069098B">
        <w:t>Problem statement</w:t>
      </w:r>
      <w:bookmarkEnd w:id="4"/>
    </w:p>
    <w:p w14:paraId="12BEEF70"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problem is placed in the </w:t>
      </w:r>
      <w:r w:rsidR="003E79EC">
        <w:rPr>
          <w:rFonts w:ascii="Times New Roman" w:eastAsia="Times New Roman" w:hAnsi="Times New Roman" w:cs="Times New Roman"/>
          <w:sz w:val="24"/>
          <w:szCs w:val="24"/>
        </w:rPr>
        <w:t>fast-growing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market where with the rising number of patents coming off, there are ample opportunities for commercial development but also many challenges like competition, higher development costs, complex regulatory processes, and post launch price erosion.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has a proven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portfolio, and vertically integrated capabilities, but the current way of identifying, prioritizing and commercializing future opportunities may not be giving full benefit of AI-powered predictive analytics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2026). The main challenge is the lack of an integrated strategic framework that brings together the power of predictive AI in biosimilar development to selection, market prioritisation, competitive positioning and commercial decision-making (Bas, 2025). The gap is substantial as poor prioritisation of pipelines can lead to higher R&amp;D spending, longer development and timeline, and doable business and regulatory threats to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Competitors such as Sandoz, </w:t>
      </w:r>
      <w:proofErr w:type="spellStart"/>
      <w:r>
        <w:rPr>
          <w:rFonts w:ascii="Times New Roman" w:eastAsia="Times New Roman" w:hAnsi="Times New Roman" w:cs="Times New Roman"/>
          <w:sz w:val="24"/>
          <w:szCs w:val="24"/>
        </w:rPr>
        <w:t>Celltrion</w:t>
      </w:r>
      <w:proofErr w:type="spellEnd"/>
      <w:r>
        <w:rPr>
          <w:rFonts w:ascii="Times New Roman" w:eastAsia="Times New Roman" w:hAnsi="Times New Roman" w:cs="Times New Roman"/>
          <w:sz w:val="24"/>
          <w:szCs w:val="24"/>
        </w:rPr>
        <w:t xml:space="preserve"> and Samsung </w:t>
      </w:r>
      <w:proofErr w:type="spellStart"/>
      <w:r>
        <w:rPr>
          <w:rFonts w:ascii="Times New Roman" w:eastAsia="Times New Roman" w:hAnsi="Times New Roman" w:cs="Times New Roman"/>
          <w:sz w:val="24"/>
          <w:szCs w:val="24"/>
        </w:rPr>
        <w:t>Bioepis</w:t>
      </w:r>
      <w:proofErr w:type="spellEnd"/>
      <w:r>
        <w:rPr>
          <w:rFonts w:ascii="Times New Roman" w:eastAsia="Times New Roman" w:hAnsi="Times New Roman" w:cs="Times New Roman"/>
          <w:sz w:val="24"/>
          <w:szCs w:val="24"/>
        </w:rPr>
        <w:t xml:space="preserve"> are also on the quest of creating a wide pipeline, quick registration and international market expansion, generating further demand for data-driven decision making (Reddy, 2026). For this reason, this study suggests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an AI-based method of analytical prediction of market opportunities which will enhance prioritisation of R&amp;D efforts and ultimately help to devise a viable strategy for the sustainable expansion of the biosimilar market.</w:t>
      </w:r>
    </w:p>
    <w:p w14:paraId="41F44C8A" w14:textId="77777777" w:rsidR="005F1E59" w:rsidRDefault="00B72245">
      <w:pPr>
        <w:pStyle w:val="Heading2"/>
      </w:pPr>
      <w:bookmarkStart w:id="5" w:name="_Toc240888859"/>
      <w:r>
        <w:t xml:space="preserve">1.4 </w:t>
      </w:r>
      <w:r w:rsidR="0069098B">
        <w:t>Commercial Viability &amp; Target Market</w:t>
      </w:r>
      <w:bookmarkEnd w:id="5"/>
    </w:p>
    <w:p w14:paraId="54293475"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solution is designed to meet some of the most demanding budget constraints institutional healthcare providers, national formulary committees, and public or private payers face across North America, Europe and high growth emerging markets. The major customers are institutional healthcare professionals, national formularies and payers in the North American, European and emerging markets, as they acquire affordability and quality therapeutics to help alleviate budget constraints. Patients downstream have reduced out-of-pocket expenses while gaining greater, timely access to necessary biologic treatments worldwide (</w:t>
      </w:r>
      <w:proofErr w:type="spellStart"/>
      <w:r>
        <w:rPr>
          <w:rFonts w:ascii="Times New Roman" w:eastAsia="Times New Roman" w:hAnsi="Times New Roman" w:cs="Times New Roman"/>
          <w:sz w:val="24"/>
          <w:szCs w:val="24"/>
        </w:rPr>
        <w:t>Kvien</w:t>
      </w:r>
      <w:proofErr w:type="spellEnd"/>
      <w:r>
        <w:rPr>
          <w:rFonts w:ascii="Times New Roman" w:eastAsia="Times New Roman" w:hAnsi="Times New Roman" w:cs="Times New Roman"/>
          <w:sz w:val="24"/>
          <w:szCs w:val="24"/>
        </w:rPr>
        <w:t xml:space="preserve"> et al. 2022). These stakeholders are actively looking for cheap and effective therapies without dependence on patent cliffs and to help curtail escalating healthcare costs. By leveraging AI-powered predictive market analytics to identify high-value molecules at a very early stage,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xml:space="preserve"> helps to reduce the significant time and expense associated with the drug development process, thereby reducing the time to market and improving the chances of making the product commercially viable.  The business enjoys huge cost efficiencies by leveraging </w:t>
      </w:r>
      <w:proofErr w:type="spellStart"/>
      <w:r>
        <w:rPr>
          <w:rFonts w:ascii="Times New Roman" w:eastAsia="Times New Roman" w:hAnsi="Times New Roman" w:cs="Times New Roman"/>
          <w:sz w:val="24"/>
          <w:szCs w:val="24"/>
        </w:rPr>
        <w:t>Biocon's</w:t>
      </w:r>
      <w:proofErr w:type="spellEnd"/>
      <w:r>
        <w:rPr>
          <w:rFonts w:ascii="Times New Roman" w:eastAsia="Times New Roman" w:hAnsi="Times New Roman" w:cs="Times New Roman"/>
          <w:sz w:val="24"/>
          <w:szCs w:val="24"/>
        </w:rPr>
        <w:t xml:space="preserve"> vertically integrated infrastructure encompassing end-to-end research in lab, large-scale manufacturing and international market access. This structural benefit will help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navigate price erosion after the launch, ensure high hospital spends on the drug and secure competitive price acceptance within the hospital’s procurement tender process in India compared to its competitors Sandoz, </w:t>
      </w:r>
      <w:proofErr w:type="spellStart"/>
      <w:r>
        <w:rPr>
          <w:rFonts w:ascii="Times New Roman" w:eastAsia="Times New Roman" w:hAnsi="Times New Roman" w:cs="Times New Roman"/>
          <w:sz w:val="24"/>
          <w:szCs w:val="24"/>
        </w:rPr>
        <w:t>Celltrion</w:t>
      </w:r>
      <w:proofErr w:type="spellEnd"/>
      <w:r>
        <w:rPr>
          <w:rFonts w:ascii="Times New Roman" w:eastAsia="Times New Roman" w:hAnsi="Times New Roman" w:cs="Times New Roman"/>
          <w:sz w:val="24"/>
          <w:szCs w:val="24"/>
        </w:rPr>
        <w:t xml:space="preserve"> and Samsung </w:t>
      </w:r>
      <w:proofErr w:type="spellStart"/>
      <w:r>
        <w:rPr>
          <w:rFonts w:ascii="Times New Roman" w:eastAsia="Times New Roman" w:hAnsi="Times New Roman" w:cs="Times New Roman"/>
          <w:sz w:val="24"/>
          <w:szCs w:val="24"/>
        </w:rPr>
        <w:t>Bioepis</w:t>
      </w:r>
      <w:proofErr w:type="spellEnd"/>
      <w:r>
        <w:rPr>
          <w:rFonts w:ascii="Times New Roman" w:eastAsia="Times New Roman" w:hAnsi="Times New Roman" w:cs="Times New Roman"/>
          <w:sz w:val="24"/>
          <w:szCs w:val="24"/>
        </w:rPr>
        <w:t>. In this way, the project can also allow for a quicker entry into the commercial market, while providing the same sustainable and affordable pricing at global level.</w:t>
      </w:r>
    </w:p>
    <w:p w14:paraId="4BCE3CAD" w14:textId="77777777" w:rsidR="005F1E59" w:rsidRDefault="00B72245">
      <w:pPr>
        <w:pStyle w:val="Heading2"/>
      </w:pPr>
      <w:bookmarkStart w:id="6" w:name="_Toc240888860"/>
      <w:r>
        <w:t xml:space="preserve">1.5 </w:t>
      </w:r>
      <w:r w:rsidR="0069098B">
        <w:t>Aims &amp; SMART Objectives:</w:t>
      </w:r>
      <w:bookmarkEnd w:id="6"/>
    </w:p>
    <w:p w14:paraId="41FAA053"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aim is to develop a viable plan to leverage AI-driven market and R&amp;D analytics to support </w:t>
      </w:r>
      <w:proofErr w:type="spellStart"/>
      <w:r>
        <w:rPr>
          <w:rFonts w:ascii="Times New Roman" w:eastAsia="Times New Roman" w:hAnsi="Times New Roman" w:cs="Times New Roman"/>
          <w:sz w:val="24"/>
          <w:szCs w:val="24"/>
        </w:rPr>
        <w:t>Biocon's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expansion.</w:t>
      </w:r>
    </w:p>
    <w:p w14:paraId="46E56412"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are to:</w:t>
      </w:r>
    </w:p>
    <w:p w14:paraId="693CF129" w14:textId="77777777" w:rsidR="005F1E59" w:rsidRDefault="0069098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w:t>
      </w:r>
      <w:proofErr w:type="spellStart"/>
      <w:r>
        <w:rPr>
          <w:rFonts w:ascii="Times New Roman" w:eastAsia="Times New Roman" w:hAnsi="Times New Roman" w:cs="Times New Roman"/>
          <w:sz w:val="24"/>
          <w:szCs w:val="24"/>
        </w:rPr>
        <w:t>Biocon's</w:t>
      </w:r>
      <w:proofErr w:type="spellEnd"/>
      <w:r>
        <w:rPr>
          <w:rFonts w:ascii="Times New Roman" w:eastAsia="Times New Roman" w:hAnsi="Times New Roman" w:cs="Times New Roman"/>
          <w:sz w:val="24"/>
          <w:szCs w:val="24"/>
        </w:rPr>
        <w:t xml:space="preserve"> existing competitive and market strength in the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sector in the first three months of the project.</w:t>
      </w:r>
    </w:p>
    <w:p w14:paraId="61FC9DF0" w14:textId="77777777" w:rsidR="005F1E59" w:rsidRDefault="0069098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develop at least three therapeutic areas and three overseas markets for potential expansion in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within 6 months.</w:t>
      </w:r>
    </w:p>
    <w:p w14:paraId="3343FD8B" w14:textId="77777777" w:rsidR="005F1E59" w:rsidRDefault="0069098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capabilities and potential of AI and predictive analytics to review relevant evidence and make informed R&amp;D prioritisation and market-entry decisions in a period of 9 months.</w:t>
      </w:r>
    </w:p>
    <w:p w14:paraId="526292EA" w14:textId="77777777" w:rsidR="005F1E59" w:rsidRDefault="0069098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develop a practical 3-year implementation strategy for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including clear performance indicators and milestones, by the end of the research project.</w:t>
      </w:r>
    </w:p>
    <w:p w14:paraId="2AAAF78C"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and SMART objectives offer a structured way to assess </w:t>
      </w:r>
      <w:proofErr w:type="spellStart"/>
      <w:r>
        <w:rPr>
          <w:rFonts w:ascii="Times New Roman" w:eastAsia="Times New Roman" w:hAnsi="Times New Roman" w:cs="Times New Roman"/>
          <w:sz w:val="24"/>
          <w:szCs w:val="24"/>
        </w:rPr>
        <w:t>Biocon's</w:t>
      </w:r>
      <w:proofErr w:type="spellEnd"/>
      <w:r>
        <w:rPr>
          <w:rFonts w:ascii="Times New Roman" w:eastAsia="Times New Roman" w:hAnsi="Times New Roman" w:cs="Times New Roman"/>
          <w:sz w:val="24"/>
          <w:szCs w:val="24"/>
        </w:rPr>
        <w:t xml:space="preserve"> existing competitive landscape, pinpoint key therapeutic areas and global markets, and assess the potential for AI-driven predictive analytics to enhance the prioritisation of research and development efforts and market entry strategies. The staged timeframes also allow for measurable and evidence-based research to be carried out, and progress to be assessed systematically throughout the project. The objectives bring together the market, competitor, technological and strategic evidence to enable a thorough assessment of the potential for measurable commercial value for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The last three years implementation strategy is built on the research results and shares practical recommendations accompanied by clear KPIs and milestones.</w:t>
      </w:r>
    </w:p>
    <w:p w14:paraId="7BE775D8" w14:textId="77777777" w:rsidR="005F1E59" w:rsidRDefault="00B72245">
      <w:pPr>
        <w:pStyle w:val="Heading2"/>
      </w:pPr>
      <w:bookmarkStart w:id="7" w:name="_Toc240888861"/>
      <w:r>
        <w:t xml:space="preserve">1.6 </w:t>
      </w:r>
      <w:r w:rsidR="0069098B">
        <w:t>Strategic growth opportunities</w:t>
      </w:r>
      <w:bookmarkEnd w:id="7"/>
    </w:p>
    <w:p w14:paraId="79A0E450"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number of significant patent-expiring blockbuster biologics on the horizon,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xml:space="preserve"> helps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realise substantial value from this so-called 'patent cliff'. Combining the power of predictive analytics reduces initial R&amp;D costs and shortens development cycles to advance candidate discovery at a faster pace (</w:t>
      </w:r>
      <w:proofErr w:type="spellStart"/>
      <w:r>
        <w:rPr>
          <w:rFonts w:ascii="Times New Roman" w:eastAsia="Times New Roman" w:hAnsi="Times New Roman" w:cs="Times New Roman"/>
          <w:sz w:val="24"/>
          <w:szCs w:val="24"/>
        </w:rPr>
        <w:t>Nyoni</w:t>
      </w:r>
      <w:proofErr w:type="spellEnd"/>
      <w:r>
        <w:rPr>
          <w:rFonts w:ascii="Times New Roman" w:eastAsia="Times New Roman" w:hAnsi="Times New Roman" w:cs="Times New Roman"/>
          <w:sz w:val="24"/>
          <w:szCs w:val="24"/>
        </w:rPr>
        <w:t xml:space="preserve">, 2025). In the regulated markets such as North America and Europe,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can increase its oncology, immunology and endocrinology presence alongside entering emerging markets which are largely overlooked. By using vertically integrated manufacturing and predictive market modelling,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is able to win large hospital supplier tenders, design a competitive pricing structure, and scale its business of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based on market price models at an affordable price.</w:t>
      </w:r>
    </w:p>
    <w:p w14:paraId="2C63D337" w14:textId="77777777" w:rsidR="005F1E59" w:rsidRDefault="00B72245">
      <w:pPr>
        <w:pStyle w:val="Heading1"/>
      </w:pPr>
      <w:bookmarkStart w:id="8" w:name="_Toc240888862"/>
      <w:r>
        <w:t xml:space="preserve">2 </w:t>
      </w:r>
      <w:r w:rsidR="0069098B">
        <w:t>Methodology</w:t>
      </w:r>
      <w:bookmarkEnd w:id="8"/>
    </w:p>
    <w:p w14:paraId="0CAAAC17" w14:textId="77777777" w:rsidR="005F1E59" w:rsidRDefault="0069098B">
      <w:pPr>
        <w:pStyle w:val="Heading4"/>
        <w:keepNext w:val="0"/>
        <w:keepLines w:val="0"/>
        <w:spacing w:before="0" w:after="40" w:line="360" w:lineRule="auto"/>
        <w:jc w:val="both"/>
        <w:rPr>
          <w:rFonts w:ascii="Times New Roman" w:eastAsia="Times New Roman" w:hAnsi="Times New Roman" w:cs="Times New Roman"/>
          <w:b/>
          <w:bCs/>
          <w:color w:val="000000"/>
        </w:rPr>
      </w:pPr>
      <w:bookmarkStart w:id="9" w:name="_heading=h.qzhd2wwp9os4" w:colFirst="0" w:colLast="0"/>
      <w:bookmarkEnd w:id="9"/>
      <w:r>
        <w:rPr>
          <w:rFonts w:ascii="Times New Roman" w:eastAsia="Times New Roman" w:hAnsi="Times New Roman" w:cs="Times New Roman"/>
          <w:b/>
          <w:bCs/>
          <w:color w:val="000000"/>
        </w:rPr>
        <w:t>Research Paradigm</w:t>
      </w:r>
    </w:p>
    <w:p w14:paraId="0A98B04C"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is conducted with a pragmatic research approach since the study is focused on the practical and commercially viable knowledge that can be generated from using an AI-powered predictive analytics platform for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Pragmatism is suitable because it utilises both qualitative (strategic, technological and regulatory) aspects of research evidence and quantitative (market) evidence and does not focus on just one type of evidence (Hampson, and McKinley, 2023). This enables the research to approach the practical business issue in several ways, and will help develop recommendations which can be applied to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w:t>
      </w:r>
    </w:p>
    <w:p w14:paraId="1EB00118"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be a deductive approach that uses available concepts and ideas related to predictive analytics, AI adoption, biosimilar commercialisation and competitive strategy and how they apply to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Biologics (Hall et al. 2023). Theories to be used to interpret secondary evidence will be drawn from the existing literature and industry evidence. Of course, some inductive reasoning will be used here and there, when patterns of new ideas are found in the data gathered from the industry and the competitors. This combination is suitable since the research aims to provide a review of existing ideas and to uncover insights that could be commercially viable from the evidence.</w:t>
      </w:r>
    </w:p>
    <w:p w14:paraId="6126B302"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approach used in this study is secondary qualitative with secondary quantitative market data (Cheong et al., 2023). The choice of a secondary design is made because the research is based on corporate strategy, market dynamics, regulatory environment and competitor performance which is described in sufficient public evidence. It also does not have logistical, access and sample size constraints that can arise when collecting primary data. The design facilitates bringing in industry evidence in a fragmented manner to form a structured assessment of the strategic and commercial potential of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w:t>
      </w:r>
    </w:p>
    <w:p w14:paraId="24AE43E5" w14:textId="77777777" w:rsidR="005F1E59" w:rsidRDefault="0069098B">
      <w:pPr>
        <w:pStyle w:val="Heading4"/>
        <w:keepNext w:val="0"/>
        <w:keepLines w:val="0"/>
        <w:spacing w:before="0" w:after="0" w:line="360" w:lineRule="auto"/>
        <w:jc w:val="both"/>
        <w:rPr>
          <w:rFonts w:ascii="Times New Roman" w:eastAsia="Times New Roman" w:hAnsi="Times New Roman" w:cs="Times New Roman"/>
          <w:b/>
          <w:bCs/>
          <w:color w:val="000000"/>
        </w:rPr>
      </w:pPr>
      <w:bookmarkStart w:id="10" w:name="_heading=h.ged58ajnk230" w:colFirst="0" w:colLast="0"/>
      <w:bookmarkEnd w:id="10"/>
      <w:r>
        <w:rPr>
          <w:rFonts w:ascii="Times New Roman" w:eastAsia="Times New Roman" w:hAnsi="Times New Roman" w:cs="Times New Roman"/>
          <w:b/>
          <w:bCs/>
          <w:color w:val="000000"/>
        </w:rPr>
        <w:t>Data Collection</w:t>
      </w:r>
    </w:p>
    <w:p w14:paraId="4C6F7ECF"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Systematic data will be gathered from reliable and easily accessible secondary sources. These will include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Limited's annual reports, investor presentations, corporate publications, R&amp;D publications, regulatory information, peer-reviewed academic &amp; clinical literature, industry market reports, US FDA and EMA information that may be applicable. Competitor evidence on three companies, Sandoz, </w:t>
      </w:r>
      <w:proofErr w:type="spellStart"/>
      <w:r>
        <w:rPr>
          <w:rFonts w:ascii="Times New Roman" w:eastAsia="Times New Roman" w:hAnsi="Times New Roman" w:cs="Times New Roman"/>
          <w:sz w:val="24"/>
          <w:szCs w:val="24"/>
        </w:rPr>
        <w:t>Celltrion</w:t>
      </w:r>
      <w:proofErr w:type="spellEnd"/>
      <w:r>
        <w:rPr>
          <w:rFonts w:ascii="Times New Roman" w:eastAsia="Times New Roman" w:hAnsi="Times New Roman" w:cs="Times New Roman"/>
          <w:sz w:val="24"/>
          <w:szCs w:val="24"/>
        </w:rPr>
        <w:t xml:space="preserve"> and Samsung </w:t>
      </w:r>
      <w:proofErr w:type="spellStart"/>
      <w:r>
        <w:rPr>
          <w:rFonts w:ascii="Times New Roman" w:eastAsia="Times New Roman" w:hAnsi="Times New Roman" w:cs="Times New Roman"/>
          <w:sz w:val="24"/>
          <w:szCs w:val="24"/>
        </w:rPr>
        <w:t>Bioepis</w:t>
      </w:r>
      <w:proofErr w:type="spellEnd"/>
      <w:r>
        <w:rPr>
          <w:rFonts w:ascii="Times New Roman" w:eastAsia="Times New Roman" w:hAnsi="Times New Roman" w:cs="Times New Roman"/>
          <w:sz w:val="24"/>
          <w:szCs w:val="24"/>
        </w:rPr>
        <w:t xml:space="preserve">, will also be </w:t>
      </w:r>
      <w:r w:rsidR="003E79EC">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including their biosimilar pipelines, product approvals, commercial activities and financial disclosures. The market indicators including market growth, pricing trends, pipeline activity and patent-expiry opportunity will provide supporting quantitative evidence. </w:t>
      </w:r>
    </w:p>
    <w:p w14:paraId="6C60A423" w14:textId="77777777" w:rsidR="005F1E59" w:rsidRDefault="0069098B">
      <w:pPr>
        <w:pStyle w:val="Heading4"/>
        <w:keepNext w:val="0"/>
        <w:keepLines w:val="0"/>
        <w:spacing w:before="0" w:after="0" w:line="360" w:lineRule="auto"/>
        <w:jc w:val="both"/>
        <w:rPr>
          <w:rFonts w:ascii="Times New Roman" w:eastAsia="Times New Roman" w:hAnsi="Times New Roman" w:cs="Times New Roman"/>
          <w:b/>
          <w:bCs/>
          <w:color w:val="000000"/>
        </w:rPr>
      </w:pPr>
      <w:bookmarkStart w:id="11" w:name="_heading=h.o163vh7tfx4f" w:colFirst="0" w:colLast="0"/>
      <w:bookmarkEnd w:id="11"/>
      <w:r>
        <w:rPr>
          <w:rFonts w:ascii="Times New Roman" w:eastAsia="Times New Roman" w:hAnsi="Times New Roman" w:cs="Times New Roman"/>
          <w:b/>
          <w:bCs/>
          <w:color w:val="000000"/>
        </w:rPr>
        <w:t>Data Analysis</w:t>
      </w:r>
    </w:p>
    <w:p w14:paraId="5285C3DB"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qualitative findings will be analysed through the use of thematic analysis, after identification, coding and interpretation of the themes that emerge related to the various aspects of AI uptake – market opportunities, regulatory needs, operational integration and commercialisation (Squires, 2023). The comparative strategic analysis will then be conducted to understand </w:t>
      </w:r>
      <w:proofErr w:type="spellStart"/>
      <w:r>
        <w:rPr>
          <w:rFonts w:ascii="Times New Roman" w:eastAsia="Times New Roman" w:hAnsi="Times New Roman" w:cs="Times New Roman"/>
          <w:sz w:val="24"/>
          <w:szCs w:val="24"/>
        </w:rPr>
        <w:t>Biocon's</w:t>
      </w:r>
      <w:proofErr w:type="spellEnd"/>
      <w:r>
        <w:rPr>
          <w:rFonts w:ascii="Times New Roman" w:eastAsia="Times New Roman" w:hAnsi="Times New Roman" w:cs="Times New Roman"/>
          <w:sz w:val="24"/>
          <w:szCs w:val="24"/>
        </w:rPr>
        <w:t xml:space="preserve"> manufacturing capabilities, pricing strategies, pipeline positioning and the market share against various relevant competitors. These themes will be described using quantitative market data to put them in context and to determine which markets and therapeutic areas are commercially interesting. </w:t>
      </w:r>
    </w:p>
    <w:p w14:paraId="70B78D09" w14:textId="77777777" w:rsidR="005F1E59" w:rsidRDefault="0069098B">
      <w:pPr>
        <w:pStyle w:val="Heading4"/>
        <w:keepNext w:val="0"/>
        <w:keepLines w:val="0"/>
        <w:spacing w:before="0" w:after="0" w:line="360" w:lineRule="auto"/>
        <w:jc w:val="both"/>
        <w:rPr>
          <w:rFonts w:ascii="Times New Roman" w:eastAsia="Times New Roman" w:hAnsi="Times New Roman" w:cs="Times New Roman"/>
          <w:b/>
          <w:bCs/>
          <w:color w:val="000000"/>
        </w:rPr>
      </w:pPr>
      <w:bookmarkStart w:id="12" w:name="_heading=h.ctszmn6xg0ns" w:colFirst="0" w:colLast="0"/>
      <w:bookmarkEnd w:id="12"/>
      <w:r>
        <w:rPr>
          <w:rFonts w:ascii="Times New Roman" w:eastAsia="Times New Roman" w:hAnsi="Times New Roman" w:cs="Times New Roman"/>
          <w:b/>
          <w:bCs/>
          <w:color w:val="000000"/>
        </w:rPr>
        <w:t>Ethical Considerations</w:t>
      </w:r>
    </w:p>
    <w:p w14:paraId="4CAA825D"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Researchers do not conduct their research on human beings or with primary data, but ethical considerations are still important. All secondary information will only be used when it is legally accessible and credible sources and proper academic integrity must be maintained by using the right source and citing the source correctly to avoid plagiarism. Confidential or commercially sensitive information will not be implied or made up to be a fact (</w:t>
      </w:r>
      <w:proofErr w:type="spellStart"/>
      <w:r>
        <w:rPr>
          <w:rFonts w:ascii="Times New Roman" w:eastAsia="Times New Roman" w:hAnsi="Times New Roman" w:cs="Times New Roman"/>
          <w:sz w:val="24"/>
          <w:szCs w:val="24"/>
        </w:rPr>
        <w:t>Drolet</w:t>
      </w:r>
      <w:proofErr w:type="spellEnd"/>
      <w:r>
        <w:rPr>
          <w:rFonts w:ascii="Times New Roman" w:eastAsia="Times New Roman" w:hAnsi="Times New Roman" w:cs="Times New Roman"/>
          <w:sz w:val="24"/>
          <w:szCs w:val="24"/>
        </w:rPr>
        <w:t xml:space="preserve"> et al. 2023). Special attention will also be paid to how the AI capabilities, the performance of competitors and the regulatory information are interpreted in order to steer clear of unsupported claims. Data will be presented in an objective way, presenting evidence of potential adverse effects of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 xml:space="preserve"> as well as evidence for the proposed benefits.</w:t>
      </w:r>
    </w:p>
    <w:p w14:paraId="4457F96F" w14:textId="77777777" w:rsidR="005F1E59" w:rsidRDefault="0069098B">
      <w:pPr>
        <w:pStyle w:val="Heading4"/>
        <w:keepNext w:val="0"/>
        <w:keepLines w:val="0"/>
        <w:spacing w:before="0" w:after="0" w:line="360" w:lineRule="auto"/>
        <w:jc w:val="both"/>
        <w:rPr>
          <w:rFonts w:ascii="Times New Roman" w:eastAsia="Times New Roman" w:hAnsi="Times New Roman" w:cs="Times New Roman"/>
          <w:b/>
          <w:bCs/>
          <w:color w:val="000000"/>
        </w:rPr>
      </w:pPr>
      <w:bookmarkStart w:id="13" w:name="_heading=h.5fi39ptrjhip" w:colFirst="0" w:colLast="0"/>
      <w:bookmarkEnd w:id="13"/>
      <w:r>
        <w:rPr>
          <w:rFonts w:ascii="Times New Roman" w:eastAsia="Times New Roman" w:hAnsi="Times New Roman" w:cs="Times New Roman"/>
          <w:b/>
          <w:bCs/>
          <w:color w:val="000000"/>
        </w:rPr>
        <w:t>Validity, Reliability and Limitations</w:t>
      </w:r>
    </w:p>
    <w:p w14:paraId="7E08F462"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Multiple sources (company, regulatory, academic and industry) will enhance the credibility and reliability of the findings. However, the secondary design does not allow for access to proprietary R&amp;D expenditure, internal decision-making processes or algorithms or trade secrets. This means that conclusions will only be based on evidence that can be substantiated with public information. It will be documented and explicitly recognized during the strategic feasibility assessment of Project </w:t>
      </w:r>
      <w:proofErr w:type="spellStart"/>
      <w:r>
        <w:rPr>
          <w:rFonts w:ascii="Times New Roman" w:eastAsia="Times New Roman" w:hAnsi="Times New Roman" w:cs="Times New Roman"/>
          <w:sz w:val="24"/>
          <w:szCs w:val="24"/>
        </w:rPr>
        <w:t>BioScale</w:t>
      </w:r>
      <w:proofErr w:type="spellEnd"/>
      <w:r>
        <w:rPr>
          <w:rFonts w:ascii="Times New Roman" w:eastAsia="Times New Roman" w:hAnsi="Times New Roman" w:cs="Times New Roman"/>
          <w:sz w:val="24"/>
          <w:szCs w:val="24"/>
        </w:rPr>
        <w:t>.</w:t>
      </w:r>
    </w:p>
    <w:p w14:paraId="3894445F" w14:textId="77777777" w:rsidR="005F1E59" w:rsidRDefault="00B72245">
      <w:pPr>
        <w:pStyle w:val="Heading1"/>
      </w:pPr>
      <w:bookmarkStart w:id="14" w:name="_Toc240888863"/>
      <w:r>
        <w:t xml:space="preserve">3 </w:t>
      </w:r>
      <w:r w:rsidR="0069098B">
        <w:t>Market research and validation</w:t>
      </w:r>
      <w:bookmarkEnd w:id="14"/>
    </w:p>
    <w:p w14:paraId="2B0FB23A" w14:textId="77777777" w:rsidR="005F1E59" w:rsidRDefault="0069098B">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b/>
          <w:bCs/>
          <w:color w:val="000000"/>
          <w:sz w:val="24"/>
          <w:szCs w:val="24"/>
        </w:rPr>
        <w:t>Market Trends &amp; Industry Demand:</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Biosimilars</w:t>
      </w:r>
      <w:proofErr w:type="spellEnd"/>
      <w:r>
        <w:rPr>
          <w:rFonts w:ascii="Times New Roman" w:eastAsia="Times New Roman" w:hAnsi="Times New Roman" w:cs="Times New Roman"/>
          <w:color w:val="000000"/>
          <w:sz w:val="24"/>
          <w:szCs w:val="24"/>
        </w:rPr>
        <w:t xml:space="preserve"> market is projected to grow at a CAGR of 18.4% and reach a size of $46.4 billion by 2026, growing to more than $151 billion by 2033. This is an unprecedented patent cliff – more than $200 billion of biologic blockbuster sales are losing exclusivity by 2030 (Nguyen et al., 2026). There is a genuine need for national healthcare systems and payers to find biologic alternatives that are cost-effective to address the increasing financial pressures. </w:t>
      </w:r>
    </w:p>
    <w:p w14:paraId="14351A03" w14:textId="77777777" w:rsidR="005F1E59" w:rsidRDefault="0069098B">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b/>
          <w:bCs/>
          <w:color w:val="000000"/>
          <w:sz w:val="24"/>
          <w:szCs w:val="24"/>
        </w:rPr>
        <w:t xml:space="preserve">Competitor </w:t>
      </w:r>
      <w:proofErr w:type="spellStart"/>
      <w:r>
        <w:rPr>
          <w:rFonts w:ascii="Times New Roman" w:eastAsia="Times New Roman" w:hAnsi="Times New Roman" w:cs="Times New Roman"/>
          <w:b/>
          <w:bCs/>
          <w:color w:val="000000"/>
          <w:sz w:val="24"/>
          <w:szCs w:val="24"/>
        </w:rPr>
        <w:t>Landscape:</w:t>
      </w:r>
      <w:r>
        <w:rPr>
          <w:rFonts w:ascii="Times New Roman" w:eastAsia="Times New Roman" w:hAnsi="Times New Roman" w:cs="Times New Roman"/>
          <w:sz w:val="24"/>
          <w:szCs w:val="24"/>
        </w:rPr>
        <w:t>Domestic</w:t>
      </w:r>
      <w:proofErr w:type="spellEnd"/>
      <w:r>
        <w:rPr>
          <w:rFonts w:ascii="Times New Roman" w:eastAsia="Times New Roman" w:hAnsi="Times New Roman" w:cs="Times New Roman"/>
          <w:sz w:val="24"/>
          <w:szCs w:val="24"/>
        </w:rPr>
        <w:t xml:space="preserve"> competition in the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market is heating up with competitors taking advantage of scale, fast approvals, and strategic partnerships. Sandoz has had positive sales of its </w:t>
      </w:r>
      <w:proofErr w:type="spellStart"/>
      <w:r>
        <w:rPr>
          <w:rFonts w:ascii="Times New Roman" w:eastAsia="Times New Roman" w:hAnsi="Times New Roman" w:cs="Times New Roman"/>
          <w:sz w:val="24"/>
          <w:szCs w:val="24"/>
        </w:rPr>
        <w:t>biosimilars</w:t>
      </w:r>
      <w:proofErr w:type="spellEnd"/>
      <w:r>
        <w:rPr>
          <w:rFonts w:ascii="Times New Roman" w:eastAsia="Times New Roman" w:hAnsi="Times New Roman" w:cs="Times New Roman"/>
          <w:sz w:val="24"/>
          <w:szCs w:val="24"/>
        </w:rPr>
        <w:t xml:space="preserve"> for 17 straight growth quarters and sampled nearly 40 pipeline products with USD 3.3 billion in sales for 2025, and </w:t>
      </w:r>
      <w:proofErr w:type="spellStart"/>
      <w:r>
        <w:rPr>
          <w:rFonts w:ascii="Times New Roman" w:eastAsia="Times New Roman" w:hAnsi="Times New Roman" w:cs="Times New Roman"/>
          <w:sz w:val="24"/>
          <w:szCs w:val="24"/>
        </w:rPr>
        <w:t>Celltrion</w:t>
      </w:r>
      <w:proofErr w:type="spellEnd"/>
      <w:r>
        <w:rPr>
          <w:rFonts w:ascii="Times New Roman" w:eastAsia="Times New Roman" w:hAnsi="Times New Roman" w:cs="Times New Roman"/>
          <w:sz w:val="24"/>
          <w:szCs w:val="24"/>
        </w:rPr>
        <w:t xml:space="preserve"> and Samsung </w:t>
      </w:r>
      <w:proofErr w:type="spellStart"/>
      <w:r>
        <w:rPr>
          <w:rFonts w:ascii="Times New Roman" w:eastAsia="Times New Roman" w:hAnsi="Times New Roman" w:cs="Times New Roman"/>
          <w:sz w:val="24"/>
          <w:szCs w:val="24"/>
        </w:rPr>
        <w:t>Bioepis</w:t>
      </w:r>
      <w:proofErr w:type="spellEnd"/>
      <w:r>
        <w:rPr>
          <w:rFonts w:ascii="Times New Roman" w:eastAsia="Times New Roman" w:hAnsi="Times New Roman" w:cs="Times New Roman"/>
          <w:sz w:val="24"/>
          <w:szCs w:val="24"/>
        </w:rPr>
        <w:t xml:space="preserve"> continue to control FDA/ EMA registration with their high capacity </w:t>
      </w:r>
      <w:proofErr w:type="spellStart"/>
      <w:r>
        <w:rPr>
          <w:rFonts w:ascii="Times New Roman" w:eastAsia="Times New Roman" w:hAnsi="Times New Roman" w:cs="Times New Roman"/>
          <w:sz w:val="24"/>
          <w:szCs w:val="24"/>
        </w:rPr>
        <w:t>biomanufacturing</w:t>
      </w:r>
      <w:proofErr w:type="spellEnd"/>
      <w:r>
        <w:rPr>
          <w:rFonts w:ascii="Times New Roman" w:eastAsia="Times New Roman" w:hAnsi="Times New Roman" w:cs="Times New Roman"/>
          <w:sz w:val="24"/>
          <w:szCs w:val="24"/>
        </w:rPr>
        <w:t xml:space="preserve"> and commercial alliances (Basel, 2026). These tactics are aggressive, and have secured significant market share which are driving a post-launch price erosion rate between 30% and 52%.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is working against these pressures by having a vertically integrated "lab-to-market" business model, with a presence in around 120 countries around the world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2026).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does not just compete on price, Project </w:t>
      </w:r>
      <w:proofErr w:type="spellStart"/>
      <w:r>
        <w:rPr>
          <w:rFonts w:ascii="Times New Roman" w:eastAsia="Times New Roman" w:hAnsi="Times New Roman" w:cs="Times New Roman"/>
          <w:sz w:val="24"/>
          <w:szCs w:val="24"/>
        </w:rPr>
        <w:t>BioScale's</w:t>
      </w:r>
      <w:proofErr w:type="spellEnd"/>
      <w:r>
        <w:rPr>
          <w:rFonts w:ascii="Times New Roman" w:eastAsia="Times New Roman" w:hAnsi="Times New Roman" w:cs="Times New Roman"/>
          <w:sz w:val="24"/>
          <w:szCs w:val="24"/>
        </w:rPr>
        <w:t xml:space="preserve"> predictive analytics allows them to better discover high-value molecules early in the discovery process, de-risk the selection of target molecules and optimize target pricing</w:t>
      </w:r>
      <w:r w:rsidR="004D3143">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2026). This inexpensive design, when coupled with automated yield optimization, gives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a competitive edge to withstand sharp price slashes and win large-volume tenders from institutional hospitals in the long run against capital-intensive competitors.</w:t>
      </w:r>
    </w:p>
    <w:p w14:paraId="5433AEBE" w14:textId="77777777" w:rsidR="005F1E59" w:rsidRDefault="0069098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4D526D50" wp14:editId="6E387046">
            <wp:extent cx="5943600" cy="16256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1625600"/>
                    </a:xfrm>
                    <a:prstGeom prst="rect">
                      <a:avLst/>
                    </a:prstGeom>
                    <a:ln w="12700">
                      <a:solidFill>
                        <a:srgbClr val="000000"/>
                      </a:solidFill>
                      <a:prstDash val="solid"/>
                    </a:ln>
                  </pic:spPr>
                </pic:pic>
              </a:graphicData>
            </a:graphic>
          </wp:inline>
        </w:drawing>
      </w:r>
    </w:p>
    <w:p w14:paraId="5DC39E11" w14:textId="77777777" w:rsidR="005F1E59" w:rsidRDefault="0069098B">
      <w:pPr>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3E79EC">
        <w:rPr>
          <w:rFonts w:ascii="Times New Roman" w:eastAsia="Times New Roman" w:hAnsi="Times New Roman" w:cs="Times New Roman"/>
          <w:b/>
          <w:bCs/>
          <w:sz w:val="24"/>
          <w:szCs w:val="24"/>
        </w:rPr>
        <w:t>3</w:t>
      </w:r>
      <w:r>
        <w:rPr>
          <w:rFonts w:ascii="Times New Roman" w:eastAsia="Times New Roman" w:hAnsi="Times New Roman" w:cs="Times New Roman"/>
          <w:b/>
          <w:bCs/>
          <w:sz w:val="24"/>
          <w:szCs w:val="24"/>
        </w:rPr>
        <w:t xml:space="preserve">: Key highlights of </w:t>
      </w:r>
      <w:proofErr w:type="spellStart"/>
      <w:r>
        <w:rPr>
          <w:rFonts w:ascii="Times New Roman" w:eastAsia="Times New Roman" w:hAnsi="Times New Roman" w:cs="Times New Roman"/>
          <w:b/>
          <w:bCs/>
          <w:sz w:val="24"/>
          <w:szCs w:val="24"/>
        </w:rPr>
        <w:t>Biocon</w:t>
      </w:r>
      <w:proofErr w:type="spellEnd"/>
    </w:p>
    <w:p w14:paraId="3493D35C" w14:textId="77777777" w:rsidR="005F1E59" w:rsidRDefault="0069098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2026)</w:t>
      </w:r>
    </w:p>
    <w:p w14:paraId="26203A74" w14:textId="77777777" w:rsidR="005F1E59" w:rsidRDefault="0069098B">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b/>
          <w:bCs/>
          <w:color w:val="000000"/>
          <w:sz w:val="24"/>
          <w:szCs w:val="24"/>
        </w:rPr>
        <w:t xml:space="preserve">Competitive Advantage of Project </w:t>
      </w:r>
      <w:proofErr w:type="spellStart"/>
      <w:r>
        <w:rPr>
          <w:rFonts w:ascii="Times New Roman" w:eastAsia="Times New Roman" w:hAnsi="Times New Roman" w:cs="Times New Roman"/>
          <w:b/>
          <w:bCs/>
          <w:color w:val="000000"/>
          <w:sz w:val="24"/>
          <w:szCs w:val="24"/>
        </w:rPr>
        <w:t>BioScale</w:t>
      </w:r>
      <w:proofErr w:type="spellEnd"/>
      <w:r>
        <w:rPr>
          <w:rFonts w:ascii="Times New Roman" w:eastAsia="Times New Roman" w:hAnsi="Times New Roman" w:cs="Times New Roman"/>
          <w:b/>
          <w:bCs/>
          <w:color w:val="000000"/>
          <w:sz w:val="24"/>
          <w:szCs w:val="24"/>
        </w:rPr>
        <w:t>:</w:t>
      </w:r>
      <w:r>
        <w:rPr>
          <w:rFonts w:ascii="Times New Roman" w:eastAsia="Times New Roman" w:hAnsi="Times New Roman" w:cs="Times New Roman"/>
          <w:color w:val="000000"/>
          <w:sz w:val="24"/>
          <w:szCs w:val="24"/>
        </w:rPr>
        <w:t xml:space="preserve"> When paired with AI predictive analytics, </w:t>
      </w:r>
      <w:proofErr w:type="spellStart"/>
      <w:r>
        <w:rPr>
          <w:rFonts w:ascii="Times New Roman" w:eastAsia="Times New Roman" w:hAnsi="Times New Roman" w:cs="Times New Roman"/>
          <w:color w:val="000000"/>
          <w:sz w:val="24"/>
          <w:szCs w:val="24"/>
        </w:rPr>
        <w:t>Biocon's</w:t>
      </w:r>
      <w:proofErr w:type="spellEnd"/>
      <w:r>
        <w:rPr>
          <w:rFonts w:ascii="Times New Roman" w:eastAsia="Times New Roman" w:hAnsi="Times New Roman" w:cs="Times New Roman"/>
          <w:color w:val="000000"/>
          <w:sz w:val="24"/>
          <w:szCs w:val="24"/>
        </w:rPr>
        <w:t xml:space="preserve"> core advantage is a vertical integration right from Research to Scale Manufacturing to Global Distribution. This integration brings in quicker candidate selection time, predicts possible molecular instability even before scaling up the bioreactor and helps </w:t>
      </w:r>
      <w:proofErr w:type="spellStart"/>
      <w:r>
        <w:rPr>
          <w:rFonts w:ascii="Times New Roman" w:eastAsia="Times New Roman" w:hAnsi="Times New Roman" w:cs="Times New Roman"/>
          <w:color w:val="000000"/>
          <w:sz w:val="24"/>
          <w:szCs w:val="24"/>
        </w:rPr>
        <w:t>Biocon</w:t>
      </w:r>
      <w:proofErr w:type="spellEnd"/>
      <w:r>
        <w:rPr>
          <w:rFonts w:ascii="Times New Roman" w:eastAsia="Times New Roman" w:hAnsi="Times New Roman" w:cs="Times New Roman"/>
          <w:color w:val="000000"/>
          <w:sz w:val="24"/>
          <w:szCs w:val="24"/>
        </w:rPr>
        <w:t xml:space="preserve"> to remain more competitive than its peers under a sharp post-launch price erosion. </w:t>
      </w:r>
    </w:p>
    <w:p w14:paraId="3D6F394D" w14:textId="77777777" w:rsidR="005F1E59" w:rsidRDefault="0069098B">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b/>
          <w:bCs/>
          <w:color w:val="000000"/>
          <w:sz w:val="24"/>
          <w:szCs w:val="24"/>
        </w:rPr>
        <w:t>Business Validation &amp; Customer Willingness:</w:t>
      </w:r>
      <w:r>
        <w:rPr>
          <w:rFonts w:ascii="Times New Roman" w:eastAsia="Times New Roman" w:hAnsi="Times New Roman" w:cs="Times New Roman"/>
          <w:color w:val="000000"/>
          <w:sz w:val="24"/>
          <w:szCs w:val="24"/>
        </w:rPr>
        <w:t xml:space="preserve"> Commercial viability and customer demand will be systemically validated through secondary data that tracks the number of hospital tenders won, multiples years that payers have included in their payment formularies and volume conversion metrics across North America, Europe and key emerging regions. This increasing acceptance of </w:t>
      </w:r>
      <w:proofErr w:type="spellStart"/>
      <w:r>
        <w:rPr>
          <w:rFonts w:ascii="Times New Roman" w:eastAsia="Times New Roman" w:hAnsi="Times New Roman" w:cs="Times New Roman"/>
          <w:color w:val="000000"/>
          <w:sz w:val="24"/>
          <w:szCs w:val="24"/>
        </w:rPr>
        <w:t>Biocon's</w:t>
      </w:r>
      <w:proofErr w:type="spellEnd"/>
      <w:r>
        <w:rPr>
          <w:rFonts w:ascii="Times New Roman" w:eastAsia="Times New Roman" w:hAnsi="Times New Roman" w:cs="Times New Roman"/>
          <w:color w:val="000000"/>
          <w:sz w:val="24"/>
          <w:szCs w:val="24"/>
        </w:rPr>
        <w:t xml:space="preserve"> solutions is reflected in growing public tender allocations, national substitution policies and formal industry commitments to commit to their biologic suppliers to be a reliable supply at reasonable price points, in bulk volume.  </w:t>
      </w:r>
    </w:p>
    <w:p w14:paraId="6EF60B8C" w14:textId="77777777" w:rsidR="005F1E59" w:rsidRDefault="00B72245">
      <w:pPr>
        <w:pStyle w:val="Heading1"/>
      </w:pPr>
      <w:bookmarkStart w:id="15" w:name="_Toc240888864"/>
      <w:r>
        <w:t xml:space="preserve">4 </w:t>
      </w:r>
      <w:r w:rsidR="0069098B">
        <w:t>Risks</w:t>
      </w:r>
      <w:bookmarkEnd w:id="15"/>
    </w:p>
    <w:p w14:paraId="7025EC1F" w14:textId="77777777" w:rsidR="005F1E59" w:rsidRDefault="0069098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Regulatory &amp; Validation Risks:</w:t>
      </w:r>
      <w:r>
        <w:rPr>
          <w:rFonts w:ascii="Times New Roman" w:eastAsia="Times New Roman" w:hAnsi="Times New Roman" w:cs="Times New Roman"/>
          <w:sz w:val="24"/>
          <w:szCs w:val="24"/>
        </w:rPr>
        <w:t xml:space="preserve"> AI-driven predictive models pose a regulatory risk as they introduce uncertainty on the </w:t>
      </w:r>
      <w:proofErr w:type="spellStart"/>
      <w:r>
        <w:rPr>
          <w:rFonts w:ascii="Times New Roman" w:eastAsia="Times New Roman" w:hAnsi="Times New Roman" w:cs="Times New Roman"/>
          <w:sz w:val="24"/>
          <w:szCs w:val="24"/>
        </w:rPr>
        <w:t>explainability</w:t>
      </w:r>
      <w:proofErr w:type="spellEnd"/>
      <w:r>
        <w:rPr>
          <w:rFonts w:ascii="Times New Roman" w:eastAsia="Times New Roman" w:hAnsi="Times New Roman" w:cs="Times New Roman"/>
          <w:sz w:val="24"/>
          <w:szCs w:val="24"/>
        </w:rPr>
        <w:t xml:space="preserve"> of these algorithms and the sources of the data used in their creation (Beauty, 2025). The strict </w:t>
      </w:r>
      <w:proofErr w:type="spellStart"/>
      <w:r>
        <w:rPr>
          <w:rFonts w:ascii="Times New Roman" w:eastAsia="Times New Roman" w:hAnsi="Times New Roman" w:cs="Times New Roman"/>
          <w:sz w:val="24"/>
          <w:szCs w:val="24"/>
        </w:rPr>
        <w:t>GxP</w:t>
      </w:r>
      <w:proofErr w:type="spellEnd"/>
      <w:r>
        <w:rPr>
          <w:rFonts w:ascii="Times New Roman" w:eastAsia="Times New Roman" w:hAnsi="Times New Roman" w:cs="Times New Roman"/>
          <w:sz w:val="24"/>
          <w:szCs w:val="24"/>
        </w:rPr>
        <w:t xml:space="preserve"> traceability and clear validation evidence required by leading health authorities across the globe before computational results can be accepted can delay pipeline evaluations, IND submissions or commercial dossier submission.  </w:t>
      </w:r>
    </w:p>
    <w:p w14:paraId="79E0619C" w14:textId="77777777" w:rsidR="005F1E59" w:rsidRDefault="0069098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Execution &amp; Technical Failures:</w:t>
      </w:r>
      <w:r>
        <w:rPr>
          <w:rFonts w:ascii="Times New Roman" w:eastAsia="Times New Roman" w:hAnsi="Times New Roman" w:cs="Times New Roman"/>
          <w:sz w:val="24"/>
          <w:szCs w:val="24"/>
        </w:rPr>
        <w:t xml:space="preserve"> If computational algorithms are trained on data sets that do not include the consideration of PTMs, aggregation kinetics, or micro-environmental variations, discrepancies can arise (Ghosh et al. 2024). The resulting inaccuracies in prediction may then lead to batch-to-batch variations in the molecular stability of the candidate, formulation changes/instability and even yield failures during commercial manufacturing bioreactor scale-up.  </w:t>
      </w:r>
    </w:p>
    <w:p w14:paraId="300DA3B8" w14:textId="77777777" w:rsidR="005F1E59" w:rsidRDefault="0069098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Mitigation Strategies: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Biocon</w:t>
      </w:r>
      <w:proofErr w:type="spellEnd"/>
      <w:r>
        <w:rPr>
          <w:rFonts w:ascii="Times New Roman" w:eastAsia="Times New Roman" w:hAnsi="Times New Roman" w:cs="Times New Roman"/>
          <w:sz w:val="24"/>
          <w:szCs w:val="24"/>
        </w:rPr>
        <w:t xml:space="preserve"> needs to include effective human-in-the-loop wet-lab cross-validating analytical steps to validate </w:t>
      </w:r>
      <w:r w:rsidR="00E16B14">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in </w:t>
      </w:r>
      <w:proofErr w:type="spellStart"/>
      <w:r>
        <w:rPr>
          <w:rFonts w:ascii="Times New Roman" w:eastAsia="Times New Roman" w:hAnsi="Times New Roman" w:cs="Times New Roman"/>
          <w:sz w:val="24"/>
          <w:szCs w:val="24"/>
        </w:rPr>
        <w:t>silico</w:t>
      </w:r>
      <w:proofErr w:type="spellEnd"/>
      <w:r>
        <w:rPr>
          <w:rFonts w:ascii="Times New Roman" w:eastAsia="Times New Roman" w:hAnsi="Times New Roman" w:cs="Times New Roman"/>
          <w:sz w:val="24"/>
          <w:szCs w:val="24"/>
        </w:rPr>
        <w:t xml:space="preserve"> predictions in real physical biophysical testing at critical analytical steps. Likewise, early meetings with FDA and EMA of scientific advice will help to ensure algorithmic compliance with emergent AI regulatory frameworks and de-risk downstream market-entry authorization.</w:t>
      </w:r>
    </w:p>
    <w:p w14:paraId="164EA20A" w14:textId="77777777" w:rsidR="005F1E59" w:rsidRDefault="00B72245">
      <w:pPr>
        <w:pStyle w:val="Heading1"/>
      </w:pPr>
      <w:bookmarkStart w:id="16" w:name="_Toc240888865"/>
      <w:r>
        <w:t xml:space="preserve">5 </w:t>
      </w:r>
      <w:r w:rsidR="0069098B">
        <w:t>Timeline (Gantt chart)</w:t>
      </w:r>
      <w:bookmarkEnd w:id="16"/>
    </w:p>
    <w:p w14:paraId="61AB0517" w14:textId="77777777" w:rsidR="005F1E59" w:rsidRDefault="006909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063821F2" wp14:editId="327B05C6">
            <wp:extent cx="5943600" cy="18288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1828800"/>
                    </a:xfrm>
                    <a:prstGeom prst="rect">
                      <a:avLst/>
                    </a:prstGeom>
                    <a:ln w="25400">
                      <a:solidFill>
                        <a:srgbClr val="000000"/>
                      </a:solidFill>
                      <a:prstDash val="solid"/>
                    </a:ln>
                  </pic:spPr>
                </pic:pic>
              </a:graphicData>
            </a:graphic>
          </wp:inline>
        </w:drawing>
      </w:r>
    </w:p>
    <w:p w14:paraId="78EF2AAE" w14:textId="77777777" w:rsidR="005F1E59" w:rsidRDefault="0069098B">
      <w:pPr>
        <w:rPr>
          <w:rFonts w:ascii="Times New Roman" w:eastAsia="Times New Roman" w:hAnsi="Times New Roman" w:cs="Times New Roman"/>
          <w:b/>
          <w:bCs/>
          <w:sz w:val="28"/>
          <w:szCs w:val="28"/>
        </w:rPr>
      </w:pPr>
      <w:bookmarkStart w:id="17" w:name="_heading=h.74bhqb28ulzn" w:colFirst="0" w:colLast="0"/>
      <w:bookmarkEnd w:id="17"/>
      <w:r>
        <w:br w:type="page"/>
      </w:r>
    </w:p>
    <w:p w14:paraId="0A454190" w14:textId="77777777" w:rsidR="005F1E59" w:rsidRDefault="0069098B">
      <w:pPr>
        <w:pStyle w:val="Heading1"/>
      </w:pPr>
      <w:bookmarkStart w:id="18" w:name="_Toc240888866"/>
      <w:r>
        <w:t>Reference list</w:t>
      </w:r>
      <w:bookmarkEnd w:id="18"/>
    </w:p>
    <w:p w14:paraId="1DF0D774"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color w:val="222222"/>
          <w:sz w:val="24"/>
          <w:szCs w:val="24"/>
        </w:rPr>
        <w:t xml:space="preserve">Bas, T.G., 2025. Innovative formulation strategies for </w:t>
      </w:r>
      <w:proofErr w:type="spellStart"/>
      <w:r w:rsidRPr="00E16B14">
        <w:rPr>
          <w:rFonts w:ascii="Times New Roman" w:eastAsia="Times New Roman" w:hAnsi="Times New Roman" w:cs="Times New Roman"/>
          <w:color w:val="222222"/>
          <w:sz w:val="24"/>
          <w:szCs w:val="24"/>
        </w:rPr>
        <w:t>biosimilars</w:t>
      </w:r>
      <w:proofErr w:type="spellEnd"/>
      <w:r w:rsidRPr="00E16B14">
        <w:rPr>
          <w:rFonts w:ascii="Times New Roman" w:eastAsia="Times New Roman" w:hAnsi="Times New Roman" w:cs="Times New Roman"/>
          <w:color w:val="222222"/>
          <w:sz w:val="24"/>
          <w:szCs w:val="24"/>
        </w:rPr>
        <w:t xml:space="preserve">: trends focused on buffer-free systems, safety, regulatory alignment, and intellectual property challenges. </w:t>
      </w:r>
      <w:r w:rsidRPr="00E16B14">
        <w:rPr>
          <w:rFonts w:ascii="Times New Roman" w:eastAsia="Times New Roman" w:hAnsi="Times New Roman" w:cs="Times New Roman"/>
          <w:i/>
          <w:iCs/>
          <w:color w:val="222222"/>
          <w:sz w:val="24"/>
          <w:szCs w:val="24"/>
        </w:rPr>
        <w:t>Pharmaceuticals</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18</w:t>
      </w:r>
      <w:r w:rsidRPr="00E16B14">
        <w:rPr>
          <w:rFonts w:ascii="Times New Roman" w:eastAsia="Times New Roman" w:hAnsi="Times New Roman" w:cs="Times New Roman"/>
          <w:color w:val="222222"/>
          <w:sz w:val="24"/>
          <w:szCs w:val="24"/>
        </w:rPr>
        <w:t>(6), p.908.</w:t>
      </w:r>
    </w:p>
    <w:p w14:paraId="3B864213"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sz w:val="24"/>
          <w:szCs w:val="24"/>
        </w:rPr>
        <w:t xml:space="preserve">Basel, 2026. Sandoz hosts Capital Markets Day and unveils Bio100 ambition – maximising Sandoz value in its golden decade for </w:t>
      </w:r>
      <w:proofErr w:type="spellStart"/>
      <w:r w:rsidRPr="00E16B14">
        <w:rPr>
          <w:rFonts w:ascii="Times New Roman" w:eastAsia="Times New Roman" w:hAnsi="Times New Roman" w:cs="Times New Roman"/>
          <w:sz w:val="24"/>
          <w:szCs w:val="24"/>
        </w:rPr>
        <w:t>biosimilars</w:t>
      </w:r>
      <w:proofErr w:type="spellEnd"/>
      <w:r w:rsidRPr="00E16B14">
        <w:rPr>
          <w:rFonts w:ascii="Times New Roman" w:eastAsia="Times New Roman" w:hAnsi="Times New Roman" w:cs="Times New Roman"/>
          <w:sz w:val="24"/>
          <w:szCs w:val="24"/>
        </w:rPr>
        <w:t xml:space="preserve">. SANDOZ. [Online]. Available at: </w:t>
      </w:r>
      <w:hyperlink r:id="rId12">
        <w:r w:rsidRPr="00E16B14">
          <w:rPr>
            <w:rFonts w:ascii="Times New Roman" w:eastAsia="Times New Roman" w:hAnsi="Times New Roman" w:cs="Times New Roman"/>
            <w:color w:val="1155CC"/>
            <w:sz w:val="24"/>
            <w:szCs w:val="24"/>
            <w:u w:val="single"/>
          </w:rPr>
          <w:t>https://www.sandoz.com/sandoz-hosts-capital-markets-day-and-unveils-bio100-ambition-maximising-sandoz-value-its-golden/</w:t>
        </w:r>
      </w:hyperlink>
      <w:r w:rsidRPr="00E16B14">
        <w:rPr>
          <w:rFonts w:ascii="Times New Roman" w:eastAsia="Times New Roman" w:hAnsi="Times New Roman" w:cs="Times New Roman"/>
          <w:sz w:val="24"/>
          <w:szCs w:val="24"/>
        </w:rPr>
        <w:t xml:space="preserve"> [Accessed on: 10.09.2026].</w:t>
      </w:r>
    </w:p>
    <w:p w14:paraId="28A1B0F0"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E16B14">
        <w:rPr>
          <w:rFonts w:ascii="Times New Roman" w:eastAsia="Times New Roman" w:hAnsi="Times New Roman" w:cs="Times New Roman"/>
          <w:color w:val="222222"/>
          <w:sz w:val="24"/>
          <w:szCs w:val="24"/>
        </w:rPr>
        <w:t xml:space="preserve">Beauty, A.M., 2025. Explainable AI in data-driven finance: balancing algorithmic transparency with operational optimization demands. </w:t>
      </w:r>
      <w:proofErr w:type="spellStart"/>
      <w:r w:rsidRPr="00E16B14">
        <w:rPr>
          <w:rFonts w:ascii="Times New Roman" w:eastAsia="Times New Roman" w:hAnsi="Times New Roman" w:cs="Times New Roman"/>
          <w:i/>
          <w:iCs/>
          <w:color w:val="222222"/>
          <w:sz w:val="24"/>
          <w:szCs w:val="24"/>
        </w:rPr>
        <w:t>Int</w:t>
      </w:r>
      <w:proofErr w:type="spellEnd"/>
      <w:r w:rsidRPr="00E16B14">
        <w:rPr>
          <w:rFonts w:ascii="Times New Roman" w:eastAsia="Times New Roman" w:hAnsi="Times New Roman" w:cs="Times New Roman"/>
          <w:i/>
          <w:iCs/>
          <w:color w:val="222222"/>
          <w:sz w:val="24"/>
          <w:szCs w:val="24"/>
        </w:rPr>
        <w:t xml:space="preserve"> J </w:t>
      </w:r>
      <w:proofErr w:type="spellStart"/>
      <w:r w:rsidRPr="00E16B14">
        <w:rPr>
          <w:rFonts w:ascii="Times New Roman" w:eastAsia="Times New Roman" w:hAnsi="Times New Roman" w:cs="Times New Roman"/>
          <w:i/>
          <w:iCs/>
          <w:color w:val="222222"/>
          <w:sz w:val="24"/>
          <w:szCs w:val="24"/>
        </w:rPr>
        <w:t>Adv</w:t>
      </w:r>
      <w:proofErr w:type="spellEnd"/>
      <w:r w:rsidRPr="00E16B14">
        <w:rPr>
          <w:rFonts w:ascii="Times New Roman" w:eastAsia="Times New Roman" w:hAnsi="Times New Roman" w:cs="Times New Roman"/>
          <w:i/>
          <w:iCs/>
          <w:color w:val="222222"/>
          <w:sz w:val="24"/>
          <w:szCs w:val="24"/>
        </w:rPr>
        <w:t xml:space="preserve"> Res </w:t>
      </w:r>
      <w:proofErr w:type="spellStart"/>
      <w:r w:rsidRPr="00E16B14">
        <w:rPr>
          <w:rFonts w:ascii="Times New Roman" w:eastAsia="Times New Roman" w:hAnsi="Times New Roman" w:cs="Times New Roman"/>
          <w:i/>
          <w:iCs/>
          <w:color w:val="222222"/>
          <w:sz w:val="24"/>
          <w:szCs w:val="24"/>
        </w:rPr>
        <w:t>Publ</w:t>
      </w:r>
      <w:proofErr w:type="spellEnd"/>
      <w:r w:rsidRPr="00E16B14">
        <w:rPr>
          <w:rFonts w:ascii="Times New Roman" w:eastAsia="Times New Roman" w:hAnsi="Times New Roman" w:cs="Times New Roman"/>
          <w:i/>
          <w:iCs/>
          <w:color w:val="222222"/>
          <w:sz w:val="24"/>
          <w:szCs w:val="24"/>
        </w:rPr>
        <w:t xml:space="preserve"> Rev</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2</w:t>
      </w:r>
      <w:r w:rsidRPr="00E16B14">
        <w:rPr>
          <w:rFonts w:ascii="Times New Roman" w:eastAsia="Times New Roman" w:hAnsi="Times New Roman" w:cs="Times New Roman"/>
          <w:color w:val="222222"/>
          <w:sz w:val="24"/>
          <w:szCs w:val="24"/>
        </w:rPr>
        <w:t>(6), pp.125-49.</w:t>
      </w:r>
      <w:r w:rsidRPr="00E16B14">
        <w:rPr>
          <w:rFonts w:ascii="Times New Roman" w:eastAsia="Times New Roman" w:hAnsi="Times New Roman" w:cs="Times New Roman"/>
          <w:color w:val="000000"/>
          <w:sz w:val="24"/>
          <w:szCs w:val="24"/>
        </w:rPr>
        <w:t> </w:t>
      </w:r>
    </w:p>
    <w:p w14:paraId="5E0DBF74" w14:textId="77777777" w:rsidR="00E16B14" w:rsidRPr="00E16B14" w:rsidRDefault="00E16B14">
      <w:pPr>
        <w:spacing w:line="360" w:lineRule="auto"/>
        <w:jc w:val="both"/>
        <w:rPr>
          <w:rFonts w:ascii="Times New Roman" w:eastAsia="Times New Roman" w:hAnsi="Times New Roman" w:cs="Times New Roman"/>
          <w:sz w:val="24"/>
          <w:szCs w:val="24"/>
        </w:rPr>
      </w:pPr>
      <w:proofErr w:type="spellStart"/>
      <w:r w:rsidRPr="00E16B14">
        <w:rPr>
          <w:rFonts w:ascii="Times New Roman" w:eastAsia="Times New Roman" w:hAnsi="Times New Roman" w:cs="Times New Roman"/>
          <w:sz w:val="24"/>
          <w:szCs w:val="24"/>
        </w:rPr>
        <w:t>Biocon</w:t>
      </w:r>
      <w:proofErr w:type="spellEnd"/>
      <w:r w:rsidRPr="00E16B14">
        <w:rPr>
          <w:rFonts w:ascii="Times New Roman" w:eastAsia="Times New Roman" w:hAnsi="Times New Roman" w:cs="Times New Roman"/>
          <w:sz w:val="24"/>
          <w:szCs w:val="24"/>
        </w:rPr>
        <w:t xml:space="preserve">, 2026. About Us. </w:t>
      </w:r>
      <w:proofErr w:type="spellStart"/>
      <w:r w:rsidRPr="00E16B14">
        <w:rPr>
          <w:rFonts w:ascii="Times New Roman" w:eastAsia="Times New Roman" w:hAnsi="Times New Roman" w:cs="Times New Roman"/>
          <w:sz w:val="24"/>
          <w:szCs w:val="24"/>
        </w:rPr>
        <w:t>Biocon</w:t>
      </w:r>
      <w:proofErr w:type="spellEnd"/>
      <w:r w:rsidRPr="00E16B14">
        <w:rPr>
          <w:rFonts w:ascii="Times New Roman" w:eastAsia="Times New Roman" w:hAnsi="Times New Roman" w:cs="Times New Roman"/>
          <w:sz w:val="24"/>
          <w:szCs w:val="24"/>
        </w:rPr>
        <w:t xml:space="preserve"> Limited. [Online]. Available at: </w:t>
      </w:r>
      <w:hyperlink r:id="rId13">
        <w:r w:rsidRPr="00E16B14">
          <w:rPr>
            <w:rFonts w:ascii="Times New Roman" w:eastAsia="Times New Roman" w:hAnsi="Times New Roman" w:cs="Times New Roman"/>
            <w:color w:val="1155CC"/>
            <w:sz w:val="24"/>
            <w:szCs w:val="24"/>
            <w:u w:val="single"/>
          </w:rPr>
          <w:t>https://www.biocon.com/more/contact-us/</w:t>
        </w:r>
      </w:hyperlink>
      <w:r w:rsidRPr="00E16B14">
        <w:rPr>
          <w:rFonts w:ascii="Times New Roman" w:eastAsia="Times New Roman" w:hAnsi="Times New Roman" w:cs="Times New Roman"/>
          <w:sz w:val="24"/>
          <w:szCs w:val="24"/>
        </w:rPr>
        <w:t xml:space="preserve"> [Accessed on: 10.09.2026].</w:t>
      </w:r>
    </w:p>
    <w:p w14:paraId="50769DEE" w14:textId="77777777" w:rsidR="00E16B14" w:rsidRPr="00E16B14" w:rsidRDefault="00E16B14">
      <w:pPr>
        <w:spacing w:line="360" w:lineRule="auto"/>
        <w:jc w:val="both"/>
        <w:rPr>
          <w:rFonts w:ascii="Times New Roman" w:eastAsia="Times New Roman" w:hAnsi="Times New Roman" w:cs="Times New Roman"/>
          <w:sz w:val="24"/>
          <w:szCs w:val="24"/>
        </w:rPr>
      </w:pPr>
      <w:proofErr w:type="spellStart"/>
      <w:r w:rsidRPr="00E16B14">
        <w:rPr>
          <w:rFonts w:ascii="Times New Roman" w:eastAsia="Times New Roman" w:hAnsi="Times New Roman" w:cs="Times New Roman"/>
          <w:sz w:val="24"/>
          <w:szCs w:val="24"/>
        </w:rPr>
        <w:t>Biocon</w:t>
      </w:r>
      <w:proofErr w:type="spellEnd"/>
      <w:r w:rsidRPr="00E16B14">
        <w:rPr>
          <w:rFonts w:ascii="Times New Roman" w:eastAsia="Times New Roman" w:hAnsi="Times New Roman" w:cs="Times New Roman"/>
          <w:sz w:val="24"/>
          <w:szCs w:val="24"/>
        </w:rPr>
        <w:t xml:space="preserve">, 2026. BIOCON BIOLOGICS. Research &amp; Development. </w:t>
      </w:r>
      <w:proofErr w:type="spellStart"/>
      <w:r w:rsidRPr="00E16B14">
        <w:rPr>
          <w:rFonts w:ascii="Times New Roman" w:eastAsia="Times New Roman" w:hAnsi="Times New Roman" w:cs="Times New Roman"/>
          <w:sz w:val="24"/>
          <w:szCs w:val="24"/>
        </w:rPr>
        <w:t>Biocon</w:t>
      </w:r>
      <w:proofErr w:type="spellEnd"/>
      <w:r w:rsidRPr="00E16B14">
        <w:rPr>
          <w:rFonts w:ascii="Times New Roman" w:eastAsia="Times New Roman" w:hAnsi="Times New Roman" w:cs="Times New Roman"/>
          <w:sz w:val="24"/>
          <w:szCs w:val="24"/>
        </w:rPr>
        <w:t xml:space="preserve"> Limited. [Online]. Available at: </w:t>
      </w:r>
      <w:hyperlink r:id="rId14">
        <w:r w:rsidRPr="00E16B14">
          <w:rPr>
            <w:rFonts w:ascii="Times New Roman" w:eastAsia="Times New Roman" w:hAnsi="Times New Roman" w:cs="Times New Roman"/>
            <w:color w:val="1155CC"/>
            <w:sz w:val="24"/>
            <w:szCs w:val="24"/>
            <w:u w:val="single"/>
          </w:rPr>
          <w:t>https://www.biocon.com/businesses/biosimilars/research-and-development/</w:t>
        </w:r>
      </w:hyperlink>
      <w:r w:rsidRPr="00E16B14">
        <w:rPr>
          <w:rFonts w:ascii="Times New Roman" w:eastAsia="Times New Roman" w:hAnsi="Times New Roman" w:cs="Times New Roman"/>
          <w:sz w:val="24"/>
          <w:szCs w:val="24"/>
        </w:rPr>
        <w:t xml:space="preserve"> [Accessed on: 10.09.2026].</w:t>
      </w:r>
    </w:p>
    <w:p w14:paraId="719596AA" w14:textId="77777777" w:rsidR="00E16B14" w:rsidRPr="00E16B14" w:rsidRDefault="00E16B14">
      <w:pPr>
        <w:spacing w:line="360" w:lineRule="auto"/>
        <w:jc w:val="both"/>
        <w:rPr>
          <w:rFonts w:ascii="Times New Roman" w:eastAsia="Times New Roman" w:hAnsi="Times New Roman" w:cs="Times New Roman"/>
          <w:sz w:val="24"/>
          <w:szCs w:val="24"/>
        </w:rPr>
      </w:pPr>
      <w:proofErr w:type="spellStart"/>
      <w:r w:rsidRPr="00E16B14">
        <w:rPr>
          <w:rFonts w:ascii="Times New Roman" w:eastAsia="Times New Roman" w:hAnsi="Times New Roman" w:cs="Times New Roman"/>
          <w:sz w:val="24"/>
          <w:szCs w:val="24"/>
        </w:rPr>
        <w:t>Biocon</w:t>
      </w:r>
      <w:proofErr w:type="spellEnd"/>
      <w:r w:rsidRPr="00E16B14">
        <w:rPr>
          <w:rFonts w:ascii="Times New Roman" w:eastAsia="Times New Roman" w:hAnsi="Times New Roman" w:cs="Times New Roman"/>
          <w:sz w:val="24"/>
          <w:szCs w:val="24"/>
        </w:rPr>
        <w:t xml:space="preserve">, 2026. Integrated Annual Report FY 2026. </w:t>
      </w:r>
      <w:proofErr w:type="spellStart"/>
      <w:r w:rsidRPr="00E16B14">
        <w:rPr>
          <w:rFonts w:ascii="Times New Roman" w:eastAsia="Times New Roman" w:hAnsi="Times New Roman" w:cs="Times New Roman"/>
          <w:sz w:val="24"/>
          <w:szCs w:val="24"/>
        </w:rPr>
        <w:t>Biocon</w:t>
      </w:r>
      <w:proofErr w:type="spellEnd"/>
      <w:r w:rsidRPr="00E16B14">
        <w:rPr>
          <w:rFonts w:ascii="Times New Roman" w:eastAsia="Times New Roman" w:hAnsi="Times New Roman" w:cs="Times New Roman"/>
          <w:sz w:val="24"/>
          <w:szCs w:val="24"/>
        </w:rPr>
        <w:t xml:space="preserve"> Limited. [Online]. Available at: </w:t>
      </w:r>
      <w:hyperlink r:id="rId15">
        <w:r w:rsidRPr="00E16B14">
          <w:rPr>
            <w:rFonts w:ascii="Times New Roman" w:eastAsia="Times New Roman" w:hAnsi="Times New Roman" w:cs="Times New Roman"/>
            <w:color w:val="1155CC"/>
            <w:sz w:val="24"/>
            <w:szCs w:val="24"/>
            <w:u w:val="single"/>
          </w:rPr>
          <w:t>https://www.biocon.com/docs/Biocon_Integrated_Annual_Report_2026.pdf</w:t>
        </w:r>
      </w:hyperlink>
      <w:r w:rsidRPr="00E16B14">
        <w:rPr>
          <w:rFonts w:ascii="Times New Roman" w:eastAsia="Times New Roman" w:hAnsi="Times New Roman" w:cs="Times New Roman"/>
          <w:sz w:val="24"/>
          <w:szCs w:val="24"/>
        </w:rPr>
        <w:t xml:space="preserve"> [Accessed on: 10.09.2026].</w:t>
      </w:r>
    </w:p>
    <w:p w14:paraId="12C1E47B"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E16B14">
        <w:rPr>
          <w:rFonts w:ascii="Times New Roman" w:eastAsia="Times New Roman" w:hAnsi="Times New Roman" w:cs="Times New Roman"/>
          <w:color w:val="000000"/>
          <w:sz w:val="24"/>
          <w:szCs w:val="24"/>
        </w:rPr>
        <w:t xml:space="preserve">Chen, Y., </w:t>
      </w:r>
      <w:proofErr w:type="spellStart"/>
      <w:r w:rsidRPr="00E16B14">
        <w:rPr>
          <w:rFonts w:ascii="Times New Roman" w:eastAsia="Times New Roman" w:hAnsi="Times New Roman" w:cs="Times New Roman"/>
          <w:color w:val="000000"/>
          <w:sz w:val="24"/>
          <w:szCs w:val="24"/>
        </w:rPr>
        <w:t>Monnard</w:t>
      </w:r>
      <w:proofErr w:type="spellEnd"/>
      <w:r w:rsidRPr="00E16B14">
        <w:rPr>
          <w:rFonts w:ascii="Times New Roman" w:eastAsia="Times New Roman" w:hAnsi="Times New Roman" w:cs="Times New Roman"/>
          <w:color w:val="000000"/>
          <w:sz w:val="24"/>
          <w:szCs w:val="24"/>
        </w:rPr>
        <w:t xml:space="preserve">, A., and Santos da Silva, J., 2021. </w:t>
      </w:r>
      <w:r w:rsidRPr="00E16B14">
        <w:rPr>
          <w:rFonts w:ascii="Times New Roman" w:eastAsia="Times New Roman" w:hAnsi="Times New Roman" w:cs="Times New Roman"/>
          <w:i/>
          <w:iCs/>
          <w:color w:val="000000"/>
          <w:sz w:val="24"/>
          <w:szCs w:val="24"/>
        </w:rPr>
        <w:t xml:space="preserve">An inflection point for </w:t>
      </w:r>
      <w:proofErr w:type="spellStart"/>
      <w:r w:rsidRPr="00E16B14">
        <w:rPr>
          <w:rFonts w:ascii="Times New Roman" w:eastAsia="Times New Roman" w:hAnsi="Times New Roman" w:cs="Times New Roman"/>
          <w:i/>
          <w:iCs/>
          <w:color w:val="000000"/>
          <w:sz w:val="24"/>
          <w:szCs w:val="24"/>
        </w:rPr>
        <w:t>biosimilars</w:t>
      </w:r>
      <w:proofErr w:type="spellEnd"/>
      <w:r w:rsidRPr="00E16B14">
        <w:rPr>
          <w:rFonts w:ascii="Times New Roman" w:eastAsia="Times New Roman" w:hAnsi="Times New Roman" w:cs="Times New Roman"/>
          <w:i/>
          <w:iCs/>
          <w:color w:val="000000"/>
          <w:sz w:val="24"/>
          <w:szCs w:val="24"/>
        </w:rPr>
        <w:t>.</w:t>
      </w:r>
      <w:r w:rsidRPr="00E16B14">
        <w:rPr>
          <w:rFonts w:ascii="Times New Roman" w:eastAsia="Times New Roman" w:hAnsi="Times New Roman" w:cs="Times New Roman"/>
          <w:color w:val="000000"/>
          <w:sz w:val="24"/>
          <w:szCs w:val="24"/>
        </w:rPr>
        <w:t xml:space="preserve"> McKinsey &amp; Company Life Sciences Insights. [Online]. Available at:</w:t>
      </w:r>
      <w:hyperlink r:id="rId16"/>
      <w:hyperlink r:id="rId17">
        <w:r w:rsidRPr="00E16B14">
          <w:rPr>
            <w:rFonts w:ascii="Times New Roman" w:eastAsia="Times New Roman" w:hAnsi="Times New Roman" w:cs="Times New Roman"/>
            <w:color w:val="1155CC"/>
            <w:sz w:val="24"/>
            <w:szCs w:val="24"/>
            <w:u w:val="single"/>
          </w:rPr>
          <w:t>https://www.mckinsey.com/industries/life-sciences/our-insights/an-inflection-point-for-biosimilars</w:t>
        </w:r>
      </w:hyperlink>
      <w:r w:rsidRPr="00E16B14">
        <w:rPr>
          <w:rFonts w:ascii="Times New Roman" w:eastAsia="Times New Roman" w:hAnsi="Times New Roman" w:cs="Times New Roman"/>
          <w:color w:val="000000"/>
          <w:sz w:val="24"/>
          <w:szCs w:val="24"/>
        </w:rPr>
        <w:t xml:space="preserve"> [Accessed on: 10.09.2026].</w:t>
      </w:r>
    </w:p>
    <w:p w14:paraId="33670BBD"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color w:val="222222"/>
          <w:sz w:val="24"/>
          <w:szCs w:val="24"/>
        </w:rPr>
        <w:t xml:space="preserve">Cheong, H.I., Lyons, A., Houghton, R. and </w:t>
      </w:r>
      <w:proofErr w:type="spellStart"/>
      <w:r w:rsidRPr="00E16B14">
        <w:rPr>
          <w:rFonts w:ascii="Times New Roman" w:eastAsia="Times New Roman" w:hAnsi="Times New Roman" w:cs="Times New Roman"/>
          <w:color w:val="222222"/>
          <w:sz w:val="24"/>
          <w:szCs w:val="24"/>
        </w:rPr>
        <w:t>Majumdar</w:t>
      </w:r>
      <w:proofErr w:type="spellEnd"/>
      <w:r w:rsidRPr="00E16B14">
        <w:rPr>
          <w:rFonts w:ascii="Times New Roman" w:eastAsia="Times New Roman" w:hAnsi="Times New Roman" w:cs="Times New Roman"/>
          <w:color w:val="222222"/>
          <w:sz w:val="24"/>
          <w:szCs w:val="24"/>
        </w:rPr>
        <w:t xml:space="preserve">, A., 2023. Secondary qualitative research methodology using online data within the context of social sciences. </w:t>
      </w:r>
      <w:r w:rsidRPr="00E16B14">
        <w:rPr>
          <w:rFonts w:ascii="Times New Roman" w:eastAsia="Times New Roman" w:hAnsi="Times New Roman" w:cs="Times New Roman"/>
          <w:i/>
          <w:iCs/>
          <w:color w:val="222222"/>
          <w:sz w:val="24"/>
          <w:szCs w:val="24"/>
        </w:rPr>
        <w:t>International Journal of Qualitative Methods</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22</w:t>
      </w:r>
      <w:r w:rsidRPr="00E16B14">
        <w:rPr>
          <w:rFonts w:ascii="Times New Roman" w:eastAsia="Times New Roman" w:hAnsi="Times New Roman" w:cs="Times New Roman"/>
          <w:color w:val="222222"/>
          <w:sz w:val="24"/>
          <w:szCs w:val="24"/>
        </w:rPr>
        <w:t>, p.16094069231180160.</w:t>
      </w:r>
    </w:p>
    <w:p w14:paraId="133A2F53"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sidRPr="00E16B14">
        <w:rPr>
          <w:rFonts w:ascii="Times New Roman" w:eastAsia="Times New Roman" w:hAnsi="Times New Roman" w:cs="Times New Roman"/>
          <w:color w:val="000000"/>
          <w:sz w:val="24"/>
          <w:szCs w:val="24"/>
        </w:rPr>
        <w:t>DelveInsight</w:t>
      </w:r>
      <w:proofErr w:type="spellEnd"/>
      <w:r w:rsidRPr="00E16B14">
        <w:rPr>
          <w:rFonts w:ascii="Times New Roman" w:eastAsia="Times New Roman" w:hAnsi="Times New Roman" w:cs="Times New Roman"/>
          <w:color w:val="000000"/>
          <w:sz w:val="24"/>
          <w:szCs w:val="24"/>
        </w:rPr>
        <w:t xml:space="preserve">, 2025. </w:t>
      </w:r>
      <w:r w:rsidRPr="00E16B14">
        <w:rPr>
          <w:rFonts w:ascii="Times New Roman" w:eastAsia="Times New Roman" w:hAnsi="Times New Roman" w:cs="Times New Roman"/>
          <w:i/>
          <w:iCs/>
          <w:color w:val="000000"/>
          <w:sz w:val="24"/>
          <w:szCs w:val="24"/>
        </w:rPr>
        <w:t xml:space="preserve">Pharma Patent Cliff 2025–2030: How Will It Reshape the Pharmaceutical </w:t>
      </w:r>
      <w:proofErr w:type="spellStart"/>
      <w:r w:rsidRPr="00E16B14">
        <w:rPr>
          <w:rFonts w:ascii="Times New Roman" w:eastAsia="Times New Roman" w:hAnsi="Times New Roman" w:cs="Times New Roman"/>
          <w:i/>
          <w:iCs/>
          <w:color w:val="000000"/>
          <w:sz w:val="24"/>
          <w:szCs w:val="24"/>
        </w:rPr>
        <w:t>Industry?</w:t>
      </w:r>
      <w:r w:rsidRPr="00E16B14">
        <w:rPr>
          <w:rFonts w:ascii="Times New Roman" w:eastAsia="Times New Roman" w:hAnsi="Times New Roman" w:cs="Times New Roman"/>
          <w:color w:val="000000"/>
          <w:sz w:val="24"/>
          <w:szCs w:val="24"/>
        </w:rPr>
        <w:t>DelveInsight</w:t>
      </w:r>
      <w:proofErr w:type="spellEnd"/>
      <w:r w:rsidRPr="00E16B14">
        <w:rPr>
          <w:rFonts w:ascii="Times New Roman" w:eastAsia="Times New Roman" w:hAnsi="Times New Roman" w:cs="Times New Roman"/>
          <w:color w:val="000000"/>
          <w:sz w:val="24"/>
          <w:szCs w:val="24"/>
        </w:rPr>
        <w:t xml:space="preserve"> Business Research. [Online]. Available at:</w:t>
      </w:r>
      <w:hyperlink r:id="rId18"/>
      <w:hyperlink r:id="rId19">
        <w:r w:rsidRPr="00E16B14">
          <w:rPr>
            <w:rFonts w:ascii="Times New Roman" w:eastAsia="Times New Roman" w:hAnsi="Times New Roman" w:cs="Times New Roman"/>
            <w:color w:val="1155CC"/>
            <w:sz w:val="24"/>
            <w:szCs w:val="24"/>
            <w:u w:val="single"/>
          </w:rPr>
          <w:t>https://www.delveinsight.com/whitepaper-newsletter/pharma-patent-cliff</w:t>
        </w:r>
      </w:hyperlink>
      <w:r w:rsidRPr="00E16B14">
        <w:rPr>
          <w:rFonts w:ascii="Times New Roman" w:eastAsia="Times New Roman" w:hAnsi="Times New Roman" w:cs="Times New Roman"/>
          <w:color w:val="000000"/>
          <w:sz w:val="24"/>
          <w:szCs w:val="24"/>
        </w:rPr>
        <w:t xml:space="preserve"> [Accessed on: 10.09.2026].</w:t>
      </w:r>
    </w:p>
    <w:p w14:paraId="3A363894" w14:textId="77777777" w:rsidR="00E16B14" w:rsidRPr="00E16B14" w:rsidRDefault="00E16B14">
      <w:pPr>
        <w:spacing w:line="360" w:lineRule="auto"/>
        <w:jc w:val="both"/>
        <w:rPr>
          <w:rFonts w:ascii="Times New Roman" w:eastAsia="Times New Roman" w:hAnsi="Times New Roman" w:cs="Times New Roman"/>
          <w:sz w:val="24"/>
          <w:szCs w:val="24"/>
        </w:rPr>
      </w:pPr>
      <w:proofErr w:type="spellStart"/>
      <w:r w:rsidRPr="00E16B14">
        <w:rPr>
          <w:rFonts w:ascii="Times New Roman" w:eastAsia="Times New Roman" w:hAnsi="Times New Roman" w:cs="Times New Roman"/>
          <w:color w:val="222222"/>
          <w:sz w:val="24"/>
          <w:szCs w:val="24"/>
        </w:rPr>
        <w:t>Drolet</w:t>
      </w:r>
      <w:proofErr w:type="spellEnd"/>
      <w:r w:rsidRPr="00E16B14">
        <w:rPr>
          <w:rFonts w:ascii="Times New Roman" w:eastAsia="Times New Roman" w:hAnsi="Times New Roman" w:cs="Times New Roman"/>
          <w:color w:val="222222"/>
          <w:sz w:val="24"/>
          <w:szCs w:val="24"/>
        </w:rPr>
        <w:t>, M.J., Rose-</w:t>
      </w:r>
      <w:proofErr w:type="spellStart"/>
      <w:r w:rsidRPr="00E16B14">
        <w:rPr>
          <w:rFonts w:ascii="Times New Roman" w:eastAsia="Times New Roman" w:hAnsi="Times New Roman" w:cs="Times New Roman"/>
          <w:color w:val="222222"/>
          <w:sz w:val="24"/>
          <w:szCs w:val="24"/>
        </w:rPr>
        <w:t>Derouin</w:t>
      </w:r>
      <w:proofErr w:type="spellEnd"/>
      <w:r w:rsidRPr="00E16B14">
        <w:rPr>
          <w:rFonts w:ascii="Times New Roman" w:eastAsia="Times New Roman" w:hAnsi="Times New Roman" w:cs="Times New Roman"/>
          <w:color w:val="222222"/>
          <w:sz w:val="24"/>
          <w:szCs w:val="24"/>
        </w:rPr>
        <w:t xml:space="preserve">, E., Leblanc, J.C., </w:t>
      </w:r>
      <w:proofErr w:type="spellStart"/>
      <w:r w:rsidRPr="00E16B14">
        <w:rPr>
          <w:rFonts w:ascii="Times New Roman" w:eastAsia="Times New Roman" w:hAnsi="Times New Roman" w:cs="Times New Roman"/>
          <w:color w:val="222222"/>
          <w:sz w:val="24"/>
          <w:szCs w:val="24"/>
        </w:rPr>
        <w:t>Ruest</w:t>
      </w:r>
      <w:proofErr w:type="spellEnd"/>
      <w:r w:rsidRPr="00E16B14">
        <w:rPr>
          <w:rFonts w:ascii="Times New Roman" w:eastAsia="Times New Roman" w:hAnsi="Times New Roman" w:cs="Times New Roman"/>
          <w:color w:val="222222"/>
          <w:sz w:val="24"/>
          <w:szCs w:val="24"/>
        </w:rPr>
        <w:t xml:space="preserve">, M. and Williams-Jones, B., 2023. Ethical issues in research: Perceptions of researchers, research ethics board members and research ethics experts. </w:t>
      </w:r>
      <w:r w:rsidRPr="00E16B14">
        <w:rPr>
          <w:rFonts w:ascii="Times New Roman" w:eastAsia="Times New Roman" w:hAnsi="Times New Roman" w:cs="Times New Roman"/>
          <w:i/>
          <w:iCs/>
          <w:color w:val="222222"/>
          <w:sz w:val="24"/>
          <w:szCs w:val="24"/>
        </w:rPr>
        <w:t>Journal of academic ethics</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21</w:t>
      </w:r>
      <w:r w:rsidRPr="00E16B14">
        <w:rPr>
          <w:rFonts w:ascii="Times New Roman" w:eastAsia="Times New Roman" w:hAnsi="Times New Roman" w:cs="Times New Roman"/>
          <w:color w:val="222222"/>
          <w:sz w:val="24"/>
          <w:szCs w:val="24"/>
        </w:rPr>
        <w:t>(2), pp.269-292.</w:t>
      </w:r>
    </w:p>
    <w:p w14:paraId="4D254CCC"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E16B14">
        <w:rPr>
          <w:rFonts w:ascii="Times New Roman" w:eastAsia="Times New Roman" w:hAnsi="Times New Roman" w:cs="Times New Roman"/>
          <w:color w:val="222222"/>
          <w:sz w:val="24"/>
          <w:szCs w:val="24"/>
        </w:rPr>
        <w:t xml:space="preserve">Ghosh, D., Biswas, A. and </w:t>
      </w:r>
      <w:proofErr w:type="spellStart"/>
      <w:r w:rsidRPr="00E16B14">
        <w:rPr>
          <w:rFonts w:ascii="Times New Roman" w:eastAsia="Times New Roman" w:hAnsi="Times New Roman" w:cs="Times New Roman"/>
          <w:color w:val="222222"/>
          <w:sz w:val="24"/>
          <w:szCs w:val="24"/>
        </w:rPr>
        <w:t>Radhakrishna</w:t>
      </w:r>
      <w:proofErr w:type="spellEnd"/>
      <w:r w:rsidRPr="00E16B14">
        <w:rPr>
          <w:rFonts w:ascii="Times New Roman" w:eastAsia="Times New Roman" w:hAnsi="Times New Roman" w:cs="Times New Roman"/>
          <w:color w:val="222222"/>
          <w:sz w:val="24"/>
          <w:szCs w:val="24"/>
        </w:rPr>
        <w:t xml:space="preserve">, M., 2024. Advanced computational approaches to understand protein aggregation. </w:t>
      </w:r>
      <w:r w:rsidRPr="00E16B14">
        <w:rPr>
          <w:rFonts w:ascii="Times New Roman" w:eastAsia="Times New Roman" w:hAnsi="Times New Roman" w:cs="Times New Roman"/>
          <w:i/>
          <w:iCs/>
          <w:color w:val="222222"/>
          <w:sz w:val="24"/>
          <w:szCs w:val="24"/>
        </w:rPr>
        <w:t>Biophysics Reviews</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5</w:t>
      </w:r>
      <w:r w:rsidRPr="00E16B14">
        <w:rPr>
          <w:rFonts w:ascii="Times New Roman" w:eastAsia="Times New Roman" w:hAnsi="Times New Roman" w:cs="Times New Roman"/>
          <w:color w:val="222222"/>
          <w:sz w:val="24"/>
          <w:szCs w:val="24"/>
        </w:rPr>
        <w:t>(2).</w:t>
      </w:r>
      <w:r w:rsidRPr="00E16B14">
        <w:rPr>
          <w:rFonts w:ascii="Times New Roman" w:eastAsia="Times New Roman" w:hAnsi="Times New Roman" w:cs="Times New Roman"/>
          <w:color w:val="000000"/>
          <w:sz w:val="24"/>
          <w:szCs w:val="24"/>
        </w:rPr>
        <w:t> </w:t>
      </w:r>
    </w:p>
    <w:p w14:paraId="2B000F71"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sidRPr="00E16B14">
        <w:rPr>
          <w:rFonts w:ascii="Times New Roman" w:eastAsia="Times New Roman" w:hAnsi="Times New Roman" w:cs="Times New Roman"/>
          <w:color w:val="000000"/>
          <w:sz w:val="24"/>
          <w:szCs w:val="24"/>
        </w:rPr>
        <w:t>Grandviewresearch</w:t>
      </w:r>
      <w:proofErr w:type="spellEnd"/>
      <w:r w:rsidRPr="00E16B14">
        <w:rPr>
          <w:rFonts w:ascii="Times New Roman" w:eastAsia="Times New Roman" w:hAnsi="Times New Roman" w:cs="Times New Roman"/>
          <w:color w:val="000000"/>
          <w:sz w:val="24"/>
          <w:szCs w:val="24"/>
        </w:rPr>
        <w:t xml:space="preserve">, 2026. </w:t>
      </w:r>
      <w:proofErr w:type="spellStart"/>
      <w:r w:rsidRPr="00E16B14">
        <w:rPr>
          <w:rFonts w:ascii="Times New Roman" w:eastAsia="Times New Roman" w:hAnsi="Times New Roman" w:cs="Times New Roman"/>
          <w:color w:val="000000"/>
          <w:sz w:val="24"/>
          <w:szCs w:val="24"/>
        </w:rPr>
        <w:t>Biosimilars</w:t>
      </w:r>
      <w:proofErr w:type="spellEnd"/>
      <w:r w:rsidRPr="00E16B14">
        <w:rPr>
          <w:rFonts w:ascii="Times New Roman" w:eastAsia="Times New Roman" w:hAnsi="Times New Roman" w:cs="Times New Roman"/>
          <w:color w:val="000000"/>
          <w:sz w:val="24"/>
          <w:szCs w:val="24"/>
        </w:rPr>
        <w:t xml:space="preserve"> Market Summary. </w:t>
      </w:r>
      <w:proofErr w:type="spellStart"/>
      <w:r w:rsidRPr="00E16B14">
        <w:rPr>
          <w:rFonts w:ascii="Times New Roman" w:eastAsia="Times New Roman" w:hAnsi="Times New Roman" w:cs="Times New Roman"/>
          <w:color w:val="000000"/>
          <w:sz w:val="24"/>
          <w:szCs w:val="24"/>
        </w:rPr>
        <w:t>Biosimilars</w:t>
      </w:r>
      <w:proofErr w:type="spellEnd"/>
      <w:r w:rsidRPr="00E16B14">
        <w:rPr>
          <w:rFonts w:ascii="Times New Roman" w:eastAsia="Times New Roman" w:hAnsi="Times New Roman" w:cs="Times New Roman"/>
          <w:color w:val="000000"/>
          <w:sz w:val="24"/>
          <w:szCs w:val="24"/>
        </w:rPr>
        <w:t xml:space="preserve"> Market (2026 - 2033). [Online]. Available at: </w:t>
      </w:r>
      <w:hyperlink r:id="rId20">
        <w:r w:rsidRPr="00E16B14">
          <w:rPr>
            <w:rFonts w:ascii="Times New Roman" w:eastAsia="Times New Roman" w:hAnsi="Times New Roman" w:cs="Times New Roman"/>
            <w:color w:val="1155CC"/>
            <w:sz w:val="24"/>
            <w:szCs w:val="24"/>
            <w:u w:val="single"/>
          </w:rPr>
          <w:t>https://www.grandviewresearch.com/industry-analysis/biosimilars-market</w:t>
        </w:r>
      </w:hyperlink>
      <w:r w:rsidRPr="00E16B14">
        <w:rPr>
          <w:rFonts w:ascii="Times New Roman" w:eastAsia="Times New Roman" w:hAnsi="Times New Roman" w:cs="Times New Roman"/>
          <w:color w:val="000000"/>
          <w:sz w:val="24"/>
          <w:szCs w:val="24"/>
        </w:rPr>
        <w:t xml:space="preserve"> [Accessed on: 10.09.2026].</w:t>
      </w:r>
    </w:p>
    <w:p w14:paraId="3C5D3A04"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color w:val="222222"/>
          <w:sz w:val="24"/>
          <w:szCs w:val="24"/>
        </w:rPr>
        <w:t xml:space="preserve">Hall, J.R., </w:t>
      </w:r>
      <w:proofErr w:type="spellStart"/>
      <w:r w:rsidRPr="00E16B14">
        <w:rPr>
          <w:rFonts w:ascii="Times New Roman" w:eastAsia="Times New Roman" w:hAnsi="Times New Roman" w:cs="Times New Roman"/>
          <w:color w:val="222222"/>
          <w:sz w:val="24"/>
          <w:szCs w:val="24"/>
        </w:rPr>
        <w:t>Savas</w:t>
      </w:r>
      <w:proofErr w:type="spellEnd"/>
      <w:r w:rsidRPr="00E16B14">
        <w:rPr>
          <w:rFonts w:ascii="Times New Roman" w:eastAsia="Times New Roman" w:hAnsi="Times New Roman" w:cs="Times New Roman"/>
          <w:color w:val="222222"/>
          <w:sz w:val="24"/>
          <w:szCs w:val="24"/>
        </w:rPr>
        <w:t xml:space="preserve">-Hall, S. and Shaw, E.H., 2023. A deductive approach to a systematic review of entrepreneurship literature. </w:t>
      </w:r>
      <w:r w:rsidRPr="00E16B14">
        <w:rPr>
          <w:rFonts w:ascii="Times New Roman" w:eastAsia="Times New Roman" w:hAnsi="Times New Roman" w:cs="Times New Roman"/>
          <w:i/>
          <w:iCs/>
          <w:color w:val="222222"/>
          <w:sz w:val="24"/>
          <w:szCs w:val="24"/>
        </w:rPr>
        <w:t>Management Review Quarterly</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73</w:t>
      </w:r>
      <w:r w:rsidRPr="00E16B14">
        <w:rPr>
          <w:rFonts w:ascii="Times New Roman" w:eastAsia="Times New Roman" w:hAnsi="Times New Roman" w:cs="Times New Roman"/>
          <w:color w:val="222222"/>
          <w:sz w:val="24"/>
          <w:szCs w:val="24"/>
        </w:rPr>
        <w:t>(3), pp.987-1016.</w:t>
      </w:r>
    </w:p>
    <w:p w14:paraId="5F878EBB"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color w:val="222222"/>
          <w:sz w:val="24"/>
          <w:szCs w:val="24"/>
        </w:rPr>
        <w:t xml:space="preserve">Hampson, T. and McKinley, J., 2023. Problems posing as solutions: Criticising pragmatism as a paradigm for mixed research. </w:t>
      </w:r>
      <w:r w:rsidRPr="00E16B14">
        <w:rPr>
          <w:rFonts w:ascii="Times New Roman" w:eastAsia="Times New Roman" w:hAnsi="Times New Roman" w:cs="Times New Roman"/>
          <w:i/>
          <w:iCs/>
          <w:color w:val="222222"/>
          <w:sz w:val="24"/>
          <w:szCs w:val="24"/>
        </w:rPr>
        <w:t>Research in Education</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116</w:t>
      </w:r>
      <w:r w:rsidRPr="00E16B14">
        <w:rPr>
          <w:rFonts w:ascii="Times New Roman" w:eastAsia="Times New Roman" w:hAnsi="Times New Roman" w:cs="Times New Roman"/>
          <w:color w:val="222222"/>
          <w:sz w:val="24"/>
          <w:szCs w:val="24"/>
        </w:rPr>
        <w:t>(1), pp.124-138.</w:t>
      </w:r>
    </w:p>
    <w:p w14:paraId="6E7B8F9F"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sidRPr="00E16B14">
        <w:rPr>
          <w:rFonts w:ascii="Times New Roman" w:eastAsia="Times New Roman" w:hAnsi="Times New Roman" w:cs="Times New Roman"/>
          <w:color w:val="222222"/>
          <w:sz w:val="24"/>
          <w:szCs w:val="24"/>
        </w:rPr>
        <w:t>Kvien</w:t>
      </w:r>
      <w:proofErr w:type="spellEnd"/>
      <w:r w:rsidRPr="00E16B14">
        <w:rPr>
          <w:rFonts w:ascii="Times New Roman" w:eastAsia="Times New Roman" w:hAnsi="Times New Roman" w:cs="Times New Roman"/>
          <w:color w:val="222222"/>
          <w:sz w:val="24"/>
          <w:szCs w:val="24"/>
        </w:rPr>
        <w:t xml:space="preserve">, T.K., Patel, K. and Strand, V., 2022, February. The cost savings of </w:t>
      </w:r>
      <w:proofErr w:type="spellStart"/>
      <w:r w:rsidRPr="00E16B14">
        <w:rPr>
          <w:rFonts w:ascii="Times New Roman" w:eastAsia="Times New Roman" w:hAnsi="Times New Roman" w:cs="Times New Roman"/>
          <w:color w:val="222222"/>
          <w:sz w:val="24"/>
          <w:szCs w:val="24"/>
        </w:rPr>
        <w:t>biosimilars</w:t>
      </w:r>
      <w:proofErr w:type="spellEnd"/>
      <w:r w:rsidRPr="00E16B14">
        <w:rPr>
          <w:rFonts w:ascii="Times New Roman" w:eastAsia="Times New Roman" w:hAnsi="Times New Roman" w:cs="Times New Roman"/>
          <w:color w:val="222222"/>
          <w:sz w:val="24"/>
          <w:szCs w:val="24"/>
        </w:rPr>
        <w:t xml:space="preserve"> can help increase patient access and lift the financial burden of health care systems. In </w:t>
      </w:r>
      <w:r w:rsidRPr="00E16B14">
        <w:rPr>
          <w:rFonts w:ascii="Times New Roman" w:eastAsia="Times New Roman" w:hAnsi="Times New Roman" w:cs="Times New Roman"/>
          <w:i/>
          <w:iCs/>
          <w:color w:val="222222"/>
          <w:sz w:val="24"/>
          <w:szCs w:val="24"/>
        </w:rPr>
        <w:t>Seminars in arthritis and rheumatism</w:t>
      </w:r>
      <w:r w:rsidRPr="00E16B14">
        <w:rPr>
          <w:rFonts w:ascii="Times New Roman" w:eastAsia="Times New Roman" w:hAnsi="Times New Roman" w:cs="Times New Roman"/>
          <w:color w:val="222222"/>
          <w:sz w:val="24"/>
          <w:szCs w:val="24"/>
        </w:rPr>
        <w:t xml:space="preserve"> (Vol. 52, p. 151939). WB Saunders.</w:t>
      </w:r>
      <w:r w:rsidRPr="00E16B14">
        <w:rPr>
          <w:rFonts w:ascii="Times New Roman" w:eastAsia="Times New Roman" w:hAnsi="Times New Roman" w:cs="Times New Roman"/>
          <w:color w:val="000000"/>
          <w:sz w:val="24"/>
          <w:szCs w:val="24"/>
        </w:rPr>
        <w:t> </w:t>
      </w:r>
    </w:p>
    <w:p w14:paraId="1541B1FD"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color w:val="222222"/>
          <w:sz w:val="24"/>
          <w:szCs w:val="24"/>
        </w:rPr>
        <w:t xml:space="preserve">Nguyen, N.T.A.H., Forman, H.P., </w:t>
      </w:r>
      <w:proofErr w:type="spellStart"/>
      <w:r w:rsidRPr="00E16B14">
        <w:rPr>
          <w:rFonts w:ascii="Times New Roman" w:eastAsia="Times New Roman" w:hAnsi="Times New Roman" w:cs="Times New Roman"/>
          <w:color w:val="222222"/>
          <w:sz w:val="24"/>
          <w:szCs w:val="24"/>
        </w:rPr>
        <w:t>Barbieri</w:t>
      </w:r>
      <w:proofErr w:type="spellEnd"/>
      <w:r w:rsidRPr="00E16B14">
        <w:rPr>
          <w:rFonts w:ascii="Times New Roman" w:eastAsia="Times New Roman" w:hAnsi="Times New Roman" w:cs="Times New Roman"/>
          <w:color w:val="222222"/>
          <w:sz w:val="24"/>
          <w:szCs w:val="24"/>
        </w:rPr>
        <w:t xml:space="preserve">, J.S. and Nguyen, H.P., 2026. Facing the patent cliff: the implications of anticipated biologic and systemic drug patent expirations in dermatology. </w:t>
      </w:r>
      <w:r w:rsidRPr="00E16B14">
        <w:rPr>
          <w:rFonts w:ascii="Times New Roman" w:eastAsia="Times New Roman" w:hAnsi="Times New Roman" w:cs="Times New Roman"/>
          <w:i/>
          <w:iCs/>
          <w:color w:val="222222"/>
          <w:sz w:val="24"/>
          <w:szCs w:val="24"/>
        </w:rPr>
        <w:t>Drugs &amp; Therapy Perspectives</w:t>
      </w:r>
      <w:r w:rsidRPr="00E16B14">
        <w:rPr>
          <w:rFonts w:ascii="Times New Roman" w:eastAsia="Times New Roman" w:hAnsi="Times New Roman" w:cs="Times New Roman"/>
          <w:color w:val="222222"/>
          <w:sz w:val="24"/>
          <w:szCs w:val="24"/>
        </w:rPr>
        <w:t>, pp.1-10.</w:t>
      </w:r>
    </w:p>
    <w:p w14:paraId="1455E7B1" w14:textId="77777777" w:rsidR="00E16B14" w:rsidRPr="00E16B14" w:rsidRDefault="00E16B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sidRPr="00E16B14">
        <w:rPr>
          <w:rFonts w:ascii="Times New Roman" w:eastAsia="Times New Roman" w:hAnsi="Times New Roman" w:cs="Times New Roman"/>
          <w:color w:val="222222"/>
          <w:sz w:val="24"/>
          <w:szCs w:val="24"/>
        </w:rPr>
        <w:t>Nyoni</w:t>
      </w:r>
      <w:proofErr w:type="spellEnd"/>
      <w:r w:rsidRPr="00E16B14">
        <w:rPr>
          <w:rFonts w:ascii="Times New Roman" w:eastAsia="Times New Roman" w:hAnsi="Times New Roman" w:cs="Times New Roman"/>
          <w:color w:val="222222"/>
          <w:sz w:val="24"/>
          <w:szCs w:val="24"/>
        </w:rPr>
        <w:t xml:space="preserve">, R., 2025. Harnessing data analytics for predictive insights: advancing decision-making with big data innovations. </w:t>
      </w:r>
      <w:r w:rsidRPr="00E16B14">
        <w:rPr>
          <w:rFonts w:ascii="Times New Roman" w:eastAsia="Times New Roman" w:hAnsi="Times New Roman" w:cs="Times New Roman"/>
          <w:i/>
          <w:iCs/>
          <w:color w:val="222222"/>
          <w:sz w:val="24"/>
          <w:szCs w:val="24"/>
        </w:rPr>
        <w:t>International Journal of Research Publication and Reviews</w:t>
      </w:r>
      <w:r w:rsidRPr="00E16B14">
        <w:rPr>
          <w:rFonts w:ascii="Times New Roman" w:eastAsia="Times New Roman" w:hAnsi="Times New Roman" w:cs="Times New Roman"/>
          <w:color w:val="222222"/>
          <w:sz w:val="24"/>
          <w:szCs w:val="24"/>
        </w:rPr>
        <w:t xml:space="preserve">, </w:t>
      </w:r>
      <w:r w:rsidRPr="00E16B14">
        <w:rPr>
          <w:rFonts w:ascii="Times New Roman" w:eastAsia="Times New Roman" w:hAnsi="Times New Roman" w:cs="Times New Roman"/>
          <w:i/>
          <w:iCs/>
          <w:color w:val="222222"/>
          <w:sz w:val="24"/>
          <w:szCs w:val="24"/>
        </w:rPr>
        <w:t>6</w:t>
      </w:r>
      <w:r w:rsidRPr="00E16B14">
        <w:rPr>
          <w:rFonts w:ascii="Times New Roman" w:eastAsia="Times New Roman" w:hAnsi="Times New Roman" w:cs="Times New Roman"/>
          <w:color w:val="222222"/>
          <w:sz w:val="24"/>
          <w:szCs w:val="24"/>
        </w:rPr>
        <w:t>(1), pp.2915-2936.</w:t>
      </w:r>
      <w:r w:rsidRPr="00E16B14">
        <w:rPr>
          <w:rFonts w:ascii="Times New Roman" w:eastAsia="Times New Roman" w:hAnsi="Times New Roman" w:cs="Times New Roman"/>
          <w:color w:val="000000"/>
          <w:sz w:val="24"/>
          <w:szCs w:val="24"/>
        </w:rPr>
        <w:t> </w:t>
      </w:r>
    </w:p>
    <w:p w14:paraId="3EA62E4B" w14:textId="77777777" w:rsidR="00E16B14" w:rsidRPr="00E16B14"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sz w:val="24"/>
          <w:szCs w:val="24"/>
        </w:rPr>
        <w:t xml:space="preserve">Reddy, A., 2026. </w:t>
      </w:r>
      <w:proofErr w:type="spellStart"/>
      <w:r w:rsidRPr="00E16B14">
        <w:rPr>
          <w:rFonts w:ascii="Times New Roman" w:eastAsia="Times New Roman" w:hAnsi="Times New Roman" w:cs="Times New Roman"/>
          <w:sz w:val="24"/>
          <w:szCs w:val="24"/>
        </w:rPr>
        <w:t>Biosimilars</w:t>
      </w:r>
      <w:proofErr w:type="spellEnd"/>
      <w:r w:rsidRPr="00E16B14">
        <w:rPr>
          <w:rFonts w:ascii="Times New Roman" w:eastAsia="Times New Roman" w:hAnsi="Times New Roman" w:cs="Times New Roman"/>
          <w:sz w:val="24"/>
          <w:szCs w:val="24"/>
        </w:rPr>
        <w:t xml:space="preserve"> Market Size, Trends, Growth &amp; Forecast 2035. Biosimilar Markets. [Online]. Available at: </w:t>
      </w:r>
      <w:hyperlink r:id="rId21">
        <w:r w:rsidRPr="00E16B14">
          <w:rPr>
            <w:rFonts w:ascii="Times New Roman" w:eastAsia="Times New Roman" w:hAnsi="Times New Roman" w:cs="Times New Roman"/>
            <w:color w:val="1155CC"/>
            <w:sz w:val="24"/>
            <w:szCs w:val="24"/>
            <w:u w:val="single"/>
          </w:rPr>
          <w:t>https://www.datamintelligence.com/research-report/biosimilars-market</w:t>
        </w:r>
      </w:hyperlink>
      <w:r w:rsidRPr="00E16B14">
        <w:rPr>
          <w:rFonts w:ascii="Times New Roman" w:eastAsia="Times New Roman" w:hAnsi="Times New Roman" w:cs="Times New Roman"/>
          <w:sz w:val="24"/>
          <w:szCs w:val="24"/>
        </w:rPr>
        <w:t xml:space="preserve"> [Accessed on: 10.09.2026].</w:t>
      </w:r>
    </w:p>
    <w:p w14:paraId="084AC78B" w14:textId="77777777" w:rsidR="005F1E59" w:rsidRDefault="00E16B14">
      <w:pPr>
        <w:spacing w:line="360" w:lineRule="auto"/>
        <w:jc w:val="both"/>
        <w:rPr>
          <w:rFonts w:ascii="Times New Roman" w:eastAsia="Times New Roman" w:hAnsi="Times New Roman" w:cs="Times New Roman"/>
          <w:sz w:val="24"/>
          <w:szCs w:val="24"/>
        </w:rPr>
      </w:pPr>
      <w:r w:rsidRPr="00E16B14">
        <w:rPr>
          <w:rFonts w:ascii="Times New Roman" w:eastAsia="Times New Roman" w:hAnsi="Times New Roman" w:cs="Times New Roman"/>
          <w:color w:val="222222"/>
          <w:sz w:val="24"/>
          <w:szCs w:val="24"/>
        </w:rPr>
        <w:t xml:space="preserve">Squires, V., 2023. Thematic analysis. In </w:t>
      </w:r>
      <w:r w:rsidRPr="00E16B14">
        <w:rPr>
          <w:rFonts w:ascii="Times New Roman" w:eastAsia="Times New Roman" w:hAnsi="Times New Roman" w:cs="Times New Roman"/>
          <w:i/>
          <w:iCs/>
          <w:color w:val="222222"/>
          <w:sz w:val="24"/>
          <w:szCs w:val="24"/>
        </w:rPr>
        <w:t>Varieties of qualitative research methods: Selected contextual perspectives</w:t>
      </w:r>
      <w:r w:rsidRPr="00E16B14">
        <w:rPr>
          <w:rFonts w:ascii="Times New Roman" w:eastAsia="Times New Roman" w:hAnsi="Times New Roman" w:cs="Times New Roman"/>
          <w:color w:val="222222"/>
          <w:sz w:val="24"/>
          <w:szCs w:val="24"/>
        </w:rPr>
        <w:t xml:space="preserve"> (pp. 463-468). Cham: Springer International Publishing.</w:t>
      </w:r>
    </w:p>
    <w:p w14:paraId="37D5E03C" w14:textId="77777777" w:rsidR="005F1E59" w:rsidRDefault="005F1E59">
      <w:pPr>
        <w:spacing w:line="360" w:lineRule="auto"/>
        <w:jc w:val="both"/>
        <w:rPr>
          <w:rFonts w:ascii="Times New Roman" w:eastAsia="Times New Roman" w:hAnsi="Times New Roman" w:cs="Times New Roman"/>
          <w:sz w:val="24"/>
          <w:szCs w:val="24"/>
        </w:rPr>
      </w:pPr>
    </w:p>
    <w:p w14:paraId="2308353E" w14:textId="77777777" w:rsidR="005F1E59" w:rsidRDefault="005F1E59">
      <w:pPr>
        <w:spacing w:line="360" w:lineRule="auto"/>
        <w:jc w:val="both"/>
        <w:rPr>
          <w:rFonts w:ascii="Times New Roman" w:eastAsia="Times New Roman" w:hAnsi="Times New Roman" w:cs="Times New Roman"/>
          <w:sz w:val="24"/>
          <w:szCs w:val="24"/>
        </w:rPr>
      </w:pPr>
    </w:p>
    <w:p w14:paraId="0CEF3E07" w14:textId="77777777" w:rsidR="005F1E59" w:rsidRDefault="005F1E59">
      <w:pPr>
        <w:spacing w:line="360" w:lineRule="auto"/>
        <w:jc w:val="both"/>
        <w:rPr>
          <w:rFonts w:ascii="Times New Roman" w:eastAsia="Times New Roman" w:hAnsi="Times New Roman" w:cs="Times New Roman"/>
          <w:sz w:val="24"/>
          <w:szCs w:val="24"/>
        </w:rPr>
      </w:pPr>
    </w:p>
    <w:p w14:paraId="512B565A" w14:textId="77777777" w:rsidR="005F1E59" w:rsidRDefault="005F1E59">
      <w:pPr>
        <w:spacing w:line="360" w:lineRule="auto"/>
        <w:jc w:val="both"/>
        <w:rPr>
          <w:rFonts w:ascii="Times New Roman" w:eastAsia="Times New Roman" w:hAnsi="Times New Roman" w:cs="Times New Roman"/>
          <w:sz w:val="24"/>
          <w:szCs w:val="24"/>
        </w:rPr>
      </w:pPr>
    </w:p>
    <w:sectPr w:rsidR="005F1E59" w:rsidSect="00AC0B9E">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F1589" w14:textId="77777777" w:rsidR="00936FC4" w:rsidRDefault="00936FC4">
      <w:pPr>
        <w:spacing w:line="240" w:lineRule="auto"/>
      </w:pPr>
      <w:r>
        <w:separator/>
      </w:r>
    </w:p>
  </w:endnote>
  <w:endnote w:type="continuationSeparator" w:id="0">
    <w:p w14:paraId="6F66BB84" w14:textId="77777777" w:rsidR="00936FC4" w:rsidRDefault="00936F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2C6B57C-B5C5-4986-8D0B-5438C7EA7E69}"/>
  </w:font>
  <w:font w:name="Tahoma">
    <w:panose1 w:val="020B0604030504040204"/>
    <w:charset w:val="00"/>
    <w:family w:val="swiss"/>
    <w:pitch w:val="variable"/>
    <w:sig w:usb0="E1002EFF" w:usb1="C000605B" w:usb2="00000029" w:usb3="00000000" w:csb0="000101FF" w:csb1="00000000"/>
    <w:embedRegular r:id="rId2" w:fontKey="{B5B96FBA-0192-4E4B-BCD1-834BA4417CED}"/>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2E1D8F" w14:textId="77777777" w:rsidR="005F1E59" w:rsidRDefault="002476C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69098B">
      <w:rPr>
        <w:color w:val="000000"/>
      </w:rPr>
      <w:instrText>PAGE</w:instrText>
    </w:r>
    <w:r>
      <w:rPr>
        <w:color w:val="000000"/>
      </w:rPr>
      <w:fldChar w:fldCharType="separate"/>
    </w:r>
    <w:r w:rsidR="0032783B">
      <w:rPr>
        <w:noProof/>
        <w:color w:val="000000"/>
      </w:rPr>
      <w:t>2</w:t>
    </w:r>
    <w:r>
      <w:rPr>
        <w:color w:val="000000"/>
      </w:rPr>
      <w:fldChar w:fldCharType="end"/>
    </w:r>
  </w:p>
  <w:p w14:paraId="0C30CC5F" w14:textId="77777777" w:rsidR="005F1E59" w:rsidRDefault="005F1E5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6D097" w14:textId="77777777" w:rsidR="00936FC4" w:rsidRDefault="00936FC4">
      <w:pPr>
        <w:spacing w:line="240" w:lineRule="auto"/>
      </w:pPr>
      <w:r>
        <w:separator/>
      </w:r>
    </w:p>
  </w:footnote>
  <w:footnote w:type="continuationSeparator" w:id="0">
    <w:p w14:paraId="014E47F5" w14:textId="77777777" w:rsidR="00936FC4" w:rsidRDefault="00936F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1757C"/>
    <w:multiLevelType w:val="multilevel"/>
    <w:tmpl w:val="D9842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306403"/>
    <w:multiLevelType w:val="multilevel"/>
    <w:tmpl w:val="15863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01641E"/>
    <w:multiLevelType w:val="multilevel"/>
    <w:tmpl w:val="2A5A0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2589666">
    <w:abstractNumId w:val="2"/>
  </w:num>
  <w:num w:numId="2" w16cid:durableId="1629775508">
    <w:abstractNumId w:val="0"/>
  </w:num>
  <w:num w:numId="3" w16cid:durableId="547574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E59"/>
    <w:rsid w:val="001774C7"/>
    <w:rsid w:val="002476C9"/>
    <w:rsid w:val="0032783B"/>
    <w:rsid w:val="003E79EC"/>
    <w:rsid w:val="004D3143"/>
    <w:rsid w:val="005F1E59"/>
    <w:rsid w:val="0069098B"/>
    <w:rsid w:val="006E7CD6"/>
    <w:rsid w:val="00797387"/>
    <w:rsid w:val="00936FC4"/>
    <w:rsid w:val="009525FC"/>
    <w:rsid w:val="00AC0B9E"/>
    <w:rsid w:val="00B72245"/>
    <w:rsid w:val="00B827AE"/>
    <w:rsid w:val="00E16B14"/>
    <w:rsid w:val="00E576CE"/>
    <w:rsid w:val="00F009E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6E9B"/>
  <w15:docId w15:val="{1B6C83FC-A6B3-0445-9BC5-E034F4ADF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6C9"/>
  </w:style>
  <w:style w:type="paragraph" w:styleId="Heading1">
    <w:name w:val="heading 1"/>
    <w:basedOn w:val="Normal"/>
    <w:next w:val="Normal"/>
    <w:uiPriority w:val="9"/>
    <w:qFormat/>
    <w:rsid w:val="002476C9"/>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2476C9"/>
    <w:pPr>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rsid w:val="002476C9"/>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2476C9"/>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476C9"/>
    <w:pPr>
      <w:keepNext/>
      <w:keepLines/>
      <w:spacing w:before="240" w:after="80"/>
      <w:outlineLvl w:val="4"/>
    </w:pPr>
    <w:rPr>
      <w:color w:val="666666"/>
    </w:rPr>
  </w:style>
  <w:style w:type="paragraph" w:styleId="Heading6">
    <w:name w:val="heading 6"/>
    <w:basedOn w:val="Normal"/>
    <w:next w:val="Normal"/>
    <w:uiPriority w:val="9"/>
    <w:semiHidden/>
    <w:unhideWhenUsed/>
    <w:qFormat/>
    <w:rsid w:val="002476C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476C9"/>
    <w:tblPr>
      <w:tblCellMar>
        <w:top w:w="100" w:type="dxa"/>
        <w:left w:w="100" w:type="dxa"/>
        <w:bottom w:w="100" w:type="dxa"/>
        <w:right w:w="100" w:type="dxa"/>
      </w:tblCellMar>
    </w:tblPr>
  </w:style>
  <w:style w:type="paragraph" w:styleId="Title">
    <w:name w:val="Title"/>
    <w:basedOn w:val="Normal"/>
    <w:next w:val="Normal"/>
    <w:uiPriority w:val="10"/>
    <w:qFormat/>
    <w:rsid w:val="002476C9"/>
    <w:pPr>
      <w:keepNext/>
      <w:keepLines/>
      <w:spacing w:after="60"/>
    </w:pPr>
    <w:rPr>
      <w:sz w:val="52"/>
      <w:szCs w:val="52"/>
    </w:rPr>
  </w:style>
  <w:style w:type="table" w:customStyle="1" w:styleId="TableNormal1">
    <w:name w:val="TableNormal"/>
    <w:rsid w:val="002476C9"/>
    <w:tblPr>
      <w:tblCellMar>
        <w:top w:w="100" w:type="dxa"/>
        <w:left w:w="100" w:type="dxa"/>
        <w:bottom w:w="100" w:type="dxa"/>
        <w:right w:w="100" w:type="dxa"/>
      </w:tblCellMar>
    </w:tblPr>
  </w:style>
  <w:style w:type="paragraph" w:styleId="Header">
    <w:name w:val="header"/>
    <w:basedOn w:val="Normal"/>
    <w:link w:val="HeaderChar"/>
    <w:uiPriority w:val="99"/>
    <w:unhideWhenUsed/>
    <w:rsid w:val="00B97F78"/>
    <w:pPr>
      <w:tabs>
        <w:tab w:val="center" w:pos="4513"/>
        <w:tab w:val="right" w:pos="9026"/>
      </w:tabs>
      <w:spacing w:line="240" w:lineRule="auto"/>
    </w:pPr>
  </w:style>
  <w:style w:type="character" w:customStyle="1" w:styleId="HeaderChar">
    <w:name w:val="Header Char"/>
    <w:basedOn w:val="DefaultParagraphFont"/>
    <w:link w:val="Header"/>
    <w:uiPriority w:val="99"/>
    <w:rsid w:val="00B97F78"/>
  </w:style>
  <w:style w:type="paragraph" w:styleId="Footer">
    <w:name w:val="footer"/>
    <w:basedOn w:val="Normal"/>
    <w:link w:val="FooterChar"/>
    <w:uiPriority w:val="99"/>
    <w:unhideWhenUsed/>
    <w:rsid w:val="00B97F78"/>
    <w:pPr>
      <w:tabs>
        <w:tab w:val="center" w:pos="4513"/>
        <w:tab w:val="right" w:pos="9026"/>
      </w:tabs>
      <w:spacing w:line="240" w:lineRule="auto"/>
    </w:pPr>
  </w:style>
  <w:style w:type="character" w:customStyle="1" w:styleId="FooterChar">
    <w:name w:val="Footer Char"/>
    <w:basedOn w:val="DefaultParagraphFont"/>
    <w:link w:val="Footer"/>
    <w:uiPriority w:val="99"/>
    <w:rsid w:val="00B97F78"/>
  </w:style>
  <w:style w:type="paragraph" w:styleId="TOCHeading">
    <w:name w:val="TOC Heading"/>
    <w:basedOn w:val="Heading1"/>
    <w:next w:val="Normal"/>
    <w:uiPriority w:val="39"/>
    <w:unhideWhenUsed/>
    <w:qFormat/>
    <w:rsid w:val="00DC188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525FC"/>
    <w:pPr>
      <w:tabs>
        <w:tab w:val="right" w:leader="dot" w:pos="9350"/>
      </w:tabs>
      <w:spacing w:line="360" w:lineRule="auto"/>
      <w:jc w:val="both"/>
    </w:pPr>
  </w:style>
  <w:style w:type="character" w:styleId="Hyperlink">
    <w:name w:val="Hyperlink"/>
    <w:basedOn w:val="DefaultParagraphFont"/>
    <w:uiPriority w:val="99"/>
    <w:unhideWhenUsed/>
    <w:rsid w:val="00DC1883"/>
    <w:rPr>
      <w:color w:val="0000FF" w:themeColor="hyperlink"/>
      <w:u w:val="single"/>
    </w:rPr>
  </w:style>
  <w:style w:type="character" w:customStyle="1" w:styleId="cursor-pointer">
    <w:name w:val="cursor-pointer"/>
    <w:basedOn w:val="DefaultParagraphFont"/>
    <w:rsid w:val="0069580D"/>
  </w:style>
  <w:style w:type="paragraph" w:styleId="NormalWeb">
    <w:name w:val="Normal (Web)"/>
    <w:basedOn w:val="Normal"/>
    <w:uiPriority w:val="99"/>
    <w:unhideWhenUsed/>
    <w:rsid w:val="00D262EB"/>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2">
    <w:name w:val="toc 2"/>
    <w:basedOn w:val="Normal"/>
    <w:next w:val="Normal"/>
    <w:autoRedefine/>
    <w:uiPriority w:val="39"/>
    <w:unhideWhenUsed/>
    <w:rsid w:val="00922722"/>
    <w:pPr>
      <w:spacing w:after="100"/>
      <w:ind w:left="220"/>
    </w:pPr>
  </w:style>
  <w:style w:type="paragraph" w:styleId="Subtitle">
    <w:name w:val="Subtitle"/>
    <w:basedOn w:val="Normal"/>
    <w:next w:val="Normal"/>
    <w:uiPriority w:val="11"/>
    <w:qFormat/>
    <w:rsid w:val="002476C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722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2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iocon.com/more/contact-us/" TargetMode="External" /><Relationship Id="rId18" Type="http://schemas.openxmlformats.org/officeDocument/2006/relationships/hyperlink" Target="https://www.delveinsight.com/whitepaper-newsletter/pharma-patent-cliff" TargetMode="External" /><Relationship Id="rId3" Type="http://schemas.openxmlformats.org/officeDocument/2006/relationships/styles" Target="styles.xml" /><Relationship Id="rId21" Type="http://schemas.openxmlformats.org/officeDocument/2006/relationships/hyperlink" Target="https://www.datamintelligence.com/research-report/biosimilars-market" TargetMode="External" /><Relationship Id="rId7" Type="http://schemas.openxmlformats.org/officeDocument/2006/relationships/endnotes" Target="endnotes.xml" /><Relationship Id="rId12" Type="http://schemas.openxmlformats.org/officeDocument/2006/relationships/hyperlink" Target="https://www.sandoz.com/sandoz-hosts-capital-markets-day-and-unveils-bio100-ambition-maximising-sandoz-value-its-golden/" TargetMode="External" /><Relationship Id="rId17" Type="http://schemas.openxmlformats.org/officeDocument/2006/relationships/hyperlink" Target="https://www.mckinsey.com/industries/life-sciences/our-insights/an-inflection-point-for-biosimilars" TargetMode="External" /><Relationship Id="rId2" Type="http://schemas.openxmlformats.org/officeDocument/2006/relationships/numbering" Target="numbering.xml" /><Relationship Id="rId16" Type="http://schemas.openxmlformats.org/officeDocument/2006/relationships/hyperlink" Target="https://www.mckinsey.com/industries/life-sciences/our-insights/an-inflection-point-for-biosimilars" TargetMode="External" /><Relationship Id="rId20" Type="http://schemas.openxmlformats.org/officeDocument/2006/relationships/hyperlink" Target="https://www.grandviewresearch.com/industry-analysis/biosimilars-market"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biocon.com/docs/Biocon_Integrated_Annual_Report_2026.pdf" TargetMode="External"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delveinsight.com/whitepaper-newsletter/pharma-patent-clif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iocon.com/businesses/biosimilars/research-and-development/" TargetMode="External" /><Relationship Id="rId22"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X0pVhJWhGPjlPmVXL+MVDHh9Ww==">CgMxLjAyDmguOHBqcXdqYnd1cno2Mg5oLm9obXdtNnJyM3NhczIOaC45YnRpaDRqa2d6dGYyDmgucnVxOWY2d241cXZ1Mg5oLm4wdGZ5NHhhazF3bzIOaC5xaHBvOTBjaGt1MmIyDmgucGFrbTZvZ2V1dTloMg5oLjlkZm13bXhwdDFxdzIOaC5xemhkMnd3cDlvczQyDmguZ2VkNThham5rMjMwMg5oLm8xNjN2aDd0Zng0ZjIOaC5jdHN6bW42eGcwbnMyDmguNWZpMzlwdHJqaGlwMg5oLjk5NG5kMm9zazN6MzIOaC5saXlnNDkxY2c0MmkyDWguMjhpYmdiNzE1dHMyDmguNzRiaHFiMjh1bHpuMg5oLjc5MjM0NmlkZDUyMDgAciExb0FPeEpESmk5WVc5V1psb19CYW4xTzVzV3Q2TGFOb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3589</Words>
  <Characters>20460</Characters>
  <Application>Microsoft Office Word</Application>
  <DocSecurity>0</DocSecurity>
  <Lines>170</Lines>
  <Paragraphs>48</Paragraphs>
  <ScaleCrop>false</ScaleCrop>
  <Company/>
  <LinksUpToDate>false</LinksUpToDate>
  <CharactersWithSpaces>24001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Masaribhai Modhwadiya (2529489)</cp:lastModifiedBy>
  <cp:revision>2</cp:revision>
  <dcterms:created xsi:type="dcterms:W3CDTF">2026-10-09T06:30:00Z</dcterms:created>
  <dcterms:modified xsi:type="dcterms:W3CDTF">2026-10-09T06:30:00Z</dcterms:modified>
</cp:coreProperties>
</file>