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720B8" w14:textId="77777777" w:rsidR="001837BD" w:rsidRDefault="001837BD" w:rsidP="001837BD">
      <w:r>
        <w:rPr>
          <w:noProof/>
        </w:rPr>
        <w:drawing>
          <wp:inline distT="0" distB="0" distL="0" distR="0" wp14:anchorId="50F45555" wp14:editId="487A8D26">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4DED576" w14:textId="77777777" w:rsidR="001837BD" w:rsidRPr="00A47621" w:rsidRDefault="001837BD" w:rsidP="001837BD">
      <w:pPr>
        <w:rPr>
          <w:rFonts w:ascii="Times New Roman" w:hAnsi="Times New Roman" w:cs="Times New Roman"/>
        </w:rPr>
      </w:pPr>
    </w:p>
    <w:p w14:paraId="03AFE690" w14:textId="77777777" w:rsidR="001837BD" w:rsidRPr="00F927A1" w:rsidRDefault="001837BD" w:rsidP="001837BD">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0E2CDBDC" w14:textId="77777777" w:rsidR="001837BD" w:rsidRPr="00DC2924" w:rsidRDefault="001837BD" w:rsidP="001837BD">
      <w:pPr>
        <w:ind w:right="-957"/>
        <w:rPr>
          <w:rFonts w:ascii="Times New Roman" w:hAnsi="Times New Roman" w:cs="Times New Roman"/>
          <w:b/>
          <w:sz w:val="48"/>
        </w:rPr>
      </w:pPr>
      <w:r w:rsidRPr="00DC2924">
        <w:rPr>
          <w:rFonts w:ascii="Times New Roman" w:hAnsi="Times New Roman" w:cs="Times New Roman"/>
          <w:b/>
          <w:sz w:val="48"/>
        </w:rPr>
        <w:t>LEVEL 6 - 60 Credits</w:t>
      </w:r>
    </w:p>
    <w:p w14:paraId="69FB4D94" w14:textId="77777777" w:rsidR="001837BD" w:rsidRPr="0085230E" w:rsidRDefault="001837BD" w:rsidP="001837BD">
      <w:pPr>
        <w:ind w:right="-957"/>
        <w:rPr>
          <w:rFonts w:ascii="Times New Roman" w:hAnsi="Times New Roman" w:cs="Times New Roman"/>
          <w:b/>
          <w:sz w:val="48"/>
        </w:rPr>
      </w:pPr>
      <w:r w:rsidRPr="00DC2924">
        <w:rPr>
          <w:rFonts w:ascii="Times New Roman" w:hAnsi="Times New Roman" w:cs="Times New Roman"/>
          <w:b/>
          <w:sz w:val="48"/>
        </w:rPr>
        <w:t>BMPF6044</w:t>
      </w:r>
    </w:p>
    <w:p w14:paraId="5CB698F8" w14:textId="77777777" w:rsidR="001837BD" w:rsidRPr="00FE5F90" w:rsidRDefault="001837BD" w:rsidP="001837BD">
      <w:pPr>
        <w:ind w:right="-957"/>
        <w:rPr>
          <w:rFonts w:ascii="Times New Roman" w:hAnsi="Times New Roman" w:cs="Times New Roman"/>
          <w:b/>
          <w:sz w:val="18"/>
          <w:szCs w:val="2"/>
        </w:rPr>
      </w:pPr>
    </w:p>
    <w:p w14:paraId="64174380" w14:textId="77777777" w:rsidR="001837BD" w:rsidRPr="00F927A1" w:rsidRDefault="001837BD" w:rsidP="001837BD">
      <w:pPr>
        <w:ind w:right="-957"/>
        <w:rPr>
          <w:rFonts w:ascii="Times New Roman" w:hAnsi="Times New Roman" w:cs="Times New Roman"/>
          <w:b/>
          <w:sz w:val="48"/>
        </w:rPr>
      </w:pPr>
      <w:r>
        <w:rPr>
          <w:rFonts w:ascii="Times New Roman" w:hAnsi="Times New Roman" w:cs="Times New Roman"/>
          <w:b/>
          <w:sz w:val="48"/>
        </w:rPr>
        <w:t>LEARNER PORTFOLIO</w:t>
      </w:r>
    </w:p>
    <w:p w14:paraId="776AD57B" w14:textId="6847F2B8" w:rsidR="001837BD" w:rsidRPr="001837BD" w:rsidRDefault="001837BD" w:rsidP="001837BD">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588CC3E5" w14:textId="77777777" w:rsidR="001837BD" w:rsidRPr="00F927A1" w:rsidRDefault="001837BD" w:rsidP="001837BD">
      <w:pPr>
        <w:ind w:right="-957"/>
        <w:rPr>
          <w:rFonts w:ascii="Times New Roman" w:hAnsi="Times New Roman" w:cs="Times New Roman"/>
          <w:b/>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1837BD" w:rsidRPr="005D3F07" w14:paraId="4BD93F07" w14:textId="77777777" w:rsidTr="00D031BC">
        <w:tc>
          <w:tcPr>
            <w:tcW w:w="10368" w:type="dxa"/>
          </w:tcPr>
          <w:p w14:paraId="2B441DE8" w14:textId="77777777" w:rsidR="001837BD" w:rsidRDefault="001837BD" w:rsidP="00D031BC">
            <w:pPr>
              <w:ind w:right="-957"/>
              <w:rPr>
                <w:rFonts w:ascii="Times New Roman" w:hAnsi="Times New Roman" w:cs="Times New Roman"/>
                <w:b/>
                <w:sz w:val="48"/>
              </w:rPr>
            </w:pPr>
            <w:r>
              <w:rPr>
                <w:rFonts w:ascii="Times New Roman" w:hAnsi="Times New Roman" w:cs="Times New Roman"/>
                <w:b/>
                <w:sz w:val="48"/>
              </w:rPr>
              <w:t xml:space="preserve">Learner’s name: </w:t>
            </w:r>
          </w:p>
          <w:p w14:paraId="6F3C0E77" w14:textId="46A03868" w:rsidR="001837BD" w:rsidRDefault="00CD07CC" w:rsidP="00D031BC">
            <w:pPr>
              <w:ind w:right="-957"/>
              <w:rPr>
                <w:rFonts w:ascii="Times New Roman" w:hAnsi="Times New Roman" w:cs="Times New Roman"/>
                <w:b/>
                <w:sz w:val="48"/>
              </w:rPr>
            </w:pPr>
            <w:r>
              <w:rPr>
                <w:rFonts w:ascii="Times New Roman" w:hAnsi="Times New Roman" w:cs="Times New Roman"/>
                <w:b/>
                <w:sz w:val="48"/>
              </w:rPr>
              <w:t>Salmaan Ali</w:t>
            </w:r>
          </w:p>
          <w:p w14:paraId="6E03EC7B" w14:textId="77777777" w:rsidR="001837BD" w:rsidRDefault="001837BD" w:rsidP="00D031BC">
            <w:pPr>
              <w:ind w:right="-957"/>
              <w:rPr>
                <w:rFonts w:ascii="Times New Roman" w:hAnsi="Times New Roman" w:cs="Times New Roman"/>
                <w:b/>
                <w:sz w:val="48"/>
              </w:rPr>
            </w:pPr>
            <w:r>
              <w:rPr>
                <w:rFonts w:ascii="Times New Roman" w:hAnsi="Times New Roman" w:cs="Times New Roman"/>
                <w:b/>
                <w:sz w:val="48"/>
              </w:rPr>
              <w:t>Email address:</w:t>
            </w:r>
          </w:p>
          <w:p w14:paraId="27941143" w14:textId="4293622E" w:rsidR="001837BD" w:rsidRDefault="00F47A0B" w:rsidP="00D031BC">
            <w:pPr>
              <w:ind w:right="-957"/>
              <w:rPr>
                <w:rFonts w:ascii="Times New Roman" w:hAnsi="Times New Roman" w:cs="Times New Roman"/>
                <w:b/>
                <w:sz w:val="48"/>
              </w:rPr>
            </w:pPr>
            <w:r>
              <w:rPr>
                <w:rFonts w:ascii="Times New Roman" w:hAnsi="Times New Roman" w:cs="Times New Roman"/>
                <w:b/>
                <w:sz w:val="48"/>
              </w:rPr>
              <w:t>1901888@student.uwtsd.ac.uk</w:t>
            </w:r>
          </w:p>
          <w:p w14:paraId="76670470" w14:textId="77777777" w:rsidR="001837BD" w:rsidRPr="005D3F07" w:rsidRDefault="001837BD" w:rsidP="00D031BC">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6922395E" w14:textId="12E18768" w:rsidR="001837BD" w:rsidRPr="005D3F07" w:rsidRDefault="00F47A0B" w:rsidP="00D031BC">
            <w:pPr>
              <w:ind w:right="-957"/>
              <w:rPr>
                <w:rFonts w:ascii="Times New Roman" w:hAnsi="Times New Roman" w:cs="Times New Roman"/>
                <w:b/>
                <w:sz w:val="48"/>
              </w:rPr>
            </w:pPr>
            <w:r>
              <w:rPr>
                <w:rFonts w:ascii="Times New Roman" w:hAnsi="Times New Roman" w:cs="Times New Roman"/>
                <w:b/>
                <w:sz w:val="48"/>
              </w:rPr>
              <w:t>1901888</w:t>
            </w:r>
          </w:p>
          <w:p w14:paraId="60FFAE94" w14:textId="77777777" w:rsidR="001837BD" w:rsidRPr="005D3F07" w:rsidRDefault="001837BD" w:rsidP="00D031BC">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26</w:t>
            </w:r>
          </w:p>
        </w:tc>
      </w:tr>
    </w:tbl>
    <w:p w14:paraId="43EA2951" w14:textId="77777777" w:rsidR="001837BD" w:rsidRDefault="001837BD" w:rsidP="001837BD">
      <w:pPr>
        <w:ind w:right="-957"/>
        <w:rPr>
          <w:rFonts w:ascii="Times New Roman" w:hAnsi="Times New Roman" w:cs="Times New Roman"/>
          <w:b/>
          <w:sz w:val="48"/>
        </w:rPr>
      </w:pPr>
      <w:r>
        <w:rPr>
          <w:rFonts w:ascii="Times New Roman" w:hAnsi="Times New Roman" w:cs="Times New Roman"/>
          <w:b/>
          <w:sz w:val="48"/>
        </w:rPr>
        <w:t xml:space="preserve"> </w:t>
      </w:r>
    </w:p>
    <w:p w14:paraId="52C0F59A" w14:textId="0C3969E3" w:rsidR="001837BD" w:rsidRPr="001837BD" w:rsidRDefault="001837BD" w:rsidP="001837BD">
      <w:pPr>
        <w:ind w:right="-957"/>
        <w:rPr>
          <w:rFonts w:ascii="Times New Roman" w:hAnsi="Times New Roman" w:cs="Times New Roman"/>
          <w:b/>
          <w:sz w:val="48"/>
        </w:rPr>
      </w:pPr>
      <w:r>
        <w:rPr>
          <w:rFonts w:ascii="Times New Roman" w:hAnsi="Times New Roman" w:cs="Times New Roman"/>
          <w:b/>
          <w:sz w:val="48"/>
        </w:rPr>
        <w:lastRenderedPageBreak/>
        <w:t xml:space="preserve">                             </w:t>
      </w:r>
      <w:r w:rsidR="00F47A0B">
        <w:rPr>
          <w:rFonts w:ascii="Times New Roman" w:hAnsi="Times New Roman" w:cs="Times New Roman"/>
          <w:b/>
          <w:sz w:val="48"/>
        </w:rPr>
        <w:t xml:space="preserve">  </w:t>
      </w:r>
      <w:r>
        <w:rPr>
          <w:rFonts w:ascii="Times New Roman" w:hAnsi="Times New Roman" w:cs="Times New Roman"/>
          <w:b/>
          <w:sz w:val="48"/>
        </w:rPr>
        <w:t xml:space="preserve">  </w:t>
      </w:r>
      <w:r w:rsidRPr="00EE5BC3">
        <w:rPr>
          <w:b/>
          <w:sz w:val="28"/>
          <w:szCs w:val="28"/>
        </w:rPr>
        <w:t>Task 3</w:t>
      </w:r>
    </w:p>
    <w:p w14:paraId="4F9B0437" w14:textId="77777777" w:rsidR="001837BD" w:rsidRPr="00EE5BC3" w:rsidRDefault="001837BD" w:rsidP="001837BD">
      <w:pPr>
        <w:jc w:val="center"/>
        <w:rPr>
          <w:b/>
          <w:sz w:val="28"/>
          <w:szCs w:val="28"/>
        </w:rPr>
      </w:pPr>
    </w:p>
    <w:p w14:paraId="08FD81B5" w14:textId="77777777" w:rsidR="001837BD" w:rsidRPr="00EE5BC3" w:rsidRDefault="001837BD" w:rsidP="001837BD">
      <w:pPr>
        <w:jc w:val="center"/>
        <w:rPr>
          <w:b/>
          <w:sz w:val="28"/>
          <w:szCs w:val="28"/>
        </w:rPr>
      </w:pPr>
      <w:r w:rsidRPr="00EE5BC3">
        <w:rPr>
          <w:b/>
          <w:sz w:val="28"/>
          <w:szCs w:val="28"/>
        </w:rPr>
        <w:t>Safeguarding and working in complex situations – Case Study</w:t>
      </w:r>
    </w:p>
    <w:p w14:paraId="0065BA6D" w14:textId="77777777" w:rsidR="001837BD" w:rsidRDefault="001837BD" w:rsidP="001837BD">
      <w:pPr>
        <w:rPr>
          <w:b/>
        </w:rPr>
      </w:pPr>
    </w:p>
    <w:p w14:paraId="59AD8784" w14:textId="77777777" w:rsidR="001837BD" w:rsidRDefault="001837BD" w:rsidP="001837BD">
      <w:pPr>
        <w:rPr>
          <w:b/>
        </w:rPr>
      </w:pPr>
      <w:r>
        <w:rPr>
          <w:b/>
        </w:rPr>
        <w:t>Guidance;</w:t>
      </w:r>
    </w:p>
    <w:p w14:paraId="7134BB54" w14:textId="77777777" w:rsidR="001837BD" w:rsidRPr="00706BB5" w:rsidRDefault="001837BD" w:rsidP="001837BD">
      <w:pPr>
        <w:jc w:val="both"/>
        <w:rPr>
          <w:i/>
          <w:iCs/>
        </w:rPr>
      </w:pPr>
      <w:r w:rsidRPr="00F15354">
        <w:rPr>
          <w:i/>
          <w:iCs/>
        </w:rPr>
        <w:t>Please ensure that you meet</w:t>
      </w:r>
      <w:r w:rsidRPr="006179BB">
        <w:rPr>
          <w:i/>
          <w:iCs/>
        </w:rPr>
        <w:t xml:space="preserve"> the National Occupational Standards and assigned </w:t>
      </w:r>
      <w:r w:rsidRPr="00A5656A">
        <w:rPr>
          <w:i/>
          <w:iCs/>
        </w:rPr>
        <w:t>Learning Outcomes for this task (see handbook).</w:t>
      </w:r>
      <w:r w:rsidRPr="009C7342">
        <w:rPr>
          <w:i/>
          <w:iCs/>
        </w:rPr>
        <w:t xml:space="preserve"> </w:t>
      </w:r>
    </w:p>
    <w:p w14:paraId="0F036EB8" w14:textId="77777777" w:rsidR="001837BD" w:rsidRDefault="001837BD" w:rsidP="001837BD">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837BD" w:rsidRPr="008B28E7" w14:paraId="02E53C30" w14:textId="77777777" w:rsidTr="00D031BC">
        <w:tc>
          <w:tcPr>
            <w:tcW w:w="10031" w:type="dxa"/>
          </w:tcPr>
          <w:p w14:paraId="11BB3D39" w14:textId="77777777" w:rsidR="001837BD" w:rsidRPr="006872A0" w:rsidRDefault="001837BD" w:rsidP="00D031BC">
            <w:pPr>
              <w:jc w:val="both"/>
              <w:rPr>
                <w:b/>
              </w:rPr>
            </w:pPr>
            <w:r w:rsidRPr="006872A0">
              <w:rPr>
                <w:b/>
              </w:rPr>
              <w:t>Question</w:t>
            </w:r>
            <w:r>
              <w:rPr>
                <w:b/>
              </w:rPr>
              <w:t>:</w:t>
            </w:r>
          </w:p>
          <w:p w14:paraId="572865E8" w14:textId="77777777" w:rsidR="001837BD" w:rsidRPr="00C273FD" w:rsidRDefault="001837BD" w:rsidP="00D031BC">
            <w:pPr>
              <w:jc w:val="both"/>
              <w:rPr>
                <w:b/>
                <w:bCs/>
              </w:rPr>
            </w:pPr>
            <w:r w:rsidRPr="00C273FD">
              <w:rPr>
                <w:b/>
                <w:bCs/>
              </w:rPr>
              <w:t xml:space="preserve">Complete a critically reflective case study based on an assessment that you have undertaken with others, in your own area of work, concerning the safeguarding of either an adult or a child. You must demonstrate how the case relates to or could relate to safeguarding legislation, policies, strategies and procedures (including demonstrating an understanding of the </w:t>
            </w:r>
            <w:r w:rsidRPr="00C273FD">
              <w:rPr>
                <w:rFonts w:eastAsia="Arial"/>
                <w:b/>
                <w:bCs/>
                <w:color w:val="000000" w:themeColor="text1"/>
              </w:rPr>
              <w:t>interface between social services provision in Wales with the United Kingdom, the European Union (EU) and outside the EU)</w:t>
            </w:r>
            <w:r w:rsidRPr="00C273FD">
              <w:rPr>
                <w:b/>
                <w:bCs/>
              </w:rPr>
              <w:t xml:space="preserve">.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43DA69F2" w14:textId="77777777" w:rsidR="001837BD" w:rsidRPr="00C273FD" w:rsidRDefault="001837BD" w:rsidP="00D031BC">
            <w:pPr>
              <w:jc w:val="both"/>
              <w:rPr>
                <w:b/>
                <w:bCs/>
              </w:rPr>
            </w:pPr>
          </w:p>
          <w:p w14:paraId="2D1F3BA3" w14:textId="77777777" w:rsidR="001837BD" w:rsidRPr="00C273FD" w:rsidRDefault="001837BD" w:rsidP="00D031BC">
            <w:pPr>
              <w:jc w:val="both"/>
              <w:rPr>
                <w:b/>
                <w:bCs/>
              </w:rPr>
            </w:pPr>
          </w:p>
          <w:p w14:paraId="223FA413" w14:textId="77777777" w:rsidR="001837BD" w:rsidRDefault="001837BD" w:rsidP="00D031BC">
            <w:pPr>
              <w:jc w:val="both"/>
              <w:rPr>
                <w:b/>
                <w:bCs/>
                <w:i/>
              </w:rPr>
            </w:pPr>
            <w:r w:rsidRPr="00C273FD">
              <w:rPr>
                <w:b/>
                <w:bCs/>
                <w:i/>
              </w:rPr>
              <w:t>4000 words</w:t>
            </w:r>
            <w:r w:rsidRPr="00C273FD">
              <w:rPr>
                <w:b/>
                <w:bCs/>
              </w:rPr>
              <w:t xml:space="preserve"> </w:t>
            </w:r>
            <w:r w:rsidRPr="00C273FD">
              <w:rPr>
                <w:b/>
                <w:bCs/>
                <w:i/>
              </w:rPr>
              <w:t>(+/- 10%: include your actual word count at the end of each section).</w:t>
            </w:r>
          </w:p>
          <w:p w14:paraId="5463E5F7" w14:textId="77777777" w:rsidR="00C273FD" w:rsidRDefault="00C273FD" w:rsidP="00D031BC">
            <w:pPr>
              <w:jc w:val="both"/>
              <w:rPr>
                <w:b/>
                <w:bCs/>
                <w:i/>
              </w:rPr>
            </w:pPr>
          </w:p>
          <w:p w14:paraId="67FDD9C9" w14:textId="69637FAD" w:rsidR="00C273FD" w:rsidRPr="00A04139" w:rsidRDefault="00C273FD" w:rsidP="00C273FD">
            <w:pPr>
              <w:jc w:val="both"/>
              <w:rPr>
                <w:color w:val="000000" w:themeColor="text1"/>
              </w:rPr>
            </w:pPr>
            <w:r w:rsidRPr="00A04139">
              <w:rPr>
                <w:color w:val="000000" w:themeColor="text1"/>
              </w:rPr>
              <w:t>The case study I have chosen to critically reflect on was conducted within an adult social work service in a Welsh local authority. The case concerns Individual 2, an older adult living alone who presented with significant concerns relating to self-neglect, cognitive impairment, poor personal hygiene, medication non-compliance, social isolation, poor nutrition and inability to manage safely within the community.</w:t>
            </w:r>
            <w:r w:rsidR="00105D52">
              <w:t xml:space="preserve"> </w:t>
            </w:r>
            <w:r w:rsidRPr="00A04139">
              <w:rPr>
                <w:color w:val="000000" w:themeColor="text1"/>
              </w:rPr>
              <w:t xml:space="preserve">Concerns were raised initially by several agencies who highlighted the pattern of decline in Individual </w:t>
            </w:r>
            <w:r>
              <w:rPr>
                <w:color w:val="000000" w:themeColor="text1"/>
              </w:rPr>
              <w:t>2</w:t>
            </w:r>
            <w:r w:rsidRPr="00A04139">
              <w:rPr>
                <w:color w:val="000000" w:themeColor="text1"/>
              </w:rPr>
              <w:t xml:space="preserve">’s wellbeing and vulnerability. </w:t>
            </w:r>
            <w:r w:rsidR="00502C34" w:rsidRPr="00502C34">
              <w:rPr>
                <w:color w:val="000000" w:themeColor="text1"/>
              </w:rPr>
              <w:t>My role was to undertake the Care and Support Assessment, analyse multi-agency information</w:t>
            </w:r>
            <w:r w:rsidR="00502C34">
              <w:rPr>
                <w:color w:val="000000" w:themeColor="text1"/>
              </w:rPr>
              <w:t xml:space="preserve"> and </w:t>
            </w:r>
            <w:r w:rsidR="00502C34" w:rsidRPr="00502C34">
              <w:rPr>
                <w:color w:val="000000" w:themeColor="text1"/>
              </w:rPr>
              <w:t>assess risk</w:t>
            </w:r>
            <w:r w:rsidR="00502C34">
              <w:rPr>
                <w:color w:val="000000" w:themeColor="text1"/>
              </w:rPr>
              <w:t xml:space="preserve"> initially. </w:t>
            </w:r>
          </w:p>
          <w:p w14:paraId="1098EE15" w14:textId="77777777" w:rsidR="00C273FD" w:rsidRPr="00A04139" w:rsidRDefault="00C273FD" w:rsidP="00C273FD">
            <w:pPr>
              <w:jc w:val="both"/>
              <w:rPr>
                <w:color w:val="000000" w:themeColor="text1"/>
              </w:rPr>
            </w:pPr>
            <w:r w:rsidRPr="00A04139">
              <w:rPr>
                <w:color w:val="000000" w:themeColor="text1"/>
              </w:rPr>
              <w:t xml:space="preserve">Under the Social Services and Well-being (Wales) Act 2014, safeguarding responsibilities are in place where an adult is experiencing or is at risk of abuse or neglect and is unable to protect themselves due to care and support needs (Welsh Government, 2014). Individual 2 was not initially considered to meet threshold for a </w:t>
            </w:r>
            <w:r w:rsidRPr="00A04139">
              <w:rPr>
                <w:color w:val="000000" w:themeColor="text1"/>
              </w:rPr>
              <w:lastRenderedPageBreak/>
              <w:t xml:space="preserve">safeguarding enquiry as there was no evidence of abuse by a third party, however the case raised significant concerns related to severe self-neglect which was placing Individual 2 at risk to their own health and welfare by living in their home environment. Furthermore, during the assessment, Individual 2 was deemed to lack capacity to make decisions around their care and support needs which warranted a best interest decision being needed under the Mental Capacity Act 2005 (UK Government, 2005). </w:t>
            </w:r>
          </w:p>
          <w:p w14:paraId="55F24AFC" w14:textId="77777777" w:rsidR="00C273FD" w:rsidRPr="00A04139" w:rsidRDefault="00C273FD" w:rsidP="00C273FD">
            <w:pPr>
              <w:jc w:val="both"/>
              <w:rPr>
                <w:color w:val="000000" w:themeColor="text1"/>
              </w:rPr>
            </w:pPr>
            <w:r w:rsidRPr="00A04139">
              <w:rPr>
                <w:color w:val="000000" w:themeColor="text1"/>
              </w:rPr>
              <w:t>Therefore, this case is highly relevant to develop an understanding towards adult safeguarding as it highlights the complexity of balancing individual autonomy, rights and preferences with professional duty to safeguard wellbeing and prevent harm. This case also shows the importance of working in collaboration, exercising professional judgement and how risks are assessed over time. The conflict between respecting Individual 2’s wish to remain home and the need to respond to the increasing risks associated with self-neglect and unmet care needs, highlight human rights and its application to this case (UK Government, 1998).</w:t>
            </w:r>
          </w:p>
          <w:p w14:paraId="4B337798" w14:textId="77777777" w:rsidR="00C273FD" w:rsidRPr="00A04139" w:rsidRDefault="00C273FD" w:rsidP="00C273FD">
            <w:pPr>
              <w:jc w:val="both"/>
              <w:rPr>
                <w:color w:val="000000" w:themeColor="text1"/>
              </w:rPr>
            </w:pPr>
            <w:r w:rsidRPr="00A04139">
              <w:rPr>
                <w:color w:val="000000" w:themeColor="text1"/>
              </w:rPr>
              <w:t>This case study will critically analyse how legislative frameworks, collaborative working and professional judgement informed decision-making. It will explore how an adult who lacks capacity repeatedly refuses support, and presenting with significant self-neglect risks, and how support is applied whilst ensuring their rights and dignity. Social work theories will also be considered to demonstrate how this was achieved.</w:t>
            </w:r>
          </w:p>
          <w:p w14:paraId="107FD817" w14:textId="77777777" w:rsidR="00C273FD" w:rsidRPr="00A04139" w:rsidRDefault="00C273FD" w:rsidP="00C273FD">
            <w:pPr>
              <w:jc w:val="both"/>
              <w:rPr>
                <w:color w:val="000000" w:themeColor="text1"/>
              </w:rPr>
            </w:pPr>
            <w:r w:rsidRPr="00A04139">
              <w:rPr>
                <w:color w:val="000000" w:themeColor="text1"/>
              </w:rPr>
              <w:t xml:space="preserve">Safeguarding is concerned with protecting people from abuse and neglect whilst promoting their rights and wellbeing. This safeguarding practice is reflected in the Social Services and Well-being (Wales) Act 2014 (SSWBA). The Wales Safeguarding Procedures (2019) provides a guidance for agencies to understand how to respond to safeguarding issues which promotes multi-agency working and outcome focused practice. Under section 126 of the Act, an adult at risk is defined as an individual who is experiencing or is at risk of abuse or neglect and has care and support needs. Consequently, this person is unable to protect themselves from abuse, neglect or harm (Welsh Government, 2014). The Wales Safeguarding procedure (2019) further reinforces how to respond to safeguarding concerns and ensure proportionate multi agency intervention. </w:t>
            </w:r>
          </w:p>
          <w:p w14:paraId="1391A3FA" w14:textId="77777777" w:rsidR="00C273FD" w:rsidRPr="00A04139" w:rsidRDefault="00C273FD" w:rsidP="00C273FD">
            <w:pPr>
              <w:jc w:val="both"/>
              <w:rPr>
                <w:color w:val="000000" w:themeColor="text1"/>
              </w:rPr>
            </w:pPr>
            <w:r w:rsidRPr="00A04139">
              <w:rPr>
                <w:color w:val="000000" w:themeColor="text1"/>
              </w:rPr>
              <w:t xml:space="preserve">Initial referral to social services highlighted that Individual 2 had safeguarding concerns. Reports from local banks and housing officer showed a pattern of increasing vulnerability over time. Individual 2 was described to be in soiled clothing, confused around his address and medication and showed non- engagement with healthcare. Collectively, these concerns indicated towards a serious risk to Individual 2’s health and wellbeing. Initially, this case did not meet the threshold of a formal safeguarding enquiry as it was determined there was no evidence of abuse or neglect by a third party. As a result, this case was progressed through assessment of Individual 2’s care and support needs. However, this decision raised an important ethical dilemma, whether absence of a perpetrator reduces professional concern when significant harm remains. Braye, Orr and Preston-Shoot (2015) would argue that self-neglect is ambiguous within safeguarding as individuals may experience </w:t>
            </w:r>
            <w:r w:rsidRPr="00A04139">
              <w:rPr>
                <w:color w:val="000000" w:themeColor="text1"/>
              </w:rPr>
              <w:lastRenderedPageBreak/>
              <w:t xml:space="preserve">significant harm despite the absence of abuse by another person. Individual 2 for example, had many risks associated to his declining cognition and inability to carry out his care and support needs. These were increasingly a worry despite the absence of a third party being responsible for the abuse. Therefore, safeguarding principles remained highly relevant despite thresholds of safeguarding were not initially met. This highlights how safeguarding extends beyond responding to abuse and prompts practitioners to recognise the risks an adult may be under. </w:t>
            </w:r>
          </w:p>
          <w:p w14:paraId="554C7B72" w14:textId="77777777" w:rsidR="00C273FD" w:rsidRPr="00A04139" w:rsidRDefault="00C273FD" w:rsidP="00C273FD">
            <w:pPr>
              <w:jc w:val="both"/>
              <w:rPr>
                <w:color w:val="000000" w:themeColor="text1"/>
              </w:rPr>
            </w:pPr>
            <w:r w:rsidRPr="00A04139">
              <w:rPr>
                <w:color w:val="000000" w:themeColor="text1"/>
              </w:rPr>
              <w:t>Self- neglect is defined by an individual having the inability or unwillingness to care for themselves regarding their personal hygiene, health, environment or basic needs (Braye, Orr &amp; Preston-Shoot, 2015). This was evident in Individual 2’s case who demonstrated several indicators of self-neglect. Individual 2 had shown refusal to engage with services initially which raised questions regarding whether these behaviours were related to their lifestyle choice or an inability to understand the associated risks due to a cognitive impairment. This differentiation was important as adults with capacity retain the right to make unwise decisions, even if those decisions create risks to themselves (UK Government, 2005). Therefore, the Mental Capacity Act 2005 (MCA) became central to professional decision-making. The MCA presumes a person has capacity but provides a framework when assessing whether an individual can understand, retain, weigh and communicate information relevant to a specific decision (UK Government, 2005). During assessment, Individual 2 was unable to demonstrate understanding of his care and support needs such as medication and could not retain details of the proposed care and support plan. Assessment therefore concluded that Individual 2 lacks the capacity to make decisions around their care and support needs. This conveyed to me that Individual 2’s repeated refusal to engage with any services presently and in the past and make unwise decisions should require consideration of what support was necessary. All options for support were to be considered Individual 2’s best interest and whether less restrictive alternatives could be viable.</w:t>
            </w:r>
          </w:p>
          <w:p w14:paraId="7228A525" w14:textId="77777777" w:rsidR="00C273FD" w:rsidRPr="00A04139" w:rsidRDefault="00C273FD" w:rsidP="00C273FD">
            <w:pPr>
              <w:jc w:val="both"/>
              <w:rPr>
                <w:color w:val="000000" w:themeColor="text1"/>
              </w:rPr>
            </w:pPr>
            <w:r w:rsidRPr="00A04139">
              <w:rPr>
                <w:color w:val="000000" w:themeColor="text1"/>
              </w:rPr>
              <w:t xml:space="preserve">This case also highlighted the relationship between safeguarding and human rights. Under the Human Rights Act 1998, the European Convention on Human Eights (ECHR) becomes part of domestic law, mandating that authorities maintain n a fair balance when limiting personal freedom (UK Government, 1998). I ensured I protected Individual 2’s right to respect for private life which is stipulated in Article 8. Individual 2 expressed a wish to remain home and declined support. This was important to consider and reflected core social work values of respecting one’s choice. However, Article 8 is limited in where there is a necessity to protect a person’s health, wellbeing or the rights of others. Therefore, it was challenging for myself to balance Individual 2’s expressed wishes against evidence which suggested he is experiencing significant self- neglect. As Individual 2 lacked capacity to make decisions around his care and support needs and was at risk of not managing his care needs, an emergency residential placement was considered to provide immediate support. This outcome went against Individual 2’s wishes but was considered to reduce risks and ensure safety for Individual 2. The Equality Act 2010 was also relevant due to Individual 2’s cognitive impairment, which is protected under the Act. </w:t>
            </w:r>
          </w:p>
          <w:p w14:paraId="1C546964" w14:textId="77777777" w:rsidR="00C273FD" w:rsidRPr="00A04139" w:rsidRDefault="00C273FD" w:rsidP="00C273FD">
            <w:pPr>
              <w:jc w:val="both"/>
              <w:rPr>
                <w:color w:val="000000" w:themeColor="text1"/>
              </w:rPr>
            </w:pPr>
            <w:r w:rsidRPr="00A04139">
              <w:rPr>
                <w:color w:val="000000" w:themeColor="text1"/>
              </w:rPr>
              <w:lastRenderedPageBreak/>
              <w:t xml:space="preserve">A key aspect of safeguarding practice is analysing information from many sources to identify patterns of risk, vulnerability and unmet needs. This allows a holistic approach to the situation rather than looking at things in isolation. Individual 2’s information was collected from multiple agencies to get an understanding of the situation about their self-neglect. Contacting health professionals led to a key understanding that Individual 2 was also neglecting their personal health as records from GP showed that Individual 2 was not seen by the GP practice for 2 years. This provided insight and demonstrated continued pattern of risk of harm, especially given concerns related to Individual 2’s confusion which was reported in initial referral. This holistic approach demonstrated that there was evidence to suggest that individual 2 was not meeting their care and support needs and were at risk of harm. This further reinforces the need for analysing multiple reports when assessing safeguarding concerns. During this process of collecting information, I had to be mindful of Data Protection Act 2018 and UK GDPR when working with other agencies. Information can be shared where necessary to safeguard individuals from harm and promote wellbeing (UK Government, 2018). However, it was important to maintain confidentiality as much as possible as this is a value of social work practice (Social Care Wales, 2026, Section 2). </w:t>
            </w:r>
          </w:p>
          <w:p w14:paraId="6D5BD8FF" w14:textId="77777777" w:rsidR="00C273FD" w:rsidRPr="00A04139" w:rsidRDefault="00C273FD" w:rsidP="00C273FD">
            <w:pPr>
              <w:jc w:val="both"/>
              <w:rPr>
                <w:color w:val="000000" w:themeColor="text1"/>
              </w:rPr>
            </w:pPr>
            <w:r w:rsidRPr="00A04139">
              <w:rPr>
                <w:color w:val="000000" w:themeColor="text1"/>
              </w:rPr>
              <w:t xml:space="preserve">The initial concerns raised by local shop who observed poor personal hygiene suggested that Individual 2 may appear as a person who disregards personal care. However, from deeper analysis of the situation, it was apparent that Individual 2 had an underlying and un-diagnosed cognitive impairment. Upon reflection, this emphasised the importance to not make judgements about a person which is a key component of social work codes and the SSWB Act 2014. This prompted professional curiosity to develop a deeper understanding of how Individual 2’s cognitive impairment impacted their daily living. Medication mismanagement became a safeguarding concern and indictor that Individual 2 was not maintaining their health. During visit, it became apparent that Individual 2 could not manage their medication or recall what to take. Individual 2 would also state that they were managing fine. This opposed mental health services concerns who found that Individual 2 was not coping independently, highlighting discrepancy between perception of their circumstance and the evidence presented by professionals. This reinforced the importance of triangulating information from multiple sources rather than relying on one report also. </w:t>
            </w:r>
          </w:p>
          <w:p w14:paraId="77A0AD43" w14:textId="77777777" w:rsidR="00C273FD" w:rsidRPr="00A04139" w:rsidRDefault="00C273FD" w:rsidP="00C273FD">
            <w:pPr>
              <w:jc w:val="both"/>
              <w:rPr>
                <w:color w:val="000000" w:themeColor="text1"/>
              </w:rPr>
            </w:pPr>
            <w:r w:rsidRPr="00A04139">
              <w:rPr>
                <w:color w:val="000000" w:themeColor="text1"/>
              </w:rPr>
              <w:t xml:space="preserve">From further understanding of the situation, it was identified that Individual 2 was also not looking after their property according to Housing Services. There were reports that Individual 2 was alone and socially isolated. Social isolation is regarded as a significant safeguarding risk as it reduced protective factors and limits opportunities for concerns to be identified early (Braye, Orr and Preston-Shoot, 2015). It was apparent that Individual 2 lacked access to a phone, minimal family contact and limited engagement with services which further increased their vulnerability. Throughout the assessment process, several indicators of self-neglect were present. This was a challenge for me as a social worker as self-neglect usually develops gradually and individuals may resist interventions as a result (Braye, Orr and Preston-Shoot, 2015). A further lack of intervention would therefore mean a risk </w:t>
            </w:r>
            <w:r w:rsidRPr="00A04139">
              <w:rPr>
                <w:color w:val="000000" w:themeColor="text1"/>
              </w:rPr>
              <w:lastRenderedPageBreak/>
              <w:t xml:space="preserve">of further decline in physical health and safety. Social isolation further complicated concerns as Individual 2 now lacked meaningful support networks and was unable to identify an emergency contact. This had meant Individual 2 had reduced protective factors to ensure their safety in the community. </w:t>
            </w:r>
          </w:p>
          <w:p w14:paraId="6A23E2A4" w14:textId="3E2C8E5B" w:rsidR="00C273FD" w:rsidRDefault="00C273FD" w:rsidP="00C273FD">
            <w:pPr>
              <w:jc w:val="both"/>
              <w:rPr>
                <w:color w:val="000000" w:themeColor="text1"/>
              </w:rPr>
            </w:pPr>
            <w:r w:rsidRPr="00A04139">
              <w:rPr>
                <w:color w:val="000000" w:themeColor="text1"/>
              </w:rPr>
              <w:t>Despite these concerns, it was important I adopted a strength-based practice which was a vital part of practice. The strength-based approach encourages practitioners to identify resilience and protective factors alongside risks and deficits</w:t>
            </w:r>
            <w:r w:rsidR="00F96DFE">
              <w:rPr>
                <w:color w:val="000000" w:themeColor="text1"/>
              </w:rPr>
              <w:t xml:space="preserve"> </w:t>
            </w:r>
            <w:r w:rsidR="00F96DFE" w:rsidRPr="00F96DFE">
              <w:rPr>
                <w:color w:val="000000" w:themeColor="text1"/>
              </w:rPr>
              <w:t>(Department of Health and Social Care, 2019)</w:t>
            </w:r>
            <w:r w:rsidRPr="00A04139">
              <w:rPr>
                <w:color w:val="000000" w:themeColor="text1"/>
              </w:rPr>
              <w:t xml:space="preserve">. Individual 2 demonstrated several strengths during the assessment which identified their ability to be physically mobile, ability to express a choice to live at their home and maintain engagement with health professionals. These strengths were important as they informed intervention and planning and avoided forming deficit-based outcomes for Individual 2 which may have been restrictive. However, strength-based practice has its limitations and one whilst Individual 2’s preferences and situation were considered, these were not enough for Individual 2 to manage the escalating needs independently. On reflection, this demonstrated the importance for me to balance strength-based practice with robust risk analysis. Focusing on only strengths without considering the risks associated with Individual 2 would delay further intervention to ensure Individual 2 was able to manage their care and support needs. Therefore, professional judgement required consideration of both Individual 2’s strengths and the increasing risks to their safety and wellbeing. Overall, the analysis of information gathered from multiple agencies showed that Individual 2 met the characteristics of an adult at risk and formed a basis to identify concerns and helped develop outcomes in a safeguarding context. </w:t>
            </w:r>
          </w:p>
          <w:p w14:paraId="7DBA9ECB" w14:textId="77777777" w:rsidR="00C273FD" w:rsidRPr="00A04139" w:rsidRDefault="00C273FD" w:rsidP="00C273FD">
            <w:pPr>
              <w:jc w:val="both"/>
              <w:rPr>
                <w:color w:val="000000" w:themeColor="text1"/>
              </w:rPr>
            </w:pPr>
            <w:r w:rsidRPr="00A04139">
              <w:rPr>
                <w:color w:val="000000" w:themeColor="text1"/>
              </w:rPr>
              <w:t xml:space="preserve">Relationship-based practice helped inform professional judgement when working with Individual 2. Ruch, Turney and Ward (2018) suggested that meaningful relationships are important to understanding risk, promoting engagement and supporting positive change in practice. This was highly relevant when working with Individual 2 as they repeatedly declined support with both health and social services. However, by continuing engagement and involving health workers to undertake a joint visit, enabled trust to develop over time. Working together ensured intervention to be in place to remove an adult at risk. On reflection, working with Individual 2 demonstrated that refusal of support was more due to fear, confusion and a lack of trust with services. This aspect of continuous engagement and relationship-based working to ensure trust was reflected when assessing Individual 2’s capacity to make decisions based on their care and support needs. The SSWB (Wales) Act 2014 reinforces the Welsh principle of co-production and that service users should continue to participate in decision-making even when a Best Interest decision is required. </w:t>
            </w:r>
          </w:p>
          <w:p w14:paraId="7B6ABD31" w14:textId="77777777" w:rsidR="00C273FD" w:rsidRPr="00A04139" w:rsidRDefault="00C273FD" w:rsidP="00C273FD">
            <w:pPr>
              <w:jc w:val="both"/>
              <w:rPr>
                <w:color w:val="000000" w:themeColor="text1"/>
              </w:rPr>
            </w:pPr>
            <w:r w:rsidRPr="00A04139">
              <w:rPr>
                <w:color w:val="000000" w:themeColor="text1"/>
              </w:rPr>
              <w:t xml:space="preserve">Following the capacity assessment a best interest decision was made to support Individual 2 at home as this represented the least restrictive option, using the MCA 2005 framework. However, continued self-neglect, refusal of support and increased care needs meant that safeguarding risks could not be managed within the community and at home. Article 8 of the European Convention on Human rights protect an individual’s right to respect for private life and home (UK Government, </w:t>
            </w:r>
            <w:r w:rsidRPr="00A04139">
              <w:rPr>
                <w:color w:val="000000" w:themeColor="text1"/>
              </w:rPr>
              <w:lastRenderedPageBreak/>
              <w:t xml:space="preserve">1998). Safeguarding responsibilities, however, was integral to promote dignity and positive wellbeing. This was reflected in the decision to arrange an emergency step up bed placement for Individual 2 which demonstrated how escalating risks are managed proportionately and least restrictive interventions are considered. This case reinforced that professional judgement in safeguarding practice requires balancing autonomy, human rights and protection whilst ensuring intervention remains evidence based and person centred. </w:t>
            </w:r>
          </w:p>
          <w:p w14:paraId="48E8ECEC" w14:textId="77777777" w:rsidR="00C273FD" w:rsidRPr="00A04139" w:rsidRDefault="00C273FD" w:rsidP="00C273FD">
            <w:pPr>
              <w:jc w:val="both"/>
              <w:rPr>
                <w:color w:val="000000" w:themeColor="text1"/>
              </w:rPr>
            </w:pPr>
            <w:r w:rsidRPr="00A04139">
              <w:rPr>
                <w:color w:val="000000" w:themeColor="text1"/>
              </w:rPr>
              <w:t xml:space="preserve">The System Theory also helps to explain why joint working was necessary and suggests that difficulties should be understood with the interaction of multiple personal, social and environmental factors (Payne, 2020). Collaborative working was reflected in looking at multiple factors in Individual 2’s life which would help form professional judgement. The case highlighted to me the limitations of not working collaboratively. Although agencies shared concerns over several months, previous referrals were closed when support was declined by Individual 2. Reflecting on this, I questioned whether earlier collaborative intervention may have prevented further decline in Individual 2’s wellbeing and circumstances. This once again, reinforced the importance of professional curiosity and persistence when working with self-neglect, especially when there was disengagement with services, which meant Individual 2’s needs were dismissed (Braye, Orr and Preston-Shoot, 2015). This constant refusal to engage masked unmet needs rather than representing an informed decision by Individual 2. Engaging with health challenged the assumption that Individual 2 was making an informed decision when not accepting support. The involvement of the mental health team reflected collaborative working and enabled me to understand that Individual 2 had a cognitive impairment which was influencing their ability to engage with professionals. The mental health team were called on to assess Individual 2’s situation and were informed that constant engagement is required when trying to arrange a visit with Individual 2. This demonstrated the value of Relationship Based practice which emphasises empathy and trust when working with vulnerable people. Through collaborative working, further assessment of risk was established which could be used to provide evidence for decision making. This case strengthened my understanding that collaborative working is not simply about sharing information, but about integrating different professional perspectives to support defensible safeguarding decisions. </w:t>
            </w:r>
          </w:p>
          <w:p w14:paraId="2AD5F7C5" w14:textId="77777777" w:rsidR="00C273FD" w:rsidRPr="00A04139" w:rsidRDefault="00C273FD" w:rsidP="00C273FD">
            <w:pPr>
              <w:jc w:val="both"/>
              <w:rPr>
                <w:color w:val="000000" w:themeColor="text1"/>
              </w:rPr>
            </w:pPr>
            <w:r w:rsidRPr="00A04139">
              <w:rPr>
                <w:color w:val="000000" w:themeColor="text1"/>
              </w:rPr>
              <w:t xml:space="preserve">Anti-oppressive practice requires social workers to recognise how structural inequalities, professional authority and social attitudes can put services users at disadvantage (Tedam, 2021). Tedam’s 4D2P model helped me critically </w:t>
            </w:r>
            <w:proofErr w:type="spellStart"/>
            <w:r w:rsidRPr="00A04139">
              <w:rPr>
                <w:color w:val="000000" w:themeColor="text1"/>
              </w:rPr>
              <w:t>anlayse</w:t>
            </w:r>
            <w:proofErr w:type="spellEnd"/>
            <w:r w:rsidRPr="00A04139">
              <w:rPr>
                <w:color w:val="000000" w:themeColor="text1"/>
              </w:rPr>
              <w:t xml:space="preserve"> Individual 2’s circumstances and helped explore anti-oppressive practice which looks at power dynamics and power is addressed. Through discussion, I ensured I spoke with relevant professionals and assessed Individual 2 so that I could understand their situation and explore significant risks. Discovering the wider situation revealed to me that Individual 2 was socially excluded with limited informal support and neglecting their healthcare. On reflection, these factors reduced Individual 2’s opportunities to access services and advocate independently. The decide stage required me to consider then whether ageism, cognitive impairment and stigma associated with Individual 2’s appearance and self-neglect had </w:t>
            </w:r>
            <w:r w:rsidRPr="00A04139">
              <w:rPr>
                <w:color w:val="000000" w:themeColor="text1"/>
              </w:rPr>
              <w:lastRenderedPageBreak/>
              <w:t xml:space="preserve">influenced how other would perceive them. There was a risk that Individual 2 could be labelled as resistant or unwilling to engage given previous efforts to contact them. This challenged me to separate the safeguarding risks from potentially judging and interpreting Individual 2 In a wrong way. This reflects the Social Care Wales expectation that practice should promote dignity, respect and anti-discrimination. The current code emphasises on anti-discrimination while maintaining professional standards. I had to ensure I was not making judgements regarding Individual 2 and assumptions based on their situation and presentation. The disruption stage involved challenging the pattern of previous referrals which resulted in services ending for Individual 2. By continuous engagement, assessment and advocacy, I prevented Individual 2’s needs being dismissed. However, it was important to consider the power imbalance between professional and individual. A Best Interest decision meant that professionals involved with Individual 2 could influence Individual 2’s decision making. To reduce this imbalance and influence, I attempted to communicate available options and recorded wishes by involving Individual 2 through the capacity assessment. This reflected collaborative working and making professional judgements in increasingly complex situations. </w:t>
            </w:r>
          </w:p>
          <w:p w14:paraId="6D8F18D4" w14:textId="77777777" w:rsidR="00C273FD" w:rsidRPr="00A04139" w:rsidRDefault="00C273FD" w:rsidP="00C273FD">
            <w:pPr>
              <w:jc w:val="both"/>
              <w:rPr>
                <w:color w:val="000000" w:themeColor="text1"/>
              </w:rPr>
            </w:pPr>
            <w:r w:rsidRPr="00A04139">
              <w:rPr>
                <w:color w:val="000000" w:themeColor="text1"/>
              </w:rPr>
              <w:t>Furthermore, it was important I had established and recorded Individual 2’s preferred language throughout the safeguarding process to promote anti-discriminatory practice. More than Just Words identifies language as integral to develop person centred support in health and social care, especially when individual is vulnerable (Welsh Government, 2022). This required me to use the Active Offer and ask about Individual 2’s language needs, rather than waiting for a request. It was important for me to get Individual 2’s language needs to promote effective communication and understanding. The Active Offer was underpinned by person centred practice and is a Welsh policy to implement in practice. This enabled me to reflect that safeguarding must challenge exclusion while ensuring professional power is exercised in a transparent manner with the continued attention of the individual’s voice. Safeguarding decisions should not only be based on risk management but through person-centred practice which is in accordance with SSWB (Wales) Act 2014 and Social Care Wales professional values. The case also aligns with the principles of the United Nations Convention on the Rights of Persons with Disabilities (UNCRPD), which promotes dignity, participation and support for decision-making (United Nations, 2006). Whilst safeguarding intervention was necessary due to escalating risks, efforts were made to involve the individual throughout the assessment process. This demonstrates how Welsh safeguarding practice is influenced not only by domestic legislation but also by wider international human rights frameworks.</w:t>
            </w:r>
          </w:p>
          <w:p w14:paraId="25B87C2C" w14:textId="77777777" w:rsidR="00C273FD" w:rsidRPr="00A04139" w:rsidRDefault="00C273FD" w:rsidP="00C273FD">
            <w:pPr>
              <w:jc w:val="both"/>
              <w:rPr>
                <w:color w:val="000000" w:themeColor="text1"/>
              </w:rPr>
            </w:pPr>
            <w:r w:rsidRPr="00A04139">
              <w:rPr>
                <w:color w:val="000000" w:themeColor="text1"/>
              </w:rPr>
              <w:t xml:space="preserve">One of the ethical issues I had to deal with when working with Individual 2, was balancing their right to autonomy with the professional duty to prevent harm. Social work practice is underpinned by values of respect, self-determination and empowerment, however safeguarding responsibilities require practitioners to intervene when there are significant risks to wellbeing (Banks, 2021). This creates tension when a person refuses support despite evidence that they are not managing their care and support needs. On reflection, I recognised that respecting an </w:t>
            </w:r>
            <w:r w:rsidRPr="00A04139">
              <w:rPr>
                <w:color w:val="000000" w:themeColor="text1"/>
              </w:rPr>
              <w:lastRenderedPageBreak/>
              <w:t xml:space="preserve">individual’s wishes should not mean I ignore the prevalent risks to a person’s wellbeing. It was challenging working with Individual </w:t>
            </w:r>
            <w:proofErr w:type="gramStart"/>
            <w:r w:rsidRPr="00A04139">
              <w:rPr>
                <w:color w:val="000000" w:themeColor="text1"/>
              </w:rPr>
              <w:t>2</w:t>
            </w:r>
            <w:proofErr w:type="gramEnd"/>
            <w:r w:rsidRPr="00A04139">
              <w:rPr>
                <w:color w:val="000000" w:themeColor="text1"/>
              </w:rPr>
              <w:t xml:space="preserve"> and the safeguarding concerns associated with them. It was important to practice professional judgement to analyse risk, capacity and vulnerability before making an informed decision. This case further highlighted tensions between preventative practice and reactive intervention. Welsh social care policy emphasises prevention and early intervention through the SSWB (Wales) Act 2014 (Welsh Government, 2014). However, self-neglect often develops gradually which demonstrated the importance of intervening early to prevent safeguarding risks escalating. This had strengthened my understanding on the importance of prevention- focused practice and early identification of risks when working with Individual 2. </w:t>
            </w:r>
          </w:p>
          <w:p w14:paraId="318060E7" w14:textId="77777777" w:rsidR="00C273FD" w:rsidRPr="00A04139" w:rsidRDefault="00C273FD" w:rsidP="00C273FD">
            <w:pPr>
              <w:jc w:val="both"/>
              <w:rPr>
                <w:color w:val="000000" w:themeColor="text1"/>
              </w:rPr>
            </w:pPr>
            <w:r w:rsidRPr="00A04139">
              <w:rPr>
                <w:color w:val="000000" w:themeColor="text1"/>
              </w:rPr>
              <w:t xml:space="preserve">Furthermore, this case demonstrated the difference between safeguarding practice in Wales, wider UK legislation and international human rights frameworks. Whilst decision-making was primarily guided by the SSWB (Wales) Act 2014 and the Mental Capacity Act 2005, these frameworks are supported by broader human rights principles within the European Convention on Human Rights and the United Nations Convention on the Rights of Persons with Disabilities (United Nations, 2006). Together, these frameworks promote dignity, participation, autonomy and the right to receive appropriate support. On reflection, this reinforced my understanding that safeguarding practice in Wales does not operate in isolation but is influenced by national and international frameworks </w:t>
            </w:r>
          </w:p>
          <w:p w14:paraId="25124B3F" w14:textId="77777777" w:rsidR="00C273FD" w:rsidRPr="00A04139" w:rsidRDefault="00C273FD" w:rsidP="00C273FD">
            <w:pPr>
              <w:jc w:val="both"/>
              <w:rPr>
                <w:color w:val="000000" w:themeColor="text1"/>
              </w:rPr>
            </w:pPr>
            <w:r w:rsidRPr="00A04139">
              <w:rPr>
                <w:color w:val="000000" w:themeColor="text1"/>
              </w:rPr>
              <w:t xml:space="preserve">Reflecting on this case has significantly developed my understanding of adult safeguarding practice. Prior to undertaking this assessment, I often associated safeguarding with situations of abuse perpetrated by another person. However, this experience challenged my assumption and reinforced that safeguarding involves recognising circumstances where individuals are unable to protect themselves from significant harm arising from self-neglect and unmet care needs.  As a result, I have developed wider understanding of safeguarding and the importance of professional curiosity when risk is not immediately obvious. One important learning point was the importance of not accepting information which is presented at face value. I developed an understanding in continued assessment, collaborative working and capacity assessment which helped with engaging with vulnerable adults and decision-making. On reflection. This strengthened my confidence in analysing information from multiple sources and reinforced the need to continual reassess risk rather than making assumptions based upon first impression. Working with Individual 2 highlighted the importance of relationship-based practice when working in complex situations. Building trust and maintaining engagement required time and ongoing collaboration with other agencies. Reflecting on this, I recognised that meaningful change </w:t>
            </w:r>
            <w:proofErr w:type="gramStart"/>
            <w:r w:rsidRPr="00A04139">
              <w:rPr>
                <w:color w:val="000000" w:themeColor="text1"/>
              </w:rPr>
              <w:t>can</w:t>
            </w:r>
            <w:proofErr w:type="gramEnd"/>
            <w:r w:rsidRPr="00A04139">
              <w:rPr>
                <w:color w:val="000000" w:themeColor="text1"/>
              </w:rPr>
              <w:t xml:space="preserve"> happen by working in a person-centred way to achieve positive outcomes for service users and when managing complex safeguarding concerns. </w:t>
            </w:r>
          </w:p>
          <w:p w14:paraId="49DD74BF" w14:textId="77777777" w:rsidR="00C273FD" w:rsidRPr="00A04139" w:rsidRDefault="00C273FD" w:rsidP="00C273FD">
            <w:pPr>
              <w:jc w:val="both"/>
              <w:rPr>
                <w:color w:val="000000" w:themeColor="text1"/>
              </w:rPr>
            </w:pPr>
            <w:r w:rsidRPr="00A04139">
              <w:rPr>
                <w:color w:val="000000" w:themeColor="text1"/>
              </w:rPr>
              <w:t xml:space="preserve">Using supervision, I was able to explore the ethical dilemmas, reflect on the risks, challenge my thinking and ensure decisions remain evidence based. Supervision with my seniors enabled me to consider alternative perspectives and practice reflective practice. It helped develop my professional resilience when managing </w:t>
            </w:r>
            <w:r w:rsidRPr="00A04139">
              <w:rPr>
                <w:color w:val="000000" w:themeColor="text1"/>
              </w:rPr>
              <w:lastRenderedPageBreak/>
              <w:t xml:space="preserve">complex cases. In future practice, I would like to feel more confident in engaging with other professionals and develop skills of communication so I can develop person centred, relationship-based practice and collaborative working. This would enable me to promote the wellbeing of vulnerable adults more effectively and manage complex cases such as safeguarding. Furthermore, I would like to develop my ability to apply the Mental Capacity Act 2005 when working with vulnerable adults more effectively. I would like to further develop my confidence in undertaking capacity assessments, articulating professional rationale and evidencing how legislation informs decision-making. This would strengthen my ability to make legally defensible decisions, particularly in complex situations where autonomy, human rights and safeguarding duties may conflict. </w:t>
            </w:r>
          </w:p>
          <w:p w14:paraId="4FD49A74" w14:textId="77777777" w:rsidR="00C273FD" w:rsidRDefault="00C273FD" w:rsidP="00C273FD">
            <w:pPr>
              <w:jc w:val="both"/>
              <w:rPr>
                <w:color w:val="000000" w:themeColor="text1"/>
              </w:rPr>
            </w:pPr>
            <w:r w:rsidRPr="00A04139">
              <w:rPr>
                <w:color w:val="000000" w:themeColor="text1"/>
              </w:rPr>
              <w:t>Overall, this case study demonstrated the complexity of safeguarding adults who experiencing self-neglect, cognitive impairment declining wellbeing. Through the application of the SSWB (Wales) Act 2014 and other relevant adult legislations, I was required to balance autonomy, rights and wellbeing with a duty to protect Individual2 from harm. Analysis of information gathered through assessment and collaborative working enabled risks to be understood holistically and informed professional judgement in an increasingly complex situation. Reflecting on this experience strengthened my understanding of safeguarding, self-neglect and professional accountability. The case also highlighted the importance of Welsh principles of wellbeing, prevention, co-production and voice and control. It reinforced that effective safeguarding requires professional curiosity, collaboration, critical reflection and person-centred decision-making to ensure interventions remain proportionate, legally defensible and focused on promoting wellbeing in accordance with Welsh legislation and values.</w:t>
            </w:r>
          </w:p>
          <w:p w14:paraId="7099F5E0" w14:textId="77777777" w:rsidR="00BF5E59" w:rsidRPr="00A04139" w:rsidRDefault="00BF5E59" w:rsidP="00C273FD">
            <w:pPr>
              <w:jc w:val="both"/>
              <w:rPr>
                <w:color w:val="000000" w:themeColor="text1"/>
              </w:rPr>
            </w:pPr>
          </w:p>
          <w:p w14:paraId="5A2FD4FD" w14:textId="4E48D714" w:rsidR="00105D52" w:rsidRPr="00105D52" w:rsidRDefault="00C273FD" w:rsidP="00105D52">
            <w:pPr>
              <w:jc w:val="both"/>
              <w:rPr>
                <w:b/>
                <w:bCs/>
              </w:rPr>
            </w:pPr>
            <w:r w:rsidRPr="00097BAE">
              <w:rPr>
                <w:b/>
                <w:bCs/>
              </w:rPr>
              <w:t>39</w:t>
            </w:r>
            <w:r w:rsidR="00617C0D">
              <w:rPr>
                <w:b/>
                <w:bCs/>
              </w:rPr>
              <w:t>3</w:t>
            </w:r>
            <w:r w:rsidR="00BF5E59">
              <w:rPr>
                <w:b/>
                <w:bCs/>
              </w:rPr>
              <w:t>8</w:t>
            </w:r>
            <w:r w:rsidRPr="00097BAE">
              <w:rPr>
                <w:b/>
                <w:bCs/>
              </w:rPr>
              <w:t xml:space="preserve"> words </w:t>
            </w:r>
            <w:r w:rsidR="00105D52">
              <w:t xml:space="preserve"> </w:t>
            </w:r>
          </w:p>
          <w:p w14:paraId="15156739" w14:textId="780AD070" w:rsidR="000A1992" w:rsidRPr="000A1992" w:rsidRDefault="000A1992" w:rsidP="000A1992">
            <w:pPr>
              <w:jc w:val="both"/>
            </w:pPr>
          </w:p>
          <w:p w14:paraId="4787283C" w14:textId="7125AC07" w:rsidR="006C4B32" w:rsidRPr="006C4B32" w:rsidRDefault="006C4B32" w:rsidP="006C4B32">
            <w:pPr>
              <w:jc w:val="both"/>
            </w:pPr>
          </w:p>
          <w:p w14:paraId="5BD7DA79" w14:textId="77777777" w:rsidR="001837BD" w:rsidRPr="008B28E7" w:rsidRDefault="001837BD" w:rsidP="00D031BC">
            <w:pPr>
              <w:jc w:val="both"/>
            </w:pPr>
          </w:p>
        </w:tc>
      </w:tr>
    </w:tbl>
    <w:p w14:paraId="42009963" w14:textId="77777777" w:rsidR="00877421" w:rsidRDefault="00877421" w:rsidP="006D33AF">
      <w:pPr>
        <w:jc w:val="both"/>
      </w:pPr>
    </w:p>
    <w:p w14:paraId="15B17BDF" w14:textId="77777777" w:rsidR="00A45751" w:rsidRDefault="00A45751" w:rsidP="006D33AF">
      <w:pPr>
        <w:jc w:val="both"/>
      </w:pPr>
    </w:p>
    <w:p w14:paraId="27CACE1A" w14:textId="77777777" w:rsidR="00A45751" w:rsidRPr="00F634E1" w:rsidRDefault="00A45751" w:rsidP="006D33AF">
      <w:pPr>
        <w:jc w:val="both"/>
      </w:pPr>
    </w:p>
    <w:p w14:paraId="67475046" w14:textId="77777777" w:rsidR="00286C37" w:rsidRDefault="00286C37" w:rsidP="006D33AF">
      <w:pPr>
        <w:jc w:val="both"/>
      </w:pPr>
    </w:p>
    <w:p w14:paraId="0697D930" w14:textId="77777777" w:rsidR="006916B0" w:rsidRDefault="006916B0" w:rsidP="006D33AF">
      <w:pPr>
        <w:jc w:val="both"/>
      </w:pPr>
    </w:p>
    <w:p w14:paraId="17031CE9" w14:textId="77777777" w:rsidR="006916B0" w:rsidRDefault="006916B0" w:rsidP="006D33AF">
      <w:pPr>
        <w:jc w:val="both"/>
      </w:pPr>
    </w:p>
    <w:p w14:paraId="270FFA70" w14:textId="55490B2C" w:rsidR="007155DA" w:rsidRPr="0025553D" w:rsidRDefault="007155DA" w:rsidP="006D33AF">
      <w:pPr>
        <w:jc w:val="both"/>
      </w:pPr>
    </w:p>
    <w:sectPr w:rsidR="007155DA" w:rsidRPr="002555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4D516" w14:textId="77777777" w:rsidR="00617CBB" w:rsidRDefault="00617CBB" w:rsidP="00DA3C18">
      <w:pPr>
        <w:spacing w:after="0" w:line="240" w:lineRule="auto"/>
      </w:pPr>
      <w:r>
        <w:separator/>
      </w:r>
    </w:p>
  </w:endnote>
  <w:endnote w:type="continuationSeparator" w:id="0">
    <w:p w14:paraId="2D1A66DB" w14:textId="77777777" w:rsidR="00617CBB" w:rsidRDefault="00617CBB" w:rsidP="00DA3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EE941" w14:textId="77777777" w:rsidR="00617CBB" w:rsidRDefault="00617CBB" w:rsidP="00DA3C18">
      <w:pPr>
        <w:spacing w:after="0" w:line="240" w:lineRule="auto"/>
      </w:pPr>
      <w:r>
        <w:separator/>
      </w:r>
    </w:p>
  </w:footnote>
  <w:footnote w:type="continuationSeparator" w:id="0">
    <w:p w14:paraId="327AC1D0" w14:textId="77777777" w:rsidR="00617CBB" w:rsidRDefault="00617CBB" w:rsidP="00DA3C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E2605"/>
    <w:multiLevelType w:val="hybridMultilevel"/>
    <w:tmpl w:val="8732EEFC"/>
    <w:lvl w:ilvl="0" w:tplc="F06628EA">
      <w:start w:val="1"/>
      <w:numFmt w:val="bullet"/>
      <w:lvlText w:val="•"/>
      <w:lvlJc w:val="left"/>
      <w:pPr>
        <w:tabs>
          <w:tab w:val="num" w:pos="720"/>
        </w:tabs>
        <w:ind w:left="720" w:hanging="360"/>
      </w:pPr>
      <w:rPr>
        <w:rFonts w:ascii="Arial" w:hAnsi="Arial" w:hint="default"/>
      </w:rPr>
    </w:lvl>
    <w:lvl w:ilvl="1" w:tplc="E9A62534" w:tentative="1">
      <w:start w:val="1"/>
      <w:numFmt w:val="bullet"/>
      <w:lvlText w:val="•"/>
      <w:lvlJc w:val="left"/>
      <w:pPr>
        <w:tabs>
          <w:tab w:val="num" w:pos="1440"/>
        </w:tabs>
        <w:ind w:left="1440" w:hanging="360"/>
      </w:pPr>
      <w:rPr>
        <w:rFonts w:ascii="Arial" w:hAnsi="Arial" w:hint="default"/>
      </w:rPr>
    </w:lvl>
    <w:lvl w:ilvl="2" w:tplc="9A66DC9E" w:tentative="1">
      <w:start w:val="1"/>
      <w:numFmt w:val="bullet"/>
      <w:lvlText w:val="•"/>
      <w:lvlJc w:val="left"/>
      <w:pPr>
        <w:tabs>
          <w:tab w:val="num" w:pos="2160"/>
        </w:tabs>
        <w:ind w:left="2160" w:hanging="360"/>
      </w:pPr>
      <w:rPr>
        <w:rFonts w:ascii="Arial" w:hAnsi="Arial" w:hint="default"/>
      </w:rPr>
    </w:lvl>
    <w:lvl w:ilvl="3" w:tplc="36E2F324" w:tentative="1">
      <w:start w:val="1"/>
      <w:numFmt w:val="bullet"/>
      <w:lvlText w:val="•"/>
      <w:lvlJc w:val="left"/>
      <w:pPr>
        <w:tabs>
          <w:tab w:val="num" w:pos="2880"/>
        </w:tabs>
        <w:ind w:left="2880" w:hanging="360"/>
      </w:pPr>
      <w:rPr>
        <w:rFonts w:ascii="Arial" w:hAnsi="Arial" w:hint="default"/>
      </w:rPr>
    </w:lvl>
    <w:lvl w:ilvl="4" w:tplc="6CBE4CC2" w:tentative="1">
      <w:start w:val="1"/>
      <w:numFmt w:val="bullet"/>
      <w:lvlText w:val="•"/>
      <w:lvlJc w:val="left"/>
      <w:pPr>
        <w:tabs>
          <w:tab w:val="num" w:pos="3600"/>
        </w:tabs>
        <w:ind w:left="3600" w:hanging="360"/>
      </w:pPr>
      <w:rPr>
        <w:rFonts w:ascii="Arial" w:hAnsi="Arial" w:hint="default"/>
      </w:rPr>
    </w:lvl>
    <w:lvl w:ilvl="5" w:tplc="34400272" w:tentative="1">
      <w:start w:val="1"/>
      <w:numFmt w:val="bullet"/>
      <w:lvlText w:val="•"/>
      <w:lvlJc w:val="left"/>
      <w:pPr>
        <w:tabs>
          <w:tab w:val="num" w:pos="4320"/>
        </w:tabs>
        <w:ind w:left="4320" w:hanging="360"/>
      </w:pPr>
      <w:rPr>
        <w:rFonts w:ascii="Arial" w:hAnsi="Arial" w:hint="default"/>
      </w:rPr>
    </w:lvl>
    <w:lvl w:ilvl="6" w:tplc="3C3E63AA" w:tentative="1">
      <w:start w:val="1"/>
      <w:numFmt w:val="bullet"/>
      <w:lvlText w:val="•"/>
      <w:lvlJc w:val="left"/>
      <w:pPr>
        <w:tabs>
          <w:tab w:val="num" w:pos="5040"/>
        </w:tabs>
        <w:ind w:left="5040" w:hanging="360"/>
      </w:pPr>
      <w:rPr>
        <w:rFonts w:ascii="Arial" w:hAnsi="Arial" w:hint="default"/>
      </w:rPr>
    </w:lvl>
    <w:lvl w:ilvl="7" w:tplc="E9C608DA" w:tentative="1">
      <w:start w:val="1"/>
      <w:numFmt w:val="bullet"/>
      <w:lvlText w:val="•"/>
      <w:lvlJc w:val="left"/>
      <w:pPr>
        <w:tabs>
          <w:tab w:val="num" w:pos="5760"/>
        </w:tabs>
        <w:ind w:left="5760" w:hanging="360"/>
      </w:pPr>
      <w:rPr>
        <w:rFonts w:ascii="Arial" w:hAnsi="Arial" w:hint="default"/>
      </w:rPr>
    </w:lvl>
    <w:lvl w:ilvl="8" w:tplc="147C2B8C" w:tentative="1">
      <w:start w:val="1"/>
      <w:numFmt w:val="bullet"/>
      <w:lvlText w:val="•"/>
      <w:lvlJc w:val="left"/>
      <w:pPr>
        <w:tabs>
          <w:tab w:val="num" w:pos="6480"/>
        </w:tabs>
        <w:ind w:left="6480" w:hanging="360"/>
      </w:pPr>
      <w:rPr>
        <w:rFonts w:ascii="Arial" w:hAnsi="Arial" w:hint="default"/>
      </w:rPr>
    </w:lvl>
  </w:abstractNum>
  <w:num w:numId="1" w16cid:durableId="237401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D6E"/>
    <w:rsid w:val="0000150F"/>
    <w:rsid w:val="000031D4"/>
    <w:rsid w:val="00010188"/>
    <w:rsid w:val="00014522"/>
    <w:rsid w:val="000243C6"/>
    <w:rsid w:val="00030D8C"/>
    <w:rsid w:val="00031C12"/>
    <w:rsid w:val="0004725D"/>
    <w:rsid w:val="000472B4"/>
    <w:rsid w:val="00050490"/>
    <w:rsid w:val="0005508E"/>
    <w:rsid w:val="000617D7"/>
    <w:rsid w:val="00061908"/>
    <w:rsid w:val="000659F0"/>
    <w:rsid w:val="000671E3"/>
    <w:rsid w:val="0006741F"/>
    <w:rsid w:val="00070845"/>
    <w:rsid w:val="00076CEE"/>
    <w:rsid w:val="00080BB8"/>
    <w:rsid w:val="00083047"/>
    <w:rsid w:val="000879C9"/>
    <w:rsid w:val="00087FFC"/>
    <w:rsid w:val="000919F5"/>
    <w:rsid w:val="00091FD9"/>
    <w:rsid w:val="00092CC4"/>
    <w:rsid w:val="0009596B"/>
    <w:rsid w:val="00096B23"/>
    <w:rsid w:val="00097BAE"/>
    <w:rsid w:val="000A0F13"/>
    <w:rsid w:val="000A1992"/>
    <w:rsid w:val="000A4350"/>
    <w:rsid w:val="000B0D55"/>
    <w:rsid w:val="000B141C"/>
    <w:rsid w:val="000B77B3"/>
    <w:rsid w:val="000C436D"/>
    <w:rsid w:val="000C7565"/>
    <w:rsid w:val="000D1CDB"/>
    <w:rsid w:val="000D24FD"/>
    <w:rsid w:val="000D4F49"/>
    <w:rsid w:val="000D5893"/>
    <w:rsid w:val="000E2358"/>
    <w:rsid w:val="000E4144"/>
    <w:rsid w:val="000E7FB8"/>
    <w:rsid w:val="000F1F76"/>
    <w:rsid w:val="000F7845"/>
    <w:rsid w:val="00105D52"/>
    <w:rsid w:val="00122864"/>
    <w:rsid w:val="00131E47"/>
    <w:rsid w:val="00134DE1"/>
    <w:rsid w:val="00135F0A"/>
    <w:rsid w:val="00144068"/>
    <w:rsid w:val="0015429D"/>
    <w:rsid w:val="00160CDA"/>
    <w:rsid w:val="001619CF"/>
    <w:rsid w:val="00163335"/>
    <w:rsid w:val="0017209A"/>
    <w:rsid w:val="001837BD"/>
    <w:rsid w:val="00191D79"/>
    <w:rsid w:val="001A07BE"/>
    <w:rsid w:val="001B4EC6"/>
    <w:rsid w:val="001D0F57"/>
    <w:rsid w:val="001D27F1"/>
    <w:rsid w:val="001E0E2C"/>
    <w:rsid w:val="001F0C8B"/>
    <w:rsid w:val="001F139F"/>
    <w:rsid w:val="00204541"/>
    <w:rsid w:val="002130BB"/>
    <w:rsid w:val="00215050"/>
    <w:rsid w:val="002208A9"/>
    <w:rsid w:val="00225342"/>
    <w:rsid w:val="00225351"/>
    <w:rsid w:val="00230507"/>
    <w:rsid w:val="002326B7"/>
    <w:rsid w:val="002444F8"/>
    <w:rsid w:val="0025553D"/>
    <w:rsid w:val="002578CE"/>
    <w:rsid w:val="002725D4"/>
    <w:rsid w:val="00280823"/>
    <w:rsid w:val="00281F29"/>
    <w:rsid w:val="002821DC"/>
    <w:rsid w:val="00285A43"/>
    <w:rsid w:val="00286C37"/>
    <w:rsid w:val="002A07E0"/>
    <w:rsid w:val="002A4B9D"/>
    <w:rsid w:val="002A75FC"/>
    <w:rsid w:val="002B344C"/>
    <w:rsid w:val="002B7A7B"/>
    <w:rsid w:val="002C00DB"/>
    <w:rsid w:val="002D3D3B"/>
    <w:rsid w:val="002D4041"/>
    <w:rsid w:val="002D6231"/>
    <w:rsid w:val="002D65A5"/>
    <w:rsid w:val="002E4B55"/>
    <w:rsid w:val="002F49A5"/>
    <w:rsid w:val="002F521B"/>
    <w:rsid w:val="002F5696"/>
    <w:rsid w:val="002F6587"/>
    <w:rsid w:val="00320633"/>
    <w:rsid w:val="00326F28"/>
    <w:rsid w:val="003319CE"/>
    <w:rsid w:val="00333728"/>
    <w:rsid w:val="00342843"/>
    <w:rsid w:val="0034302F"/>
    <w:rsid w:val="00346C3F"/>
    <w:rsid w:val="00357BE3"/>
    <w:rsid w:val="00360298"/>
    <w:rsid w:val="0036351C"/>
    <w:rsid w:val="003643A5"/>
    <w:rsid w:val="0036797F"/>
    <w:rsid w:val="00373901"/>
    <w:rsid w:val="003828D6"/>
    <w:rsid w:val="00382F3F"/>
    <w:rsid w:val="00396AB8"/>
    <w:rsid w:val="003A26CB"/>
    <w:rsid w:val="003A4CC1"/>
    <w:rsid w:val="003B204D"/>
    <w:rsid w:val="003B25A6"/>
    <w:rsid w:val="003B452F"/>
    <w:rsid w:val="003C3F7B"/>
    <w:rsid w:val="003C5F83"/>
    <w:rsid w:val="003E628D"/>
    <w:rsid w:val="003F0014"/>
    <w:rsid w:val="003F1B90"/>
    <w:rsid w:val="003F285C"/>
    <w:rsid w:val="003F4131"/>
    <w:rsid w:val="003F637B"/>
    <w:rsid w:val="003F773F"/>
    <w:rsid w:val="004005AA"/>
    <w:rsid w:val="00403D17"/>
    <w:rsid w:val="00420539"/>
    <w:rsid w:val="00436BEC"/>
    <w:rsid w:val="004424C0"/>
    <w:rsid w:val="00444820"/>
    <w:rsid w:val="00450227"/>
    <w:rsid w:val="0046130B"/>
    <w:rsid w:val="00462DC6"/>
    <w:rsid w:val="0047290D"/>
    <w:rsid w:val="004743F7"/>
    <w:rsid w:val="00477881"/>
    <w:rsid w:val="00481D7E"/>
    <w:rsid w:val="0048257E"/>
    <w:rsid w:val="00497961"/>
    <w:rsid w:val="004A7AD9"/>
    <w:rsid w:val="004C6CBE"/>
    <w:rsid w:val="004D088B"/>
    <w:rsid w:val="004E08E8"/>
    <w:rsid w:val="004E18F7"/>
    <w:rsid w:val="004E4E44"/>
    <w:rsid w:val="0050244E"/>
    <w:rsid w:val="00502C34"/>
    <w:rsid w:val="00506D54"/>
    <w:rsid w:val="005123E6"/>
    <w:rsid w:val="0051298A"/>
    <w:rsid w:val="00512DB7"/>
    <w:rsid w:val="005135FC"/>
    <w:rsid w:val="00514D6E"/>
    <w:rsid w:val="005178AA"/>
    <w:rsid w:val="00517928"/>
    <w:rsid w:val="00520D9D"/>
    <w:rsid w:val="00524F65"/>
    <w:rsid w:val="005307D0"/>
    <w:rsid w:val="00541854"/>
    <w:rsid w:val="0054775F"/>
    <w:rsid w:val="00552915"/>
    <w:rsid w:val="005576D5"/>
    <w:rsid w:val="0056264E"/>
    <w:rsid w:val="005649BB"/>
    <w:rsid w:val="00570492"/>
    <w:rsid w:val="00582DC8"/>
    <w:rsid w:val="00590D7F"/>
    <w:rsid w:val="005A2DE4"/>
    <w:rsid w:val="005B203F"/>
    <w:rsid w:val="005C7275"/>
    <w:rsid w:val="005D6252"/>
    <w:rsid w:val="005D6B57"/>
    <w:rsid w:val="005E3030"/>
    <w:rsid w:val="005E7A99"/>
    <w:rsid w:val="005E7BD5"/>
    <w:rsid w:val="005F2BA9"/>
    <w:rsid w:val="005F5708"/>
    <w:rsid w:val="00601DB7"/>
    <w:rsid w:val="0061171A"/>
    <w:rsid w:val="00613983"/>
    <w:rsid w:val="00617C0D"/>
    <w:rsid w:val="00617CBB"/>
    <w:rsid w:val="00626E05"/>
    <w:rsid w:val="00632E59"/>
    <w:rsid w:val="00633C9B"/>
    <w:rsid w:val="00640CFE"/>
    <w:rsid w:val="006440B3"/>
    <w:rsid w:val="00647E55"/>
    <w:rsid w:val="00657FFC"/>
    <w:rsid w:val="006619B9"/>
    <w:rsid w:val="006625B2"/>
    <w:rsid w:val="00664016"/>
    <w:rsid w:val="0066640C"/>
    <w:rsid w:val="00672483"/>
    <w:rsid w:val="00672AB8"/>
    <w:rsid w:val="00676B3A"/>
    <w:rsid w:val="00680302"/>
    <w:rsid w:val="006835D7"/>
    <w:rsid w:val="00683AC9"/>
    <w:rsid w:val="006916B0"/>
    <w:rsid w:val="00691C64"/>
    <w:rsid w:val="00691DEA"/>
    <w:rsid w:val="00694EF8"/>
    <w:rsid w:val="00696F4A"/>
    <w:rsid w:val="006A6BA8"/>
    <w:rsid w:val="006B07AB"/>
    <w:rsid w:val="006B1D79"/>
    <w:rsid w:val="006C4B32"/>
    <w:rsid w:val="006C5686"/>
    <w:rsid w:val="006C7833"/>
    <w:rsid w:val="006D2A92"/>
    <w:rsid w:val="006D33AF"/>
    <w:rsid w:val="006D4A0A"/>
    <w:rsid w:val="006D5ACB"/>
    <w:rsid w:val="006E1A86"/>
    <w:rsid w:val="006E6010"/>
    <w:rsid w:val="006F26B4"/>
    <w:rsid w:val="006F483F"/>
    <w:rsid w:val="006F56F5"/>
    <w:rsid w:val="006F641E"/>
    <w:rsid w:val="007001D8"/>
    <w:rsid w:val="0070090E"/>
    <w:rsid w:val="00701AFD"/>
    <w:rsid w:val="00712740"/>
    <w:rsid w:val="007155DA"/>
    <w:rsid w:val="00716C8C"/>
    <w:rsid w:val="00746960"/>
    <w:rsid w:val="007504BE"/>
    <w:rsid w:val="00751EC9"/>
    <w:rsid w:val="00752B07"/>
    <w:rsid w:val="00755566"/>
    <w:rsid w:val="0076191E"/>
    <w:rsid w:val="00781AA8"/>
    <w:rsid w:val="007906F1"/>
    <w:rsid w:val="0079764F"/>
    <w:rsid w:val="0079785B"/>
    <w:rsid w:val="007A21C0"/>
    <w:rsid w:val="007A5F1D"/>
    <w:rsid w:val="007A6CEC"/>
    <w:rsid w:val="007A7AE8"/>
    <w:rsid w:val="007B105A"/>
    <w:rsid w:val="007C0610"/>
    <w:rsid w:val="007C084F"/>
    <w:rsid w:val="007C0ECD"/>
    <w:rsid w:val="007C4B50"/>
    <w:rsid w:val="007C7A5F"/>
    <w:rsid w:val="007D43B3"/>
    <w:rsid w:val="007D67A1"/>
    <w:rsid w:val="007E0F76"/>
    <w:rsid w:val="007E1526"/>
    <w:rsid w:val="007E35A2"/>
    <w:rsid w:val="007E6263"/>
    <w:rsid w:val="007E69D1"/>
    <w:rsid w:val="007F05A7"/>
    <w:rsid w:val="007F165C"/>
    <w:rsid w:val="007F1EEC"/>
    <w:rsid w:val="00803995"/>
    <w:rsid w:val="008140DE"/>
    <w:rsid w:val="00814858"/>
    <w:rsid w:val="00815520"/>
    <w:rsid w:val="00815EF7"/>
    <w:rsid w:val="008174D5"/>
    <w:rsid w:val="008204B2"/>
    <w:rsid w:val="00820630"/>
    <w:rsid w:val="008311DE"/>
    <w:rsid w:val="008329A6"/>
    <w:rsid w:val="00834F8E"/>
    <w:rsid w:val="008408B9"/>
    <w:rsid w:val="00847089"/>
    <w:rsid w:val="00854AC9"/>
    <w:rsid w:val="0085797B"/>
    <w:rsid w:val="0086699B"/>
    <w:rsid w:val="00875EFB"/>
    <w:rsid w:val="00877421"/>
    <w:rsid w:val="008803EF"/>
    <w:rsid w:val="00885702"/>
    <w:rsid w:val="0089125E"/>
    <w:rsid w:val="0089142B"/>
    <w:rsid w:val="00894735"/>
    <w:rsid w:val="008A13D9"/>
    <w:rsid w:val="008A2410"/>
    <w:rsid w:val="008A65AB"/>
    <w:rsid w:val="008A7943"/>
    <w:rsid w:val="008B1301"/>
    <w:rsid w:val="008B1C34"/>
    <w:rsid w:val="008B5EA7"/>
    <w:rsid w:val="008C017F"/>
    <w:rsid w:val="008C3E0F"/>
    <w:rsid w:val="008C42CD"/>
    <w:rsid w:val="008D2325"/>
    <w:rsid w:val="008F1E0D"/>
    <w:rsid w:val="008F6E4A"/>
    <w:rsid w:val="00903E96"/>
    <w:rsid w:val="00905F04"/>
    <w:rsid w:val="009109BC"/>
    <w:rsid w:val="0092527D"/>
    <w:rsid w:val="00932AEB"/>
    <w:rsid w:val="00941E48"/>
    <w:rsid w:val="0094751F"/>
    <w:rsid w:val="0096149F"/>
    <w:rsid w:val="00966BCE"/>
    <w:rsid w:val="0097406B"/>
    <w:rsid w:val="00977E2C"/>
    <w:rsid w:val="009B09B0"/>
    <w:rsid w:val="009B703A"/>
    <w:rsid w:val="009C4908"/>
    <w:rsid w:val="009C5303"/>
    <w:rsid w:val="009C60C7"/>
    <w:rsid w:val="009D11CB"/>
    <w:rsid w:val="009E5576"/>
    <w:rsid w:val="009F2D25"/>
    <w:rsid w:val="009F3884"/>
    <w:rsid w:val="009F68EC"/>
    <w:rsid w:val="00A04139"/>
    <w:rsid w:val="00A15296"/>
    <w:rsid w:val="00A20C4A"/>
    <w:rsid w:val="00A24376"/>
    <w:rsid w:val="00A250D6"/>
    <w:rsid w:val="00A257C5"/>
    <w:rsid w:val="00A262BA"/>
    <w:rsid w:val="00A3303B"/>
    <w:rsid w:val="00A37CD6"/>
    <w:rsid w:val="00A44D11"/>
    <w:rsid w:val="00A45751"/>
    <w:rsid w:val="00A51E69"/>
    <w:rsid w:val="00A54D73"/>
    <w:rsid w:val="00A63450"/>
    <w:rsid w:val="00A644C0"/>
    <w:rsid w:val="00A65BD1"/>
    <w:rsid w:val="00A67368"/>
    <w:rsid w:val="00A70D61"/>
    <w:rsid w:val="00A71EAD"/>
    <w:rsid w:val="00A728C5"/>
    <w:rsid w:val="00A77F0C"/>
    <w:rsid w:val="00A833AF"/>
    <w:rsid w:val="00A968AA"/>
    <w:rsid w:val="00AA11EF"/>
    <w:rsid w:val="00AA4ED5"/>
    <w:rsid w:val="00AB4FD2"/>
    <w:rsid w:val="00AC2B50"/>
    <w:rsid w:val="00AC5D52"/>
    <w:rsid w:val="00AD57C1"/>
    <w:rsid w:val="00AD5CB4"/>
    <w:rsid w:val="00AE03AA"/>
    <w:rsid w:val="00AE4180"/>
    <w:rsid w:val="00AE4604"/>
    <w:rsid w:val="00B0410D"/>
    <w:rsid w:val="00B32197"/>
    <w:rsid w:val="00B32484"/>
    <w:rsid w:val="00B353DE"/>
    <w:rsid w:val="00B3599C"/>
    <w:rsid w:val="00B35DE4"/>
    <w:rsid w:val="00B5042D"/>
    <w:rsid w:val="00B5181D"/>
    <w:rsid w:val="00B64781"/>
    <w:rsid w:val="00B6591E"/>
    <w:rsid w:val="00B6753B"/>
    <w:rsid w:val="00B72A54"/>
    <w:rsid w:val="00B737D5"/>
    <w:rsid w:val="00B752F3"/>
    <w:rsid w:val="00B80E85"/>
    <w:rsid w:val="00B8613D"/>
    <w:rsid w:val="00B937B8"/>
    <w:rsid w:val="00B97BCE"/>
    <w:rsid w:val="00BA2264"/>
    <w:rsid w:val="00BA6951"/>
    <w:rsid w:val="00BB097A"/>
    <w:rsid w:val="00BC5A90"/>
    <w:rsid w:val="00BC6F59"/>
    <w:rsid w:val="00BE1C3C"/>
    <w:rsid w:val="00BE3E5D"/>
    <w:rsid w:val="00BE67A2"/>
    <w:rsid w:val="00BF073E"/>
    <w:rsid w:val="00BF4761"/>
    <w:rsid w:val="00BF5E59"/>
    <w:rsid w:val="00C04F32"/>
    <w:rsid w:val="00C17A26"/>
    <w:rsid w:val="00C273FD"/>
    <w:rsid w:val="00C32021"/>
    <w:rsid w:val="00C3491B"/>
    <w:rsid w:val="00C37C7A"/>
    <w:rsid w:val="00C37D6D"/>
    <w:rsid w:val="00C42CD6"/>
    <w:rsid w:val="00C55151"/>
    <w:rsid w:val="00C779F0"/>
    <w:rsid w:val="00C84DB7"/>
    <w:rsid w:val="00C867C8"/>
    <w:rsid w:val="00C9011E"/>
    <w:rsid w:val="00C94378"/>
    <w:rsid w:val="00C9672C"/>
    <w:rsid w:val="00CA6D86"/>
    <w:rsid w:val="00CB0A0B"/>
    <w:rsid w:val="00CB286D"/>
    <w:rsid w:val="00CC04B0"/>
    <w:rsid w:val="00CC3195"/>
    <w:rsid w:val="00CC4280"/>
    <w:rsid w:val="00CC46A5"/>
    <w:rsid w:val="00CC79B6"/>
    <w:rsid w:val="00CD07CC"/>
    <w:rsid w:val="00CD6D23"/>
    <w:rsid w:val="00CE1EF6"/>
    <w:rsid w:val="00CE6839"/>
    <w:rsid w:val="00CF14F2"/>
    <w:rsid w:val="00CF3439"/>
    <w:rsid w:val="00CF3E4B"/>
    <w:rsid w:val="00CF67F8"/>
    <w:rsid w:val="00D02A38"/>
    <w:rsid w:val="00D22C4F"/>
    <w:rsid w:val="00D34185"/>
    <w:rsid w:val="00D34D8A"/>
    <w:rsid w:val="00D35728"/>
    <w:rsid w:val="00D36465"/>
    <w:rsid w:val="00D56B32"/>
    <w:rsid w:val="00D65BEE"/>
    <w:rsid w:val="00D744C8"/>
    <w:rsid w:val="00D7631B"/>
    <w:rsid w:val="00D77F34"/>
    <w:rsid w:val="00D81BCC"/>
    <w:rsid w:val="00D93BE7"/>
    <w:rsid w:val="00D94774"/>
    <w:rsid w:val="00DA3C18"/>
    <w:rsid w:val="00DB223D"/>
    <w:rsid w:val="00DC3BE3"/>
    <w:rsid w:val="00DC7709"/>
    <w:rsid w:val="00DC7D66"/>
    <w:rsid w:val="00DD17F6"/>
    <w:rsid w:val="00DD279F"/>
    <w:rsid w:val="00DD2BA3"/>
    <w:rsid w:val="00DD6828"/>
    <w:rsid w:val="00DE0834"/>
    <w:rsid w:val="00DE6945"/>
    <w:rsid w:val="00DF31A9"/>
    <w:rsid w:val="00E050DF"/>
    <w:rsid w:val="00E065E1"/>
    <w:rsid w:val="00E1168E"/>
    <w:rsid w:val="00E15095"/>
    <w:rsid w:val="00E24AE9"/>
    <w:rsid w:val="00E25F69"/>
    <w:rsid w:val="00E2737D"/>
    <w:rsid w:val="00E31DAE"/>
    <w:rsid w:val="00E33A02"/>
    <w:rsid w:val="00E36FD6"/>
    <w:rsid w:val="00E47A91"/>
    <w:rsid w:val="00E51F26"/>
    <w:rsid w:val="00E54566"/>
    <w:rsid w:val="00E67E84"/>
    <w:rsid w:val="00E76E3A"/>
    <w:rsid w:val="00E8069B"/>
    <w:rsid w:val="00E81C26"/>
    <w:rsid w:val="00E84F04"/>
    <w:rsid w:val="00E87908"/>
    <w:rsid w:val="00E87E51"/>
    <w:rsid w:val="00E90288"/>
    <w:rsid w:val="00E902F3"/>
    <w:rsid w:val="00E96EC3"/>
    <w:rsid w:val="00EB1D7C"/>
    <w:rsid w:val="00EB64AA"/>
    <w:rsid w:val="00ED0916"/>
    <w:rsid w:val="00EE4080"/>
    <w:rsid w:val="00F0291C"/>
    <w:rsid w:val="00F03CD6"/>
    <w:rsid w:val="00F06053"/>
    <w:rsid w:val="00F079D8"/>
    <w:rsid w:val="00F148A2"/>
    <w:rsid w:val="00F1552B"/>
    <w:rsid w:val="00F200C4"/>
    <w:rsid w:val="00F233BE"/>
    <w:rsid w:val="00F374B3"/>
    <w:rsid w:val="00F422BA"/>
    <w:rsid w:val="00F45053"/>
    <w:rsid w:val="00F458AA"/>
    <w:rsid w:val="00F47A0B"/>
    <w:rsid w:val="00F60AB7"/>
    <w:rsid w:val="00F634E1"/>
    <w:rsid w:val="00F7687C"/>
    <w:rsid w:val="00F80BF3"/>
    <w:rsid w:val="00F85BCE"/>
    <w:rsid w:val="00F90083"/>
    <w:rsid w:val="00F93ACD"/>
    <w:rsid w:val="00F94D7A"/>
    <w:rsid w:val="00F96DFE"/>
    <w:rsid w:val="00FB4420"/>
    <w:rsid w:val="00FC266C"/>
    <w:rsid w:val="00FC45D6"/>
    <w:rsid w:val="00FD7205"/>
    <w:rsid w:val="00FE2F08"/>
    <w:rsid w:val="00FE6AA8"/>
    <w:rsid w:val="00FF7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1FE07"/>
  <w15:chartTrackingRefBased/>
  <w15:docId w15:val="{32A356DC-2CB6-4B64-B66C-5D83FCFF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4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4D6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4D6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14D6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14D6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14D6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14D6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14D6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D6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D6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14D6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14D6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14D6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14D6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14D6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14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D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D6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14D6E"/>
    <w:pPr>
      <w:spacing w:before="160"/>
      <w:jc w:val="center"/>
    </w:pPr>
    <w:rPr>
      <w:i/>
      <w:iCs/>
      <w:color w:val="404040" w:themeColor="text1" w:themeTint="BF"/>
    </w:rPr>
  </w:style>
  <w:style w:type="character" w:customStyle="1" w:styleId="QuoteChar">
    <w:name w:val="Quote Char"/>
    <w:basedOn w:val="DefaultParagraphFont"/>
    <w:link w:val="Quote"/>
    <w:uiPriority w:val="29"/>
    <w:rsid w:val="00514D6E"/>
    <w:rPr>
      <w:i/>
      <w:iCs/>
      <w:color w:val="404040" w:themeColor="text1" w:themeTint="BF"/>
    </w:rPr>
  </w:style>
  <w:style w:type="paragraph" w:styleId="ListParagraph">
    <w:name w:val="List Paragraph"/>
    <w:basedOn w:val="Normal"/>
    <w:uiPriority w:val="34"/>
    <w:qFormat/>
    <w:rsid w:val="00514D6E"/>
    <w:pPr>
      <w:ind w:left="720"/>
      <w:contextualSpacing/>
    </w:pPr>
  </w:style>
  <w:style w:type="character" w:styleId="IntenseEmphasis">
    <w:name w:val="Intense Emphasis"/>
    <w:basedOn w:val="DefaultParagraphFont"/>
    <w:uiPriority w:val="21"/>
    <w:qFormat/>
    <w:rsid w:val="00514D6E"/>
    <w:rPr>
      <w:i/>
      <w:iCs/>
      <w:color w:val="0F4761" w:themeColor="accent1" w:themeShade="BF"/>
    </w:rPr>
  </w:style>
  <w:style w:type="paragraph" w:styleId="IntenseQuote">
    <w:name w:val="Intense Quote"/>
    <w:basedOn w:val="Normal"/>
    <w:next w:val="Normal"/>
    <w:link w:val="IntenseQuoteChar"/>
    <w:uiPriority w:val="30"/>
    <w:qFormat/>
    <w:rsid w:val="00514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4D6E"/>
    <w:rPr>
      <w:i/>
      <w:iCs/>
      <w:color w:val="0F4761" w:themeColor="accent1" w:themeShade="BF"/>
    </w:rPr>
  </w:style>
  <w:style w:type="character" w:styleId="IntenseReference">
    <w:name w:val="Intense Reference"/>
    <w:basedOn w:val="DefaultParagraphFont"/>
    <w:uiPriority w:val="32"/>
    <w:qFormat/>
    <w:rsid w:val="00514D6E"/>
    <w:rPr>
      <w:b/>
      <w:bCs/>
      <w:smallCaps/>
      <w:color w:val="0F4761" w:themeColor="accent1" w:themeShade="BF"/>
      <w:spacing w:val="5"/>
    </w:rPr>
  </w:style>
  <w:style w:type="paragraph" w:styleId="Header">
    <w:name w:val="header"/>
    <w:basedOn w:val="Normal"/>
    <w:link w:val="HeaderChar"/>
    <w:uiPriority w:val="99"/>
    <w:unhideWhenUsed/>
    <w:rsid w:val="00DA3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C18"/>
  </w:style>
  <w:style w:type="paragraph" w:styleId="Footer">
    <w:name w:val="footer"/>
    <w:basedOn w:val="Normal"/>
    <w:link w:val="FooterChar"/>
    <w:uiPriority w:val="99"/>
    <w:unhideWhenUsed/>
    <w:rsid w:val="00DA3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C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9186</TotalTime>
  <Pages>10</Pages>
  <Words>4257</Words>
  <Characters>24610</Characters>
  <Application>Microsoft Office Word</Application>
  <DocSecurity>0</DocSecurity>
  <Lines>546</Lines>
  <Paragraphs>173</Paragraphs>
  <ScaleCrop>false</ScaleCrop>
  <Company>Swansea Council</Company>
  <LinksUpToDate>false</LinksUpToDate>
  <CharactersWithSpaces>28694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Salmaan Ali</dc:creator>
  <cp:keywords/>
  <dc:description/>
  <cp:lastModifiedBy>Salmaan Ali</cp:lastModifiedBy>
  <cp:revision>480</cp:revision>
  <dcterms:created xsi:type="dcterms:W3CDTF">2026-08-31T16:44:00Z</dcterms:created>
  <dcterms:modified xsi:type="dcterms:W3CDTF">2026-10-02T15:14:00Z</dcterms:modified>
</cp:coreProperties>
</file>