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D05ED" w:rsidRPr="00FC0252" w:rsidRDefault="000D05ED">
      <w:pPr>
        <w:rPr>
          <w:b/>
          <w:szCs w:val="24"/>
        </w:rPr>
      </w:pPr>
      <w:r w:rsidRPr="00FC0252">
        <w:rPr>
          <w:b/>
          <w:szCs w:val="24"/>
        </w:rPr>
        <w:t>Briefing Paper KD-</w:t>
      </w:r>
      <w:r w:rsidR="002D1B9E" w:rsidRPr="00FC0252">
        <w:rPr>
          <w:b/>
          <w:szCs w:val="24"/>
        </w:rPr>
        <w:t>2018</w:t>
      </w:r>
      <w:r w:rsidRPr="00FC0252">
        <w:rPr>
          <w:b/>
          <w:szCs w:val="24"/>
        </w:rPr>
        <w:t>-001</w:t>
      </w:r>
    </w:p>
    <w:p w:rsidR="00AF00D7" w:rsidRPr="00FC0252" w:rsidRDefault="0048590E">
      <w:pPr>
        <w:rPr>
          <w:b/>
          <w:szCs w:val="24"/>
        </w:rPr>
      </w:pPr>
      <w:r>
        <w:rPr>
          <w:b/>
          <w:szCs w:val="24"/>
        </w:rPr>
        <w:t>Effective Student Induction</w:t>
      </w:r>
      <w:r w:rsidR="000D05ED" w:rsidRPr="00FC0252">
        <w:rPr>
          <w:b/>
          <w:szCs w:val="24"/>
        </w:rPr>
        <w:t xml:space="preserve">: </w:t>
      </w:r>
      <w:r>
        <w:rPr>
          <w:b/>
          <w:szCs w:val="24"/>
        </w:rPr>
        <w:t>A Discussion</w:t>
      </w:r>
    </w:p>
    <w:p w:rsidR="000D05ED" w:rsidRDefault="000D05ED">
      <w:pPr>
        <w:rPr>
          <w:szCs w:val="24"/>
        </w:rPr>
      </w:pPr>
    </w:p>
    <w:p w:rsidR="000D05ED" w:rsidRDefault="000D05ED" w:rsidP="000D05ED">
      <w:pPr>
        <w:spacing w:line="360" w:lineRule="auto"/>
        <w:jc w:val="both"/>
        <w:rPr>
          <w:szCs w:val="24"/>
        </w:rPr>
      </w:pPr>
      <w:r>
        <w:rPr>
          <w:szCs w:val="24"/>
        </w:rPr>
        <w:t xml:space="preserve">This paper will look at the case for </w:t>
      </w:r>
      <w:r w:rsidR="0048590E">
        <w:rPr>
          <w:szCs w:val="24"/>
        </w:rPr>
        <w:t>developing aspects</w:t>
      </w:r>
      <w:r>
        <w:rPr>
          <w:szCs w:val="24"/>
        </w:rPr>
        <w:t xml:space="preserve"> of the Induction package for new students based on theory and praxis.</w:t>
      </w:r>
    </w:p>
    <w:p w:rsidR="00340C64" w:rsidRPr="00340C64" w:rsidRDefault="00340C64" w:rsidP="00340C64">
      <w:pPr>
        <w:pStyle w:val="ListParagraph"/>
        <w:numPr>
          <w:ilvl w:val="0"/>
          <w:numId w:val="1"/>
        </w:numPr>
        <w:spacing w:line="360" w:lineRule="auto"/>
        <w:jc w:val="both"/>
        <w:rPr>
          <w:b/>
          <w:szCs w:val="24"/>
        </w:rPr>
      </w:pPr>
      <w:r w:rsidRPr="00340C64">
        <w:rPr>
          <w:b/>
          <w:szCs w:val="24"/>
        </w:rPr>
        <w:t>Equity and Inclusivity</w:t>
      </w:r>
    </w:p>
    <w:p w:rsidR="00C2614A" w:rsidRDefault="00340C64" w:rsidP="00814B44">
      <w:pPr>
        <w:spacing w:line="360" w:lineRule="auto"/>
        <w:jc w:val="both"/>
        <w:rPr>
          <w:szCs w:val="24"/>
        </w:rPr>
      </w:pPr>
      <w:r>
        <w:rPr>
          <w:szCs w:val="24"/>
        </w:rPr>
        <w:t>Previous experience, over the last two Induction programmes, indicates that not all students can or do take the opportunity to attend the ‘getting to know you’ session at the Excel Bowl. Although this is</w:t>
      </w:r>
      <w:r w:rsidR="00C2614A">
        <w:rPr>
          <w:szCs w:val="24"/>
        </w:rPr>
        <w:t xml:space="preserve"> perceived by the teaching staff to be</w:t>
      </w:r>
      <w:r>
        <w:rPr>
          <w:szCs w:val="24"/>
        </w:rPr>
        <w:t xml:space="preserve"> a good activity it is a considerable spend on an event that is not fully inclusive, and which could be considered to exclude those not in attendance.</w:t>
      </w:r>
      <w:r w:rsidR="00814B44">
        <w:rPr>
          <w:szCs w:val="24"/>
        </w:rPr>
        <w:t xml:space="preserve"> It is the contention of this paper that this means that some students are not being given a sense of ‘belonging’ as outlined by Maslow</w:t>
      </w:r>
      <w:r w:rsidR="003E7EF7">
        <w:rPr>
          <w:szCs w:val="24"/>
        </w:rPr>
        <w:t>. Therefore,</w:t>
      </w:r>
      <w:r w:rsidR="00814B44">
        <w:rPr>
          <w:szCs w:val="24"/>
        </w:rPr>
        <w:t xml:space="preserve"> as Ashwin </w:t>
      </w:r>
      <w:proofErr w:type="spellStart"/>
      <w:r w:rsidR="00814B44">
        <w:rPr>
          <w:szCs w:val="24"/>
        </w:rPr>
        <w:t>Gobin</w:t>
      </w:r>
      <w:proofErr w:type="spellEnd"/>
      <w:r w:rsidR="00814B44">
        <w:rPr>
          <w:szCs w:val="24"/>
        </w:rPr>
        <w:t xml:space="preserve"> </w:t>
      </w:r>
      <w:r w:rsidR="00814B44">
        <w:rPr>
          <w:i/>
          <w:szCs w:val="24"/>
        </w:rPr>
        <w:t>et al</w:t>
      </w:r>
      <w:r w:rsidR="00814B44">
        <w:rPr>
          <w:szCs w:val="24"/>
        </w:rPr>
        <w:t xml:space="preserve"> (2012, p. 206) argue </w:t>
      </w:r>
    </w:p>
    <w:p w:rsidR="00C2614A" w:rsidRDefault="00814B44" w:rsidP="00C2614A">
      <w:pPr>
        <w:spacing w:line="360" w:lineRule="auto"/>
        <w:ind w:left="1134" w:right="1134"/>
        <w:jc w:val="both"/>
        <w:rPr>
          <w:szCs w:val="24"/>
        </w:rPr>
      </w:pPr>
      <w:r w:rsidRPr="00814B44">
        <w:rPr>
          <w:szCs w:val="24"/>
        </w:rPr>
        <w:t>many educational institutions have realized</w:t>
      </w:r>
      <w:r>
        <w:rPr>
          <w:szCs w:val="24"/>
        </w:rPr>
        <w:t xml:space="preserve"> </w:t>
      </w:r>
      <w:r w:rsidRPr="00814B44">
        <w:rPr>
          <w:szCs w:val="24"/>
        </w:rPr>
        <w:t>that if the lower needs of the student were not satisfied, they would not have the motivation</w:t>
      </w:r>
      <w:r>
        <w:rPr>
          <w:szCs w:val="24"/>
        </w:rPr>
        <w:t xml:space="preserve"> </w:t>
      </w:r>
      <w:r w:rsidRPr="00814B44">
        <w:rPr>
          <w:szCs w:val="24"/>
        </w:rPr>
        <w:t>to move to the higher level</w:t>
      </w:r>
      <w:r>
        <w:rPr>
          <w:szCs w:val="24"/>
        </w:rPr>
        <w:t>s</w:t>
      </w:r>
      <w:r w:rsidRPr="00814B44">
        <w:rPr>
          <w:szCs w:val="24"/>
        </w:rPr>
        <w:t xml:space="preserve"> such as the self</w:t>
      </w:r>
      <w:r>
        <w:rPr>
          <w:szCs w:val="24"/>
        </w:rPr>
        <w:t>-</w:t>
      </w:r>
      <w:r w:rsidRPr="00814B44">
        <w:rPr>
          <w:szCs w:val="24"/>
        </w:rPr>
        <w:t>actualization level</w:t>
      </w:r>
      <w:r>
        <w:rPr>
          <w:szCs w:val="24"/>
        </w:rPr>
        <w:t>.</w:t>
      </w:r>
      <w:r w:rsidR="003E7EF7">
        <w:rPr>
          <w:szCs w:val="24"/>
        </w:rPr>
        <w:t xml:space="preserve"> </w:t>
      </w:r>
    </w:p>
    <w:p w:rsidR="00340C64" w:rsidRPr="00814B44" w:rsidRDefault="003E7EF7" w:rsidP="00814B44">
      <w:pPr>
        <w:spacing w:line="360" w:lineRule="auto"/>
        <w:jc w:val="both"/>
        <w:rPr>
          <w:szCs w:val="24"/>
        </w:rPr>
      </w:pPr>
      <w:r>
        <w:rPr>
          <w:szCs w:val="24"/>
        </w:rPr>
        <w:t xml:space="preserve">The proposed ‘gift’ of a copy of Cite Them Right would mean that </w:t>
      </w:r>
      <w:r w:rsidRPr="003E7EF7">
        <w:rPr>
          <w:szCs w:val="24"/>
          <w:u w:val="single"/>
        </w:rPr>
        <w:t>all</w:t>
      </w:r>
      <w:r>
        <w:rPr>
          <w:szCs w:val="24"/>
        </w:rPr>
        <w:t xml:space="preserve"> students are given a sense of belonging, if only on a small scale during induction week (for example by having a ‘ceremony’ where students are called up to receive their copy).</w:t>
      </w:r>
    </w:p>
    <w:p w:rsidR="00E27DF3" w:rsidRPr="00340C64" w:rsidRDefault="00E27DF3" w:rsidP="00340C64">
      <w:pPr>
        <w:pStyle w:val="ListParagraph"/>
        <w:numPr>
          <w:ilvl w:val="0"/>
          <w:numId w:val="1"/>
        </w:numPr>
        <w:spacing w:line="360" w:lineRule="auto"/>
        <w:jc w:val="both"/>
        <w:rPr>
          <w:b/>
          <w:szCs w:val="24"/>
        </w:rPr>
      </w:pPr>
      <w:r w:rsidRPr="00340C64">
        <w:rPr>
          <w:b/>
          <w:szCs w:val="24"/>
        </w:rPr>
        <w:t>Student Motivation</w:t>
      </w:r>
    </w:p>
    <w:p w:rsidR="0048590E" w:rsidRDefault="0048590E" w:rsidP="00E27DF3">
      <w:pPr>
        <w:spacing w:line="360" w:lineRule="auto"/>
        <w:jc w:val="both"/>
        <w:rPr>
          <w:szCs w:val="24"/>
        </w:rPr>
      </w:pPr>
      <w:r w:rsidRPr="0048590E">
        <w:rPr>
          <w:szCs w:val="24"/>
        </w:rPr>
        <w:t xml:space="preserve">Motivation is the reason for people's actions, willingness and goals. Motivation is derived from the word motive which is defined as a need that requires satisfaction. These needs could also be wants or desires that are acquired through influence of culture, society, lifestyle, etc. or generally innate. Motivation is one's direction to </w:t>
      </w:r>
      <w:proofErr w:type="spellStart"/>
      <w:r w:rsidRPr="0048590E">
        <w:rPr>
          <w:szCs w:val="24"/>
        </w:rPr>
        <w:t>behavior</w:t>
      </w:r>
      <w:proofErr w:type="spellEnd"/>
      <w:r w:rsidRPr="0048590E">
        <w:rPr>
          <w:szCs w:val="24"/>
        </w:rPr>
        <w:t xml:space="preserve">, or what causes a person to want to repeat a </w:t>
      </w:r>
      <w:proofErr w:type="spellStart"/>
      <w:r w:rsidRPr="0048590E">
        <w:rPr>
          <w:szCs w:val="24"/>
        </w:rPr>
        <w:t>behavior</w:t>
      </w:r>
      <w:proofErr w:type="spellEnd"/>
      <w:r w:rsidRPr="0048590E">
        <w:rPr>
          <w:szCs w:val="24"/>
        </w:rPr>
        <w:t>, a set of force that acts behind the motives.</w:t>
      </w:r>
    </w:p>
    <w:p w:rsidR="0039067A" w:rsidRDefault="0039067A" w:rsidP="00E27DF3">
      <w:pPr>
        <w:spacing w:line="360" w:lineRule="auto"/>
        <w:jc w:val="both"/>
        <w:rPr>
          <w:szCs w:val="24"/>
        </w:rPr>
      </w:pPr>
      <w:r>
        <w:rPr>
          <w:szCs w:val="24"/>
        </w:rPr>
        <w:t>The concept of student motivation as it relates to student retention</w:t>
      </w:r>
      <w:r w:rsidR="003E7EF7">
        <w:rPr>
          <w:szCs w:val="24"/>
        </w:rPr>
        <w:t xml:space="preserve"> and attainment</w:t>
      </w:r>
      <w:r>
        <w:rPr>
          <w:szCs w:val="24"/>
        </w:rPr>
        <w:t xml:space="preserve"> is emphasised by Tomkinson </w:t>
      </w:r>
      <w:r>
        <w:rPr>
          <w:i/>
          <w:szCs w:val="24"/>
        </w:rPr>
        <w:t>et al</w:t>
      </w:r>
      <w:r>
        <w:rPr>
          <w:szCs w:val="24"/>
        </w:rPr>
        <w:t xml:space="preserve"> </w:t>
      </w:r>
      <w:r w:rsidRPr="0039067A">
        <w:rPr>
          <w:szCs w:val="24"/>
        </w:rPr>
        <w:t>when they argue that</w:t>
      </w:r>
      <w:r w:rsidR="003E7EF7">
        <w:rPr>
          <w:szCs w:val="24"/>
        </w:rPr>
        <w:t>;</w:t>
      </w:r>
      <w:bookmarkStart w:id="0" w:name="_GoBack"/>
      <w:bookmarkEnd w:id="0"/>
    </w:p>
    <w:p w:rsidR="00E27DF3" w:rsidRDefault="00E27DF3" w:rsidP="003E7EF7">
      <w:pPr>
        <w:spacing w:line="360" w:lineRule="auto"/>
        <w:ind w:left="1134" w:right="1134"/>
        <w:jc w:val="both"/>
        <w:rPr>
          <w:szCs w:val="24"/>
        </w:rPr>
      </w:pPr>
      <w:r>
        <w:rPr>
          <w:szCs w:val="24"/>
        </w:rPr>
        <w:t xml:space="preserve">Motivation is often thought to be greater in more participative learning environments, both because of the sense of ‘belonging’ and also because </w:t>
      </w:r>
      <w:r>
        <w:rPr>
          <w:szCs w:val="24"/>
        </w:rPr>
        <w:lastRenderedPageBreak/>
        <w:t xml:space="preserve">students develop a feeling of being […..] valued (Tomkinson </w:t>
      </w:r>
      <w:r>
        <w:rPr>
          <w:i/>
          <w:szCs w:val="24"/>
        </w:rPr>
        <w:t>et al</w:t>
      </w:r>
      <w:r>
        <w:rPr>
          <w:szCs w:val="24"/>
        </w:rPr>
        <w:t>, 2002</w:t>
      </w:r>
      <w:r w:rsidR="003E7EF7">
        <w:rPr>
          <w:szCs w:val="24"/>
        </w:rPr>
        <w:t xml:space="preserve"> p. 212</w:t>
      </w:r>
      <w:r>
        <w:rPr>
          <w:szCs w:val="24"/>
        </w:rPr>
        <w:t>)</w:t>
      </w:r>
    </w:p>
    <w:p w:rsidR="003E7EF7" w:rsidRDefault="003E7EF7" w:rsidP="009163E1">
      <w:pPr>
        <w:spacing w:line="360" w:lineRule="auto"/>
        <w:jc w:val="both"/>
        <w:rPr>
          <w:szCs w:val="24"/>
        </w:rPr>
      </w:pPr>
      <w:r>
        <w:rPr>
          <w:szCs w:val="24"/>
        </w:rPr>
        <w:t>Thus, it could be argued that being given</w:t>
      </w:r>
      <w:r w:rsidR="009163E1">
        <w:rPr>
          <w:szCs w:val="24"/>
        </w:rPr>
        <w:t xml:space="preserve"> a copy of Cite Them Right would not only give the students a sense of being ‘valued’ but would also allow them to take part in ‘participative learning’ in the Academic Study Skills module (see </w:t>
      </w:r>
      <w:r w:rsidR="00717DEB">
        <w:rPr>
          <w:szCs w:val="24"/>
        </w:rPr>
        <w:t xml:space="preserve">Section 4 </w:t>
      </w:r>
      <w:r w:rsidR="009163E1">
        <w:rPr>
          <w:szCs w:val="24"/>
        </w:rPr>
        <w:t>below).</w:t>
      </w:r>
    </w:p>
    <w:p w:rsidR="00717DEB" w:rsidRDefault="00717DEB" w:rsidP="000D05ED">
      <w:pPr>
        <w:spacing w:line="360" w:lineRule="auto"/>
        <w:jc w:val="both"/>
        <w:rPr>
          <w:szCs w:val="24"/>
        </w:rPr>
      </w:pPr>
      <w:r>
        <w:rPr>
          <w:szCs w:val="24"/>
        </w:rPr>
        <w:t>Other research into improving student retention and attainment reinforces this, as for example when Thomas notes that;</w:t>
      </w:r>
    </w:p>
    <w:p w:rsidR="00E27DF3" w:rsidRDefault="003E7EF7" w:rsidP="00717DEB">
      <w:pPr>
        <w:spacing w:line="360" w:lineRule="auto"/>
        <w:ind w:left="1134" w:right="1134"/>
        <w:jc w:val="both"/>
        <w:rPr>
          <w:szCs w:val="24"/>
        </w:rPr>
      </w:pPr>
      <w:r>
        <w:rPr>
          <w:szCs w:val="24"/>
        </w:rPr>
        <w:t xml:space="preserve"> </w:t>
      </w:r>
      <w:r w:rsidR="00E27DF3" w:rsidRPr="0083378A">
        <w:rPr>
          <w:szCs w:val="24"/>
        </w:rPr>
        <w:t xml:space="preserve">The evidence from across the seven What Works? projects firmly points to the importance of students having a strong sense of belonging in HE, which is the result of engagement, and that this is </w:t>
      </w:r>
      <w:r w:rsidR="00E27DF3" w:rsidRPr="00717DEB">
        <w:rPr>
          <w:szCs w:val="24"/>
          <w:u w:val="single"/>
        </w:rPr>
        <w:t>most effectively nurtured through mainstream activities with an overt academic purpose that all students participate in</w:t>
      </w:r>
      <w:r w:rsidR="00E27DF3" w:rsidRPr="0083378A">
        <w:rPr>
          <w:szCs w:val="24"/>
        </w:rPr>
        <w:t>.</w:t>
      </w:r>
      <w:r w:rsidR="00E27DF3">
        <w:rPr>
          <w:szCs w:val="24"/>
        </w:rPr>
        <w:t xml:space="preserve"> (Thomas, 2012</w:t>
      </w:r>
      <w:r w:rsidR="00717DEB">
        <w:rPr>
          <w:szCs w:val="24"/>
        </w:rPr>
        <w:t>, p. 12</w:t>
      </w:r>
      <w:r w:rsidR="00E27DF3">
        <w:rPr>
          <w:szCs w:val="24"/>
        </w:rPr>
        <w:t>)</w:t>
      </w:r>
    </w:p>
    <w:p w:rsidR="00717DEB" w:rsidRPr="00E27DF3" w:rsidRDefault="00717DEB" w:rsidP="00717DEB">
      <w:pPr>
        <w:spacing w:line="360" w:lineRule="auto"/>
        <w:jc w:val="both"/>
        <w:rPr>
          <w:szCs w:val="24"/>
        </w:rPr>
      </w:pPr>
      <w:r>
        <w:rPr>
          <w:szCs w:val="24"/>
        </w:rPr>
        <w:t>These two studies, among others, emphasise not only the importance of creating a sense of belonging but also the efficacy of creating a sense of shared academic purpose amongst the student body. This theme will be returned to in Section 4.</w:t>
      </w:r>
    </w:p>
    <w:p w:rsidR="000D13C9" w:rsidRPr="00340C64" w:rsidRDefault="000D13C9" w:rsidP="00340C64">
      <w:pPr>
        <w:pStyle w:val="ListParagraph"/>
        <w:numPr>
          <w:ilvl w:val="0"/>
          <w:numId w:val="1"/>
        </w:numPr>
        <w:spacing w:line="360" w:lineRule="auto"/>
        <w:jc w:val="both"/>
        <w:rPr>
          <w:b/>
          <w:szCs w:val="24"/>
        </w:rPr>
      </w:pPr>
      <w:r w:rsidRPr="00340C64">
        <w:rPr>
          <w:b/>
          <w:szCs w:val="24"/>
        </w:rPr>
        <w:t>Managing Expectations</w:t>
      </w:r>
    </w:p>
    <w:p w:rsidR="007A4A59" w:rsidRDefault="00717DEB" w:rsidP="000D05ED">
      <w:pPr>
        <w:spacing w:line="360" w:lineRule="auto"/>
        <w:jc w:val="both"/>
        <w:rPr>
          <w:i/>
          <w:szCs w:val="24"/>
        </w:rPr>
      </w:pPr>
      <w:r>
        <w:rPr>
          <w:szCs w:val="24"/>
        </w:rPr>
        <w:t>The anecdotal evidence, gathered from both Academic and Personal Tutorials would indicate that students often ignore</w:t>
      </w:r>
      <w:r w:rsidR="007A4A59">
        <w:rPr>
          <w:szCs w:val="24"/>
        </w:rPr>
        <w:t>, or do not remember</w:t>
      </w:r>
      <w:r>
        <w:rPr>
          <w:szCs w:val="24"/>
        </w:rPr>
        <w:t xml:space="preserve"> the importance of effective referencing</w:t>
      </w:r>
      <w:r w:rsidR="007A4A59">
        <w:rPr>
          <w:szCs w:val="24"/>
        </w:rPr>
        <w:t xml:space="preserve"> until they fail an assignment or are reported for Unfair Practice. It is the contention of this paper that presenting a copy of Cite Them Right in Induction would allow use to address our expectations from the start and this approach is support by Tomkinson </w:t>
      </w:r>
      <w:r w:rsidR="007A4A59">
        <w:rPr>
          <w:i/>
          <w:szCs w:val="24"/>
        </w:rPr>
        <w:t>et al</w:t>
      </w:r>
      <w:r>
        <w:rPr>
          <w:szCs w:val="24"/>
        </w:rPr>
        <w:t xml:space="preserve"> </w:t>
      </w:r>
      <w:r w:rsidR="007A4A59" w:rsidRPr="007A4A59">
        <w:rPr>
          <w:szCs w:val="24"/>
        </w:rPr>
        <w:t>(2012, p. 217</w:t>
      </w:r>
      <w:r w:rsidR="007A4A59">
        <w:rPr>
          <w:szCs w:val="24"/>
        </w:rPr>
        <w:t>) who state that;</w:t>
      </w:r>
    </w:p>
    <w:p w:rsidR="000D13C9" w:rsidRDefault="000D13C9" w:rsidP="007A4A59">
      <w:pPr>
        <w:spacing w:line="360" w:lineRule="auto"/>
        <w:ind w:left="1134" w:right="1134"/>
        <w:jc w:val="both"/>
        <w:rPr>
          <w:szCs w:val="24"/>
        </w:rPr>
      </w:pPr>
      <w:r>
        <w:rPr>
          <w:szCs w:val="24"/>
        </w:rPr>
        <w:t>This does not mean that we should set our stall in terms of the latest marketing ‘hype’; we should, rather, present a realistic picture of our expectations of the student and also enter into a dialogue with students to ensure that what we provide can meet</w:t>
      </w:r>
      <w:r w:rsidR="007A4A59">
        <w:rPr>
          <w:szCs w:val="24"/>
        </w:rPr>
        <w:t xml:space="preserve"> their expectations.</w:t>
      </w:r>
      <w:r>
        <w:rPr>
          <w:szCs w:val="24"/>
        </w:rPr>
        <w:t xml:space="preserve"> (Tomkinson </w:t>
      </w:r>
      <w:r>
        <w:rPr>
          <w:i/>
          <w:szCs w:val="24"/>
        </w:rPr>
        <w:t>et al</w:t>
      </w:r>
      <w:r>
        <w:rPr>
          <w:szCs w:val="24"/>
        </w:rPr>
        <w:t>, 2002)</w:t>
      </w:r>
    </w:p>
    <w:p w:rsidR="007A4A59" w:rsidRDefault="007A4A59" w:rsidP="000D05ED">
      <w:pPr>
        <w:spacing w:line="360" w:lineRule="auto"/>
        <w:jc w:val="both"/>
        <w:rPr>
          <w:szCs w:val="24"/>
        </w:rPr>
      </w:pPr>
      <w:r>
        <w:rPr>
          <w:szCs w:val="24"/>
        </w:rPr>
        <w:t>Beginning this process in induction is also emphasised in a report by the Centre for Learning and Academic Support at Birmingham University, which states that;</w:t>
      </w:r>
    </w:p>
    <w:p w:rsidR="006C2138" w:rsidRDefault="006C2138" w:rsidP="007A4A59">
      <w:pPr>
        <w:spacing w:line="360" w:lineRule="auto"/>
        <w:ind w:left="1134" w:right="1134"/>
        <w:jc w:val="both"/>
        <w:rPr>
          <w:szCs w:val="24"/>
        </w:rPr>
      </w:pPr>
      <w:r w:rsidRPr="006C2138">
        <w:rPr>
          <w:szCs w:val="24"/>
        </w:rPr>
        <w:lastRenderedPageBreak/>
        <w:t>The acquisition of core skills – writing, reading, collating and processing information, thinking critically, verbal communication, working to deadlines etc. – is a key part of the induction process and must be ‘flagged up’ as such</w:t>
      </w:r>
      <w:r>
        <w:rPr>
          <w:szCs w:val="24"/>
        </w:rPr>
        <w:t xml:space="preserve"> (CLAD, 2007)</w:t>
      </w:r>
    </w:p>
    <w:p w:rsidR="001750B7" w:rsidRDefault="007A4A59" w:rsidP="000D05ED">
      <w:pPr>
        <w:spacing w:line="360" w:lineRule="auto"/>
        <w:jc w:val="both"/>
        <w:rPr>
          <w:szCs w:val="24"/>
        </w:rPr>
      </w:pPr>
      <w:r>
        <w:rPr>
          <w:szCs w:val="24"/>
        </w:rPr>
        <w:t>This approach a</w:t>
      </w:r>
      <w:r w:rsidR="001750B7">
        <w:rPr>
          <w:szCs w:val="24"/>
        </w:rPr>
        <w:t>lso relates to the ‘Encounter stage’ of induction, as described by Purnell (2002)</w:t>
      </w:r>
      <w:r w:rsidR="00D47774">
        <w:rPr>
          <w:szCs w:val="24"/>
        </w:rPr>
        <w:t xml:space="preserve"> (</w:t>
      </w:r>
      <w:r w:rsidR="00D47774">
        <w:rPr>
          <w:i/>
          <w:szCs w:val="24"/>
        </w:rPr>
        <w:t>cited in Foster 2010</w:t>
      </w:r>
      <w:r w:rsidR="00D47774">
        <w:rPr>
          <w:szCs w:val="24"/>
        </w:rPr>
        <w:t>)</w:t>
      </w:r>
      <w:r w:rsidR="001750B7">
        <w:rPr>
          <w:szCs w:val="24"/>
        </w:rPr>
        <w:t>, in which students are introduced to the core skills they will need and their awareness of roles and expectations is enhanced.</w:t>
      </w:r>
    </w:p>
    <w:p w:rsidR="007A4A59" w:rsidRDefault="007A4A59" w:rsidP="00E27DF3">
      <w:pPr>
        <w:spacing w:line="360" w:lineRule="auto"/>
        <w:jc w:val="both"/>
        <w:rPr>
          <w:szCs w:val="24"/>
        </w:rPr>
      </w:pPr>
    </w:p>
    <w:p w:rsidR="007A4A59" w:rsidRDefault="007A4A59" w:rsidP="00E27DF3">
      <w:pPr>
        <w:spacing w:line="360" w:lineRule="auto"/>
        <w:jc w:val="both"/>
        <w:rPr>
          <w:szCs w:val="24"/>
        </w:rPr>
      </w:pPr>
    </w:p>
    <w:p w:rsidR="0083378A" w:rsidRPr="000D13C9" w:rsidRDefault="0083378A" w:rsidP="00E27DF3">
      <w:pPr>
        <w:spacing w:line="360" w:lineRule="auto"/>
        <w:jc w:val="both"/>
        <w:rPr>
          <w:szCs w:val="24"/>
        </w:rPr>
      </w:pPr>
      <w:r>
        <w:rPr>
          <w:szCs w:val="24"/>
        </w:rPr>
        <w:t>Work by Schofield and Sackville (2010)</w:t>
      </w:r>
      <w:r w:rsidR="00E27DF3">
        <w:rPr>
          <w:szCs w:val="24"/>
        </w:rPr>
        <w:t>,</w:t>
      </w:r>
      <w:r>
        <w:rPr>
          <w:szCs w:val="24"/>
        </w:rPr>
        <w:t xml:space="preserve"> which focuses indicates that effective engagement with what they term an ‘engagement’ model of induction</w:t>
      </w:r>
      <w:r w:rsidR="00E27DF3">
        <w:rPr>
          <w:szCs w:val="24"/>
        </w:rPr>
        <w:t>,</w:t>
      </w:r>
      <w:r>
        <w:rPr>
          <w:szCs w:val="24"/>
        </w:rPr>
        <w:t xml:space="preserve"> has </w:t>
      </w:r>
      <w:r w:rsidR="00E27DF3">
        <w:rPr>
          <w:szCs w:val="24"/>
        </w:rPr>
        <w:t>a positive effect of student retention. They go on to argue that ‘</w:t>
      </w:r>
      <w:r w:rsidR="00E27DF3" w:rsidRPr="00E27DF3">
        <w:rPr>
          <w:szCs w:val="24"/>
        </w:rPr>
        <w:t>The academic component of this entitlement involves scaffolding activities</w:t>
      </w:r>
      <w:r w:rsidR="00E27DF3">
        <w:rPr>
          <w:szCs w:val="24"/>
        </w:rPr>
        <w:t xml:space="preserve"> </w:t>
      </w:r>
      <w:r w:rsidR="00E27DF3" w:rsidRPr="00E27DF3">
        <w:rPr>
          <w:szCs w:val="24"/>
        </w:rPr>
        <w:t>focused on how we get students to think like academics, to engage with discourse like academics,</w:t>
      </w:r>
      <w:r w:rsidR="00E27DF3">
        <w:rPr>
          <w:szCs w:val="24"/>
        </w:rPr>
        <w:t xml:space="preserve"> </w:t>
      </w:r>
      <w:r w:rsidR="00E27DF3" w:rsidRPr="00E27DF3">
        <w:rPr>
          <w:szCs w:val="24"/>
        </w:rPr>
        <w:t>write and read like academics</w:t>
      </w:r>
      <w:r w:rsidR="00E27DF3">
        <w:rPr>
          <w:szCs w:val="24"/>
        </w:rPr>
        <w:t>’ (Schofield and Sackville, 2010, p.119)</w:t>
      </w:r>
      <w:r w:rsidR="00E27DF3" w:rsidRPr="00E27DF3">
        <w:rPr>
          <w:szCs w:val="24"/>
        </w:rPr>
        <w:t>.</w:t>
      </w:r>
    </w:p>
    <w:p w:rsidR="00E27DF3" w:rsidRPr="00340C64" w:rsidRDefault="00E27DF3" w:rsidP="00340C64">
      <w:pPr>
        <w:pStyle w:val="ListParagraph"/>
        <w:numPr>
          <w:ilvl w:val="0"/>
          <w:numId w:val="1"/>
        </w:numPr>
        <w:spacing w:line="360" w:lineRule="auto"/>
        <w:jc w:val="both"/>
        <w:rPr>
          <w:b/>
          <w:szCs w:val="24"/>
        </w:rPr>
      </w:pPr>
      <w:r w:rsidRPr="00340C64">
        <w:rPr>
          <w:b/>
          <w:szCs w:val="24"/>
        </w:rPr>
        <w:t>Supporting the Teaching of Referencing Skills</w:t>
      </w:r>
    </w:p>
    <w:p w:rsidR="001609D7" w:rsidRDefault="001609D7" w:rsidP="00D82921">
      <w:pPr>
        <w:spacing w:line="360" w:lineRule="auto"/>
        <w:jc w:val="both"/>
        <w:rPr>
          <w:szCs w:val="24"/>
        </w:rPr>
      </w:pPr>
      <w:r>
        <w:rPr>
          <w:szCs w:val="24"/>
        </w:rPr>
        <w:t>Giving the students a copy of the text on induction would mean that they could bring it to the</w:t>
      </w:r>
      <w:r w:rsidR="007A4A59">
        <w:rPr>
          <w:szCs w:val="24"/>
        </w:rPr>
        <w:t xml:space="preserve"> Academic Study Skills lectures and it can</w:t>
      </w:r>
      <w:r w:rsidR="00814B44">
        <w:rPr>
          <w:szCs w:val="24"/>
        </w:rPr>
        <w:t xml:space="preserve"> be argued that, h</w:t>
      </w:r>
      <w:r>
        <w:rPr>
          <w:szCs w:val="24"/>
        </w:rPr>
        <w:t xml:space="preserve">aving the </w:t>
      </w:r>
      <w:r w:rsidR="00814B44">
        <w:rPr>
          <w:szCs w:val="24"/>
        </w:rPr>
        <w:t>t</w:t>
      </w:r>
      <w:r>
        <w:rPr>
          <w:szCs w:val="24"/>
        </w:rPr>
        <w:t>ext book to hand would allow students to s</w:t>
      </w:r>
      <w:r w:rsidR="007A4A59">
        <w:rPr>
          <w:szCs w:val="24"/>
        </w:rPr>
        <w:t>tart at the Concrete Experience phase</w:t>
      </w:r>
      <w:r w:rsidRPr="001609D7">
        <w:rPr>
          <w:color w:val="FF0000"/>
          <w:szCs w:val="24"/>
        </w:rPr>
        <w:t xml:space="preserve"> </w:t>
      </w:r>
      <w:r>
        <w:rPr>
          <w:szCs w:val="24"/>
        </w:rPr>
        <w:t>of the learning cycle rather than</w:t>
      </w:r>
      <w:r w:rsidR="007A4A59">
        <w:rPr>
          <w:szCs w:val="24"/>
        </w:rPr>
        <w:t xml:space="preserve"> the Abstract Conceptualisation</w:t>
      </w:r>
      <w:r w:rsidRPr="001609D7">
        <w:rPr>
          <w:color w:val="FF0000"/>
          <w:szCs w:val="24"/>
        </w:rPr>
        <w:t xml:space="preserve"> </w:t>
      </w:r>
      <w:r>
        <w:rPr>
          <w:szCs w:val="24"/>
        </w:rPr>
        <w:t xml:space="preserve">stage as currently happens thus giving all students immediate, practical experience of referencing. The lecturer could also refer back to the less threatening example of referencing used in the induction process (see </w:t>
      </w:r>
      <w:r w:rsidR="007A4A59">
        <w:rPr>
          <w:szCs w:val="24"/>
        </w:rPr>
        <w:t xml:space="preserve">Section 5 </w:t>
      </w:r>
      <w:r>
        <w:rPr>
          <w:szCs w:val="24"/>
        </w:rPr>
        <w:t>below).</w:t>
      </w:r>
    </w:p>
    <w:p w:rsidR="00E27DF3" w:rsidRPr="00D82921" w:rsidRDefault="007A4A59" w:rsidP="00D82921">
      <w:pPr>
        <w:spacing w:line="360" w:lineRule="auto"/>
        <w:jc w:val="both"/>
        <w:rPr>
          <w:i/>
          <w:szCs w:val="24"/>
        </w:rPr>
      </w:pPr>
      <w:r>
        <w:rPr>
          <w:szCs w:val="24"/>
        </w:rPr>
        <w:t xml:space="preserve">It is the belief of the author that this approach is also in line with findings of another research report which states that </w:t>
      </w:r>
      <w:r w:rsidR="00D82921" w:rsidRPr="00D82921">
        <w:rPr>
          <w:szCs w:val="24"/>
        </w:rPr>
        <w:t>‘Another identified method of creating engagement is to encourage student discovery, promoting the notion that the teacher is not the sole source of knowledge’</w:t>
      </w:r>
      <w:r w:rsidR="00D82921">
        <w:rPr>
          <w:szCs w:val="24"/>
        </w:rPr>
        <w:t xml:space="preserve"> (Crawford </w:t>
      </w:r>
      <w:r w:rsidR="00D82921">
        <w:rPr>
          <w:i/>
          <w:szCs w:val="24"/>
        </w:rPr>
        <w:t xml:space="preserve">et al, </w:t>
      </w:r>
      <w:r w:rsidR="00D82921" w:rsidRPr="00D82921">
        <w:rPr>
          <w:szCs w:val="24"/>
        </w:rPr>
        <w:t>2015)</w:t>
      </w:r>
    </w:p>
    <w:p w:rsidR="00E27DF3" w:rsidRPr="00340C64" w:rsidRDefault="00E27DF3" w:rsidP="00340C64">
      <w:pPr>
        <w:pStyle w:val="ListParagraph"/>
        <w:numPr>
          <w:ilvl w:val="0"/>
          <w:numId w:val="1"/>
        </w:numPr>
        <w:spacing w:line="360" w:lineRule="auto"/>
        <w:jc w:val="both"/>
        <w:rPr>
          <w:b/>
          <w:szCs w:val="24"/>
        </w:rPr>
      </w:pPr>
      <w:r w:rsidRPr="00340C64">
        <w:rPr>
          <w:b/>
          <w:szCs w:val="24"/>
        </w:rPr>
        <w:t>Proposal: Introducing the concept of Referencing as an Induction group work ‘icebreaker’</w:t>
      </w:r>
    </w:p>
    <w:p w:rsidR="002C3A60" w:rsidRDefault="002C3A60" w:rsidP="00E27DF3">
      <w:pPr>
        <w:spacing w:line="360" w:lineRule="auto"/>
        <w:jc w:val="both"/>
        <w:rPr>
          <w:szCs w:val="24"/>
        </w:rPr>
      </w:pPr>
      <w:r>
        <w:rPr>
          <w:szCs w:val="24"/>
        </w:rPr>
        <w:t>It is therefore proposed that Cite Them Right is utilised in the following way;</w:t>
      </w:r>
    </w:p>
    <w:p w:rsidR="002C3A60" w:rsidRDefault="002C3A60" w:rsidP="002C3A60">
      <w:pPr>
        <w:pStyle w:val="ListParagraph"/>
        <w:numPr>
          <w:ilvl w:val="0"/>
          <w:numId w:val="2"/>
        </w:numPr>
        <w:spacing w:line="360" w:lineRule="auto"/>
        <w:jc w:val="both"/>
        <w:rPr>
          <w:szCs w:val="24"/>
        </w:rPr>
      </w:pPr>
      <w:r>
        <w:rPr>
          <w:szCs w:val="24"/>
        </w:rPr>
        <w:lastRenderedPageBreak/>
        <w:t>Students are ‘presented’ with a copy of Cite Them Right early in the Induction process. This could take the form of an informal ‘presentation ceremony’ thus addressing issues raised in Sections 1 &amp; 2</w:t>
      </w:r>
    </w:p>
    <w:p w:rsidR="002C3A60" w:rsidRPr="002C3A60" w:rsidRDefault="002C3A60" w:rsidP="002C3A60">
      <w:pPr>
        <w:pStyle w:val="ListParagraph"/>
        <w:numPr>
          <w:ilvl w:val="0"/>
          <w:numId w:val="2"/>
        </w:numPr>
        <w:spacing w:line="360" w:lineRule="auto"/>
        <w:jc w:val="both"/>
        <w:rPr>
          <w:szCs w:val="24"/>
        </w:rPr>
      </w:pPr>
      <w:r>
        <w:rPr>
          <w:szCs w:val="24"/>
        </w:rPr>
        <w:t>The Induction process also includes an exercise where students are put into groups, discuss their favourite Book, TV programme or Film and then work together as a group to help each other reference this correctly. This would not only introduce the concept of referencing ALL potential sources but the group[-work nature of the exercise would also be in line with the finding of a study of the effectiveness of group activities in the Induction process, as evidenced in the quotes from students below.</w:t>
      </w:r>
    </w:p>
    <w:p w:rsidR="002C3A60" w:rsidRDefault="002C3A60" w:rsidP="00E27DF3">
      <w:pPr>
        <w:spacing w:line="360" w:lineRule="auto"/>
        <w:jc w:val="both"/>
        <w:rPr>
          <w:szCs w:val="24"/>
        </w:rPr>
      </w:pPr>
    </w:p>
    <w:p w:rsidR="00E27DF3" w:rsidRPr="00E27DF3" w:rsidRDefault="00E27DF3" w:rsidP="002C3A60">
      <w:pPr>
        <w:spacing w:line="360" w:lineRule="auto"/>
        <w:ind w:left="1134" w:right="1134"/>
        <w:mirrorIndents/>
        <w:jc w:val="both"/>
        <w:rPr>
          <w:szCs w:val="24"/>
        </w:rPr>
      </w:pPr>
      <w:r w:rsidRPr="00E27DF3">
        <w:rPr>
          <w:szCs w:val="24"/>
        </w:rPr>
        <w:t>‘The opportunity to work with course colleagues and build a rapport with them</w:t>
      </w:r>
    </w:p>
    <w:p w:rsidR="00E27DF3" w:rsidRPr="00E27DF3" w:rsidRDefault="00E27DF3" w:rsidP="002C3A60">
      <w:pPr>
        <w:spacing w:line="360" w:lineRule="auto"/>
        <w:ind w:left="1134" w:right="1134"/>
        <w:mirrorIndents/>
        <w:jc w:val="both"/>
        <w:rPr>
          <w:szCs w:val="24"/>
        </w:rPr>
      </w:pPr>
      <w:r w:rsidRPr="00E27DF3">
        <w:rPr>
          <w:szCs w:val="24"/>
        </w:rPr>
        <w:t>from an early stage’ Student 17</w:t>
      </w:r>
    </w:p>
    <w:p w:rsidR="00E27DF3" w:rsidRPr="00E27DF3" w:rsidRDefault="00E27DF3" w:rsidP="002C3A60">
      <w:pPr>
        <w:spacing w:line="360" w:lineRule="auto"/>
        <w:ind w:left="1134" w:right="1134"/>
        <w:mirrorIndents/>
        <w:jc w:val="both"/>
        <w:rPr>
          <w:szCs w:val="24"/>
        </w:rPr>
      </w:pPr>
      <w:r w:rsidRPr="00E27DF3">
        <w:rPr>
          <w:szCs w:val="24"/>
        </w:rPr>
        <w:t>‘Putting people into groups where they didn’t know any one made people</w:t>
      </w:r>
    </w:p>
    <w:p w:rsidR="00E27DF3" w:rsidRPr="00E27DF3" w:rsidRDefault="00E27DF3" w:rsidP="002C3A60">
      <w:pPr>
        <w:spacing w:line="360" w:lineRule="auto"/>
        <w:ind w:left="1134" w:right="1134"/>
        <w:mirrorIndents/>
        <w:jc w:val="both"/>
        <w:rPr>
          <w:szCs w:val="24"/>
        </w:rPr>
      </w:pPr>
      <w:r w:rsidRPr="00E27DF3">
        <w:rPr>
          <w:szCs w:val="24"/>
        </w:rPr>
        <w:t>make friends’ Student 18</w:t>
      </w:r>
    </w:p>
    <w:p w:rsidR="00E27DF3" w:rsidRPr="00E27DF3" w:rsidRDefault="00E27DF3" w:rsidP="002C3A60">
      <w:pPr>
        <w:spacing w:line="360" w:lineRule="auto"/>
        <w:ind w:left="1134" w:right="1134"/>
        <w:mirrorIndents/>
        <w:jc w:val="both"/>
        <w:rPr>
          <w:szCs w:val="24"/>
        </w:rPr>
      </w:pPr>
      <w:r w:rsidRPr="00E27DF3">
        <w:rPr>
          <w:szCs w:val="24"/>
        </w:rPr>
        <w:t>‘Being put into teams and learning about each other through group tasks –</w:t>
      </w:r>
    </w:p>
    <w:p w:rsidR="00E27DF3" w:rsidRPr="00E27DF3" w:rsidRDefault="00E27DF3" w:rsidP="002C3A60">
      <w:pPr>
        <w:spacing w:line="360" w:lineRule="auto"/>
        <w:ind w:left="1134" w:right="1134"/>
        <w:mirrorIndents/>
        <w:jc w:val="both"/>
        <w:rPr>
          <w:szCs w:val="24"/>
        </w:rPr>
      </w:pPr>
      <w:r w:rsidRPr="00E27DF3">
        <w:rPr>
          <w:szCs w:val="24"/>
        </w:rPr>
        <w:t>even if we didn’t win!’ Student 23</w:t>
      </w:r>
      <w:r>
        <w:rPr>
          <w:szCs w:val="24"/>
        </w:rPr>
        <w:t xml:space="preserve"> (</w:t>
      </w:r>
      <w:proofErr w:type="spellStart"/>
      <w:r>
        <w:rPr>
          <w:szCs w:val="24"/>
        </w:rPr>
        <w:t>Yamnikar</w:t>
      </w:r>
      <w:proofErr w:type="spellEnd"/>
      <w:r>
        <w:rPr>
          <w:szCs w:val="24"/>
        </w:rPr>
        <w:t>, No Date)</w:t>
      </w:r>
    </w:p>
    <w:p w:rsidR="000D05ED" w:rsidRPr="002C3A60" w:rsidRDefault="002C3A60" w:rsidP="002C3A60">
      <w:pPr>
        <w:pStyle w:val="ListParagraph"/>
        <w:numPr>
          <w:ilvl w:val="0"/>
          <w:numId w:val="2"/>
        </w:numPr>
        <w:spacing w:line="360" w:lineRule="auto"/>
        <w:jc w:val="both"/>
        <w:rPr>
          <w:szCs w:val="24"/>
        </w:rPr>
      </w:pPr>
      <w:r>
        <w:rPr>
          <w:szCs w:val="24"/>
        </w:rPr>
        <w:t>All students would have a copy of Cite Them Right to use in practical activities set up as part of the teaching in ECGE4001Q (Academic Study Skills)</w:t>
      </w:r>
    </w:p>
    <w:p w:rsidR="000D05ED" w:rsidRDefault="000D05ED" w:rsidP="000D05ED">
      <w:pPr>
        <w:spacing w:line="360" w:lineRule="auto"/>
        <w:jc w:val="both"/>
        <w:rPr>
          <w:szCs w:val="24"/>
        </w:rPr>
      </w:pPr>
    </w:p>
    <w:p w:rsidR="004B53C9" w:rsidRDefault="004B53C9" w:rsidP="00340C64">
      <w:pPr>
        <w:jc w:val="both"/>
        <w:rPr>
          <w:szCs w:val="24"/>
        </w:rPr>
      </w:pPr>
      <w:r>
        <w:rPr>
          <w:szCs w:val="24"/>
        </w:rPr>
        <w:br w:type="page"/>
      </w:r>
    </w:p>
    <w:p w:rsidR="000D05ED" w:rsidRDefault="000D05ED" w:rsidP="000D05ED">
      <w:pPr>
        <w:spacing w:line="360" w:lineRule="auto"/>
        <w:jc w:val="both"/>
        <w:rPr>
          <w:szCs w:val="24"/>
        </w:rPr>
      </w:pPr>
    </w:p>
    <w:p w:rsidR="004B53C9" w:rsidRDefault="004B53C9" w:rsidP="004B53C9">
      <w:pPr>
        <w:spacing w:line="360" w:lineRule="auto"/>
        <w:rPr>
          <w:b/>
          <w:szCs w:val="24"/>
        </w:rPr>
      </w:pPr>
      <w:r w:rsidRPr="004B53C9">
        <w:rPr>
          <w:b/>
          <w:szCs w:val="24"/>
        </w:rPr>
        <w:t>References</w:t>
      </w:r>
    </w:p>
    <w:p w:rsidR="0039067A" w:rsidRPr="0039067A" w:rsidRDefault="0039067A" w:rsidP="0039067A">
      <w:pPr>
        <w:spacing w:before="240" w:after="120"/>
        <w:ind w:left="720" w:hanging="720"/>
        <w:jc w:val="left"/>
        <w:rPr>
          <w:szCs w:val="24"/>
        </w:rPr>
      </w:pPr>
      <w:r>
        <w:rPr>
          <w:szCs w:val="24"/>
        </w:rPr>
        <w:t xml:space="preserve">Ashwin </w:t>
      </w:r>
      <w:proofErr w:type="spellStart"/>
      <w:r>
        <w:rPr>
          <w:szCs w:val="24"/>
        </w:rPr>
        <w:t>Gobin</w:t>
      </w:r>
      <w:proofErr w:type="spellEnd"/>
      <w:r>
        <w:rPr>
          <w:szCs w:val="24"/>
        </w:rPr>
        <w:t xml:space="preserve">, B </w:t>
      </w:r>
      <w:r>
        <w:rPr>
          <w:i/>
          <w:szCs w:val="24"/>
        </w:rPr>
        <w:t>et al</w:t>
      </w:r>
      <w:r>
        <w:rPr>
          <w:szCs w:val="24"/>
        </w:rPr>
        <w:t xml:space="preserve"> (2012) ‘</w:t>
      </w:r>
      <w:r w:rsidRPr="0039067A">
        <w:rPr>
          <w:szCs w:val="24"/>
        </w:rPr>
        <w:t>Investigating into the Relationship between the Present</w:t>
      </w:r>
      <w:r>
        <w:rPr>
          <w:szCs w:val="24"/>
        </w:rPr>
        <w:t xml:space="preserve"> </w:t>
      </w:r>
      <w:r w:rsidRPr="0039067A">
        <w:rPr>
          <w:szCs w:val="24"/>
        </w:rPr>
        <w:t>Level of</w:t>
      </w:r>
      <w:r>
        <w:rPr>
          <w:szCs w:val="24"/>
        </w:rPr>
        <w:t xml:space="preserve"> </w:t>
      </w:r>
      <w:r w:rsidRPr="0039067A">
        <w:rPr>
          <w:szCs w:val="24"/>
        </w:rPr>
        <w:t>Tertiary Students’ Needs Relative to Maslow’s</w:t>
      </w:r>
      <w:r>
        <w:rPr>
          <w:szCs w:val="24"/>
        </w:rPr>
        <w:t xml:space="preserve"> </w:t>
      </w:r>
      <w:r w:rsidRPr="0039067A">
        <w:rPr>
          <w:szCs w:val="24"/>
        </w:rPr>
        <w:t>Hierarchy: A Case Study at the University of Mauritius</w:t>
      </w:r>
      <w:r>
        <w:rPr>
          <w:szCs w:val="24"/>
        </w:rPr>
        <w:t xml:space="preserve">’ </w:t>
      </w:r>
      <w:r w:rsidRPr="0039067A">
        <w:rPr>
          <w:i/>
          <w:szCs w:val="24"/>
        </w:rPr>
        <w:t>The International Journal of Learning</w:t>
      </w:r>
      <w:r>
        <w:rPr>
          <w:szCs w:val="24"/>
        </w:rPr>
        <w:t xml:space="preserve"> </w:t>
      </w:r>
      <w:r w:rsidRPr="0039067A">
        <w:rPr>
          <w:szCs w:val="24"/>
        </w:rPr>
        <w:t>Volume 18, Issue 11</w:t>
      </w:r>
      <w:r>
        <w:rPr>
          <w:szCs w:val="24"/>
        </w:rPr>
        <w:t xml:space="preserve"> pp. 203-219 Available at: </w:t>
      </w:r>
      <w:r w:rsidRPr="0039067A">
        <w:rPr>
          <w:szCs w:val="24"/>
        </w:rPr>
        <w:t xml:space="preserve">Education Source, EBSCOhost, </w:t>
      </w:r>
      <w:r>
        <w:rPr>
          <w:szCs w:val="24"/>
        </w:rPr>
        <w:t>(Accessed</w:t>
      </w:r>
      <w:r w:rsidRPr="0039067A">
        <w:rPr>
          <w:szCs w:val="24"/>
        </w:rPr>
        <w:t xml:space="preserve"> 19 June 2018</w:t>
      </w:r>
      <w:r>
        <w:rPr>
          <w:szCs w:val="24"/>
        </w:rPr>
        <w:t>)</w:t>
      </w:r>
      <w:r w:rsidRPr="0039067A">
        <w:rPr>
          <w:szCs w:val="24"/>
        </w:rPr>
        <w:t>.</w:t>
      </w:r>
    </w:p>
    <w:p w:rsidR="006C2138" w:rsidRDefault="006C2138" w:rsidP="00340C64">
      <w:pPr>
        <w:spacing w:before="240" w:after="120"/>
        <w:ind w:left="720" w:hanging="720"/>
        <w:jc w:val="left"/>
        <w:rPr>
          <w:szCs w:val="24"/>
        </w:rPr>
      </w:pPr>
      <w:r>
        <w:rPr>
          <w:szCs w:val="24"/>
        </w:rPr>
        <w:t xml:space="preserve">Centre for Learning and Academic Development (2007) </w:t>
      </w:r>
      <w:r>
        <w:rPr>
          <w:i/>
          <w:szCs w:val="24"/>
        </w:rPr>
        <w:t>Student Induction and Core Skills Survey: Project Overview HIST040</w:t>
      </w:r>
      <w:r>
        <w:rPr>
          <w:szCs w:val="24"/>
        </w:rPr>
        <w:t xml:space="preserve"> Birmingham:</w:t>
      </w:r>
      <w:r w:rsidR="00074883">
        <w:rPr>
          <w:szCs w:val="24"/>
        </w:rPr>
        <w:t xml:space="preserve"> </w:t>
      </w:r>
      <w:r>
        <w:rPr>
          <w:szCs w:val="24"/>
        </w:rPr>
        <w:t xml:space="preserve">University of Birmingham Available at: </w:t>
      </w:r>
      <w:hyperlink r:id="rId7" w:history="1">
        <w:r w:rsidRPr="0006436E">
          <w:rPr>
            <w:rStyle w:val="Hyperlink"/>
            <w:szCs w:val="24"/>
          </w:rPr>
          <w:t>http://epapers.bham.ac.uk/1602/1/HIST040_Student_induction_and_core_skills_survey.pdf</w:t>
        </w:r>
      </w:hyperlink>
      <w:r>
        <w:rPr>
          <w:szCs w:val="24"/>
        </w:rPr>
        <w:t xml:space="preserve"> (Accessed 14/06/2018)</w:t>
      </w:r>
    </w:p>
    <w:p w:rsidR="00074883" w:rsidRPr="00074883" w:rsidRDefault="00074883" w:rsidP="00340C64">
      <w:pPr>
        <w:spacing w:before="240" w:after="120"/>
        <w:ind w:left="720" w:hanging="720"/>
        <w:jc w:val="left"/>
        <w:rPr>
          <w:szCs w:val="24"/>
        </w:rPr>
      </w:pPr>
      <w:r>
        <w:rPr>
          <w:szCs w:val="24"/>
        </w:rPr>
        <w:t xml:space="preserve">Crawford </w:t>
      </w:r>
      <w:r>
        <w:rPr>
          <w:i/>
          <w:szCs w:val="24"/>
        </w:rPr>
        <w:t xml:space="preserve">et al </w:t>
      </w:r>
      <w:r>
        <w:rPr>
          <w:szCs w:val="24"/>
        </w:rPr>
        <w:t xml:space="preserve">(2015) </w:t>
      </w:r>
      <w:r w:rsidRPr="00074883">
        <w:rPr>
          <w:i/>
          <w:szCs w:val="24"/>
        </w:rPr>
        <w:t>Pedagogies of partnership: What works</w:t>
      </w:r>
      <w:r w:rsidR="00E3395A">
        <w:rPr>
          <w:i/>
          <w:szCs w:val="24"/>
        </w:rPr>
        <w:t>?</w:t>
      </w:r>
      <w:r>
        <w:rPr>
          <w:szCs w:val="24"/>
        </w:rPr>
        <w:t xml:space="preserve"> York: HEA Available at: </w:t>
      </w:r>
      <w:hyperlink r:id="rId8" w:history="1">
        <w:r w:rsidR="00D82921" w:rsidRPr="0006436E">
          <w:rPr>
            <w:rStyle w:val="Hyperlink"/>
            <w:szCs w:val="24"/>
          </w:rPr>
          <w:t>https://www.heacademy.ac.uk/knowledge-hub/pedagogies-partnership-what-works</w:t>
        </w:r>
      </w:hyperlink>
      <w:r w:rsidR="00D82921">
        <w:rPr>
          <w:szCs w:val="24"/>
        </w:rPr>
        <w:t xml:space="preserve"> (Accessed 14/06/2018)</w:t>
      </w:r>
    </w:p>
    <w:p w:rsidR="006C2138" w:rsidRPr="001750B7" w:rsidRDefault="001750B7" w:rsidP="00340C64">
      <w:pPr>
        <w:spacing w:before="240" w:after="120"/>
        <w:ind w:left="720" w:hanging="720"/>
        <w:jc w:val="left"/>
        <w:rPr>
          <w:szCs w:val="24"/>
        </w:rPr>
      </w:pPr>
      <w:r>
        <w:rPr>
          <w:szCs w:val="24"/>
        </w:rPr>
        <w:t xml:space="preserve">Foster, M. (2010) ‘Induction and Transition into UK HE’ </w:t>
      </w:r>
      <w:r w:rsidRPr="001750B7">
        <w:rPr>
          <w:i/>
          <w:szCs w:val="24"/>
        </w:rPr>
        <w:t>The World in Your Classroom – A Day for Teachers of International Students</w:t>
      </w:r>
      <w:r>
        <w:rPr>
          <w:szCs w:val="24"/>
        </w:rPr>
        <w:t xml:space="preserve"> HEA: Edinburgh 11</w:t>
      </w:r>
      <w:r w:rsidRPr="001750B7">
        <w:rPr>
          <w:szCs w:val="24"/>
          <w:vertAlign w:val="superscript"/>
        </w:rPr>
        <w:t>th</w:t>
      </w:r>
      <w:r>
        <w:rPr>
          <w:szCs w:val="24"/>
        </w:rPr>
        <w:t xml:space="preserve"> June</w:t>
      </w:r>
    </w:p>
    <w:p w:rsidR="00D47774" w:rsidRDefault="00D47774" w:rsidP="00340C64">
      <w:pPr>
        <w:spacing w:before="240" w:after="120"/>
        <w:ind w:left="720" w:hanging="720"/>
        <w:jc w:val="left"/>
        <w:rPr>
          <w:szCs w:val="24"/>
        </w:rPr>
      </w:pPr>
      <w:r>
        <w:rPr>
          <w:szCs w:val="24"/>
        </w:rPr>
        <w:t xml:space="preserve">Thomas, L. Professor (2012) </w:t>
      </w:r>
      <w:r w:rsidRPr="0083378A">
        <w:rPr>
          <w:i/>
          <w:szCs w:val="24"/>
        </w:rPr>
        <w:t>Building student engagement and belonging in Higher Education at a time of change: final report from the What Works? Student Retention &amp; Success programme</w:t>
      </w:r>
      <w:r>
        <w:rPr>
          <w:szCs w:val="24"/>
        </w:rPr>
        <w:t xml:space="preserve"> </w:t>
      </w:r>
      <w:r w:rsidR="0083378A">
        <w:rPr>
          <w:szCs w:val="24"/>
        </w:rPr>
        <w:t xml:space="preserve">London: Paul Hamlyn Foundation Available at: </w:t>
      </w:r>
      <w:hyperlink r:id="rId9" w:history="1">
        <w:r w:rsidR="0083378A" w:rsidRPr="0006436E">
          <w:rPr>
            <w:rStyle w:val="Hyperlink"/>
            <w:szCs w:val="24"/>
          </w:rPr>
          <w:t>https://www.heacademy.ac.uk/system/files/what_works_final_report.pdf</w:t>
        </w:r>
      </w:hyperlink>
      <w:r w:rsidR="0083378A">
        <w:rPr>
          <w:szCs w:val="24"/>
        </w:rPr>
        <w:t xml:space="preserve"> (Accessed 14/06/2018)</w:t>
      </w:r>
    </w:p>
    <w:p w:rsidR="004B53C9" w:rsidRDefault="004B53C9" w:rsidP="00340C64">
      <w:pPr>
        <w:spacing w:before="240" w:after="120"/>
        <w:ind w:left="720" w:hanging="720"/>
        <w:jc w:val="left"/>
        <w:rPr>
          <w:szCs w:val="24"/>
        </w:rPr>
      </w:pPr>
      <w:r>
        <w:rPr>
          <w:szCs w:val="24"/>
        </w:rPr>
        <w:t xml:space="preserve">Tomkinson. B </w:t>
      </w:r>
      <w:r>
        <w:rPr>
          <w:i/>
          <w:szCs w:val="24"/>
        </w:rPr>
        <w:t>et al</w:t>
      </w:r>
      <w:r>
        <w:rPr>
          <w:szCs w:val="24"/>
        </w:rPr>
        <w:t xml:space="preserve"> (2002) ‘Developing a Strategy for Student Retention’ </w:t>
      </w:r>
      <w:r>
        <w:rPr>
          <w:i/>
          <w:szCs w:val="24"/>
        </w:rPr>
        <w:t>International Journal of Electrical Engineering Education</w:t>
      </w:r>
      <w:r>
        <w:rPr>
          <w:szCs w:val="24"/>
        </w:rPr>
        <w:t xml:space="preserve"> 39 (3, July), pp. 210-218</w:t>
      </w:r>
    </w:p>
    <w:p w:rsidR="00074883" w:rsidRPr="00340C64" w:rsidRDefault="00074883" w:rsidP="00340C64">
      <w:pPr>
        <w:spacing w:before="240" w:after="120"/>
        <w:ind w:left="720" w:hanging="720"/>
        <w:jc w:val="left"/>
        <w:rPr>
          <w:i/>
          <w:szCs w:val="24"/>
        </w:rPr>
      </w:pPr>
      <w:proofErr w:type="spellStart"/>
      <w:r>
        <w:rPr>
          <w:szCs w:val="24"/>
        </w:rPr>
        <w:t>Yamnikar</w:t>
      </w:r>
      <w:proofErr w:type="spellEnd"/>
      <w:r>
        <w:rPr>
          <w:szCs w:val="24"/>
        </w:rPr>
        <w:t xml:space="preserve">, J.A. (No Date) </w:t>
      </w:r>
      <w:r w:rsidRPr="00074883">
        <w:rPr>
          <w:i/>
          <w:szCs w:val="24"/>
        </w:rPr>
        <w:t>Increasing Retention Rates of New Students by Improving the</w:t>
      </w:r>
      <w:r w:rsidR="00340C64">
        <w:rPr>
          <w:i/>
          <w:szCs w:val="24"/>
        </w:rPr>
        <w:t xml:space="preserve"> </w:t>
      </w:r>
      <w:r w:rsidRPr="00074883">
        <w:rPr>
          <w:i/>
          <w:szCs w:val="24"/>
        </w:rPr>
        <w:t>Induction Process</w:t>
      </w:r>
      <w:r>
        <w:rPr>
          <w:szCs w:val="24"/>
        </w:rPr>
        <w:t xml:space="preserve"> </w:t>
      </w:r>
      <w:r w:rsidRPr="00074883">
        <w:rPr>
          <w:szCs w:val="24"/>
        </w:rPr>
        <w:t>Department of the Built Environment, University of Central Lancashire</w:t>
      </w:r>
      <w:r>
        <w:rPr>
          <w:szCs w:val="24"/>
        </w:rPr>
        <w:t xml:space="preserve"> Available at: </w:t>
      </w:r>
      <w:hyperlink r:id="rId10" w:history="1">
        <w:r w:rsidRPr="0006436E">
          <w:rPr>
            <w:rStyle w:val="Hyperlink"/>
            <w:szCs w:val="24"/>
          </w:rPr>
          <w:t>https://www.heacademy.ac.uk/system/files/johnashtonyamnikar.pdf</w:t>
        </w:r>
      </w:hyperlink>
      <w:r>
        <w:rPr>
          <w:szCs w:val="24"/>
        </w:rPr>
        <w:t xml:space="preserve"> (Accessed 14/06/2018)</w:t>
      </w:r>
    </w:p>
    <w:sectPr w:rsidR="00074883" w:rsidRPr="00340C64" w:rsidSect="00B17205">
      <w:headerReference w:type="even" r:id="rId11"/>
      <w:headerReference w:type="default" r:id="rId12"/>
      <w:footerReference w:type="even" r:id="rId13"/>
      <w:footerReference w:type="default" r:id="rId14"/>
      <w:headerReference w:type="first" r:id="rId15"/>
      <w:footerReference w:type="first" r:id="rId16"/>
      <w:pgSz w:w="11906" w:h="16838"/>
      <w:pgMar w:top="1440" w:right="1134" w:bottom="1440" w:left="1133"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D05ED" w:rsidRDefault="000D05ED" w:rsidP="00303453">
      <w:pPr>
        <w:spacing w:before="0"/>
      </w:pPr>
      <w:r>
        <w:separator/>
      </w:r>
    </w:p>
  </w:endnote>
  <w:endnote w:type="continuationSeparator" w:id="0">
    <w:p w:rsidR="000D05ED" w:rsidRDefault="000D05ED" w:rsidP="00303453">
      <w:pPr>
        <w:spacing w:before="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17205" w:rsidRDefault="00B172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03453" w:rsidRDefault="00303453">
    <w:pPr>
      <w:pStyle w:val="Footer"/>
    </w:pPr>
    <w:r>
      <w:rPr>
        <w:noProof/>
        <w:lang w:eastAsia="en-GB"/>
      </w:rPr>
      <w:drawing>
        <wp:anchor distT="0" distB="0" distL="114300" distR="114300" simplePos="0" relativeHeight="251658240" behindDoc="0" locked="0" layoutInCell="1" allowOverlap="1" wp14:anchorId="732BCD0A" wp14:editId="7265FC47">
          <wp:simplePos x="0" y="0"/>
          <wp:positionH relativeFrom="column">
            <wp:posOffset>1560195</wp:posOffset>
          </wp:positionH>
          <wp:positionV relativeFrom="paragraph">
            <wp:posOffset>-104775</wp:posOffset>
          </wp:positionV>
          <wp:extent cx="3154556" cy="523875"/>
          <wp:effectExtent l="0" t="0" r="8255"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with vision statement).png"/>
                  <pic:cNvPicPr/>
                </pic:nvPicPr>
                <pic:blipFill>
                  <a:blip r:embed="rId1">
                    <a:extLst>
                      <a:ext uri="{28A0092B-C50C-407E-A947-70E740481C1C}">
                        <a14:useLocalDpi xmlns:a14="http://schemas.microsoft.com/office/drawing/2010/main" val="0"/>
                      </a:ext>
                    </a:extLst>
                  </a:blip>
                  <a:stretch>
                    <a:fillRect/>
                  </a:stretch>
                </pic:blipFill>
                <pic:spPr>
                  <a:xfrm>
                    <a:off x="0" y="0"/>
                    <a:ext cx="3154556" cy="523875"/>
                  </a:xfrm>
                  <a:prstGeom prst="rect">
                    <a:avLst/>
                  </a:prstGeom>
                </pic:spPr>
              </pic:pic>
            </a:graphicData>
          </a:graphic>
          <wp14:sizeRelH relativeFrom="page">
            <wp14:pctWidth>0</wp14:pctWidth>
          </wp14:sizeRelH>
          <wp14:sizeRelV relativeFrom="page">
            <wp14:pctHeight>0</wp14:pctHeight>
          </wp14:sizeRelV>
        </wp:anchor>
      </w:drawing>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17205" w:rsidRDefault="00B172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D05ED" w:rsidRDefault="000D05ED" w:rsidP="00303453">
      <w:pPr>
        <w:spacing w:before="0"/>
      </w:pPr>
      <w:r>
        <w:separator/>
      </w:r>
    </w:p>
  </w:footnote>
  <w:footnote w:type="continuationSeparator" w:id="0">
    <w:p w:rsidR="000D05ED" w:rsidRDefault="000D05ED" w:rsidP="00303453">
      <w:pPr>
        <w:spacing w:before="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17205" w:rsidRDefault="00B1720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260F8" w:rsidRPr="00303453" w:rsidRDefault="00B17205" w:rsidP="00B17205">
    <w:pPr>
      <w:pStyle w:val="Header"/>
      <w:tabs>
        <w:tab w:val="left" w:pos="3570"/>
        <w:tab w:val="center" w:pos="6979"/>
      </w:tabs>
      <w:rPr>
        <w:b/>
        <w:sz w:val="32"/>
        <w:szCs w:val="32"/>
      </w:rPr>
    </w:pPr>
    <w:r>
      <w:rPr>
        <w:b/>
        <w:noProof/>
        <w:lang w:eastAsia="en-GB"/>
      </w:rPr>
      <w:drawing>
        <wp:anchor distT="0" distB="0" distL="114300" distR="114300" simplePos="0" relativeHeight="251661312" behindDoc="0" locked="0" layoutInCell="1" allowOverlap="1" wp14:anchorId="2D2D150D" wp14:editId="358D6193">
          <wp:simplePos x="0" y="0"/>
          <wp:positionH relativeFrom="column">
            <wp:posOffset>5523865</wp:posOffset>
          </wp:positionH>
          <wp:positionV relativeFrom="paragraph">
            <wp:posOffset>-326390</wp:posOffset>
          </wp:positionV>
          <wp:extent cx="752475" cy="752475"/>
          <wp:effectExtent l="0" t="0" r="9525" b="952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JI with words.jpg"/>
                  <pic:cNvPicPr/>
                </pic:nvPicPr>
                <pic:blipFill>
                  <a:blip r:embed="rId1">
                    <a:extLst>
                      <a:ext uri="{28A0092B-C50C-407E-A947-70E740481C1C}">
                        <a14:useLocalDpi xmlns:a14="http://schemas.microsoft.com/office/drawing/2010/main" val="0"/>
                      </a:ext>
                    </a:extLst>
                  </a:blip>
                  <a:stretch>
                    <a:fillRect/>
                  </a:stretch>
                </pic:blipFill>
                <pic:spPr>
                  <a:xfrm>
                    <a:off x="0" y="0"/>
                    <a:ext cx="752475" cy="752475"/>
                  </a:xfrm>
                  <a:prstGeom prst="rect">
                    <a:avLst/>
                  </a:prstGeom>
                </pic:spPr>
              </pic:pic>
            </a:graphicData>
          </a:graphic>
          <wp14:sizeRelH relativeFrom="page">
            <wp14:pctWidth>0</wp14:pctWidth>
          </wp14:sizeRelH>
          <wp14:sizeRelV relativeFrom="page">
            <wp14:pctHeight>0</wp14:pctHeight>
          </wp14:sizeRelV>
        </wp:anchor>
      </w:drawing>
    </w:r>
    <w:r w:rsidR="00303453">
      <w:rPr>
        <w:b/>
        <w:noProof/>
        <w:lang w:eastAsia="en-GB"/>
      </w:rPr>
      <w:drawing>
        <wp:anchor distT="0" distB="0" distL="114300" distR="114300" simplePos="0" relativeHeight="251659264" behindDoc="0" locked="0" layoutInCell="1" allowOverlap="1" wp14:anchorId="3C0215F6" wp14:editId="37114912">
          <wp:simplePos x="0" y="0"/>
          <wp:positionH relativeFrom="column">
            <wp:posOffset>-153035</wp:posOffset>
          </wp:positionH>
          <wp:positionV relativeFrom="paragraph">
            <wp:posOffset>-326390</wp:posOffset>
          </wp:positionV>
          <wp:extent cx="752475" cy="752475"/>
          <wp:effectExtent l="0" t="0" r="9525"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JI with words.jpg"/>
                  <pic:cNvPicPr/>
                </pic:nvPicPr>
                <pic:blipFill>
                  <a:blip r:embed="rId1">
                    <a:extLst>
                      <a:ext uri="{28A0092B-C50C-407E-A947-70E740481C1C}">
                        <a14:useLocalDpi xmlns:a14="http://schemas.microsoft.com/office/drawing/2010/main" val="0"/>
                      </a:ext>
                    </a:extLst>
                  </a:blip>
                  <a:stretch>
                    <a:fillRect/>
                  </a:stretch>
                </pic:blipFill>
                <pic:spPr>
                  <a:xfrm>
                    <a:off x="0" y="0"/>
                    <a:ext cx="752475" cy="752475"/>
                  </a:xfrm>
                  <a:prstGeom prst="rect">
                    <a:avLst/>
                  </a:prstGeom>
                </pic:spPr>
              </pic:pic>
            </a:graphicData>
          </a:graphic>
          <wp14:sizeRelH relativeFrom="page">
            <wp14:pctWidth>0</wp14:pctWidth>
          </wp14:sizeRelH>
          <wp14:sizeRelV relativeFrom="page">
            <wp14:pctHeight>0</wp14:pctHeight>
          </wp14:sizeRelV>
        </wp:anchor>
      </w:drawing>
    </w:r>
    <w:r w:rsidR="006260F8">
      <w:rPr>
        <w:b/>
      </w:rPr>
      <w:t>The Social Empowerment Group</w:t>
    </w:r>
  </w:p>
  <w:p w:rsidR="00303453" w:rsidRPr="00303453" w:rsidRDefault="00303453">
    <w:pPr>
      <w:pStyle w:val="Header"/>
      <w:rPr>
        <w:b/>
        <w:sz w:val="32"/>
        <w:szCs w:val="32"/>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17205" w:rsidRDefault="00B172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376522"/>
    <w:multiLevelType w:val="hybridMultilevel"/>
    <w:tmpl w:val="2DB6ECB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ED3519"/>
    <w:multiLevelType w:val="hybridMultilevel"/>
    <w:tmpl w:val="6D38704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35C73D4"/>
    <w:multiLevelType w:val="hybridMultilevel"/>
    <w:tmpl w:val="766C77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5ED"/>
    <w:rsid w:val="00074883"/>
    <w:rsid w:val="000D05ED"/>
    <w:rsid w:val="000D13C9"/>
    <w:rsid w:val="001609D7"/>
    <w:rsid w:val="001750B7"/>
    <w:rsid w:val="0023691A"/>
    <w:rsid w:val="002A4253"/>
    <w:rsid w:val="002C3A60"/>
    <w:rsid w:val="002D1B9E"/>
    <w:rsid w:val="00303453"/>
    <w:rsid w:val="00340C64"/>
    <w:rsid w:val="0039067A"/>
    <w:rsid w:val="003C0DB3"/>
    <w:rsid w:val="003E7EF7"/>
    <w:rsid w:val="0048590E"/>
    <w:rsid w:val="004B53C9"/>
    <w:rsid w:val="006260F8"/>
    <w:rsid w:val="0068173D"/>
    <w:rsid w:val="006C2138"/>
    <w:rsid w:val="00717DEB"/>
    <w:rsid w:val="007A4A59"/>
    <w:rsid w:val="00814B44"/>
    <w:rsid w:val="0083378A"/>
    <w:rsid w:val="008D5907"/>
    <w:rsid w:val="009163E1"/>
    <w:rsid w:val="00A72DBE"/>
    <w:rsid w:val="00AF00D7"/>
    <w:rsid w:val="00B17205"/>
    <w:rsid w:val="00BC0B83"/>
    <w:rsid w:val="00C2614A"/>
    <w:rsid w:val="00D30409"/>
    <w:rsid w:val="00D47774"/>
    <w:rsid w:val="00D82921"/>
    <w:rsid w:val="00E27DF3"/>
    <w:rsid w:val="00E3395A"/>
    <w:rsid w:val="00FC02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43F43179"/>
  <w15:docId w15:val="{B4CFD9E4-D354-4FF2-9623-3C10386E5B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heme="minorHAnsi" w:hAnsi="Calibri" w:cstheme="minorBidi"/>
        <w:sz w:val="24"/>
        <w:szCs w:val="22"/>
        <w:lang w:val="en-GB" w:eastAsia="en-US" w:bidi="ar-SA"/>
      </w:rPr>
    </w:rPrDefault>
    <w:pPrDefault>
      <w:pPr>
        <w:spacing w:before="120"/>
        <w:jc w:val="cente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3453"/>
    <w:pPr>
      <w:tabs>
        <w:tab w:val="center" w:pos="4513"/>
        <w:tab w:val="right" w:pos="9026"/>
      </w:tabs>
      <w:spacing w:before="0"/>
    </w:pPr>
  </w:style>
  <w:style w:type="character" w:customStyle="1" w:styleId="HeaderChar">
    <w:name w:val="Header Char"/>
    <w:basedOn w:val="DefaultParagraphFont"/>
    <w:link w:val="Header"/>
    <w:uiPriority w:val="99"/>
    <w:rsid w:val="00303453"/>
  </w:style>
  <w:style w:type="paragraph" w:styleId="Footer">
    <w:name w:val="footer"/>
    <w:basedOn w:val="Normal"/>
    <w:link w:val="FooterChar"/>
    <w:uiPriority w:val="99"/>
    <w:unhideWhenUsed/>
    <w:rsid w:val="00303453"/>
    <w:pPr>
      <w:tabs>
        <w:tab w:val="center" w:pos="4513"/>
        <w:tab w:val="right" w:pos="9026"/>
      </w:tabs>
      <w:spacing w:before="0"/>
    </w:pPr>
  </w:style>
  <w:style w:type="character" w:customStyle="1" w:styleId="FooterChar">
    <w:name w:val="Footer Char"/>
    <w:basedOn w:val="DefaultParagraphFont"/>
    <w:link w:val="Footer"/>
    <w:uiPriority w:val="99"/>
    <w:rsid w:val="00303453"/>
  </w:style>
  <w:style w:type="paragraph" w:styleId="BalloonText">
    <w:name w:val="Balloon Text"/>
    <w:basedOn w:val="Normal"/>
    <w:link w:val="BalloonTextChar"/>
    <w:uiPriority w:val="99"/>
    <w:semiHidden/>
    <w:unhideWhenUsed/>
    <w:rsid w:val="00303453"/>
    <w:pPr>
      <w:spacing w:before="0"/>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3453"/>
    <w:rPr>
      <w:rFonts w:ascii="Tahoma" w:hAnsi="Tahoma" w:cs="Tahoma"/>
      <w:sz w:val="16"/>
      <w:szCs w:val="16"/>
    </w:rPr>
  </w:style>
  <w:style w:type="table" w:styleId="TableGrid">
    <w:name w:val="Table Grid"/>
    <w:basedOn w:val="TableNormal"/>
    <w:uiPriority w:val="59"/>
    <w:rsid w:val="00303453"/>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C2138"/>
    <w:rPr>
      <w:color w:val="0000FF" w:themeColor="hyperlink"/>
      <w:u w:val="single"/>
    </w:rPr>
  </w:style>
  <w:style w:type="character" w:customStyle="1" w:styleId="UnresolvedMention1">
    <w:name w:val="Unresolved Mention1"/>
    <w:basedOn w:val="DefaultParagraphFont"/>
    <w:uiPriority w:val="99"/>
    <w:semiHidden/>
    <w:unhideWhenUsed/>
    <w:rsid w:val="006C2138"/>
    <w:rPr>
      <w:color w:val="605E5C"/>
      <w:shd w:val="clear" w:color="auto" w:fill="E1DFDD"/>
    </w:rPr>
  </w:style>
  <w:style w:type="paragraph" w:styleId="ListParagraph">
    <w:name w:val="List Paragraph"/>
    <w:basedOn w:val="Normal"/>
    <w:uiPriority w:val="34"/>
    <w:qFormat/>
    <w:rsid w:val="00340C6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cademy.ac.uk/knowledge-hub/pedagogies-partnership-what-works"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epapers.bham.ac.uk/1602/1/HIST040_Student_induction_and_core_skills_survey.pdf" TargetMode="Externa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s://www.heacademy.ac.uk/system/files/johnashtonyamnikar.pdf" TargetMode="External"/><Relationship Id="rId4" Type="http://schemas.openxmlformats.org/officeDocument/2006/relationships/webSettings" Target="webSettings.xml"/><Relationship Id="rId9" Type="http://schemas.openxmlformats.org/officeDocument/2006/relationships/hyperlink" Target="https://www.heacademy.ac.uk/system/files/what_works_final_report.pdf" TargetMode="External"/><Relationship Id="rId14"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E:\Templates\Social%20Empowerment%20Blank%20Template%20(portrai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Social Empowerment Blank Template (portrait).dotx</Template>
  <TotalTime>0</TotalTime>
  <Pages>5</Pages>
  <Words>1383</Words>
  <Characters>7886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Ken Dicks</dc:creator>
  <cp:lastModifiedBy>Ken Dicks</cp:lastModifiedBy>
  <cp:revision>2</cp:revision>
  <cp:lastPrinted>2017-09-13T11:30:00Z</cp:lastPrinted>
  <dcterms:created xsi:type="dcterms:W3CDTF">2018-11-02T08:47:00Z</dcterms:created>
  <dcterms:modified xsi:type="dcterms:W3CDTF">2018-11-02T08:47:00Z</dcterms:modified>
</cp:coreProperties>
</file>