
<file path=[Content_Types].xml><?xml version="1.0" encoding="utf-8"?>
<Types xmlns="http://schemas.openxmlformats.org/package/2006/content-types">
  <Default ContentType="image/png" Extension="png"/>
  <Default ContentType="image/jpeg" Extension="jpeg"/>
  <Default ContentType="image/jpeg" Extension="jpg"/>
  <Default ContentType="image/bmp" Extension="bmp"/>
  <Default ContentType="image/gif" Extension="gif"/>
  <Default ContentType="image/svg+xml" Extension="svg"/>
  <Default ContentType="application/vnd.openxmlformats-package.relationships+xml" Extension="rels"/>
  <Default ContentType="application/xml" Extension="xml"/>
  <Default ContentType="application/vnd.openxmlformats-officedocument.obfuscatedFont" Extension="odttf"/>
  <Override ContentType="application/vnd.openxmlformats-officedocument.wordprocessingml.document.main+xml" PartName="/word/document.xml"/>
  <Override ContentType="application/vnd.openxmlformats-officedocument.wordprocessingml.styles+xml" PartName="/word/styles.xml"/>
  <Override ContentType="application/vnd.openxmlformats-package.core-properties+xml" PartName="/docProps/core.xml"/>
  <Override ContentType="application/vnd.openxmlformats-officedocument.custom-properties+xml" PartName="/docProps/custom.xml"/>
  <Override ContentType="application/vnd.openxmlformats-officedocument.extended-properties+xml" PartName="/docProps/app.xml"/>
  <Override ContentType="application/vnd.openxmlformats-officedocument.wordprocessingml.numbering+xml" PartName="/word/numbering.xml"/>
  <Override ContentType="application/vnd.openxmlformats-officedocument.wordprocessingml.footnotes+xml" PartName="/word/footnotes.xml"/>
  <Override ContentType="application/vnd.openxmlformats-officedocument.wordprocessingml.endnotes+xml" PartName="/word/endnotes.xml"/>
  <Override ContentType="application/vnd.openxmlformats-officedocument.wordprocessingml.settings+xml" PartName="/word/settings.xml"/>
  <Override ContentType="application/vnd.openxmlformats-officedocument.wordprocessingml.comments+xml" PartName="/word/comments.xml"/>
  <Override ContentType="application/vnd.openxmlformats-officedocument.wordprocessingml.fontTable+xml" PartName="/word/fontTable.xml"/>
  <Override ContentType="application/vnd.openxmlformats-officedocument.wordprocessingml.footer+xml" PartName="/word/footer1.xml"/>
</Types>
</file>

<file path=_rels/.rels><?xml version="1.0" encoding="UTF-8"?><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p14">
  <w:body>
    <w:p>
      <w:pPr>
        <w:spacing w:after="40"/>
      </w:pPr>
      <w:r>
        <w:rPr>
          <w:rFonts w:ascii="Arial" w:cs="Arial" w:eastAsia="Arial" w:hAnsi="Arial"/>
          <w:b/>
          <w:bCs/>
          <w:color w:val="1F3A5F"/>
          <w:sz w:val="38"/>
          <w:szCs w:val="38"/>
        </w:rPr>
        <w:t xml:space="preserve">Workforce planning: choosing the right B</w:t>
      </w:r>
    </w:p>
    <w:p>
      <w:pPr>
        <w:spacing w:after="160"/>
      </w:pPr>
      <w:r>
        <w:rPr>
          <w:rFonts w:ascii="Arial" w:cs="Arial" w:eastAsia="Arial" w:hAnsi="Arial"/>
          <w:color w:val="555555"/>
          <w:sz w:val="20"/>
          <w:szCs w:val="20"/>
        </w:rPr>
        <w:t xml:space="preserve">A decision guide for closing the gap between the workforce you will have and the workforce you need</w:t>
      </w:r>
    </w:p>
    <w:p>
      <w:pPr>
        <w:spacing w:after="60" w:line="264"/>
      </w:pPr>
      <w:r>
        <w:rPr>
          <w:rFonts w:ascii="Arial" w:cs="Arial" w:eastAsia="Arial" w:hAnsi="Arial"/>
          <w:sz w:val="19"/>
          <w:szCs w:val="19"/>
        </w:rPr>
        <w:t xml:space="preserve">The Bs are the options available at the </w:t>
      </w:r>
      <w:r>
        <w:rPr>
          <w:rFonts w:ascii="Arial" w:cs="Arial" w:eastAsia="Arial" w:hAnsi="Arial"/>
          <w:b/>
          <w:bCs/>
          <w:sz w:val="19"/>
          <w:szCs w:val="19"/>
        </w:rPr>
        <w:t xml:space="preserve">action-planning</w:t>
      </w:r>
      <w:r>
        <w:rPr>
          <w:rFonts w:ascii="Arial" w:cs="Arial" w:eastAsia="Arial" w:hAnsi="Arial"/>
          <w:sz w:val="19"/>
          <w:szCs w:val="19"/>
        </w:rPr>
        <w:t xml:space="preserve"> stage, once demand and supply have been forecast and the gaps identified. Treat them as a </w:t>
      </w:r>
      <w:r>
        <w:rPr>
          <w:rFonts w:ascii="Arial" w:cs="Arial" w:eastAsia="Arial" w:hAnsi="Arial"/>
          <w:b/>
          <w:bCs/>
          <w:sz w:val="19"/>
          <w:szCs w:val="19"/>
        </w:rPr>
        <w:t xml:space="preserve">portfolio</w:t>
      </w:r>
      <w:r>
        <w:rPr>
          <w:rFonts w:ascii="Arial" w:cs="Arial" w:eastAsia="Arial" w:hAnsi="Arial"/>
          <w:sz w:val="19"/>
          <w:szCs w:val="19"/>
        </w:rPr>
        <w:t xml:space="preserve">, not a single choice: organisations often default to Buy by habit when Build or Borrow may be faster, cheaper or more durable.</w:t>
      </w:r>
    </w:p>
    <w:p>
      <w:pPr>
        <w:keepNext/>
        <w:spacing w:after="80" w:before="200"/>
      </w:pPr>
      <w:r>
        <w:rPr>
          <w:rFonts w:ascii="Arial" w:cs="Arial" w:eastAsia="Arial" w:hAnsi="Arial"/>
          <w:b/>
          <w:bCs/>
          <w:color w:val="1F3A5F"/>
          <w:sz w:val="24"/>
          <w:szCs w:val="24"/>
        </w:rPr>
        <w:t xml:space="preserve">1. The Bs at a glance</w:t>
      </w:r>
    </w:p>
    <w:tbl>
      <w:tblPr>
        <w:tblW w:type="dxa" w:w="9866"/>
        <w:tblBorders>
          <w:top w:val="single" w:color="auto" w:sz="4"/>
          <w:left w:val="single" w:color="auto" w:sz="4"/>
          <w:bottom w:val="single" w:color="auto" w:sz="4"/>
          <w:right w:val="single" w:color="auto" w:sz="4"/>
          <w:insideH w:val="single" w:color="auto" w:sz="4"/>
          <w:insideV w:val="single" w:color="auto" w:sz="4"/>
        </w:tblBorders>
      </w:tblPr>
      <w:tblGrid>
        <w:gridCol w:w="1250"/>
        <w:gridCol w:w="3100"/>
        <w:gridCol w:w="5516"/>
      </w:tblGrid>
      <w:tr>
        <w:trPr>
          <w:tblHeader/>
        </w:trPr>
        <w:tc>
          <w:tcPr>
            <w:tcW w:type="dxa" w:w="1250"/>
            <w:tcBorders>
              <w:top w:val="single" w:color="C9D3DF" w:sz="4"/>
              <w:left w:val="single" w:color="C9D3DF" w:sz="4"/>
              <w:bottom w:val="single" w:color="C9D3DF" w:sz="4"/>
              <w:right w:val="single" w:color="C9D3DF" w:sz="4"/>
            </w:tcBorders>
            <w:shd w:fill="1F3A5F" w:color="auto" w:val="clear"/>
            <w:tcMar>
              <w:top w:type="dxa" w:w="60"/>
              <w:left w:type="dxa" w:w="100"/>
              <w:bottom w:type="dxa" w:w="60"/>
              <w:right w:type="dxa" w:w="100"/>
            </w:tcMar>
          </w:tcPr>
          <w:p>
            <w:r>
              <w:rPr>
                <w:rFonts w:ascii="Arial" w:cs="Arial" w:eastAsia="Arial" w:hAnsi="Arial"/>
                <w:b/>
                <w:bCs/>
                <w:color w:val="FFFFFF"/>
                <w:sz w:val="17"/>
                <w:szCs w:val="17"/>
              </w:rPr>
              <w:t xml:space="preserve">B</w:t>
            </w:r>
          </w:p>
        </w:tc>
        <w:tc>
          <w:tcPr>
            <w:tcW w:type="dxa" w:w="3100"/>
            <w:tcBorders>
              <w:top w:val="single" w:color="C9D3DF" w:sz="4"/>
              <w:left w:val="single" w:color="C9D3DF" w:sz="4"/>
              <w:bottom w:val="single" w:color="C9D3DF" w:sz="4"/>
              <w:right w:val="single" w:color="C9D3DF" w:sz="4"/>
            </w:tcBorders>
            <w:shd w:fill="1F3A5F" w:color="auto" w:val="clear"/>
            <w:tcMar>
              <w:top w:type="dxa" w:w="60"/>
              <w:left w:type="dxa" w:w="100"/>
              <w:bottom w:type="dxa" w:w="60"/>
              <w:right w:type="dxa" w:w="100"/>
            </w:tcMar>
          </w:tcPr>
          <w:p>
            <w:r>
              <w:rPr>
                <w:rFonts w:ascii="Arial" w:cs="Arial" w:eastAsia="Arial" w:hAnsi="Arial"/>
                <w:b/>
                <w:bCs/>
                <w:color w:val="FFFFFF"/>
                <w:sz w:val="17"/>
                <w:szCs w:val="17"/>
              </w:rPr>
              <w:t xml:space="preserve">What it means</w:t>
            </w:r>
          </w:p>
        </w:tc>
        <w:tc>
          <w:tcPr>
            <w:tcW w:type="dxa" w:w="5516"/>
            <w:tcBorders>
              <w:top w:val="single" w:color="C9D3DF" w:sz="4"/>
              <w:left w:val="single" w:color="C9D3DF" w:sz="4"/>
              <w:bottom w:val="single" w:color="C9D3DF" w:sz="4"/>
              <w:right w:val="single" w:color="C9D3DF" w:sz="4"/>
            </w:tcBorders>
            <w:shd w:fill="1F3A5F" w:color="auto" w:val="clear"/>
            <w:tcMar>
              <w:top w:type="dxa" w:w="60"/>
              <w:left w:type="dxa" w:w="100"/>
              <w:bottom w:type="dxa" w:w="60"/>
              <w:right w:type="dxa" w:w="100"/>
            </w:tcMar>
          </w:tcPr>
          <w:p>
            <w:r>
              <w:rPr>
                <w:rFonts w:ascii="Arial" w:cs="Arial" w:eastAsia="Arial" w:hAnsi="Arial"/>
                <w:b/>
                <w:bCs/>
                <w:color w:val="FFFFFF"/>
                <w:sz w:val="17"/>
                <w:szCs w:val="17"/>
              </w:rPr>
              <w:t xml:space="preserve">Typical examples</w:t>
            </w:r>
          </w:p>
        </w:tc>
      </w:tr>
      <w:tr>
        <w:trPr>
          <w:cantSplit/>
        </w:trPr>
        <w:tc>
          <w:tcPr>
            <w:tcW w:type="dxa" w:w="1250"/>
            <w:tcBorders>
              <w:top w:val="single" w:color="C9D3DF" w:sz="4"/>
              <w:left w:val="single" w:color="C9D3DF" w:sz="4"/>
              <w:bottom w:val="single" w:color="C9D3DF" w:sz="4"/>
              <w:right w:val="single" w:color="C9D3DF" w:sz="4"/>
            </w:tcBorders>
            <w:tcMar>
              <w:top w:type="dxa" w:w="60"/>
              <w:left w:type="dxa" w:w="100"/>
              <w:bottom w:type="dxa" w:w="60"/>
              <w:right w:type="dxa" w:w="100"/>
            </w:tcMar>
          </w:tcPr>
          <w:p>
            <w:r>
              <w:rPr>
                <w:rFonts w:ascii="Arial" w:cs="Arial" w:eastAsia="Arial" w:hAnsi="Arial"/>
                <w:b/>
                <w:bCs/>
                <w:color w:val="1F3A5F"/>
                <w:sz w:val="17"/>
                <w:szCs w:val="17"/>
              </w:rPr>
              <w:t xml:space="preserve">Build</w:t>
            </w:r>
          </w:p>
        </w:tc>
        <w:tc>
          <w:tcPr>
            <w:tcW w:type="dxa" w:w="3100"/>
            <w:tcBorders>
              <w:top w:val="single" w:color="C9D3DF" w:sz="4"/>
              <w:left w:val="single" w:color="C9D3DF" w:sz="4"/>
              <w:bottom w:val="single" w:color="C9D3DF" w:sz="4"/>
              <w:right w:val="single" w:color="C9D3DF" w:sz="4"/>
            </w:tcBorders>
            <w:tcMar>
              <w:top w:type="dxa" w:w="60"/>
              <w:left w:type="dxa" w:w="100"/>
              <w:bottom w:type="dxa" w:w="60"/>
              <w:right w:type="dxa" w:w="100"/>
            </w:tcMar>
          </w:tcPr>
          <w:p>
            <w:r>
              <w:rPr>
                <w:rFonts w:ascii="Arial" w:cs="Arial" w:eastAsia="Arial" w:hAnsi="Arial"/>
                <w:b w:val="false"/>
                <w:bCs w:val="false"/>
                <w:sz w:val="17"/>
                <w:szCs w:val="17"/>
              </w:rPr>
              <w:t xml:space="preserve">Develop your own people</w:t>
            </w:r>
          </w:p>
        </w:tc>
        <w:tc>
          <w:tcPr>
            <w:tcW w:type="dxa" w:w="5516"/>
            <w:tcBorders>
              <w:top w:val="single" w:color="C9D3DF" w:sz="4"/>
              <w:left w:val="single" w:color="C9D3DF" w:sz="4"/>
              <w:bottom w:val="single" w:color="C9D3DF" w:sz="4"/>
              <w:right w:val="single" w:color="C9D3DF" w:sz="4"/>
            </w:tcBorders>
            <w:tcMar>
              <w:top w:type="dxa" w:w="60"/>
              <w:left w:type="dxa" w:w="100"/>
              <w:bottom w:type="dxa" w:w="60"/>
              <w:right w:type="dxa" w:w="100"/>
            </w:tcMar>
          </w:tcPr>
          <w:p>
            <w:r>
              <w:rPr>
                <w:rFonts w:ascii="Arial" w:cs="Arial" w:eastAsia="Arial" w:hAnsi="Arial"/>
                <w:b w:val="false"/>
                <w:bCs w:val="false"/>
                <w:sz w:val="17"/>
                <w:szCs w:val="17"/>
              </w:rPr>
              <w:t xml:space="preserve">Training, upskilling, reskilling, progression, succession planning</w:t>
            </w:r>
          </w:p>
        </w:tc>
      </w:tr>
      <w:tr>
        <w:trPr>
          <w:cantSplit/>
        </w:trPr>
        <w:tc>
          <w:tcPr>
            <w:tcW w:type="dxa" w:w="1250"/>
            <w:tcBorders>
              <w:top w:val="single" w:color="C9D3DF" w:sz="4"/>
              <w:left w:val="single" w:color="C9D3DF" w:sz="4"/>
              <w:bottom w:val="single" w:color="C9D3DF" w:sz="4"/>
              <w:right w:val="single" w:color="C9D3DF" w:sz="4"/>
            </w:tcBorders>
            <w:shd w:fill="EEF3F8" w:color="auto" w:val="clear"/>
            <w:tcMar>
              <w:top w:type="dxa" w:w="60"/>
              <w:left w:type="dxa" w:w="100"/>
              <w:bottom w:type="dxa" w:w="60"/>
              <w:right w:type="dxa" w:w="100"/>
            </w:tcMar>
          </w:tcPr>
          <w:p>
            <w:r>
              <w:rPr>
                <w:rFonts w:ascii="Arial" w:cs="Arial" w:eastAsia="Arial" w:hAnsi="Arial"/>
                <w:b/>
                <w:bCs/>
                <w:color w:val="1F3A5F"/>
                <w:sz w:val="17"/>
                <w:szCs w:val="17"/>
              </w:rPr>
              <w:t xml:space="preserve">Buy</w:t>
            </w:r>
          </w:p>
        </w:tc>
        <w:tc>
          <w:tcPr>
            <w:tcW w:type="dxa" w:w="3100"/>
            <w:tcBorders>
              <w:top w:val="single" w:color="C9D3DF" w:sz="4"/>
              <w:left w:val="single" w:color="C9D3DF" w:sz="4"/>
              <w:bottom w:val="single" w:color="C9D3DF" w:sz="4"/>
              <w:right w:val="single" w:color="C9D3DF" w:sz="4"/>
            </w:tcBorders>
            <w:shd w:fill="EEF3F8" w:color="auto" w:val="clear"/>
            <w:tcMar>
              <w:top w:type="dxa" w:w="60"/>
              <w:left w:type="dxa" w:w="100"/>
              <w:bottom w:type="dxa" w:w="60"/>
              <w:right w:type="dxa" w:w="100"/>
            </w:tcMar>
          </w:tcPr>
          <w:p>
            <w:r>
              <w:rPr>
                <w:rFonts w:ascii="Arial" w:cs="Arial" w:eastAsia="Arial" w:hAnsi="Arial"/>
                <w:b w:val="false"/>
                <w:bCs w:val="false"/>
                <w:sz w:val="17"/>
                <w:szCs w:val="17"/>
              </w:rPr>
              <w:t xml:space="preserve">Recruit external talent</w:t>
            </w:r>
          </w:p>
        </w:tc>
        <w:tc>
          <w:tcPr>
            <w:tcW w:type="dxa" w:w="5516"/>
            <w:tcBorders>
              <w:top w:val="single" w:color="C9D3DF" w:sz="4"/>
              <w:left w:val="single" w:color="C9D3DF" w:sz="4"/>
              <w:bottom w:val="single" w:color="C9D3DF" w:sz="4"/>
              <w:right w:val="single" w:color="C9D3DF" w:sz="4"/>
            </w:tcBorders>
            <w:shd w:fill="EEF3F8" w:color="auto" w:val="clear"/>
            <w:tcMar>
              <w:top w:type="dxa" w:w="60"/>
              <w:left w:type="dxa" w:w="100"/>
              <w:bottom w:type="dxa" w:w="60"/>
              <w:right w:type="dxa" w:w="100"/>
            </w:tcMar>
          </w:tcPr>
          <w:p>
            <w:r>
              <w:rPr>
                <w:rFonts w:ascii="Arial" w:cs="Arial" w:eastAsia="Arial" w:hAnsi="Arial"/>
                <w:b w:val="false"/>
                <w:bCs w:val="false"/>
                <w:sz w:val="17"/>
                <w:szCs w:val="17"/>
              </w:rPr>
              <w:t xml:space="preserve">Graduates, apprentices, experienced hires</w:t>
            </w:r>
          </w:p>
        </w:tc>
      </w:tr>
      <w:tr>
        <w:trPr>
          <w:cantSplit/>
        </w:trPr>
        <w:tc>
          <w:tcPr>
            <w:tcW w:type="dxa" w:w="1250"/>
            <w:tcBorders>
              <w:top w:val="single" w:color="C9D3DF" w:sz="4"/>
              <w:left w:val="single" w:color="C9D3DF" w:sz="4"/>
              <w:bottom w:val="single" w:color="C9D3DF" w:sz="4"/>
              <w:right w:val="single" w:color="C9D3DF" w:sz="4"/>
            </w:tcBorders>
            <w:tcMar>
              <w:top w:type="dxa" w:w="60"/>
              <w:left w:type="dxa" w:w="100"/>
              <w:bottom w:type="dxa" w:w="60"/>
              <w:right w:type="dxa" w:w="100"/>
            </w:tcMar>
          </w:tcPr>
          <w:p>
            <w:r>
              <w:rPr>
                <w:rFonts w:ascii="Arial" w:cs="Arial" w:eastAsia="Arial" w:hAnsi="Arial"/>
                <w:b/>
                <w:bCs/>
                <w:color w:val="1F3A5F"/>
                <w:sz w:val="17"/>
                <w:szCs w:val="17"/>
              </w:rPr>
              <w:t xml:space="preserve">Borrow</w:t>
            </w:r>
          </w:p>
        </w:tc>
        <w:tc>
          <w:tcPr>
            <w:tcW w:type="dxa" w:w="3100"/>
            <w:tcBorders>
              <w:top w:val="single" w:color="C9D3DF" w:sz="4"/>
              <w:left w:val="single" w:color="C9D3DF" w:sz="4"/>
              <w:bottom w:val="single" w:color="C9D3DF" w:sz="4"/>
              <w:right w:val="single" w:color="C9D3DF" w:sz="4"/>
            </w:tcBorders>
            <w:tcMar>
              <w:top w:type="dxa" w:w="60"/>
              <w:left w:type="dxa" w:w="100"/>
              <w:bottom w:type="dxa" w:w="60"/>
              <w:right w:type="dxa" w:w="100"/>
            </w:tcMar>
          </w:tcPr>
          <w:p>
            <w:r>
              <w:rPr>
                <w:rFonts w:ascii="Arial" w:cs="Arial" w:eastAsia="Arial" w:hAnsi="Arial"/>
                <w:b w:val="false"/>
                <w:bCs w:val="false"/>
                <w:sz w:val="17"/>
                <w:szCs w:val="17"/>
              </w:rPr>
              <w:t xml:space="preserve">Bring in short-term or specialist capacity</w:t>
            </w:r>
          </w:p>
        </w:tc>
        <w:tc>
          <w:tcPr>
            <w:tcW w:type="dxa" w:w="5516"/>
            <w:tcBorders>
              <w:top w:val="single" w:color="C9D3DF" w:sz="4"/>
              <w:left w:val="single" w:color="C9D3DF" w:sz="4"/>
              <w:bottom w:val="single" w:color="C9D3DF" w:sz="4"/>
              <w:right w:val="single" w:color="C9D3DF" w:sz="4"/>
            </w:tcBorders>
            <w:tcMar>
              <w:top w:type="dxa" w:w="60"/>
              <w:left w:type="dxa" w:w="100"/>
              <w:bottom w:type="dxa" w:w="60"/>
              <w:right w:type="dxa" w:w="100"/>
            </w:tcMar>
          </w:tcPr>
          <w:p>
            <w:r>
              <w:rPr>
                <w:rFonts w:ascii="Arial" w:cs="Arial" w:eastAsia="Arial" w:hAnsi="Arial"/>
                <w:b w:val="false"/>
                <w:bCs w:val="false"/>
                <w:sz w:val="17"/>
                <w:szCs w:val="17"/>
              </w:rPr>
              <w:t xml:space="preserve">Contractors, agency staff, consultants, secondments, outsourcing</w:t>
            </w:r>
          </w:p>
        </w:tc>
      </w:tr>
      <w:tr>
        <w:trPr>
          <w:cantSplit/>
        </w:trPr>
        <w:tc>
          <w:tcPr>
            <w:tcW w:type="dxa" w:w="1250"/>
            <w:tcBorders>
              <w:top w:val="single" w:color="C9D3DF" w:sz="4"/>
              <w:left w:val="single" w:color="C9D3DF" w:sz="4"/>
              <w:bottom w:val="single" w:color="C9D3DF" w:sz="4"/>
              <w:right w:val="single" w:color="C9D3DF" w:sz="4"/>
            </w:tcBorders>
            <w:shd w:fill="EEF3F8" w:color="auto" w:val="clear"/>
            <w:tcMar>
              <w:top w:type="dxa" w:w="60"/>
              <w:left w:type="dxa" w:w="100"/>
              <w:bottom w:type="dxa" w:w="60"/>
              <w:right w:type="dxa" w:w="100"/>
            </w:tcMar>
          </w:tcPr>
          <w:p>
            <w:r>
              <w:rPr>
                <w:rFonts w:ascii="Arial" w:cs="Arial" w:eastAsia="Arial" w:hAnsi="Arial"/>
                <w:b/>
                <w:bCs/>
                <w:color w:val="1F3A5F"/>
                <w:sz w:val="17"/>
                <w:szCs w:val="17"/>
              </w:rPr>
              <w:t xml:space="preserve">Bind</w:t>
            </w:r>
          </w:p>
        </w:tc>
        <w:tc>
          <w:tcPr>
            <w:tcW w:type="dxa" w:w="3100"/>
            <w:tcBorders>
              <w:top w:val="single" w:color="C9D3DF" w:sz="4"/>
              <w:left w:val="single" w:color="C9D3DF" w:sz="4"/>
              <w:bottom w:val="single" w:color="C9D3DF" w:sz="4"/>
              <w:right w:val="single" w:color="C9D3DF" w:sz="4"/>
            </w:tcBorders>
            <w:shd w:fill="EEF3F8" w:color="auto" w:val="clear"/>
            <w:tcMar>
              <w:top w:type="dxa" w:w="60"/>
              <w:left w:type="dxa" w:w="100"/>
              <w:bottom w:type="dxa" w:w="60"/>
              <w:right w:type="dxa" w:w="100"/>
            </w:tcMar>
          </w:tcPr>
          <w:p>
            <w:r>
              <w:rPr>
                <w:rFonts w:ascii="Arial" w:cs="Arial" w:eastAsia="Arial" w:hAnsi="Arial"/>
                <w:b w:val="false"/>
                <w:bCs w:val="false"/>
                <w:sz w:val="17"/>
                <w:szCs w:val="17"/>
              </w:rPr>
              <w:t xml:space="preserve">Retain critical people and capabilities</w:t>
            </w:r>
          </w:p>
        </w:tc>
        <w:tc>
          <w:tcPr>
            <w:tcW w:type="dxa" w:w="5516"/>
            <w:tcBorders>
              <w:top w:val="single" w:color="C9D3DF" w:sz="4"/>
              <w:left w:val="single" w:color="C9D3DF" w:sz="4"/>
              <w:bottom w:val="single" w:color="C9D3DF" w:sz="4"/>
              <w:right w:val="single" w:color="C9D3DF" w:sz="4"/>
            </w:tcBorders>
            <w:shd w:fill="EEF3F8" w:color="auto" w:val="clear"/>
            <w:tcMar>
              <w:top w:type="dxa" w:w="60"/>
              <w:left w:type="dxa" w:w="100"/>
              <w:bottom w:type="dxa" w:w="60"/>
              <w:right w:type="dxa" w:w="100"/>
            </w:tcMar>
          </w:tcPr>
          <w:p>
            <w:r>
              <w:rPr>
                <w:rFonts w:ascii="Arial" w:cs="Arial" w:eastAsia="Arial" w:hAnsi="Arial"/>
                <w:b w:val="false"/>
                <w:bCs w:val="false"/>
                <w:sz w:val="17"/>
                <w:szCs w:val="17"/>
              </w:rPr>
              <w:t xml:space="preserve">Market supplements, benefits, flexible working, flexible retirement</w:t>
            </w:r>
          </w:p>
        </w:tc>
      </w:tr>
      <w:tr>
        <w:trPr>
          <w:cantSplit/>
        </w:trPr>
        <w:tc>
          <w:tcPr>
            <w:tcW w:type="dxa" w:w="1250"/>
            <w:tcBorders>
              <w:top w:val="single" w:color="C9D3DF" w:sz="4"/>
              <w:left w:val="single" w:color="C9D3DF" w:sz="4"/>
              <w:bottom w:val="single" w:color="C9D3DF" w:sz="4"/>
              <w:right w:val="single" w:color="C9D3DF" w:sz="4"/>
            </w:tcBorders>
            <w:tcMar>
              <w:top w:type="dxa" w:w="60"/>
              <w:left w:type="dxa" w:w="100"/>
              <w:bottom w:type="dxa" w:w="60"/>
              <w:right w:type="dxa" w:w="100"/>
            </w:tcMar>
          </w:tcPr>
          <w:p>
            <w:r>
              <w:rPr>
                <w:rFonts w:ascii="Arial" w:cs="Arial" w:eastAsia="Arial" w:hAnsi="Arial"/>
                <w:b/>
                <w:bCs/>
                <w:color w:val="1F3A5F"/>
                <w:sz w:val="17"/>
                <w:szCs w:val="17"/>
              </w:rPr>
              <w:t xml:space="preserve">Bot</w:t>
            </w:r>
          </w:p>
        </w:tc>
        <w:tc>
          <w:tcPr>
            <w:tcW w:type="dxa" w:w="3100"/>
            <w:tcBorders>
              <w:top w:val="single" w:color="C9D3DF" w:sz="4"/>
              <w:left w:val="single" w:color="C9D3DF" w:sz="4"/>
              <w:bottom w:val="single" w:color="C9D3DF" w:sz="4"/>
              <w:right w:val="single" w:color="C9D3DF" w:sz="4"/>
            </w:tcBorders>
            <w:tcMar>
              <w:top w:type="dxa" w:w="60"/>
              <w:left w:type="dxa" w:w="100"/>
              <w:bottom w:type="dxa" w:w="60"/>
              <w:right w:type="dxa" w:w="100"/>
            </w:tcMar>
          </w:tcPr>
          <w:p>
            <w:r>
              <w:rPr>
                <w:rFonts w:ascii="Arial" w:cs="Arial" w:eastAsia="Arial" w:hAnsi="Arial"/>
                <w:b w:val="false"/>
                <w:bCs w:val="false"/>
                <w:sz w:val="17"/>
                <w:szCs w:val="17"/>
              </w:rPr>
              <w:t xml:space="preserve">Automate or augment work with technology</w:t>
            </w:r>
          </w:p>
        </w:tc>
        <w:tc>
          <w:tcPr>
            <w:tcW w:type="dxa" w:w="5516"/>
            <w:tcBorders>
              <w:top w:val="single" w:color="C9D3DF" w:sz="4"/>
              <w:left w:val="single" w:color="C9D3DF" w:sz="4"/>
              <w:bottom w:val="single" w:color="C9D3DF" w:sz="4"/>
              <w:right w:val="single" w:color="C9D3DF" w:sz="4"/>
            </w:tcBorders>
            <w:tcMar>
              <w:top w:type="dxa" w:w="60"/>
              <w:left w:type="dxa" w:w="100"/>
              <w:bottom w:type="dxa" w:w="60"/>
              <w:right w:type="dxa" w:w="100"/>
            </w:tcMar>
          </w:tcPr>
          <w:p>
            <w:r>
              <w:rPr>
                <w:rFonts w:ascii="Arial" w:cs="Arial" w:eastAsia="Arial" w:hAnsi="Arial"/>
                <w:b w:val="false"/>
                <w:bCs w:val="false"/>
                <w:sz w:val="17"/>
                <w:szCs w:val="17"/>
              </w:rPr>
              <w:t xml:space="preserve">AI, robotics, process redesign</w:t>
            </w:r>
          </w:p>
        </w:tc>
      </w:tr>
      <w:tr>
        <w:trPr>
          <w:cantSplit/>
        </w:trPr>
        <w:tc>
          <w:tcPr>
            <w:tcW w:type="dxa" w:w="1250"/>
            <w:tcBorders>
              <w:top w:val="single" w:color="C9D3DF" w:sz="4"/>
              <w:left w:val="single" w:color="C9D3DF" w:sz="4"/>
              <w:bottom w:val="single" w:color="C9D3DF" w:sz="4"/>
              <w:right w:val="single" w:color="C9D3DF" w:sz="4"/>
            </w:tcBorders>
            <w:shd w:fill="EEF3F8" w:color="auto" w:val="clear"/>
            <w:tcMar>
              <w:top w:type="dxa" w:w="60"/>
              <w:left w:type="dxa" w:w="100"/>
              <w:bottom w:type="dxa" w:w="60"/>
              <w:right w:type="dxa" w:w="100"/>
            </w:tcMar>
          </w:tcPr>
          <w:p>
            <w:r>
              <w:rPr>
                <w:rFonts w:ascii="Arial" w:cs="Arial" w:eastAsia="Arial" w:hAnsi="Arial"/>
                <w:b/>
                <w:bCs/>
                <w:color w:val="1F3A5F"/>
                <w:sz w:val="17"/>
                <w:szCs w:val="17"/>
              </w:rPr>
              <w:t xml:space="preserve">Bounce</w:t>
            </w:r>
          </w:p>
        </w:tc>
        <w:tc>
          <w:tcPr>
            <w:tcW w:type="dxa" w:w="3100"/>
            <w:tcBorders>
              <w:top w:val="single" w:color="C9D3DF" w:sz="4"/>
              <w:left w:val="single" w:color="C9D3DF" w:sz="4"/>
              <w:bottom w:val="single" w:color="C9D3DF" w:sz="4"/>
              <w:right w:val="single" w:color="C9D3DF" w:sz="4"/>
            </w:tcBorders>
            <w:shd w:fill="EEF3F8" w:color="auto" w:val="clear"/>
            <w:tcMar>
              <w:top w:type="dxa" w:w="60"/>
              <w:left w:type="dxa" w:w="100"/>
              <w:bottom w:type="dxa" w:w="60"/>
              <w:right w:type="dxa" w:w="100"/>
            </w:tcMar>
          </w:tcPr>
          <w:p>
            <w:r>
              <w:rPr>
                <w:rFonts w:ascii="Arial" w:cs="Arial" w:eastAsia="Arial" w:hAnsi="Arial"/>
                <w:b w:val="false"/>
                <w:bCs w:val="false"/>
                <w:sz w:val="17"/>
                <w:szCs w:val="17"/>
              </w:rPr>
              <w:t xml:space="preserve">Refocus or move people on</w:t>
            </w:r>
          </w:p>
        </w:tc>
        <w:tc>
          <w:tcPr>
            <w:tcW w:type="dxa" w:w="5516"/>
            <w:tcBorders>
              <w:top w:val="single" w:color="C9D3DF" w:sz="4"/>
              <w:left w:val="single" w:color="C9D3DF" w:sz="4"/>
              <w:bottom w:val="single" w:color="C9D3DF" w:sz="4"/>
              <w:right w:val="single" w:color="C9D3DF" w:sz="4"/>
            </w:tcBorders>
            <w:shd w:fill="EEF3F8" w:color="auto" w:val="clear"/>
            <w:tcMar>
              <w:top w:type="dxa" w:w="60"/>
              <w:left w:type="dxa" w:w="100"/>
              <w:bottom w:type="dxa" w:w="60"/>
              <w:right w:type="dxa" w:w="100"/>
            </w:tcMar>
          </w:tcPr>
          <w:p>
            <w:r>
              <w:rPr>
                <w:rFonts w:ascii="Arial" w:cs="Arial" w:eastAsia="Arial" w:hAnsi="Arial"/>
                <w:b w:val="false"/>
                <w:bCs w:val="false"/>
                <w:sz w:val="17"/>
                <w:szCs w:val="17"/>
              </w:rPr>
              <w:t xml:space="preserve">Retraining, redeployment, performance management; redundancy as a last resort</w:t>
            </w:r>
          </w:p>
        </w:tc>
      </w:tr>
    </w:tbl>
    <w:p>
      <w:pPr>
        <w:spacing w:after="60" w:before="60"/>
      </w:pPr>
      <w:r>
        <w:rPr>
          <w:rFonts w:ascii="Arial" w:cs="Arial" w:eastAsia="Arial" w:hAnsi="Arial"/>
          <w:color w:val="555555"/>
          <w:sz w:val="16"/>
          <w:szCs w:val="16"/>
        </w:rPr>
        <w:t xml:space="preserve">Versions vary by source: 3Bs (Build, Buy, Borrow), 4Bs, 6Bs (as above), and 7Bs (adds Balance). Some sources use Bridge (redeploy or redesign) in place of Bounce. Check which version your organisation or syllabus uses.</w:t>
      </w:r>
    </w:p>
    <w:p>
      <w:pPr>
        <w:keepNext/>
        <w:spacing w:after="80" w:before="200"/>
      </w:pPr>
      <w:r>
        <w:rPr>
          <w:rFonts w:ascii="Arial" w:cs="Arial" w:eastAsia="Arial" w:hAnsi="Arial"/>
          <w:b/>
          <w:bCs/>
          <w:color w:val="1F3A5F"/>
          <w:sz w:val="24"/>
          <w:szCs w:val="24"/>
        </w:rPr>
        <w:t xml:space="preserve">2. Define the gap first</w:t>
      </w:r>
    </w:p>
    <w:p>
      <w:pPr>
        <w:pStyle w:val="ListParagraph"/>
        <w:numPr>
          <w:ilvl w:val="0"/>
          <w:numId w:val="2"/>
        </w:numPr>
        <w:spacing w:after="30" w:line="264"/>
      </w:pPr>
      <w:r>
        <w:rPr>
          <w:rFonts w:ascii="Arial" w:cs="Arial" w:eastAsia="Arial" w:hAnsi="Arial"/>
          <w:sz w:val="19"/>
          <w:szCs w:val="19"/>
        </w:rPr>
        <w:t xml:space="preserve"/>
      </w:r>
      <w:r>
        <w:rPr>
          <w:rFonts w:ascii="Arial" w:cs="Arial" w:eastAsia="Arial" w:hAnsi="Arial"/>
          <w:b/>
          <w:bCs/>
          <w:sz w:val="19"/>
          <w:szCs w:val="19"/>
        </w:rPr>
        <w:t xml:space="preserve">What:</w:t>
      </w:r>
      <w:r>
        <w:rPr>
          <w:rFonts w:ascii="Arial" w:cs="Arial" w:eastAsia="Arial" w:hAnsi="Arial"/>
          <w:sz w:val="19"/>
          <w:szCs w:val="19"/>
        </w:rPr>
        <w:t xml:space="preserve"> which skill or capability is missing, not just which role?</w:t>
      </w:r>
    </w:p>
    <w:p>
      <w:pPr>
        <w:pStyle w:val="ListParagraph"/>
        <w:numPr>
          <w:ilvl w:val="0"/>
          <w:numId w:val="2"/>
        </w:numPr>
        <w:spacing w:after="30" w:line="264"/>
      </w:pPr>
      <w:r>
        <w:rPr>
          <w:rFonts w:ascii="Arial" w:cs="Arial" w:eastAsia="Arial" w:hAnsi="Arial"/>
          <w:sz w:val="19"/>
          <w:szCs w:val="19"/>
        </w:rPr>
        <w:t xml:space="preserve"/>
      </w:r>
      <w:r>
        <w:rPr>
          <w:rFonts w:ascii="Arial" w:cs="Arial" w:eastAsia="Arial" w:hAnsi="Arial"/>
          <w:b/>
          <w:bCs/>
          <w:sz w:val="19"/>
          <w:szCs w:val="19"/>
        </w:rPr>
        <w:t xml:space="preserve">How much and where:</w:t>
      </w:r>
      <w:r>
        <w:rPr>
          <w:rFonts w:ascii="Arial" w:cs="Arial" w:eastAsia="Arial" w:hAnsi="Arial"/>
          <w:sz w:val="19"/>
          <w:szCs w:val="19"/>
        </w:rPr>
        <w:t xml:space="preserve"> scale, location and teams affected.</w:t>
      </w:r>
    </w:p>
    <w:p>
      <w:pPr>
        <w:pStyle w:val="ListParagraph"/>
        <w:numPr>
          <w:ilvl w:val="0"/>
          <w:numId w:val="2"/>
        </w:numPr>
        <w:spacing w:after="30" w:line="264"/>
      </w:pPr>
      <w:r>
        <w:rPr>
          <w:rFonts w:ascii="Arial" w:cs="Arial" w:eastAsia="Arial" w:hAnsi="Arial"/>
          <w:sz w:val="19"/>
          <w:szCs w:val="19"/>
        </w:rPr>
        <w:t xml:space="preserve"/>
      </w:r>
      <w:r>
        <w:rPr>
          <w:rFonts w:ascii="Arial" w:cs="Arial" w:eastAsia="Arial" w:hAnsi="Arial"/>
          <w:b/>
          <w:bCs/>
          <w:sz w:val="19"/>
          <w:szCs w:val="19"/>
        </w:rPr>
        <w:t xml:space="preserve">How long:</w:t>
      </w:r>
      <w:r>
        <w:rPr>
          <w:rFonts w:ascii="Arial" w:cs="Arial" w:eastAsia="Arial" w:hAnsi="Arial"/>
          <w:sz w:val="19"/>
          <w:szCs w:val="19"/>
        </w:rPr>
        <w:t xml:space="preserve"> one-off project, seasonal peak, or permanent need?</w:t>
      </w:r>
    </w:p>
    <w:p>
      <w:pPr>
        <w:pStyle w:val="ListParagraph"/>
        <w:numPr>
          <w:ilvl w:val="0"/>
          <w:numId w:val="2"/>
        </w:numPr>
        <w:spacing w:after="30" w:line="264"/>
      </w:pPr>
      <w:r>
        <w:rPr>
          <w:rFonts w:ascii="Arial" w:cs="Arial" w:eastAsia="Arial" w:hAnsi="Arial"/>
          <w:sz w:val="19"/>
          <w:szCs w:val="19"/>
        </w:rPr>
        <w:t xml:space="preserve"/>
      </w:r>
      <w:r>
        <w:rPr>
          <w:rFonts w:ascii="Arial" w:cs="Arial" w:eastAsia="Arial" w:hAnsi="Arial"/>
          <w:b/>
          <w:bCs/>
          <w:sz w:val="19"/>
          <w:szCs w:val="19"/>
        </w:rPr>
        <w:t xml:space="preserve">How critical:</w:t>
      </w:r>
      <w:r>
        <w:rPr>
          <w:rFonts w:ascii="Arial" w:cs="Arial" w:eastAsia="Arial" w:hAnsi="Arial"/>
          <w:sz w:val="19"/>
          <w:szCs w:val="19"/>
        </w:rPr>
        <w:t xml:space="preserve"> does it drive strategy, or is it support work?</w:t>
      </w:r>
    </w:p>
    <w:p>
      <w:pPr>
        <w:keepNext/>
        <w:spacing w:after="80" w:before="200"/>
      </w:pPr>
      <w:r>
        <w:rPr>
          <w:rFonts w:ascii="Arial" w:cs="Arial" w:eastAsia="Arial" w:hAnsi="Arial"/>
          <w:b/>
          <w:bCs/>
          <w:color w:val="1F3A5F"/>
          <w:sz w:val="24"/>
          <w:szCs w:val="24"/>
        </w:rPr>
        <w:t xml:space="preserve">3. Screen the options</w:t>
      </w:r>
    </w:p>
    <w:tbl>
      <w:tblPr>
        <w:tblW w:type="dxa" w:w="9866"/>
        <w:tblBorders>
          <w:top w:val="single" w:color="auto" w:sz="4"/>
          <w:left w:val="single" w:color="auto" w:sz="4"/>
          <w:bottom w:val="single" w:color="auto" w:sz="4"/>
          <w:right w:val="single" w:color="auto" w:sz="4"/>
          <w:insideH w:val="single" w:color="auto" w:sz="4"/>
          <w:insideV w:val="single" w:color="auto" w:sz="4"/>
        </w:tblBorders>
      </w:tblPr>
      <w:tblGrid>
        <w:gridCol w:w="1250"/>
        <w:gridCol w:w="4308"/>
        <w:gridCol w:w="4308"/>
      </w:tblGrid>
      <w:tr>
        <w:trPr>
          <w:tblHeader/>
        </w:trPr>
        <w:tc>
          <w:tcPr>
            <w:tcW w:type="dxa" w:w="1250"/>
            <w:tcBorders>
              <w:top w:val="single" w:color="C9D3DF" w:sz="4"/>
              <w:left w:val="single" w:color="C9D3DF" w:sz="4"/>
              <w:bottom w:val="single" w:color="C9D3DF" w:sz="4"/>
              <w:right w:val="single" w:color="C9D3DF" w:sz="4"/>
            </w:tcBorders>
            <w:shd w:fill="1F3A5F" w:color="auto" w:val="clear"/>
            <w:tcMar>
              <w:top w:type="dxa" w:w="60"/>
              <w:left w:type="dxa" w:w="100"/>
              <w:bottom w:type="dxa" w:w="60"/>
              <w:right w:type="dxa" w:w="100"/>
            </w:tcMar>
          </w:tcPr>
          <w:p>
            <w:r>
              <w:rPr>
                <w:rFonts w:ascii="Arial" w:cs="Arial" w:eastAsia="Arial" w:hAnsi="Arial"/>
                <w:b/>
                <w:bCs/>
                <w:color w:val="FFFFFF"/>
                <w:sz w:val="17"/>
                <w:szCs w:val="17"/>
              </w:rPr>
              <w:t xml:space="preserve">Option</w:t>
            </w:r>
          </w:p>
        </w:tc>
        <w:tc>
          <w:tcPr>
            <w:tcW w:type="dxa" w:w="4308"/>
            <w:tcBorders>
              <w:top w:val="single" w:color="C9D3DF" w:sz="4"/>
              <w:left w:val="single" w:color="C9D3DF" w:sz="4"/>
              <w:bottom w:val="single" w:color="C9D3DF" w:sz="4"/>
              <w:right w:val="single" w:color="C9D3DF" w:sz="4"/>
            </w:tcBorders>
            <w:shd w:fill="1F3A5F" w:color="auto" w:val="clear"/>
            <w:tcMar>
              <w:top w:type="dxa" w:w="60"/>
              <w:left w:type="dxa" w:w="100"/>
              <w:bottom w:type="dxa" w:w="60"/>
              <w:right w:type="dxa" w:w="100"/>
            </w:tcMar>
          </w:tcPr>
          <w:p>
            <w:r>
              <w:rPr>
                <w:rFonts w:ascii="Arial" w:cs="Arial" w:eastAsia="Arial" w:hAnsi="Arial"/>
                <w:b/>
                <w:bCs/>
                <w:color w:val="FFFFFF"/>
                <w:sz w:val="17"/>
                <w:szCs w:val="17"/>
              </w:rPr>
              <w:t xml:space="preserve">Best when</w:t>
            </w:r>
          </w:p>
        </w:tc>
        <w:tc>
          <w:tcPr>
            <w:tcW w:type="dxa" w:w="4308"/>
            <w:tcBorders>
              <w:top w:val="single" w:color="C9D3DF" w:sz="4"/>
              <w:left w:val="single" w:color="C9D3DF" w:sz="4"/>
              <w:bottom w:val="single" w:color="C9D3DF" w:sz="4"/>
              <w:right w:val="single" w:color="C9D3DF" w:sz="4"/>
            </w:tcBorders>
            <w:shd w:fill="1F3A5F" w:color="auto" w:val="clear"/>
            <w:tcMar>
              <w:top w:type="dxa" w:w="60"/>
              <w:left w:type="dxa" w:w="100"/>
              <w:bottom w:type="dxa" w:w="60"/>
              <w:right w:type="dxa" w:w="100"/>
            </w:tcMar>
          </w:tcPr>
          <w:p>
            <w:r>
              <w:rPr>
                <w:rFonts w:ascii="Arial" w:cs="Arial" w:eastAsia="Arial" w:hAnsi="Arial"/>
                <w:b/>
                <w:bCs/>
                <w:color w:val="FFFFFF"/>
                <w:sz w:val="17"/>
                <w:szCs w:val="17"/>
              </w:rPr>
              <w:t xml:space="preserve">Watch out for</w:t>
            </w:r>
          </w:p>
        </w:tc>
      </w:tr>
      <w:tr>
        <w:trPr>
          <w:cantSplit/>
        </w:trPr>
        <w:tc>
          <w:tcPr>
            <w:tcW w:type="dxa" w:w="1250"/>
            <w:tcBorders>
              <w:top w:val="single" w:color="C9D3DF" w:sz="4"/>
              <w:left w:val="single" w:color="C9D3DF" w:sz="4"/>
              <w:bottom w:val="single" w:color="C9D3DF" w:sz="4"/>
              <w:right w:val="single" w:color="C9D3DF" w:sz="4"/>
            </w:tcBorders>
            <w:tcMar>
              <w:top w:type="dxa" w:w="60"/>
              <w:left w:type="dxa" w:w="100"/>
              <w:bottom w:type="dxa" w:w="60"/>
              <w:right w:type="dxa" w:w="100"/>
            </w:tcMar>
          </w:tcPr>
          <w:p>
            <w:r>
              <w:rPr>
                <w:rFonts w:ascii="Arial" w:cs="Arial" w:eastAsia="Arial" w:hAnsi="Arial"/>
                <w:b/>
                <w:bCs/>
                <w:color w:val="1F3A5F"/>
                <w:sz w:val="17"/>
                <w:szCs w:val="17"/>
              </w:rPr>
              <w:t xml:space="preserve">Build</w:t>
            </w:r>
          </w:p>
        </w:tc>
        <w:tc>
          <w:tcPr>
            <w:tcW w:type="dxa" w:w="4308"/>
            <w:tcBorders>
              <w:top w:val="single" w:color="C9D3DF" w:sz="4"/>
              <w:left w:val="single" w:color="C9D3DF" w:sz="4"/>
              <w:bottom w:val="single" w:color="C9D3DF" w:sz="4"/>
              <w:right w:val="single" w:color="C9D3DF" w:sz="4"/>
            </w:tcBorders>
            <w:tcMar>
              <w:top w:type="dxa" w:w="60"/>
              <w:left w:type="dxa" w:w="100"/>
              <w:bottom w:type="dxa" w:w="60"/>
              <w:right w:type="dxa" w:w="100"/>
            </w:tcMar>
          </w:tcPr>
          <w:p>
            <w:r>
              <w:rPr>
                <w:rFonts w:ascii="Arial" w:cs="Arial" w:eastAsia="Arial" w:hAnsi="Arial"/>
                <w:b w:val="false"/>
                <w:bCs w:val="false"/>
                <w:sz w:val="17"/>
                <w:szCs w:val="17"/>
              </w:rPr>
              <w:t xml:space="preserve">Need is ongoing, not urgent, and the skill is reachable from where your people already are</w:t>
            </w:r>
          </w:p>
        </w:tc>
        <w:tc>
          <w:tcPr>
            <w:tcW w:type="dxa" w:w="4308"/>
            <w:tcBorders>
              <w:top w:val="single" w:color="C9D3DF" w:sz="4"/>
              <w:left w:val="single" w:color="C9D3DF" w:sz="4"/>
              <w:bottom w:val="single" w:color="C9D3DF" w:sz="4"/>
              <w:right w:val="single" w:color="C9D3DF" w:sz="4"/>
            </w:tcBorders>
            <w:tcMar>
              <w:top w:type="dxa" w:w="60"/>
              <w:left w:type="dxa" w:w="100"/>
              <w:bottom w:type="dxa" w:w="60"/>
              <w:right w:type="dxa" w:w="100"/>
            </w:tcMar>
          </w:tcPr>
          <w:p>
            <w:r>
              <w:rPr>
                <w:rFonts w:ascii="Arial" w:cs="Arial" w:eastAsia="Arial" w:hAnsi="Arial"/>
                <w:b w:val="false"/>
                <w:bCs w:val="false"/>
                <w:sz w:val="17"/>
                <w:szCs w:val="17"/>
              </w:rPr>
              <w:t xml:space="preserve">Slow to start; needs learning capacity and manager time; trained staff may leave</w:t>
            </w:r>
          </w:p>
        </w:tc>
      </w:tr>
      <w:tr>
        <w:trPr>
          <w:cantSplit/>
        </w:trPr>
        <w:tc>
          <w:tcPr>
            <w:tcW w:type="dxa" w:w="1250"/>
            <w:tcBorders>
              <w:top w:val="single" w:color="C9D3DF" w:sz="4"/>
              <w:left w:val="single" w:color="C9D3DF" w:sz="4"/>
              <w:bottom w:val="single" w:color="C9D3DF" w:sz="4"/>
              <w:right w:val="single" w:color="C9D3DF" w:sz="4"/>
            </w:tcBorders>
            <w:shd w:fill="EEF3F8" w:color="auto" w:val="clear"/>
            <w:tcMar>
              <w:top w:type="dxa" w:w="60"/>
              <w:left w:type="dxa" w:w="100"/>
              <w:bottom w:type="dxa" w:w="60"/>
              <w:right w:type="dxa" w:w="100"/>
            </w:tcMar>
          </w:tcPr>
          <w:p>
            <w:r>
              <w:rPr>
                <w:rFonts w:ascii="Arial" w:cs="Arial" w:eastAsia="Arial" w:hAnsi="Arial"/>
                <w:b/>
                <w:bCs/>
                <w:color w:val="1F3A5F"/>
                <w:sz w:val="17"/>
                <w:szCs w:val="17"/>
              </w:rPr>
              <w:t xml:space="preserve">Buy</w:t>
            </w:r>
          </w:p>
        </w:tc>
        <w:tc>
          <w:tcPr>
            <w:tcW w:type="dxa" w:w="4308"/>
            <w:tcBorders>
              <w:top w:val="single" w:color="C9D3DF" w:sz="4"/>
              <w:left w:val="single" w:color="C9D3DF" w:sz="4"/>
              <w:bottom w:val="single" w:color="C9D3DF" w:sz="4"/>
              <w:right w:val="single" w:color="C9D3DF" w:sz="4"/>
            </w:tcBorders>
            <w:shd w:fill="EEF3F8" w:color="auto" w:val="clear"/>
            <w:tcMar>
              <w:top w:type="dxa" w:w="60"/>
              <w:left w:type="dxa" w:w="100"/>
              <w:bottom w:type="dxa" w:w="60"/>
              <w:right w:type="dxa" w:w="100"/>
            </w:tcMar>
          </w:tcPr>
          <w:p>
            <w:r>
              <w:rPr>
                <w:rFonts w:ascii="Arial" w:cs="Arial" w:eastAsia="Arial" w:hAnsi="Arial"/>
                <w:b w:val="false"/>
                <w:bCs w:val="false"/>
                <w:sz w:val="17"/>
                <w:szCs w:val="17"/>
              </w:rPr>
              <w:t xml:space="preserve">Skill is urgent, not available internally, and core to strategy long term</w:t>
            </w:r>
          </w:p>
        </w:tc>
        <w:tc>
          <w:tcPr>
            <w:tcW w:type="dxa" w:w="4308"/>
            <w:tcBorders>
              <w:top w:val="single" w:color="C9D3DF" w:sz="4"/>
              <w:left w:val="single" w:color="C9D3DF" w:sz="4"/>
              <w:bottom w:val="single" w:color="C9D3DF" w:sz="4"/>
              <w:right w:val="single" w:color="C9D3DF" w:sz="4"/>
            </w:tcBorders>
            <w:shd w:fill="EEF3F8" w:color="auto" w:val="clear"/>
            <w:tcMar>
              <w:top w:type="dxa" w:w="60"/>
              <w:left w:type="dxa" w:w="100"/>
              <w:bottom w:type="dxa" w:w="60"/>
              <w:right w:type="dxa" w:w="100"/>
            </w:tcMar>
          </w:tcPr>
          <w:p>
            <w:r>
              <w:rPr>
                <w:rFonts w:ascii="Arial" w:cs="Arial" w:eastAsia="Arial" w:hAnsi="Arial"/>
                <w:b w:val="false"/>
                <w:bCs w:val="false"/>
                <w:sz w:val="17"/>
                <w:szCs w:val="17"/>
              </w:rPr>
              <w:t xml:space="preserve">Expensive in a tight market; slow to land; new hires need induction</w:t>
            </w:r>
          </w:p>
        </w:tc>
      </w:tr>
      <w:tr>
        <w:trPr>
          <w:cantSplit/>
        </w:trPr>
        <w:tc>
          <w:tcPr>
            <w:tcW w:type="dxa" w:w="1250"/>
            <w:tcBorders>
              <w:top w:val="single" w:color="C9D3DF" w:sz="4"/>
              <w:left w:val="single" w:color="C9D3DF" w:sz="4"/>
              <w:bottom w:val="single" w:color="C9D3DF" w:sz="4"/>
              <w:right w:val="single" w:color="C9D3DF" w:sz="4"/>
            </w:tcBorders>
            <w:tcMar>
              <w:top w:type="dxa" w:w="60"/>
              <w:left w:type="dxa" w:w="100"/>
              <w:bottom w:type="dxa" w:w="60"/>
              <w:right w:type="dxa" w:w="100"/>
            </w:tcMar>
          </w:tcPr>
          <w:p>
            <w:r>
              <w:rPr>
                <w:rFonts w:ascii="Arial" w:cs="Arial" w:eastAsia="Arial" w:hAnsi="Arial"/>
                <w:b/>
                <w:bCs/>
                <w:color w:val="1F3A5F"/>
                <w:sz w:val="17"/>
                <w:szCs w:val="17"/>
              </w:rPr>
              <w:t xml:space="preserve">Borrow</w:t>
            </w:r>
          </w:p>
        </w:tc>
        <w:tc>
          <w:tcPr>
            <w:tcW w:type="dxa" w:w="4308"/>
            <w:tcBorders>
              <w:top w:val="single" w:color="C9D3DF" w:sz="4"/>
              <w:left w:val="single" w:color="C9D3DF" w:sz="4"/>
              <w:bottom w:val="single" w:color="C9D3DF" w:sz="4"/>
              <w:right w:val="single" w:color="C9D3DF" w:sz="4"/>
            </w:tcBorders>
            <w:tcMar>
              <w:top w:type="dxa" w:w="60"/>
              <w:left w:type="dxa" w:w="100"/>
              <w:bottom w:type="dxa" w:w="60"/>
              <w:right w:type="dxa" w:w="100"/>
            </w:tcMar>
          </w:tcPr>
          <w:p>
            <w:r>
              <w:rPr>
                <w:rFonts w:ascii="Arial" w:cs="Arial" w:eastAsia="Arial" w:hAnsi="Arial"/>
                <w:b w:val="false"/>
                <w:bCs w:val="false"/>
                <w:sz w:val="17"/>
                <w:szCs w:val="17"/>
              </w:rPr>
              <w:t xml:space="preserve">Need is immediate, specialised or temporary, or demand is uncertain</w:t>
            </w:r>
          </w:p>
        </w:tc>
        <w:tc>
          <w:tcPr>
            <w:tcW w:type="dxa" w:w="4308"/>
            <w:tcBorders>
              <w:top w:val="single" w:color="C9D3DF" w:sz="4"/>
              <w:left w:val="single" w:color="C9D3DF" w:sz="4"/>
              <w:bottom w:val="single" w:color="C9D3DF" w:sz="4"/>
              <w:right w:val="single" w:color="C9D3DF" w:sz="4"/>
            </w:tcBorders>
            <w:tcMar>
              <w:top w:type="dxa" w:w="60"/>
              <w:left w:type="dxa" w:w="100"/>
              <w:bottom w:type="dxa" w:w="60"/>
              <w:right w:type="dxa" w:w="100"/>
            </w:tcMar>
          </w:tcPr>
          <w:p>
            <w:r>
              <w:rPr>
                <w:rFonts w:ascii="Arial" w:cs="Arial" w:eastAsia="Arial" w:hAnsi="Arial"/>
                <w:b w:val="false"/>
                <w:bCs w:val="false"/>
                <w:sz w:val="17"/>
                <w:szCs w:val="17"/>
              </w:rPr>
              <w:t xml:space="preserve">Cost per day; knowledge leaves with the contractor; supplier dependence</w:t>
            </w:r>
          </w:p>
        </w:tc>
      </w:tr>
      <w:tr>
        <w:trPr>
          <w:cantSplit/>
        </w:trPr>
        <w:tc>
          <w:tcPr>
            <w:tcW w:type="dxa" w:w="1250"/>
            <w:tcBorders>
              <w:top w:val="single" w:color="C9D3DF" w:sz="4"/>
              <w:left w:val="single" w:color="C9D3DF" w:sz="4"/>
              <w:bottom w:val="single" w:color="C9D3DF" w:sz="4"/>
              <w:right w:val="single" w:color="C9D3DF" w:sz="4"/>
            </w:tcBorders>
            <w:shd w:fill="EEF3F8" w:color="auto" w:val="clear"/>
            <w:tcMar>
              <w:top w:type="dxa" w:w="60"/>
              <w:left w:type="dxa" w:w="100"/>
              <w:bottom w:type="dxa" w:w="60"/>
              <w:right w:type="dxa" w:w="100"/>
            </w:tcMar>
          </w:tcPr>
          <w:p>
            <w:r>
              <w:rPr>
                <w:rFonts w:ascii="Arial" w:cs="Arial" w:eastAsia="Arial" w:hAnsi="Arial"/>
                <w:b/>
                <w:bCs/>
                <w:color w:val="1F3A5F"/>
                <w:sz w:val="17"/>
                <w:szCs w:val="17"/>
              </w:rPr>
              <w:t xml:space="preserve">Bind</w:t>
            </w:r>
          </w:p>
        </w:tc>
        <w:tc>
          <w:tcPr>
            <w:tcW w:type="dxa" w:w="4308"/>
            <w:tcBorders>
              <w:top w:val="single" w:color="C9D3DF" w:sz="4"/>
              <w:left w:val="single" w:color="C9D3DF" w:sz="4"/>
              <w:bottom w:val="single" w:color="C9D3DF" w:sz="4"/>
              <w:right w:val="single" w:color="C9D3DF" w:sz="4"/>
            </w:tcBorders>
            <w:shd w:fill="EEF3F8" w:color="auto" w:val="clear"/>
            <w:tcMar>
              <w:top w:type="dxa" w:w="60"/>
              <w:left w:type="dxa" w:w="100"/>
              <w:bottom w:type="dxa" w:w="60"/>
              <w:right w:type="dxa" w:w="100"/>
            </w:tcMar>
          </w:tcPr>
          <w:p>
            <w:r>
              <w:rPr>
                <w:rFonts w:ascii="Arial" w:cs="Arial" w:eastAsia="Arial" w:hAnsi="Arial"/>
                <w:b w:val="false"/>
                <w:bCs w:val="false"/>
                <w:sz w:val="17"/>
                <w:szCs w:val="17"/>
              </w:rPr>
              <w:t xml:space="preserve">Critical people or capabilities are at risk of leaving</w:t>
            </w:r>
          </w:p>
        </w:tc>
        <w:tc>
          <w:tcPr>
            <w:tcW w:type="dxa" w:w="4308"/>
            <w:tcBorders>
              <w:top w:val="single" w:color="C9D3DF" w:sz="4"/>
              <w:left w:val="single" w:color="C9D3DF" w:sz="4"/>
              <w:bottom w:val="single" w:color="C9D3DF" w:sz="4"/>
              <w:right w:val="single" w:color="C9D3DF" w:sz="4"/>
            </w:tcBorders>
            <w:shd w:fill="EEF3F8" w:color="auto" w:val="clear"/>
            <w:tcMar>
              <w:top w:type="dxa" w:w="60"/>
              <w:left w:type="dxa" w:w="100"/>
              <w:bottom w:type="dxa" w:w="60"/>
              <w:right w:type="dxa" w:w="100"/>
            </w:tcMar>
          </w:tcPr>
          <w:p>
            <w:r>
              <w:rPr>
                <w:rFonts w:ascii="Arial" w:cs="Arial" w:eastAsia="Arial" w:hAnsi="Arial"/>
                <w:b w:val="false"/>
                <w:bCs w:val="false"/>
                <w:sz w:val="17"/>
                <w:szCs w:val="17"/>
              </w:rPr>
              <w:t xml:space="preserve">Pay and equity issues; spend on people who would have stayed anyway</w:t>
            </w:r>
          </w:p>
        </w:tc>
      </w:tr>
      <w:tr>
        <w:trPr>
          <w:cantSplit/>
        </w:trPr>
        <w:tc>
          <w:tcPr>
            <w:tcW w:type="dxa" w:w="1250"/>
            <w:tcBorders>
              <w:top w:val="single" w:color="C9D3DF" w:sz="4"/>
              <w:left w:val="single" w:color="C9D3DF" w:sz="4"/>
              <w:bottom w:val="single" w:color="C9D3DF" w:sz="4"/>
              <w:right w:val="single" w:color="C9D3DF" w:sz="4"/>
            </w:tcBorders>
            <w:tcMar>
              <w:top w:type="dxa" w:w="60"/>
              <w:left w:type="dxa" w:w="100"/>
              <w:bottom w:type="dxa" w:w="60"/>
              <w:right w:type="dxa" w:w="100"/>
            </w:tcMar>
          </w:tcPr>
          <w:p>
            <w:r>
              <w:rPr>
                <w:rFonts w:ascii="Arial" w:cs="Arial" w:eastAsia="Arial" w:hAnsi="Arial"/>
                <w:b/>
                <w:bCs/>
                <w:color w:val="1F3A5F"/>
                <w:sz w:val="17"/>
                <w:szCs w:val="17"/>
              </w:rPr>
              <w:t xml:space="preserve">Bot</w:t>
            </w:r>
          </w:p>
        </w:tc>
        <w:tc>
          <w:tcPr>
            <w:tcW w:type="dxa" w:w="4308"/>
            <w:tcBorders>
              <w:top w:val="single" w:color="C9D3DF" w:sz="4"/>
              <w:left w:val="single" w:color="C9D3DF" w:sz="4"/>
              <w:bottom w:val="single" w:color="C9D3DF" w:sz="4"/>
              <w:right w:val="single" w:color="C9D3DF" w:sz="4"/>
            </w:tcBorders>
            <w:tcMar>
              <w:top w:type="dxa" w:w="60"/>
              <w:left w:type="dxa" w:w="100"/>
              <w:bottom w:type="dxa" w:w="60"/>
              <w:right w:type="dxa" w:w="100"/>
            </w:tcMar>
          </w:tcPr>
          <w:p>
            <w:r>
              <w:rPr>
                <w:rFonts w:ascii="Arial" w:cs="Arial" w:eastAsia="Arial" w:hAnsi="Arial"/>
                <w:b w:val="false"/>
                <w:bCs w:val="false"/>
                <w:sz w:val="17"/>
                <w:szCs w:val="17"/>
              </w:rPr>
              <w:t xml:space="preserve">Work is stable, repeatable and rules-based, and redesign improves consistency</w:t>
            </w:r>
          </w:p>
        </w:tc>
        <w:tc>
          <w:tcPr>
            <w:tcW w:type="dxa" w:w="4308"/>
            <w:tcBorders>
              <w:top w:val="single" w:color="C9D3DF" w:sz="4"/>
              <w:left w:val="single" w:color="C9D3DF" w:sz="4"/>
              <w:bottom w:val="single" w:color="C9D3DF" w:sz="4"/>
              <w:right w:val="single" w:color="C9D3DF" w:sz="4"/>
            </w:tcBorders>
            <w:tcMar>
              <w:top w:type="dxa" w:w="60"/>
              <w:left w:type="dxa" w:w="100"/>
              <w:bottom w:type="dxa" w:w="60"/>
              <w:right w:type="dxa" w:w="100"/>
            </w:tcMar>
          </w:tcPr>
          <w:p>
            <w:r>
              <w:rPr>
                <w:rFonts w:ascii="Arial" w:cs="Arial" w:eastAsia="Arial" w:hAnsi="Arial"/>
                <w:b w:val="false"/>
                <w:bCs w:val="false"/>
                <w:sz w:val="17"/>
                <w:szCs w:val="17"/>
              </w:rPr>
              <w:t xml:space="preserve">Upfront cost; change management; work may be more judgement-based than it looks</w:t>
            </w:r>
          </w:p>
        </w:tc>
      </w:tr>
      <w:tr>
        <w:trPr>
          <w:cantSplit/>
        </w:trPr>
        <w:tc>
          <w:tcPr>
            <w:tcW w:type="dxa" w:w="1250"/>
            <w:tcBorders>
              <w:top w:val="single" w:color="C9D3DF" w:sz="4"/>
              <w:left w:val="single" w:color="C9D3DF" w:sz="4"/>
              <w:bottom w:val="single" w:color="C9D3DF" w:sz="4"/>
              <w:right w:val="single" w:color="C9D3DF" w:sz="4"/>
            </w:tcBorders>
            <w:shd w:fill="EEF3F8" w:color="auto" w:val="clear"/>
            <w:tcMar>
              <w:top w:type="dxa" w:w="60"/>
              <w:left w:type="dxa" w:w="100"/>
              <w:bottom w:type="dxa" w:w="60"/>
              <w:right w:type="dxa" w:w="100"/>
            </w:tcMar>
          </w:tcPr>
          <w:p>
            <w:r>
              <w:rPr>
                <w:rFonts w:ascii="Arial" w:cs="Arial" w:eastAsia="Arial" w:hAnsi="Arial"/>
                <w:b/>
                <w:bCs/>
                <w:color w:val="1F3A5F"/>
                <w:sz w:val="17"/>
                <w:szCs w:val="17"/>
              </w:rPr>
              <w:t xml:space="preserve">Bounce</w:t>
            </w:r>
          </w:p>
        </w:tc>
        <w:tc>
          <w:tcPr>
            <w:tcW w:type="dxa" w:w="4308"/>
            <w:tcBorders>
              <w:top w:val="single" w:color="C9D3DF" w:sz="4"/>
              <w:left w:val="single" w:color="C9D3DF" w:sz="4"/>
              <w:bottom w:val="single" w:color="C9D3DF" w:sz="4"/>
              <w:right w:val="single" w:color="C9D3DF" w:sz="4"/>
            </w:tcBorders>
            <w:shd w:fill="EEF3F8" w:color="auto" w:val="clear"/>
            <w:tcMar>
              <w:top w:type="dxa" w:w="60"/>
              <w:left w:type="dxa" w:w="100"/>
              <w:bottom w:type="dxa" w:w="60"/>
              <w:right w:type="dxa" w:w="100"/>
            </w:tcMar>
          </w:tcPr>
          <w:p>
            <w:r>
              <w:rPr>
                <w:rFonts w:ascii="Arial" w:cs="Arial" w:eastAsia="Arial" w:hAnsi="Arial"/>
                <w:b w:val="false"/>
                <w:bCs w:val="false"/>
                <w:sz w:val="17"/>
                <w:szCs w:val="17"/>
              </w:rPr>
              <w:t xml:space="preserve">Skills are obsolete, roles are shrinking, or there is a genuine performance issue</w:t>
            </w:r>
          </w:p>
        </w:tc>
        <w:tc>
          <w:tcPr>
            <w:tcW w:type="dxa" w:w="4308"/>
            <w:tcBorders>
              <w:top w:val="single" w:color="C9D3DF" w:sz="4"/>
              <w:left w:val="single" w:color="C9D3DF" w:sz="4"/>
              <w:bottom w:val="single" w:color="C9D3DF" w:sz="4"/>
              <w:right w:val="single" w:color="C9D3DF" w:sz="4"/>
            </w:tcBorders>
            <w:shd w:fill="EEF3F8" w:color="auto" w:val="clear"/>
            <w:tcMar>
              <w:top w:type="dxa" w:w="60"/>
              <w:left w:type="dxa" w:w="100"/>
              <w:bottom w:type="dxa" w:w="60"/>
              <w:right w:type="dxa" w:w="100"/>
            </w:tcMar>
          </w:tcPr>
          <w:p>
            <w:r>
              <w:rPr>
                <w:rFonts w:ascii="Arial" w:cs="Arial" w:eastAsia="Arial" w:hAnsi="Arial"/>
                <w:b w:val="false"/>
                <w:bCs w:val="false"/>
                <w:sz w:val="17"/>
                <w:szCs w:val="17"/>
              </w:rPr>
              <w:t xml:space="preserve">Legal and employee relations risk; morale and reputation; try retraining and redeployment first</w:t>
            </w:r>
          </w:p>
        </w:tc>
      </w:tr>
    </w:tbl>
    <w:p>
      <w:pPr>
        <w:keepNext/>
        <w:spacing w:after="80" w:before="200"/>
      </w:pPr>
      <w:r>
        <w:rPr>
          <w:rFonts w:ascii="Arial" w:cs="Arial" w:eastAsia="Arial" w:hAnsi="Arial"/>
          <w:b/>
          <w:bCs/>
          <w:color w:val="1F3A5F"/>
          <w:sz w:val="24"/>
          <w:szCs w:val="24"/>
        </w:rPr>
        <w:t xml:space="preserve">4. Ask the deciding questions (roughly in this order)</w:t>
      </w:r>
    </w:p>
    <w:p>
      <w:pPr>
        <w:pStyle w:val="ListParagraph"/>
        <w:numPr>
          <w:ilvl w:val="0"/>
          <w:numId w:val="3"/>
        </w:numPr>
        <w:spacing w:after="30" w:line="264"/>
      </w:pPr>
      <w:r>
        <w:rPr>
          <w:rFonts w:ascii="Arial" w:cs="Arial" w:eastAsia="Arial" w:hAnsi="Arial"/>
          <w:sz w:val="19"/>
          <w:szCs w:val="19"/>
        </w:rPr>
        <w:t xml:space="preserve"/>
      </w:r>
      <w:r>
        <w:rPr>
          <w:rFonts w:ascii="Arial" w:cs="Arial" w:eastAsia="Arial" w:hAnsi="Arial"/>
          <w:b/>
          <w:bCs/>
          <w:sz w:val="19"/>
          <w:szCs w:val="19"/>
        </w:rPr>
        <w:t xml:space="preserve">Can the work be automated or redesigned?</w:t>
      </w:r>
      <w:r>
        <w:rPr>
          <w:rFonts w:ascii="Arial" w:cs="Arial" w:eastAsia="Arial" w:hAnsi="Arial"/>
          <w:sz w:val="19"/>
          <w:szCs w:val="19"/>
        </w:rPr>
        <w:t xml:space="preserve"> If yes, test Bot first, as it changes the demand side.</w:t>
      </w:r>
    </w:p>
    <w:p>
      <w:pPr>
        <w:pStyle w:val="ListParagraph"/>
        <w:numPr>
          <w:ilvl w:val="0"/>
          <w:numId w:val="3"/>
        </w:numPr>
        <w:spacing w:after="30" w:line="264"/>
      </w:pPr>
      <w:r>
        <w:rPr>
          <w:rFonts w:ascii="Arial" w:cs="Arial" w:eastAsia="Arial" w:hAnsi="Arial"/>
          <w:sz w:val="19"/>
          <w:szCs w:val="19"/>
        </w:rPr>
        <w:t xml:space="preserve"/>
      </w:r>
      <w:r>
        <w:rPr>
          <w:rFonts w:ascii="Arial" w:cs="Arial" w:eastAsia="Arial" w:hAnsi="Arial"/>
          <w:b/>
          <w:bCs/>
          <w:sz w:val="19"/>
          <w:szCs w:val="19"/>
        </w:rPr>
        <w:t xml:space="preserve">Is the need temporary or uncertain?</w:t>
      </w:r>
      <w:r>
        <w:rPr>
          <w:rFonts w:ascii="Arial" w:cs="Arial" w:eastAsia="Arial" w:hAnsi="Arial"/>
          <w:sz w:val="19"/>
          <w:szCs w:val="19"/>
        </w:rPr>
        <w:t xml:space="preserve"> Lean to Borrow rather than creating permanent commitments.</w:t>
      </w:r>
    </w:p>
    <w:p>
      <w:pPr>
        <w:pStyle w:val="ListParagraph"/>
        <w:numPr>
          <w:ilvl w:val="0"/>
          <w:numId w:val="3"/>
        </w:numPr>
        <w:spacing w:after="30" w:line="264"/>
      </w:pPr>
      <w:r>
        <w:rPr>
          <w:rFonts w:ascii="Arial" w:cs="Arial" w:eastAsia="Arial" w:hAnsi="Arial"/>
          <w:sz w:val="19"/>
          <w:szCs w:val="19"/>
        </w:rPr>
        <w:t xml:space="preserve"/>
      </w:r>
      <w:r>
        <w:rPr>
          <w:rFonts w:ascii="Arial" w:cs="Arial" w:eastAsia="Arial" w:hAnsi="Arial"/>
          <w:b/>
          <w:bCs/>
          <w:sz w:val="19"/>
          <w:szCs w:val="19"/>
        </w:rPr>
        <w:t xml:space="preserve">Is it urgent?</w:t>
      </w:r>
      <w:r>
        <w:rPr>
          <w:rFonts w:ascii="Arial" w:cs="Arial" w:eastAsia="Arial" w:hAnsi="Arial"/>
          <w:sz w:val="19"/>
          <w:szCs w:val="19"/>
        </w:rPr>
        <w:t xml:space="preserve"> Borrow or Buy will be quickest. With time, Build becomes viable.</w:t>
      </w:r>
    </w:p>
    <w:p>
      <w:pPr>
        <w:pStyle w:val="ListParagraph"/>
        <w:numPr>
          <w:ilvl w:val="0"/>
          <w:numId w:val="3"/>
        </w:numPr>
        <w:spacing w:after="30" w:line="264"/>
      </w:pPr>
      <w:r>
        <w:rPr>
          <w:rFonts w:ascii="Arial" w:cs="Arial" w:eastAsia="Arial" w:hAnsi="Arial"/>
          <w:sz w:val="19"/>
          <w:szCs w:val="19"/>
        </w:rPr>
        <w:t xml:space="preserve"/>
      </w:r>
      <w:r>
        <w:rPr>
          <w:rFonts w:ascii="Arial" w:cs="Arial" w:eastAsia="Arial" w:hAnsi="Arial"/>
          <w:b/>
          <w:bCs/>
          <w:sz w:val="19"/>
          <w:szCs w:val="19"/>
        </w:rPr>
        <w:t xml:space="preserve">Is the skill core and long term?</w:t>
      </w:r>
      <w:r>
        <w:rPr>
          <w:rFonts w:ascii="Arial" w:cs="Arial" w:eastAsia="Arial" w:hAnsi="Arial"/>
          <w:sz w:val="19"/>
          <w:szCs w:val="19"/>
        </w:rPr>
        <w:t xml:space="preserve"> Favour Build or Buy, so the capability sits inside the organisation.</w:t>
      </w:r>
    </w:p>
    <w:p>
      <w:pPr>
        <w:pStyle w:val="ListParagraph"/>
        <w:numPr>
          <w:ilvl w:val="0"/>
          <w:numId w:val="3"/>
        </w:numPr>
        <w:spacing w:after="30" w:line="264"/>
      </w:pPr>
      <w:r>
        <w:rPr>
          <w:rFonts w:ascii="Arial" w:cs="Arial" w:eastAsia="Arial" w:hAnsi="Arial"/>
          <w:sz w:val="19"/>
          <w:szCs w:val="19"/>
        </w:rPr>
        <w:t xml:space="preserve"/>
      </w:r>
      <w:r>
        <w:rPr>
          <w:rFonts w:ascii="Arial" w:cs="Arial" w:eastAsia="Arial" w:hAnsi="Arial"/>
          <w:b/>
          <w:bCs/>
          <w:sz w:val="19"/>
          <w:szCs w:val="19"/>
        </w:rPr>
        <w:t xml:space="preserve">Can existing people realistically reach it?</w:t>
      </w:r>
      <w:r>
        <w:rPr>
          <w:rFonts w:ascii="Arial" w:cs="Arial" w:eastAsia="Arial" w:hAnsi="Arial"/>
          <w:sz w:val="19"/>
          <w:szCs w:val="19"/>
        </w:rPr>
        <w:t xml:space="preserve"> If adjacent skills are absent, Build will be slow and risky.</w:t>
      </w:r>
    </w:p>
    <w:p>
      <w:pPr>
        <w:pStyle w:val="ListParagraph"/>
        <w:numPr>
          <w:ilvl w:val="0"/>
          <w:numId w:val="3"/>
        </w:numPr>
        <w:spacing w:after="30" w:line="264"/>
      </w:pPr>
      <w:r>
        <w:rPr>
          <w:rFonts w:ascii="Arial" w:cs="Arial" w:eastAsia="Arial" w:hAnsi="Arial"/>
          <w:sz w:val="19"/>
          <w:szCs w:val="19"/>
        </w:rPr>
        <w:t xml:space="preserve"/>
      </w:r>
      <w:r>
        <w:rPr>
          <w:rFonts w:ascii="Arial" w:cs="Arial" w:eastAsia="Arial" w:hAnsi="Arial"/>
          <w:b/>
          <w:bCs/>
          <w:sz w:val="19"/>
          <w:szCs w:val="19"/>
        </w:rPr>
        <w:t xml:space="preserve">How competitive is the external market?</w:t>
      </w:r>
      <w:r>
        <w:rPr>
          <w:rFonts w:ascii="Arial" w:cs="Arial" w:eastAsia="Arial" w:hAnsi="Arial"/>
          <w:sz w:val="19"/>
          <w:szCs w:val="19"/>
        </w:rPr>
        <w:t xml:space="preserve"> If thin or expensive, Buy is harder; Build and Borrow gain appeal.</w:t>
      </w:r>
    </w:p>
    <w:p>
      <w:pPr>
        <w:pStyle w:val="ListParagraph"/>
        <w:numPr>
          <w:ilvl w:val="0"/>
          <w:numId w:val="3"/>
        </w:numPr>
        <w:spacing w:after="30" w:line="264"/>
      </w:pPr>
      <w:r>
        <w:rPr>
          <w:rFonts w:ascii="Arial" w:cs="Arial" w:eastAsia="Arial" w:hAnsi="Arial"/>
          <w:sz w:val="19"/>
          <w:szCs w:val="19"/>
        </w:rPr>
        <w:t xml:space="preserve"/>
      </w:r>
      <w:r>
        <w:rPr>
          <w:rFonts w:ascii="Arial" w:cs="Arial" w:eastAsia="Arial" w:hAnsi="Arial"/>
          <w:b/>
          <w:bCs/>
          <w:sz w:val="19"/>
          <w:szCs w:val="19"/>
        </w:rPr>
        <w:t xml:space="preserve">Who is at risk of leaving?</w:t>
      </w:r>
      <w:r>
        <w:rPr>
          <w:rFonts w:ascii="Arial" w:cs="Arial" w:eastAsia="Arial" w:hAnsi="Arial"/>
          <w:sz w:val="19"/>
          <w:szCs w:val="19"/>
        </w:rPr>
        <w:t xml:space="preserve"> Whatever you choose, check whether Bind is needed to protect current capability.</w:t>
      </w:r>
    </w:p>
    <w:p>
      <w:pPr>
        <w:pStyle w:val="ListParagraph"/>
        <w:numPr>
          <w:ilvl w:val="0"/>
          <w:numId w:val="3"/>
        </w:numPr>
        <w:spacing w:after="30" w:line="264"/>
      </w:pPr>
      <w:r>
        <w:rPr>
          <w:rFonts w:ascii="Arial" w:cs="Arial" w:eastAsia="Arial" w:hAnsi="Arial"/>
          <w:sz w:val="19"/>
          <w:szCs w:val="19"/>
        </w:rPr>
        <w:t xml:space="preserve"/>
      </w:r>
      <w:r>
        <w:rPr>
          <w:rFonts w:ascii="Arial" w:cs="Arial" w:eastAsia="Arial" w:hAnsi="Arial"/>
          <w:b/>
          <w:bCs/>
          <w:sz w:val="19"/>
          <w:szCs w:val="19"/>
        </w:rPr>
        <w:t xml:space="preserve">Are any roles surplus or declining?</w:t>
      </w:r>
      <w:r>
        <w:rPr>
          <w:rFonts w:ascii="Arial" w:cs="Arial" w:eastAsia="Arial" w:hAnsi="Arial"/>
          <w:sz w:val="19"/>
          <w:szCs w:val="19"/>
        </w:rPr>
        <w:t xml:space="preserve"> Consider Bounce, but only after redeployment and retraining, with the legal process built in.</w:t>
      </w:r>
    </w:p>
    <w:p>
      <w:pPr>
        <w:keepNext/>
        <w:spacing w:after="80" w:before="200"/>
      </w:pPr>
      <w:r>
        <w:rPr>
          <w:rFonts w:ascii="Arial" w:cs="Arial" w:eastAsia="Arial" w:hAnsi="Arial"/>
          <w:b/>
          <w:bCs/>
          <w:color w:val="1F3A5F"/>
          <w:sz w:val="24"/>
          <w:szCs w:val="24"/>
        </w:rPr>
        <w:t xml:space="preserve">5. Combine rather than choose one</w:t>
      </w:r>
    </w:p>
    <w:p>
      <w:pPr>
        <w:spacing w:after="60" w:line="264"/>
      </w:pPr>
      <w:r>
        <w:rPr>
          <w:rFonts w:ascii="Arial" w:cs="Arial" w:eastAsia="Arial" w:hAnsi="Arial"/>
          <w:sz w:val="19"/>
          <w:szCs w:val="19"/>
        </w:rPr>
        <w:t xml:space="preserve">For most significant gaps the answer is a blend, sequenced over time:</w:t>
      </w:r>
    </w:p>
    <w:p>
      <w:pPr>
        <w:pStyle w:val="ListParagraph"/>
        <w:numPr>
          <w:ilvl w:val="0"/>
          <w:numId w:val="2"/>
        </w:numPr>
        <w:spacing w:after="30" w:line="264"/>
      </w:pPr>
      <w:r>
        <w:rPr>
          <w:rFonts w:ascii="Arial" w:cs="Arial" w:eastAsia="Arial" w:hAnsi="Arial"/>
          <w:sz w:val="19"/>
          <w:szCs w:val="19"/>
        </w:rPr>
        <w:t xml:space="preserve"/>
      </w:r>
      <w:r>
        <w:rPr>
          <w:rFonts w:ascii="Arial" w:cs="Arial" w:eastAsia="Arial" w:hAnsi="Arial"/>
          <w:b/>
          <w:bCs/>
          <w:sz w:val="19"/>
          <w:szCs w:val="19"/>
        </w:rPr>
        <w:t xml:space="preserve">Now:</w:t>
      </w:r>
      <w:r>
        <w:rPr>
          <w:rFonts w:ascii="Arial" w:cs="Arial" w:eastAsia="Arial" w:hAnsi="Arial"/>
          <w:sz w:val="19"/>
          <w:szCs w:val="19"/>
        </w:rPr>
        <w:t xml:space="preserve"> Borrow to cover the immediate need.</w:t>
      </w:r>
    </w:p>
    <w:p>
      <w:pPr>
        <w:pStyle w:val="ListParagraph"/>
        <w:numPr>
          <w:ilvl w:val="0"/>
          <w:numId w:val="2"/>
        </w:numPr>
        <w:spacing w:after="30" w:line="264"/>
      </w:pPr>
      <w:r>
        <w:rPr>
          <w:rFonts w:ascii="Arial" w:cs="Arial" w:eastAsia="Arial" w:hAnsi="Arial"/>
          <w:sz w:val="19"/>
          <w:szCs w:val="19"/>
        </w:rPr>
        <w:t xml:space="preserve"/>
      </w:r>
      <w:r>
        <w:rPr>
          <w:rFonts w:ascii="Arial" w:cs="Arial" w:eastAsia="Arial" w:hAnsi="Arial"/>
          <w:b/>
          <w:bCs/>
          <w:sz w:val="19"/>
          <w:szCs w:val="19"/>
        </w:rPr>
        <w:t xml:space="preserve">Next 6 to 18 months:</w:t>
      </w:r>
      <w:r>
        <w:rPr>
          <w:rFonts w:ascii="Arial" w:cs="Arial" w:eastAsia="Arial" w:hAnsi="Arial"/>
          <w:sz w:val="19"/>
          <w:szCs w:val="19"/>
        </w:rPr>
        <w:t xml:space="preserve"> Build the durable internal capability.</w:t>
      </w:r>
    </w:p>
    <w:p>
      <w:pPr>
        <w:pStyle w:val="ListParagraph"/>
        <w:numPr>
          <w:ilvl w:val="0"/>
          <w:numId w:val="2"/>
        </w:numPr>
        <w:spacing w:after="30" w:line="264"/>
      </w:pPr>
      <w:r>
        <w:rPr>
          <w:rFonts w:ascii="Arial" w:cs="Arial" w:eastAsia="Arial" w:hAnsi="Arial"/>
          <w:sz w:val="19"/>
          <w:szCs w:val="19"/>
        </w:rPr>
        <w:t xml:space="preserve"/>
      </w:r>
      <w:r>
        <w:rPr>
          <w:rFonts w:ascii="Arial" w:cs="Arial" w:eastAsia="Arial" w:hAnsi="Arial"/>
          <w:b/>
          <w:bCs/>
          <w:sz w:val="19"/>
          <w:szCs w:val="19"/>
        </w:rPr>
        <w:t xml:space="preserve">Throughout:</w:t>
      </w:r>
      <w:r>
        <w:rPr>
          <w:rFonts w:ascii="Arial" w:cs="Arial" w:eastAsia="Arial" w:hAnsi="Arial"/>
          <w:sz w:val="19"/>
          <w:szCs w:val="19"/>
        </w:rPr>
        <w:t xml:space="preserve"> Bind the people who hold critical knowledge.</w:t>
      </w:r>
    </w:p>
    <w:p>
      <w:pPr>
        <w:pStyle w:val="ListParagraph"/>
        <w:numPr>
          <w:ilvl w:val="0"/>
          <w:numId w:val="2"/>
        </w:numPr>
        <w:spacing w:after="30" w:line="264"/>
      </w:pPr>
      <w:r>
        <w:rPr>
          <w:rFonts w:ascii="Arial" w:cs="Arial" w:eastAsia="Arial" w:hAnsi="Arial"/>
          <w:sz w:val="19"/>
          <w:szCs w:val="19"/>
        </w:rPr>
        <w:t xml:space="preserve"/>
      </w:r>
      <w:r>
        <w:rPr>
          <w:rFonts w:ascii="Arial" w:cs="Arial" w:eastAsia="Arial" w:hAnsi="Arial"/>
          <w:b/>
          <w:bCs/>
          <w:sz w:val="19"/>
          <w:szCs w:val="19"/>
        </w:rPr>
        <w:t xml:space="preserve">Where unavailable:</w:t>
      </w:r>
      <w:r>
        <w:rPr>
          <w:rFonts w:ascii="Arial" w:cs="Arial" w:eastAsia="Arial" w:hAnsi="Arial"/>
          <w:sz w:val="19"/>
          <w:szCs w:val="19"/>
        </w:rPr>
        <w:t xml:space="preserve"> Buy selectively for skills you cannot grow.</w:t>
      </w:r>
    </w:p>
    <w:p>
      <w:pPr>
        <w:pStyle w:val="ListParagraph"/>
        <w:numPr>
          <w:ilvl w:val="0"/>
          <w:numId w:val="2"/>
        </w:numPr>
        <w:spacing w:after="30" w:line="264"/>
      </w:pPr>
      <w:r>
        <w:rPr>
          <w:rFonts w:ascii="Arial" w:cs="Arial" w:eastAsia="Arial" w:hAnsi="Arial"/>
          <w:sz w:val="19"/>
          <w:szCs w:val="19"/>
        </w:rPr>
        <w:t xml:space="preserve"/>
      </w:r>
      <w:r>
        <w:rPr>
          <w:rFonts w:ascii="Arial" w:cs="Arial" w:eastAsia="Arial" w:hAnsi="Arial"/>
          <w:b/>
          <w:bCs/>
          <w:sz w:val="19"/>
          <w:szCs w:val="19"/>
        </w:rPr>
        <w:t xml:space="preserve">Ongoing:</w:t>
      </w:r>
      <w:r>
        <w:rPr>
          <w:rFonts w:ascii="Arial" w:cs="Arial" w:eastAsia="Arial" w:hAnsi="Arial"/>
          <w:sz w:val="19"/>
          <w:szCs w:val="19"/>
        </w:rPr>
        <w:t xml:space="preserve"> Bot where tasks can be automated, freeing capacity.</w:t>
      </w:r>
    </w:p>
    <w:p>
      <w:pPr>
        <w:keepNext/>
        <w:spacing w:after="80" w:before="200"/>
      </w:pPr>
      <w:r>
        <w:rPr>
          <w:rFonts w:ascii="Arial" w:cs="Arial" w:eastAsia="Arial" w:hAnsi="Arial"/>
          <w:b/>
          <w:bCs/>
          <w:color w:val="1F3A5F"/>
          <w:sz w:val="24"/>
          <w:szCs w:val="24"/>
        </w:rPr>
        <w:t xml:space="preserve">Worked example: data analysis skills in a local authority</w:t>
      </w:r>
    </w:p>
    <w:p>
      <w:pPr>
        <w:spacing w:after="60" w:line="264"/>
      </w:pPr>
      <w:r>
        <w:rPr>
          <w:rFonts w:ascii="Arial" w:cs="Arial" w:eastAsia="Arial" w:hAnsi="Arial"/>
          <w:sz w:val="19"/>
          <w:szCs w:val="19"/>
        </w:rPr>
        <w:t xml:space="preserve">A new performance reporting requirement creates demand for data analysis skills.</w:t>
      </w:r>
    </w:p>
    <w:tbl>
      <w:tblPr>
        <w:tblW w:type="dxa" w:w="9866"/>
        <w:tblBorders>
          <w:top w:val="single" w:color="auto" w:sz="4"/>
          <w:left w:val="single" w:color="auto" w:sz="4"/>
          <w:bottom w:val="single" w:color="auto" w:sz="4"/>
          <w:right w:val="single" w:color="auto" w:sz="4"/>
          <w:insideH w:val="single" w:color="auto" w:sz="4"/>
          <w:insideV w:val="single" w:color="auto" w:sz="4"/>
        </w:tblBorders>
      </w:tblPr>
      <w:tblGrid>
        <w:gridCol w:w="1250"/>
        <w:gridCol w:w="8616"/>
      </w:tblGrid>
      <w:tr>
        <w:trPr>
          <w:cantSplit/>
        </w:trPr>
        <w:tc>
          <w:tcPr>
            <w:tcW w:type="dxa" w:w="1250"/>
            <w:tcBorders>
              <w:top w:val="single" w:color="C9D3DF" w:sz="4"/>
              <w:left w:val="single" w:color="C9D3DF" w:sz="4"/>
              <w:bottom w:val="single" w:color="C9D3DF" w:sz="4"/>
              <w:right w:val="single" w:color="C9D3DF" w:sz="4"/>
            </w:tcBorders>
            <w:tcMar>
              <w:top w:type="dxa" w:w="60"/>
              <w:left w:type="dxa" w:w="100"/>
              <w:bottom w:type="dxa" w:w="60"/>
              <w:right w:type="dxa" w:w="100"/>
            </w:tcMar>
          </w:tcPr>
          <w:p>
            <w:r>
              <w:rPr>
                <w:rFonts w:ascii="Arial" w:cs="Arial" w:eastAsia="Arial" w:hAnsi="Arial"/>
                <w:b/>
                <w:bCs/>
                <w:color w:val="1F3A5F"/>
                <w:sz w:val="17"/>
                <w:szCs w:val="17"/>
              </w:rPr>
              <w:t xml:space="preserve">Bot</w:t>
            </w:r>
          </w:p>
        </w:tc>
        <w:tc>
          <w:tcPr>
            <w:tcW w:type="dxa" w:w="8616"/>
            <w:tcBorders>
              <w:top w:val="single" w:color="C9D3DF" w:sz="4"/>
              <w:left w:val="single" w:color="C9D3DF" w:sz="4"/>
              <w:bottom w:val="single" w:color="C9D3DF" w:sz="4"/>
              <w:right w:val="single" w:color="C9D3DF" w:sz="4"/>
            </w:tcBorders>
            <w:tcMar>
              <w:top w:type="dxa" w:w="60"/>
              <w:left w:type="dxa" w:w="100"/>
              <w:bottom w:type="dxa" w:w="60"/>
              <w:right w:type="dxa" w:w="100"/>
            </w:tcMar>
          </w:tcPr>
          <w:p>
            <w:r>
              <w:rPr>
                <w:rFonts w:ascii="Arial" w:cs="Arial" w:eastAsia="Arial" w:hAnsi="Arial"/>
                <w:b w:val="false"/>
                <w:bCs w:val="false"/>
                <w:sz w:val="17"/>
                <w:szCs w:val="17"/>
              </w:rPr>
              <w:t xml:space="preserve">Part of the reporting can be automated with dashboards, so demand falls.</w:t>
            </w:r>
          </w:p>
        </w:tc>
      </w:tr>
      <w:tr>
        <w:trPr>
          <w:cantSplit/>
        </w:trPr>
        <w:tc>
          <w:tcPr>
            <w:tcW w:type="dxa" w:w="1250"/>
            <w:tcBorders>
              <w:top w:val="single" w:color="C9D3DF" w:sz="4"/>
              <w:left w:val="single" w:color="C9D3DF" w:sz="4"/>
              <w:bottom w:val="single" w:color="C9D3DF" w:sz="4"/>
              <w:right w:val="single" w:color="C9D3DF" w:sz="4"/>
            </w:tcBorders>
            <w:tcMar>
              <w:top w:type="dxa" w:w="60"/>
              <w:left w:type="dxa" w:w="100"/>
              <w:bottom w:type="dxa" w:w="60"/>
              <w:right w:type="dxa" w:w="100"/>
            </w:tcMar>
          </w:tcPr>
          <w:p>
            <w:r>
              <w:rPr>
                <w:rFonts w:ascii="Arial" w:cs="Arial" w:eastAsia="Arial" w:hAnsi="Arial"/>
                <w:b/>
                <w:bCs/>
                <w:color w:val="1F3A5F"/>
                <w:sz w:val="17"/>
                <w:szCs w:val="17"/>
              </w:rPr>
              <w:t xml:space="preserve">Borrow</w:t>
            </w:r>
          </w:p>
        </w:tc>
        <w:tc>
          <w:tcPr>
            <w:tcW w:type="dxa" w:w="8616"/>
            <w:tcBorders>
              <w:top w:val="single" w:color="C9D3DF" w:sz="4"/>
              <w:left w:val="single" w:color="C9D3DF" w:sz="4"/>
              <w:bottom w:val="single" w:color="C9D3DF" w:sz="4"/>
              <w:right w:val="single" w:color="C9D3DF" w:sz="4"/>
            </w:tcBorders>
            <w:tcMar>
              <w:top w:type="dxa" w:w="60"/>
              <w:left w:type="dxa" w:w="100"/>
              <w:bottom w:type="dxa" w:w="60"/>
              <w:right w:type="dxa" w:w="100"/>
            </w:tcMar>
          </w:tcPr>
          <w:p>
            <w:r>
              <w:rPr>
                <w:rFonts w:ascii="Arial" w:cs="Arial" w:eastAsia="Arial" w:hAnsi="Arial"/>
                <w:b w:val="false"/>
                <w:bCs w:val="false"/>
                <w:sz w:val="17"/>
                <w:szCs w:val="17"/>
              </w:rPr>
              <w:t xml:space="preserve">An interim analyst or consultancy covers set-up for the first few months.</w:t>
            </w:r>
          </w:p>
        </w:tc>
      </w:tr>
      <w:tr>
        <w:trPr>
          <w:cantSplit/>
        </w:trPr>
        <w:tc>
          <w:tcPr>
            <w:tcW w:type="dxa" w:w="1250"/>
            <w:tcBorders>
              <w:top w:val="single" w:color="C9D3DF" w:sz="4"/>
              <w:left w:val="single" w:color="C9D3DF" w:sz="4"/>
              <w:bottom w:val="single" w:color="C9D3DF" w:sz="4"/>
              <w:right w:val="single" w:color="C9D3DF" w:sz="4"/>
            </w:tcBorders>
            <w:tcMar>
              <w:top w:type="dxa" w:w="60"/>
              <w:left w:type="dxa" w:w="100"/>
              <w:bottom w:type="dxa" w:w="60"/>
              <w:right w:type="dxa" w:w="100"/>
            </w:tcMar>
          </w:tcPr>
          <w:p>
            <w:r>
              <w:rPr>
                <w:rFonts w:ascii="Arial" w:cs="Arial" w:eastAsia="Arial" w:hAnsi="Arial"/>
                <w:b/>
                <w:bCs/>
                <w:color w:val="1F3A5F"/>
                <w:sz w:val="17"/>
                <w:szCs w:val="17"/>
              </w:rPr>
              <w:t xml:space="preserve">Build</w:t>
            </w:r>
          </w:p>
        </w:tc>
        <w:tc>
          <w:tcPr>
            <w:tcW w:type="dxa" w:w="8616"/>
            <w:tcBorders>
              <w:top w:val="single" w:color="C9D3DF" w:sz="4"/>
              <w:left w:val="single" w:color="C9D3DF" w:sz="4"/>
              <w:bottom w:val="single" w:color="C9D3DF" w:sz="4"/>
              <w:right w:val="single" w:color="C9D3DF" w:sz="4"/>
            </w:tcBorders>
            <w:tcMar>
              <w:top w:type="dxa" w:w="60"/>
              <w:left w:type="dxa" w:w="100"/>
              <w:bottom w:type="dxa" w:w="60"/>
              <w:right w:type="dxa" w:w="100"/>
            </w:tcMar>
          </w:tcPr>
          <w:p>
            <w:r>
              <w:rPr>
                <w:rFonts w:ascii="Arial" w:cs="Arial" w:eastAsia="Arial" w:hAnsi="Arial"/>
                <w:b w:val="false"/>
                <w:bCs w:val="false"/>
                <w:sz w:val="17"/>
                <w:szCs w:val="17"/>
              </w:rPr>
              <w:t xml:space="preserve">Upskill two business support staff who already know the service data.</w:t>
            </w:r>
          </w:p>
        </w:tc>
      </w:tr>
      <w:tr>
        <w:trPr>
          <w:cantSplit/>
        </w:trPr>
        <w:tc>
          <w:tcPr>
            <w:tcW w:type="dxa" w:w="1250"/>
            <w:tcBorders>
              <w:top w:val="single" w:color="C9D3DF" w:sz="4"/>
              <w:left w:val="single" w:color="C9D3DF" w:sz="4"/>
              <w:bottom w:val="single" w:color="C9D3DF" w:sz="4"/>
              <w:right w:val="single" w:color="C9D3DF" w:sz="4"/>
            </w:tcBorders>
            <w:tcMar>
              <w:top w:type="dxa" w:w="60"/>
              <w:left w:type="dxa" w:w="100"/>
              <w:bottom w:type="dxa" w:w="60"/>
              <w:right w:type="dxa" w:w="100"/>
            </w:tcMar>
          </w:tcPr>
          <w:p>
            <w:r>
              <w:rPr>
                <w:rFonts w:ascii="Arial" w:cs="Arial" w:eastAsia="Arial" w:hAnsi="Arial"/>
                <w:b/>
                <w:bCs/>
                <w:color w:val="1F3A5F"/>
                <w:sz w:val="17"/>
                <w:szCs w:val="17"/>
              </w:rPr>
              <w:t xml:space="preserve">Buy</w:t>
            </w:r>
          </w:p>
        </w:tc>
        <w:tc>
          <w:tcPr>
            <w:tcW w:type="dxa" w:w="8616"/>
            <w:tcBorders>
              <w:top w:val="single" w:color="C9D3DF" w:sz="4"/>
              <w:left w:val="single" w:color="C9D3DF" w:sz="4"/>
              <w:bottom w:val="single" w:color="C9D3DF" w:sz="4"/>
              <w:right w:val="single" w:color="C9D3DF" w:sz="4"/>
            </w:tcBorders>
            <w:tcMar>
              <w:top w:type="dxa" w:w="60"/>
              <w:left w:type="dxa" w:w="100"/>
              <w:bottom w:type="dxa" w:w="60"/>
              <w:right w:type="dxa" w:w="100"/>
            </w:tcMar>
          </w:tcPr>
          <w:p>
            <w:r>
              <w:rPr>
                <w:rFonts w:ascii="Arial" w:cs="Arial" w:eastAsia="Arial" w:hAnsi="Arial"/>
                <w:b w:val="false"/>
                <w:bCs w:val="false"/>
                <w:sz w:val="17"/>
                <w:szCs w:val="17"/>
              </w:rPr>
              <w:t xml:space="preserve">Recruit one senior analyst, because the external market has the expertise and the need is permanent.</w:t>
            </w:r>
          </w:p>
        </w:tc>
      </w:tr>
      <w:tr>
        <w:trPr>
          <w:cantSplit/>
        </w:trPr>
        <w:tc>
          <w:tcPr>
            <w:tcW w:type="dxa" w:w="1250"/>
            <w:tcBorders>
              <w:top w:val="single" w:color="C9D3DF" w:sz="4"/>
              <w:left w:val="single" w:color="C9D3DF" w:sz="4"/>
              <w:bottom w:val="single" w:color="C9D3DF" w:sz="4"/>
              <w:right w:val="single" w:color="C9D3DF" w:sz="4"/>
            </w:tcBorders>
            <w:tcMar>
              <w:top w:type="dxa" w:w="60"/>
              <w:left w:type="dxa" w:w="100"/>
              <w:bottom w:type="dxa" w:w="60"/>
              <w:right w:type="dxa" w:w="100"/>
            </w:tcMar>
          </w:tcPr>
          <w:p>
            <w:r>
              <w:rPr>
                <w:rFonts w:ascii="Arial" w:cs="Arial" w:eastAsia="Arial" w:hAnsi="Arial"/>
                <w:b/>
                <w:bCs/>
                <w:color w:val="1F3A5F"/>
                <w:sz w:val="17"/>
                <w:szCs w:val="17"/>
              </w:rPr>
              <w:t xml:space="preserve">Bind</w:t>
            </w:r>
          </w:p>
        </w:tc>
        <w:tc>
          <w:tcPr>
            <w:tcW w:type="dxa" w:w="8616"/>
            <w:tcBorders>
              <w:top w:val="single" w:color="C9D3DF" w:sz="4"/>
              <w:left w:val="single" w:color="C9D3DF" w:sz="4"/>
              <w:bottom w:val="single" w:color="C9D3DF" w:sz="4"/>
              <w:right w:val="single" w:color="C9D3DF" w:sz="4"/>
            </w:tcBorders>
            <w:tcMar>
              <w:top w:type="dxa" w:w="60"/>
              <w:left w:type="dxa" w:w="100"/>
              <w:bottom w:type="dxa" w:w="60"/>
              <w:right w:type="dxa" w:w="100"/>
            </w:tcMar>
          </w:tcPr>
          <w:p>
            <w:r>
              <w:rPr>
                <w:rFonts w:ascii="Arial" w:cs="Arial" w:eastAsia="Arial" w:hAnsi="Arial"/>
                <w:b w:val="false"/>
                <w:bCs w:val="false"/>
                <w:sz w:val="17"/>
                <w:szCs w:val="17"/>
              </w:rPr>
              <w:t xml:space="preserve">Retain the officer who understands the legacy systems, for example through flexible working or a market supplement.</w:t>
            </w:r>
          </w:p>
        </w:tc>
      </w:tr>
    </w:tbl>
    <w:p>
      <w:pPr>
        <w:keepNext/>
        <w:spacing w:after="80" w:before="200"/>
      </w:pPr>
      <w:r>
        <w:rPr>
          <w:rFonts w:ascii="Arial" w:cs="Arial" w:eastAsia="Arial" w:hAnsi="Arial"/>
          <w:b/>
          <w:bCs/>
          <w:color w:val="1F3A5F"/>
          <w:sz w:val="24"/>
          <w:szCs w:val="24"/>
        </w:rPr>
        <w:t xml:space="preserve">6. Test and review</w:t>
      </w:r>
    </w:p>
    <w:p>
      <w:pPr>
        <w:pStyle w:val="ListParagraph"/>
        <w:numPr>
          <w:ilvl w:val="0"/>
          <w:numId w:val="2"/>
        </w:numPr>
        <w:spacing w:after="30" w:line="264"/>
      </w:pPr>
      <w:r>
        <w:rPr>
          <w:rFonts w:ascii="Arial" w:cs="Arial" w:eastAsia="Arial" w:hAnsi="Arial"/>
          <w:sz w:val="19"/>
          <w:szCs w:val="19"/>
        </w:rPr>
        <w:t xml:space="preserve"/>
      </w:r>
      <w:r>
        <w:rPr>
          <w:rFonts w:ascii="Arial" w:cs="Arial" w:eastAsia="Arial" w:hAnsi="Arial"/>
          <w:b/>
          <w:bCs/>
          <w:sz w:val="19"/>
          <w:szCs w:val="19"/>
        </w:rPr>
        <w:t xml:space="preserve">Cost and timeline:</w:t>
      </w:r>
      <w:r>
        <w:rPr>
          <w:rFonts w:ascii="Arial" w:cs="Arial" w:eastAsia="Arial" w:hAnsi="Arial"/>
          <w:sz w:val="19"/>
          <w:szCs w:val="19"/>
        </w:rPr>
        <w:t xml:space="preserve"> estimate cost, time to impact and probability of success for each option.</w:t>
      </w:r>
    </w:p>
    <w:p>
      <w:pPr>
        <w:pStyle w:val="ListParagraph"/>
        <w:numPr>
          <w:ilvl w:val="0"/>
          <w:numId w:val="2"/>
        </w:numPr>
        <w:spacing w:after="30" w:line="264"/>
      </w:pPr>
      <w:r>
        <w:rPr>
          <w:rFonts w:ascii="Arial" w:cs="Arial" w:eastAsia="Arial" w:hAnsi="Arial"/>
          <w:sz w:val="19"/>
          <w:szCs w:val="19"/>
        </w:rPr>
        <w:t xml:space="preserve"/>
      </w:r>
      <w:r>
        <w:rPr>
          <w:rFonts w:ascii="Arial" w:cs="Arial" w:eastAsia="Arial" w:hAnsi="Arial"/>
          <w:b/>
          <w:bCs/>
          <w:sz w:val="19"/>
          <w:szCs w:val="19"/>
        </w:rPr>
        <w:t xml:space="preserve">Risk:</w:t>
      </w:r>
      <w:r>
        <w:rPr>
          <w:rFonts w:ascii="Arial" w:cs="Arial" w:eastAsia="Arial" w:hAnsi="Arial"/>
          <w:sz w:val="19"/>
          <w:szCs w:val="19"/>
        </w:rPr>
        <w:t xml:space="preserve"> what happens if the plan fails, and what is the fallback?</w:t>
      </w:r>
    </w:p>
    <w:p>
      <w:pPr>
        <w:pStyle w:val="ListParagraph"/>
        <w:numPr>
          <w:ilvl w:val="0"/>
          <w:numId w:val="2"/>
        </w:numPr>
        <w:spacing w:after="30" w:line="264"/>
      </w:pPr>
      <w:r>
        <w:rPr>
          <w:rFonts w:ascii="Arial" w:cs="Arial" w:eastAsia="Arial" w:hAnsi="Arial"/>
          <w:sz w:val="19"/>
          <w:szCs w:val="19"/>
        </w:rPr>
        <w:t xml:space="preserve"/>
      </w:r>
      <w:r>
        <w:rPr>
          <w:rFonts w:ascii="Arial" w:cs="Arial" w:eastAsia="Arial" w:hAnsi="Arial"/>
          <w:b/>
          <w:bCs/>
          <w:sz w:val="19"/>
          <w:szCs w:val="19"/>
        </w:rPr>
        <w:t xml:space="preserve">Review point:</w:t>
      </w:r>
      <w:r>
        <w:rPr>
          <w:rFonts w:ascii="Arial" w:cs="Arial" w:eastAsia="Arial" w:hAnsi="Arial"/>
          <w:sz w:val="19"/>
          <w:szCs w:val="19"/>
        </w:rPr>
        <w:t xml:space="preserve"> set a date to reassess, because labour markets and business needs change.</w:t>
      </w:r>
    </w:p>
    <w:p>
      <w:pPr>
        <w:spacing w:after="60" w:before="60"/>
      </w:pPr>
      <w:r>
        <w:rPr>
          <w:rFonts w:ascii="Arial" w:cs="Arial" w:eastAsia="Arial" w:hAnsi="Arial"/>
          <w:color w:val="555555"/>
          <w:sz w:val="16"/>
          <w:szCs w:val="16"/>
        </w:rPr>
        <w:t xml:space="preserve">Keep the process light. The value is in forcing an honest comparison instead of defaulting to recruitment. This guide is a structured aid to judgement, not a formula.</w:t>
      </w:r>
    </w:p>
    <w:sectPr>
      <w:footerReference w:type="default" r:id="rId7"/>
      <w:pgSz w:w="11906" w:h="16838" w:orient="portrait"/>
      <w:pgMar w:top="850" w:right="1020" w:bottom="960" w:left="1020" w:header="708" w:footer="708" w:gutter="0"/>
      <w:pgNumType/>
      <w:docGrid w:linePitch="360"/>
    </w:sectPr>
  </w:body>
</w:document>
</file>

<file path=word/comments.xml><?xml version="1.0" encoding="utf-8"?>
<w:comment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pPr>
        <w:spacing w:after="0" w:line="240" w:lineRule="auto"/>
      </w:pPr>
      <w:r>
        <w:rPr>
          <w:rStyle w:val="EndnoteReference"/>
        </w:rPr>
        <w:endnoteRef/>
      </w:r>
      <w:r>
        <w:separator/>
      </w:r>
    </w:p>
  </w:endnote>
  <w:endnote w:type="continuationSeparator" w:id="0">
    <w:p>
      <w:pPr>
        <w:spacing w:after="0" w:line="240" w:lineRule="auto"/>
      </w:pPr>
      <w:r>
        <w:rPr>
          <w:rStyle w:val="EndnoteReference"/>
        </w:rPr>
        <w:endnoteRef/>
      </w: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w:p>
    <w:pPr>
      <w:tabs>
        <w:tab w:val="right" w:pos="9866"/>
      </w:tabs>
    </w:pPr>
    <w:r>
      <w:rPr>
        <w:rFonts w:ascii="Arial" w:cs="Arial" w:eastAsia="Arial" w:hAnsi="Arial"/>
        <w:color w:val="555555"/>
        <w:sz w:val="15"/>
        <w:szCs w:val="15"/>
      </w:rPr>
      <w:t xml:space="preserve">Workforce planning: choosing the right B</w:t>
    </w:r>
    <w:r>
      <w:rPr>
        <w:rFonts w:ascii="Arial" w:cs="Arial" w:eastAsia="Arial" w:hAnsi="Arial"/>
        <w:color w:val="555555"/>
        <w:sz w:val="15"/>
        <w:szCs w:val="15"/>
      </w:rPr>
      <w:t xml:space="preserve">	Page </w:t>
      <w:fldChar w:fldCharType="begin"/>
      <w:instrText xml:space="preserve">PAGE</w:instrText>
      <w:fldChar w:fldCharType="separate"/>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pPr>
        <w:spacing w:after="0" w:line="240" w:lineRule="auto"/>
      </w:pPr>
      <w:r>
        <w:rPr>
          <w:rStyle w:val="FootnoteReference"/>
        </w:rPr>
        <w:footnoteRef/>
      </w:r>
      <w:r>
        <w:separator/>
      </w:r>
    </w:p>
  </w:footnote>
  <w:footnote w:type="continuationSeparator" w:id="0">
    <w:p>
      <w:pPr>
        <w:spacing w:after="0" w:line="240" w:lineRule="auto"/>
      </w:pPr>
      <w:r>
        <w:rPr>
          <w:rStyle w:val="FootnoteReference"/>
        </w:rPr>
        <w:footnoteRef/>
      </w: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1" w15:restartNumberingAfterBreak="0">
    <w:multiLevelType w:val="hybridMultilevel"/>
    <w:lvl w:ilvl="0" w15:tentative="1">
      <w:start w:val="1"/>
      <w:numFmt w:val="bullet"/>
      <w:lvlText w:val="●"/>
      <w:lvlJc w:val="left"/>
      <w:pPr>
        <w:ind w:left="720" w:hanging="360"/>
      </w:pPr>
    </w:lvl>
    <w:lvl w:ilvl="1" w15:tentative="1">
      <w:start w:val="1"/>
      <w:numFmt w:val="bullet"/>
      <w:lvlText w:val="○"/>
      <w:lvlJc w:val="left"/>
      <w:pPr>
        <w:ind w:left="1440" w:hanging="360"/>
      </w:pPr>
    </w:lvl>
    <w:lvl w:ilvl="2" w15:tentative="1">
      <w:start w:val="1"/>
      <w:numFmt w:val="bullet"/>
      <w:lvlText w:val="■"/>
      <w:lvlJc w:val="left"/>
      <w:pPr>
        <w:ind w:left="2160" w:hanging="360"/>
      </w:pPr>
    </w:lvl>
    <w:lvl w:ilvl="3" w15:tentative="1">
      <w:start w:val="1"/>
      <w:numFmt w:val="bullet"/>
      <w:lvlText w:val="●"/>
      <w:lvlJc w:val="left"/>
      <w:pPr>
        <w:ind w:left="2880" w:hanging="360"/>
      </w:pPr>
    </w:lvl>
    <w:lvl w:ilvl="4" w15:tentative="1">
      <w:start w:val="1"/>
      <w:numFmt w:val="bullet"/>
      <w:lvlText w:val="○"/>
      <w:lvlJc w:val="left"/>
      <w:pPr>
        <w:ind w:left="3600" w:hanging="360"/>
      </w:pPr>
    </w:lvl>
    <w:lvl w:ilvl="5" w15:tentative="1">
      <w:start w:val="1"/>
      <w:numFmt w:val="bullet"/>
      <w:lvlText w:val="■"/>
      <w:lvlJc w:val="left"/>
      <w:pPr>
        <w:ind w:left="4320" w:hanging="360"/>
      </w:pPr>
    </w:lvl>
    <w:lvl w:ilvl="6" w15:tentative="1">
      <w:start w:val="1"/>
      <w:numFmt w:val="bullet"/>
      <w:lvlText w:val="●"/>
      <w:lvlJc w:val="left"/>
      <w:pPr>
        <w:ind w:left="5040" w:hanging="360"/>
      </w:pPr>
    </w:lvl>
    <w:lvl w:ilvl="7" w15:tentative="1">
      <w:start w:val="1"/>
      <w:numFmt w:val="bullet"/>
      <w:lvlText w:val="●"/>
      <w:lvlJc w:val="left"/>
      <w:pPr>
        <w:ind w:left="5760" w:hanging="360"/>
      </w:pPr>
    </w:lvl>
    <w:lvl w:ilvl="8" w15:tentative="1">
      <w:start w:val="1"/>
      <w:numFmt w:val="bullet"/>
      <w:lvlText w:val="●"/>
      <w:lvlJc w:val="left"/>
      <w:pPr>
        <w:ind w:left="6480" w:hanging="360"/>
      </w:pPr>
    </w:lvl>
  </w:abstractNum>
  <w:abstractNum w:abstractNumId="2" w15:restartNumberingAfterBreak="0">
    <w:multiLevelType w:val="hybridMultilevel"/>
    <w:lvl w:ilvl="0" w15:tentative="1">
      <w:start w:val="1"/>
      <w:numFmt w:val="bullet"/>
      <w:lvlText w:val="•"/>
      <w:lvlJc w:val="left"/>
      <w:pPr>
        <w:ind w:left="360" w:hanging="240"/>
      </w:pPr>
    </w:lvl>
  </w:abstractNum>
  <w:abstractNum w:abstractNumId="3" w15:restartNumberingAfterBreak="0">
    <w:multiLevelType w:val="hybridMultilevel"/>
    <w:lvl w:ilvl="0" w15:tentative="1">
      <w:start w:val="1"/>
      <w:numFmt w:val="decimal"/>
      <w:lvlText w:val="%1."/>
      <w:lvlJc w:val="left"/>
      <w:pPr>
        <w:ind w:left="420" w:hanging="300"/>
      </w:pPr>
    </w:lvl>
  </w:abstractNum>
  <w:num w:numId="1">
    <w:abstractNumId w:val="1"/>
    <w:lvlOverride w:ilvl="0">
      <w:startOverride w:val="1"/>
    </w:lvlOverride>
  </w:num>
  <w:num w:numId="2">
    <w:abstractNumId w:val="2"/>
    <w:lvlOverride w:ilvl="0">
      <w:startOverride w:val="1"/>
    </w:lvlOverride>
  </w:num>
  <w:num w:numId="3">
    <w:abstractNumId w:val="3"/>
    <w:lvlOverride w:ilvl="0">
      <w:startOverride w:val="1"/>
    </w:lvlOverride>
  </w:num>
</w:numbering>
</file>

<file path=word/settings.xml><?xml version="1.0" encoding="utf-8"?>
<w:setting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isplayBackgroundShape/>
  <w:evenAndOddHeaders w:val="false"/>
  <w:compat>
    <w:compatSetting w:val="15" w:name="compatibilityMode" w:uri="http://schemas.microsoft.com/office/word"/>
  </w:compat>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cs="Arial" w:eastAsia="Arial" w:hAnsi="Arial"/>
        <w:sz w:val="19"/>
        <w:szCs w:val="19"/>
      </w:rPr>
    </w:rPrDefault>
    <w:pPrDefault/>
  </w:docDefaults>
  <w:style w:type="paragraph" w:styleId="Title">
    <w:name w:val="Title"/>
    <w:basedOn w:val="Normal"/>
    <w:next w:val="Normal"/>
    <w:qFormat/>
    <w:rPr>
      <w:sz w:val="56"/>
      <w:szCs w:val="56"/>
    </w:rPr>
  </w:style>
  <w:style w:type="paragraph" w:styleId="Heading1">
    <w:name w:val="Heading 1"/>
    <w:basedOn w:val="Normal"/>
    <w:next w:val="Normal"/>
    <w:qFormat/>
    <w:rPr>
      <w:color w:val="2E74B5"/>
      <w:sz w:val="32"/>
      <w:szCs w:val="32"/>
    </w:rPr>
  </w:style>
  <w:style w:type="paragraph" w:styleId="Heading2">
    <w:name w:val="Heading 2"/>
    <w:basedOn w:val="Normal"/>
    <w:next w:val="Normal"/>
    <w:qFormat/>
    <w:rPr>
      <w:color w:val="2E74B5"/>
      <w:sz w:val="26"/>
      <w:szCs w:val="26"/>
    </w:rPr>
  </w:style>
  <w:style w:type="paragraph" w:styleId="Heading3">
    <w:name w:val="Heading 3"/>
    <w:basedOn w:val="Normal"/>
    <w:next w:val="Normal"/>
    <w:qFormat/>
    <w:rPr>
      <w:color w:val="1F4D78"/>
      <w:sz w:val="24"/>
      <w:szCs w:val="24"/>
    </w:rPr>
  </w:style>
  <w:style w:type="paragraph" w:styleId="Heading4">
    <w:name w:val="Heading 4"/>
    <w:basedOn w:val="Normal"/>
    <w:next w:val="Normal"/>
    <w:qFormat/>
    <w:rPr>
      <w:i/>
      <w:iCs/>
      <w:color w:val="2E74B5"/>
    </w:rPr>
  </w:style>
  <w:style w:type="paragraph" w:styleId="Heading5">
    <w:name w:val="Heading 5"/>
    <w:basedOn w:val="Normal"/>
    <w:next w:val="Normal"/>
    <w:qFormat/>
    <w:rPr>
      <w:color w:val="2E74B5"/>
    </w:rPr>
  </w:style>
  <w:style w:type="paragraph" w:styleId="Heading6">
    <w:name w:val="Heading 6"/>
    <w:basedOn w:val="Normal"/>
    <w:next w:val="Normal"/>
    <w:qFormat/>
    <w:rPr>
      <w:color w:val="1F4D78"/>
    </w:rPr>
  </w:style>
  <w:style w:type="paragraph" w:styleId="Strong">
    <w:name w:val="Strong"/>
    <w:basedOn w:val="Normal"/>
    <w:next w:val="Normal"/>
    <w:qFormat/>
    <w:rPr>
      <w:b/>
      <w:bCs/>
    </w:rPr>
  </w:style>
  <w:style w:type="paragraph" w:styleId="ListParagraph">
    <w:name w:val="List Paragraph"/>
    <w:basedOn w:val="Normal"/>
    <w:qFormat/>
  </w:style>
  <w:style w:type="character" w:styleId="Hyperlink">
    <w:name w:val="Hyperlink"/>
    <w:basedOn w:val="DefaultParagraphFont"/>
    <w:uiPriority w:val="99"/>
    <w:unhideWhenUsed/>
    <w:rPr>
      <w:color w:val="0563C1"/>
      <w:u w:val="single"/>
    </w:rPr>
  </w:style>
  <w:style w:type="character" w:styleId="FootnoteReference">
    <w:name w:val="footnote reference"/>
    <w:basedOn w:val="DefaultParagraphFont"/>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FootnoteTextChar">
    <w:name w:val="Footnote Text Char"/>
    <w:basedOn w:val="DefaultParagraphFont"/>
    <w:link w:val="FootnoteText"/>
    <w:uiPriority w:val="99"/>
    <w:semiHidden/>
    <w:unhideWhenUsed/>
    <w:rPr>
      <w:sz w:val="20"/>
      <w:szCs w:val="20"/>
    </w:rPr>
  </w:style>
  <w:style w:type="character" w:styleId="EndnoteReference">
    <w:name w:val="end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styleId="EndnoteTextChar">
    <w:name w:val="Endnote Text Char"/>
    <w:basedOn w:val="DefaultParagraphFont"/>
    <w:link w:val="EndnoteText"/>
    <w:uiPriority w:val="99"/>
    <w:semiHidden/>
    <w:unhideWhenUsed/>
    <w:rPr>
      <w:sz w:val="20"/>
      <w:szCs w:val="20"/>
    </w:rPr>
  </w:style>
</w:styles>
</file>

<file path=word/_rels/comments.xml.rels><?xml version="1.0" encoding="UTF-8"?><Relationships xmlns="http://schemas.openxmlformats.org/package/2006/relationships"/>
</file>

<file path=word/_rels/document.xml.rels><?xml version="1.0" encoding="UTF-8"?><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otnotes" Target="footnotes.xml"/><Relationship Id="rId4" Type="http://schemas.openxmlformats.org/officeDocument/2006/relationships/endnotes" Target="endnotes.xml"/><Relationship Id="rId5" Type="http://schemas.openxmlformats.org/officeDocument/2006/relationships/settings" Target="settings.xml"/><Relationship Id="rId6" Type="http://schemas.openxmlformats.org/officeDocument/2006/relationships/comments" Target="comments.xml"/><Relationship Id="rId7" Type="http://schemas.openxmlformats.org/officeDocument/2006/relationships/footer" Target="footer1.xml"/><Relationship Id="rId8" Type="http://schemas.openxmlformats.org/officeDocument/2006/relationships/fontTable" Target="fontTable.xml"/></Relationships>
</file>

<file path=word/_rels/endnotes.xml.rels><?xml version="1.0" encoding="UTF-8"?><Relationships xmlns="http://schemas.openxmlformats.org/package/2006/relationships"/>
</file>

<file path=word/_rels/fontTable.xml.rels><?xml version="1.0" encoding="UTF-8"?><Relationships xmlns="http://schemas.openxmlformats.org/package/2006/relationships"/>
</file>

<file path=word/_rels/footer1.xml.rels><?xml version="1.0" encoding="UTF-8"?><Relationships xmlns="http://schemas.openxmlformats.org/package/2006/relationships"/>
</file>

<file path=word/_rels/footnotes.xml.rels><?xml version="1.0" encoding="UTF-8"?><Relationships xmlns="http://schemas.openxmlformats.org/package/2006/relationships"/>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Workforce planning: choosing the right B</dc:title>
  <cp:lastModifiedBy>Un-named</cp:lastModifiedBy>
  <cp:revision>1</cp:revision>
  <dcterms:created xsi:type="dcterms:W3CDTF">2026-09-21T12:37:53.322Z</dcterms:created>
  <dcterms:modified xsi:type="dcterms:W3CDTF">2026-09-21T12:37:53.330Z</dcterms:modified>
</cp:coreProperties>
</file>

<file path=docProps/custom.xml><?xml version="1.0" encoding="utf-8"?>
<Properties xmlns="http://schemas.openxmlformats.org/officeDocument/2006/custom-properties" xmlns:vt="http://schemas.openxmlformats.org/officeDocument/2006/docPropsVTypes"/>
</file>