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A0500" w:rsidRDefault="00E839FC">
      <w:pPr>
        <w:pStyle w:val="Heading1"/>
      </w:pPr>
      <w:r>
        <w:t xml:space="preserve">How is the use of comedy, irony and sarcasm in the </w:t>
      </w:r>
      <w:r>
        <w:rPr>
          <w:i/>
        </w:rPr>
        <w:t>Life of Brian</w:t>
      </w:r>
      <w:r>
        <w:t xml:space="preserve"> used to create a platform on which cultural assumptions of past societies can be debated?</w:t>
      </w:r>
    </w:p>
    <w:p w14:paraId="00000002" w14:textId="77777777" w:rsidR="007A0500" w:rsidRDefault="00E839FC" w:rsidP="00E37A3D">
      <w:pPr>
        <w:spacing w:line="360" w:lineRule="auto"/>
        <w:rPr>
          <w:u w:val="single"/>
        </w:rPr>
      </w:pPr>
      <w:r>
        <w:rPr>
          <w:u w:val="single"/>
        </w:rPr>
        <w:t>Introduction</w:t>
      </w:r>
    </w:p>
    <w:p w14:paraId="00000003" w14:textId="39B5F6EA" w:rsidR="007A0500" w:rsidRDefault="00E839FC" w:rsidP="00E37A3D">
      <w:pPr>
        <w:spacing w:line="360" w:lineRule="auto"/>
      </w:pPr>
      <w:r>
        <w:t xml:space="preserve">Film </w:t>
      </w:r>
      <w:r w:rsidR="00A4276C">
        <w:t>is</w:t>
      </w:r>
      <w:r w:rsidR="00EB71C2">
        <w:t xml:space="preserve"> a unique medium in that </w:t>
      </w:r>
      <w:r w:rsidR="00A4276C">
        <w:t xml:space="preserve">it </w:t>
      </w:r>
      <w:r>
        <w:t>allow</w:t>
      </w:r>
      <w:r w:rsidR="00A4276C">
        <w:t>s</w:t>
      </w:r>
      <w:r>
        <w:t xml:space="preserve"> for diverse </w:t>
      </w:r>
      <w:r w:rsidR="00CA4F6B">
        <w:t xml:space="preserve">perspectives </w:t>
      </w:r>
      <w:r w:rsidR="003B35BB">
        <w:t xml:space="preserve">to be taken </w:t>
      </w:r>
      <w:r w:rsidR="00CA4F6B">
        <w:t>on</w:t>
      </w:r>
      <w:r>
        <w:t xml:space="preserve"> both fictional and non-fictional events, since</w:t>
      </w:r>
      <w:r w:rsidR="00EB71C2">
        <w:t>,</w:t>
      </w:r>
      <w:r>
        <w:t xml:space="preserve"> unlike a book</w:t>
      </w:r>
      <w:r w:rsidR="00EB71C2">
        <w:t>,</w:t>
      </w:r>
      <w:r>
        <w:t xml:space="preserve"> the ideas and themes being conveyed are clearly visualised for the audience. As well as this, films allow for a far greater understanding of tone in terms of the nature of themes presented. This is one of the reasons that </w:t>
      </w:r>
      <w:r w:rsidRPr="00EB71C2">
        <w:rPr>
          <w:i/>
        </w:rPr>
        <w:t>Life of Brian</w:t>
      </w:r>
      <w:r w:rsidR="004F2B5A">
        <w:t xml:space="preserve"> was and still is</w:t>
      </w:r>
      <w:r>
        <w:t xml:space="preserve"> as successful as it is, since it makes light of difficult subjects through the medium of comedy and allows for the creators of the film to discuss</w:t>
      </w:r>
      <w:r w:rsidR="00A4276C">
        <w:t>,</w:t>
      </w:r>
      <w:r>
        <w:t xml:space="preserve"> and effectively mock</w:t>
      </w:r>
      <w:r w:rsidR="00A4276C">
        <w:t>,</w:t>
      </w:r>
      <w:r>
        <w:t xml:space="preserve"> themes such as religion and slavery.</w:t>
      </w:r>
      <w:r w:rsidR="00EB71C2">
        <w:t xml:space="preserve"> The </w:t>
      </w:r>
      <w:r w:rsidR="00EB71C2" w:rsidRPr="00EB71C2">
        <w:rPr>
          <w:i/>
        </w:rPr>
        <w:t>Life of Brian</w:t>
      </w:r>
      <w:r w:rsidRPr="00EB71C2">
        <w:t xml:space="preserve"> </w:t>
      </w:r>
      <w:r w:rsidR="00EB71C2">
        <w:t>also turns</w:t>
      </w:r>
      <w:r>
        <w:t xml:space="preserve"> preconceived notions of what an audience expects when viewing a film set in biblical times</w:t>
      </w:r>
      <w:r w:rsidR="004F2B5A">
        <w:t xml:space="preserve"> (with films such as </w:t>
      </w:r>
      <w:r w:rsidR="004F2B5A">
        <w:rPr>
          <w:i/>
        </w:rPr>
        <w:t xml:space="preserve">Jesus of Nazareth </w:t>
      </w:r>
      <w:r w:rsidR="004F2B5A" w:rsidRPr="004F2B5A">
        <w:t>being the standard</w:t>
      </w:r>
      <w:r w:rsidR="004F2B5A">
        <w:t xml:space="preserve"> portrayal)</w:t>
      </w:r>
      <w:r>
        <w:t xml:space="preserve"> and deliberately twists and manipulates them for comedic effect, ultimately being extremely successful in this regard, as the </w:t>
      </w:r>
      <w:r>
        <w:rPr>
          <w:i/>
        </w:rPr>
        <w:t xml:space="preserve">Life of Brian </w:t>
      </w:r>
      <w:r>
        <w:t>was a huge cultural and financial success, with reviewers praising it as one of the greatest comedy films of all time</w:t>
      </w:r>
      <w:r w:rsidR="00C93A04">
        <w:t xml:space="preserve"> and an amazing achievement</w:t>
      </w:r>
      <w:r w:rsidRPr="003B0BFE">
        <w:t>.</w:t>
      </w:r>
      <w:r w:rsidRPr="003B0BFE">
        <w:rPr>
          <w:vertAlign w:val="superscript"/>
        </w:rPr>
        <w:footnoteReference w:id="1"/>
      </w:r>
      <w:r>
        <w:t xml:space="preserve"> Its use of sarcasm and mockery of ancient Rome and Judea allowed for dark themes such as crucifixion, religious persecution and slavery from that period to be debated, whil</w:t>
      </w:r>
      <w:r w:rsidR="000342D0">
        <w:t>st putting a light-hearted interpretation on said themes</w:t>
      </w:r>
      <w:r>
        <w:t>. This, therefore, offers the viewer the ability to become aware of such dark events taking place, whilst satirising and mocking the brutality of Imperial Rome. Therefore, this paper will argue that because of these themes</w:t>
      </w:r>
      <w:r w:rsidR="00A4276C">
        <w:t>,</w:t>
      </w:r>
      <w:r>
        <w:t xml:space="preserve"> the </w:t>
      </w:r>
      <w:r>
        <w:rPr>
          <w:i/>
        </w:rPr>
        <w:t>Life of Brian</w:t>
      </w:r>
      <w:r>
        <w:t xml:space="preserve"> is a great platform on which to debate cultural assumptions pertaining to s</w:t>
      </w:r>
      <w:r w:rsidR="00EB71C2">
        <w:t>ex, gender, religion and death. This will be done by thoroughly analysing the themes portrayed in various scenes of the Life of Brian and by evaluating the ideas that the film portrays through the use of comedy.</w:t>
      </w:r>
    </w:p>
    <w:p w14:paraId="00000004" w14:textId="260B1E99" w:rsidR="007A0500" w:rsidRDefault="00E839FC" w:rsidP="00E37A3D">
      <w:pPr>
        <w:spacing w:line="360" w:lineRule="auto"/>
        <w:rPr>
          <w:u w:val="single"/>
        </w:rPr>
      </w:pPr>
      <w:r>
        <w:rPr>
          <w:u w:val="single"/>
        </w:rPr>
        <w:t>The Jester or Fool</w:t>
      </w:r>
      <w:r w:rsidR="00D175FC">
        <w:rPr>
          <w:u w:val="single"/>
        </w:rPr>
        <w:t xml:space="preserve"> caricature</w:t>
      </w:r>
    </w:p>
    <w:p w14:paraId="00000005" w14:textId="7D28DA68" w:rsidR="007A0500" w:rsidRPr="00FD4782" w:rsidRDefault="00E839FC" w:rsidP="00E37A3D">
      <w:pPr>
        <w:spacing w:line="360" w:lineRule="auto"/>
      </w:pPr>
      <w:r>
        <w:t xml:space="preserve">The </w:t>
      </w:r>
      <w:r>
        <w:rPr>
          <w:i/>
        </w:rPr>
        <w:t>Life of Brian</w:t>
      </w:r>
      <w:r>
        <w:t xml:space="preserve"> uses comedy in order </w:t>
      </w:r>
      <w:r w:rsidR="00CA4F6B">
        <w:t>to convey</w:t>
      </w:r>
      <w:r>
        <w:t xml:space="preserve"> ideas and themes that would </w:t>
      </w:r>
      <w:r w:rsidR="00CE0929">
        <w:t xml:space="preserve">otherwise </w:t>
      </w:r>
      <w:r>
        <w:t xml:space="preserve">be deemed extremely inappropriate had they not been in the context of a comedy. One of the themes that </w:t>
      </w:r>
      <w:r>
        <w:rPr>
          <w:i/>
        </w:rPr>
        <w:t>Life of Brian</w:t>
      </w:r>
      <w:r>
        <w:t xml:space="preserve"> conveys extremely well is the literary caricature of the Crown Jester</w:t>
      </w:r>
      <w:r w:rsidRPr="003B0BFE">
        <w:t>.</w:t>
      </w:r>
      <w:r w:rsidRPr="003B0BFE">
        <w:rPr>
          <w:vertAlign w:val="superscript"/>
        </w:rPr>
        <w:footnoteReference w:id="2"/>
      </w:r>
      <w:r>
        <w:t xml:space="preserve"> This was made most prevalent in Shakespearean times, where in his plays Shakespeare would manipulate royal court status and mock it heavily, even managing to make a few jokes out of the then Queen Elizabeth I</w:t>
      </w:r>
      <w:r w:rsidRPr="003B0BFE">
        <w:t>.</w:t>
      </w:r>
      <w:r w:rsidRPr="003B0BFE">
        <w:rPr>
          <w:vertAlign w:val="superscript"/>
        </w:rPr>
        <w:footnoteReference w:id="3"/>
      </w:r>
      <w:r>
        <w:t xml:space="preserve"> The reason why Shakespeare was able to convey such themes and ideas through this character was that he essentially</w:t>
      </w:r>
      <w:r w:rsidR="00BD2B95">
        <w:t xml:space="preserve"> created the caricature of the</w:t>
      </w:r>
      <w:r>
        <w:t xml:space="preserve"> Jester or Fool</w:t>
      </w:r>
      <w:r w:rsidR="00BD2B95">
        <w:t xml:space="preserve"> character in the court which</w:t>
      </w:r>
      <w:r>
        <w:t xml:space="preserve"> had no power or </w:t>
      </w:r>
      <w:r w:rsidR="00BD2B95">
        <w:t>status within it and was</w:t>
      </w:r>
      <w:r>
        <w:t xml:space="preserve"> outwardly mocking the court, but not inwardly threatening anyone’s political position in the court</w:t>
      </w:r>
      <w:r w:rsidRPr="003B0BFE">
        <w:t>.</w:t>
      </w:r>
      <w:r w:rsidRPr="003B0BFE">
        <w:rPr>
          <w:vertAlign w:val="superscript"/>
        </w:rPr>
        <w:footnoteReference w:id="4"/>
      </w:r>
      <w:r>
        <w:t xml:space="preserve"> One such example of a Shakespearean play that uses this literary caricature to great effect is </w:t>
      </w:r>
      <w:r>
        <w:rPr>
          <w:i/>
        </w:rPr>
        <w:t>As You Like It</w:t>
      </w:r>
      <w:r w:rsidR="005D4C50">
        <w:rPr>
          <w:i/>
        </w:rPr>
        <w:t>,</w:t>
      </w:r>
      <w:bookmarkStart w:id="0" w:name="_GoBack"/>
      <w:bookmarkEnd w:id="0"/>
      <w:r>
        <w:rPr>
          <w:i/>
        </w:rPr>
        <w:t xml:space="preserve"> </w:t>
      </w:r>
      <w:r w:rsidR="00AF6CEC" w:rsidRPr="003B0BFE">
        <w:rPr>
          <w:rStyle w:val="FootnoteReference"/>
        </w:rPr>
        <w:footnoteReference w:id="5"/>
      </w:r>
      <w:r>
        <w:t xml:space="preserve"> wherein the whole purpose of the character Touchstone is to make penis jokes and mock courtly standing and status, remarking how useless it is when they are forced outside of the court</w:t>
      </w:r>
      <w:r w:rsidRPr="003B0BFE">
        <w:t>.</w:t>
      </w:r>
      <w:r w:rsidR="00AF6CEC" w:rsidRPr="003B0BFE">
        <w:rPr>
          <w:rStyle w:val="FootnoteReference"/>
        </w:rPr>
        <w:footnoteReference w:id="6"/>
      </w:r>
      <w:r>
        <w:t xml:space="preserve"> </w:t>
      </w:r>
      <w:r>
        <w:rPr>
          <w:i/>
        </w:rPr>
        <w:t>Life of Brian</w:t>
      </w:r>
      <w:r>
        <w:t xml:space="preserve"> notably uses this literary caricature to great effect, for example, the use of their famous moniker ‘flying circus’ implies that they are </w:t>
      </w:r>
      <w:r w:rsidR="003B35BB">
        <w:t xml:space="preserve">contemporary </w:t>
      </w:r>
      <w:r>
        <w:t xml:space="preserve">Jesters </w:t>
      </w:r>
      <w:r w:rsidR="003B35BB">
        <w:t xml:space="preserve">– in this case </w:t>
      </w:r>
      <w:r>
        <w:t>mocking Imperial Rome</w:t>
      </w:r>
      <w:r w:rsidR="003B35BB">
        <w:t>, on its</w:t>
      </w:r>
      <w:r>
        <w:t xml:space="preserve"> obsession with order and rules whilst at the same time not </w:t>
      </w:r>
      <w:r>
        <w:lastRenderedPageBreak/>
        <w:t xml:space="preserve">deliberately insulting the time </w:t>
      </w:r>
      <w:r w:rsidR="00BD2B95">
        <w:t>period.</w:t>
      </w:r>
      <w:r w:rsidR="00BD2B95" w:rsidRPr="00250120">
        <w:rPr>
          <w:color w:val="FFFFFF" w:themeColor="background1"/>
        </w:rPr>
        <w:t xml:space="preserve"> </w:t>
      </w:r>
      <w:r w:rsidR="00BD2B95">
        <w:t>Their</w:t>
      </w:r>
      <w:r w:rsidR="003B35BB">
        <w:t xml:space="preserve"> </w:t>
      </w:r>
      <w:r w:rsidR="00DE567F">
        <w:t xml:space="preserve">use of ‘flying circus’ reflects the fact that the creative team behind </w:t>
      </w:r>
      <w:r w:rsidR="00DE567F">
        <w:rPr>
          <w:i/>
        </w:rPr>
        <w:t xml:space="preserve">Life of Brian </w:t>
      </w:r>
      <w:r w:rsidR="00DE567F">
        <w:t>are themselves knowingly taking on this caricature, in order to parody and cover more themes</w:t>
      </w:r>
      <w:r w:rsidR="003B35BB">
        <w:t xml:space="preserve"> and which </w:t>
      </w:r>
      <w:r w:rsidR="00DE567F">
        <w:t>the audience themselves know</w:t>
      </w:r>
      <w:r w:rsidR="00CE0929">
        <w:t>,</w:t>
      </w:r>
      <w:r w:rsidR="00DE567F">
        <w:t xml:space="preserve"> when watching an</w:t>
      </w:r>
      <w:r w:rsidR="00CE0929">
        <w:t>y</w:t>
      </w:r>
      <w:r w:rsidR="00DE567F">
        <w:t xml:space="preserve"> </w:t>
      </w:r>
      <w:r w:rsidR="00DE567F" w:rsidRPr="006E0942">
        <w:rPr>
          <w:i/>
        </w:rPr>
        <w:t>Monty Python</w:t>
      </w:r>
      <w:r w:rsidR="00DE567F">
        <w:t xml:space="preserve"> media</w:t>
      </w:r>
      <w:r w:rsidR="00CE0929">
        <w:t>,</w:t>
      </w:r>
      <w:r w:rsidR="00DE567F">
        <w:t xml:space="preserve"> is ine</w:t>
      </w:r>
      <w:r w:rsidR="003B35BB">
        <w:t xml:space="preserve">vitably </w:t>
      </w:r>
      <w:r w:rsidR="00DE567F">
        <w:t>a parody and not at all anything serious.</w:t>
      </w:r>
      <w:r w:rsidR="00FD4782">
        <w:t xml:space="preserve"> Even the name </w:t>
      </w:r>
      <w:r w:rsidR="00FD4782">
        <w:rPr>
          <w:i/>
        </w:rPr>
        <w:t>Monty Python</w:t>
      </w:r>
      <w:r w:rsidR="00DE2664">
        <w:rPr>
          <w:i/>
        </w:rPr>
        <w:t xml:space="preserve"> </w:t>
      </w:r>
      <w:r w:rsidR="00DE2664">
        <w:t>is</w:t>
      </w:r>
      <w:r w:rsidR="00FD4782">
        <w:rPr>
          <w:i/>
        </w:rPr>
        <w:t xml:space="preserve"> </w:t>
      </w:r>
      <w:r w:rsidR="00FD4782">
        <w:t>an amalgamation of all the writers behind the shows and films, thus it is clear that they as a whole are adopting a caricature, as ‘Monty Python’ itself is a fictional representation of all the crew’s writin</w:t>
      </w:r>
      <w:r w:rsidR="00854F7F">
        <w:t>g and not of any one specific individual</w:t>
      </w:r>
      <w:r w:rsidR="00FD4782">
        <w:t>.</w:t>
      </w:r>
    </w:p>
    <w:p w14:paraId="00000006" w14:textId="55D1BF06" w:rsidR="007A0500" w:rsidRDefault="00E839FC" w:rsidP="00E37A3D">
      <w:pPr>
        <w:spacing w:line="360" w:lineRule="auto"/>
      </w:pPr>
      <w:r w:rsidRPr="004F2B5A">
        <w:t xml:space="preserve">Furthermore, the fact that </w:t>
      </w:r>
      <w:r w:rsidRPr="004F2B5A">
        <w:rPr>
          <w:i/>
        </w:rPr>
        <w:t>Life of Brian</w:t>
      </w:r>
      <w:r w:rsidRPr="004F2B5A">
        <w:t xml:space="preserve"> uses this literary caricature allows the film’s creators a chance to discuss and reference dark and morbid themes that would otherwise</w:t>
      </w:r>
      <w:r w:rsidR="00D175FC" w:rsidRPr="004F2B5A">
        <w:t xml:space="preserve"> jeopardise the comic nature of the film. </w:t>
      </w:r>
      <w:r w:rsidR="00D175FC">
        <w:t xml:space="preserve">As two years prior to the Life of Brian being released a serious take on the Biblical story in </w:t>
      </w:r>
      <w:r w:rsidR="00D175FC">
        <w:rPr>
          <w:i/>
        </w:rPr>
        <w:t>Jesus of Nazareth</w:t>
      </w:r>
      <w:r w:rsidR="00D175FC">
        <w:t xml:space="preserve"> and hence still would have been fresh in the memory for the audience,</w:t>
      </w:r>
      <w:r w:rsidR="004F2B5A">
        <w:rPr>
          <w:rStyle w:val="FootnoteReference"/>
        </w:rPr>
        <w:footnoteReference w:id="7"/>
      </w:r>
      <w:r w:rsidR="00D175FC">
        <w:t xml:space="preserve"> therefore by taking a lighter tone the creators are able to </w:t>
      </w:r>
      <w:r w:rsidR="004F2B5A">
        <w:t>poke fun at the overly serious nature of some Biblical stories. A</w:t>
      </w:r>
      <w:r>
        <w:t xml:space="preserve"> notable example of this</w:t>
      </w:r>
      <w:r w:rsidR="004F2B5A">
        <w:t xml:space="preserve"> light-hearted tone</w:t>
      </w:r>
      <w:r>
        <w:t xml:space="preserve"> is when Brian is captured by the Romans, threatened with torture and beaten before Pontius Pilate.</w:t>
      </w:r>
      <w:r w:rsidR="00533E1E">
        <w:rPr>
          <w:rStyle w:val="FootnoteReference"/>
        </w:rPr>
        <w:footnoteReference w:id="8"/>
      </w:r>
      <w:r>
        <w:t xml:space="preserve"> Based on that description alone the scene sounds fairly dramatic and dark, but because of the nature of the comedy it is instead one of the most famous and hilarious scenes in the whole film, because not only doe</w:t>
      </w:r>
      <w:r w:rsidR="00DE567F">
        <w:t>s it mock the Roman authorities</w:t>
      </w:r>
      <w:r>
        <w:t xml:space="preserve"> it also ridicules the nature of Roman torture methods, almost implying that because of how light-hearted the scene is, that the torture methods and prison guards were perhaps not quite as effective as potentially thought.</w:t>
      </w:r>
      <w:r w:rsidR="009B495B">
        <w:rPr>
          <w:rStyle w:val="FootnoteReference"/>
        </w:rPr>
        <w:footnoteReference w:id="9"/>
      </w:r>
      <w:r>
        <w:t xml:space="preserve"> </w:t>
      </w:r>
      <w:r w:rsidR="00863E44">
        <w:t>This all links back into the Jester theory since because what is being portrayed is so extreme to the point where had they not adopted the caricature of a the Jester it most likely would not have been as successful, thus the literary caricature of the Jester allows them to make light of the various scenarios and thus create useful tools of discussion and ultimately be more successful as comedy/parody film.</w:t>
      </w:r>
    </w:p>
    <w:p w14:paraId="6E2E77C4" w14:textId="4147849C" w:rsidR="009B495B" w:rsidRPr="009B495B" w:rsidRDefault="009B495B" w:rsidP="00E37A3D">
      <w:pPr>
        <w:spacing w:line="360" w:lineRule="auto"/>
        <w:rPr>
          <w:u w:val="single"/>
        </w:rPr>
      </w:pPr>
      <w:r>
        <w:rPr>
          <w:u w:val="single"/>
        </w:rPr>
        <w:t>The Falstaffian caricature</w:t>
      </w:r>
    </w:p>
    <w:p w14:paraId="78318D00" w14:textId="7F29D5EA" w:rsidR="001E17CB" w:rsidRDefault="001E17CB" w:rsidP="00E37A3D">
      <w:pPr>
        <w:spacing w:line="360" w:lineRule="auto"/>
      </w:pPr>
      <w:r>
        <w:t>Scholars such as Larsen are also keen to observe the comparison between other aspects of Shakespearean caricature</w:t>
      </w:r>
      <w:r w:rsidR="00FD4782">
        <w:t>s</w:t>
      </w:r>
      <w:r>
        <w:t xml:space="preserve">, for example in </w:t>
      </w:r>
      <w:r w:rsidRPr="001F374A">
        <w:rPr>
          <w:i/>
        </w:rPr>
        <w:t>Monty Python and the Holy Grail</w:t>
      </w:r>
      <w:r w:rsidR="00FD4782">
        <w:rPr>
          <w:rStyle w:val="FootnoteReference"/>
          <w:i/>
        </w:rPr>
        <w:footnoteReference w:id="10"/>
      </w:r>
      <w:r>
        <w:t xml:space="preserve"> Arthurs knights perfectly fill the role of the comedic relief type in Falstaff, a repeating character in multiple Shakespearean plays,</w:t>
      </w:r>
      <w:r w:rsidR="006A0CA0">
        <w:rPr>
          <w:rStyle w:val="FootnoteReference"/>
        </w:rPr>
        <w:footnoteReference w:id="11"/>
      </w:r>
      <w:r>
        <w:t xml:space="preserve"> whom like the knights </w:t>
      </w:r>
      <w:r w:rsidRPr="001F374A">
        <w:rPr>
          <w:i/>
        </w:rPr>
        <w:t>Monty Python</w:t>
      </w:r>
      <w:r>
        <w:t xml:space="preserve"> is portrayed as inept</w:t>
      </w:r>
      <w:r w:rsidR="00854F7F">
        <w:t>,</w:t>
      </w:r>
      <w:r>
        <w:t xml:space="preserve"> cowardly and vain, with each knight representing a different aspect of this character.</w:t>
      </w:r>
      <w:r>
        <w:rPr>
          <w:vertAlign w:val="superscript"/>
        </w:rPr>
        <w:footnoteReference w:id="12"/>
      </w:r>
      <w:r>
        <w:t xml:space="preserve"> Larsen extenuates that the characters that Brian interacts with</w:t>
      </w:r>
      <w:r w:rsidR="006A0CA0">
        <w:t xml:space="preserve"> in </w:t>
      </w:r>
      <w:r w:rsidR="006A0CA0">
        <w:rPr>
          <w:i/>
        </w:rPr>
        <w:t>Life of Brian</w:t>
      </w:r>
      <w:r w:rsidR="006A0CA0">
        <w:rPr>
          <w:rStyle w:val="FootnoteReference"/>
          <w:i/>
        </w:rPr>
        <w:footnoteReference w:id="13"/>
      </w:r>
      <w:r>
        <w:t xml:space="preserve"> are all perfect imitations of the Falstaffian caricature,</w:t>
      </w:r>
      <w:r w:rsidR="009B495B">
        <w:rPr>
          <w:rStyle w:val="FootnoteReference"/>
        </w:rPr>
        <w:footnoteReference w:id="14"/>
      </w:r>
      <w:r>
        <w:t xml:space="preserve"> as many of them are very much intended to be laughed at and are greatly exaggerated depictions of certain character traits, such as cowardice, vanity and boastfulness. Interestingly, it is arguable that every single character except for Brian is an example of this caricature, each displaying different aspects of it. For example, self-righteousness is represented by the leaders of the People’s front of Judea whom despite his group listing all of the positive aspects of life under the Roman Empire they still believe their cause of independence to be right.</w:t>
      </w:r>
      <w:r w:rsidR="006A0CA0">
        <w:rPr>
          <w:rStyle w:val="FootnoteReference"/>
        </w:rPr>
        <w:footnoteReference w:id="15"/>
      </w:r>
      <w:r>
        <w:t xml:space="preserve"> Boastfulness is represented by the actions and characterisation of Brian’s Mother and her lying to Brian despite the truth being hilariously apparent to the audience. This all gives evidence to the notion that Life of Brian employs the use of the Falstaffian caricature for the purposes of comedic effect. Because much in the same way that in Shakespeare Falstaff is intentionally inept, vain and cowardly in order to serve as comic relief, the creators of </w:t>
      </w:r>
      <w:r w:rsidRPr="001F374A">
        <w:rPr>
          <w:i/>
        </w:rPr>
        <w:t>Monty Python</w:t>
      </w:r>
      <w:r>
        <w:t xml:space="preserve"> have therefore used this characterisation to an extreme degree, whereby only Brian and Judith do not fit into this caricature. </w:t>
      </w:r>
    </w:p>
    <w:p w14:paraId="1FFB3A54" w14:textId="7B03104C" w:rsidR="001E17CB" w:rsidRDefault="001E17CB" w:rsidP="00E37A3D">
      <w:pPr>
        <w:spacing w:line="360" w:lineRule="auto"/>
      </w:pPr>
      <w:r>
        <w:t>This com</w:t>
      </w:r>
      <w:r w:rsidR="00DB4104">
        <w:t>ic</w:t>
      </w:r>
      <w:r>
        <w:t xml:space="preserve"> device has the effect of giving each of the characters a unique personality which is highlighted into the extreme for comedic value, since this character theme goes completely against what the audience would expect and also has the effect of making the character’s actions not </w:t>
      </w:r>
      <w:r>
        <w:lastRenderedPageBreak/>
        <w:t xml:space="preserve">unpredictable, therefore the extreme comedy does not come off as stilted or forced. Thus because of </w:t>
      </w:r>
      <w:r w:rsidRPr="001F374A">
        <w:rPr>
          <w:i/>
        </w:rPr>
        <w:t>Life of Brian’s</w:t>
      </w:r>
      <w:r>
        <w:t xml:space="preserve"> use of the Falstaffian caricature, there is an argument that this hinders the film’s ability to be used as a medium to discuss cultural assumptions of past society, since every character behaves rather unrealistically and in an over-the-top manner. However, it is also clear that the Life of Brian takes these characterisations from real-life examples, such as Pontius Pilate,</w:t>
      </w:r>
      <w:r>
        <w:rPr>
          <w:rStyle w:val="FootnoteReference"/>
        </w:rPr>
        <w:footnoteReference w:id="16"/>
      </w:r>
      <w:r>
        <w:t xml:space="preserve"> and merely moulds certain aspects of these characters into the Falstaffian caricature for comedic effect. Thus Life of Brian’s use of the Falstaffian caricature for the vast majority of the characters in the film does not really hinder its ability to be used as a source for debate on the nature of past societies.</w:t>
      </w:r>
    </w:p>
    <w:p w14:paraId="5F70747B" w14:textId="77777777" w:rsidR="001E17CB" w:rsidRDefault="001E17CB" w:rsidP="00E37A3D">
      <w:pPr>
        <w:spacing w:line="360" w:lineRule="auto"/>
      </w:pPr>
    </w:p>
    <w:p w14:paraId="347973C3" w14:textId="268A634F" w:rsidR="007F5851" w:rsidRDefault="007F5851" w:rsidP="00E37A3D">
      <w:pPr>
        <w:spacing w:line="360" w:lineRule="auto"/>
      </w:pPr>
    </w:p>
    <w:p w14:paraId="00000007" w14:textId="77777777" w:rsidR="007A0500" w:rsidRDefault="00E839FC" w:rsidP="00E37A3D">
      <w:pPr>
        <w:spacing w:line="360" w:lineRule="auto"/>
        <w:rPr>
          <w:u w:val="single"/>
        </w:rPr>
      </w:pPr>
      <w:r>
        <w:rPr>
          <w:u w:val="single"/>
        </w:rPr>
        <w:t>Gender</w:t>
      </w:r>
    </w:p>
    <w:p w14:paraId="00000008" w14:textId="0C135AE7" w:rsidR="007A0500" w:rsidRDefault="00E839FC" w:rsidP="00E37A3D">
      <w:pPr>
        <w:spacing w:line="360" w:lineRule="auto"/>
      </w:pPr>
      <w:r>
        <w:rPr>
          <w:i/>
        </w:rPr>
        <w:t>Life of Brian</w:t>
      </w:r>
      <w:r>
        <w:t xml:space="preserve"> and the </w:t>
      </w:r>
      <w:r>
        <w:rPr>
          <w:i/>
        </w:rPr>
        <w:t>Monty Python</w:t>
      </w:r>
      <w:r w:rsidR="005B5845">
        <w:rPr>
          <w:rStyle w:val="FootnoteReference"/>
          <w:i/>
        </w:rPr>
        <w:footnoteReference w:id="17"/>
      </w:r>
      <w:r>
        <w:t xml:space="preserve"> series as a whole are known for taking preconceived notions of how gender should be represented in film and deliberately manipulating them in order to take the audience by surprise. Thus, by going against the normal portrayals of women in antiquity, those of set gender roles, such as in </w:t>
      </w:r>
      <w:r w:rsidRPr="006E0942">
        <w:rPr>
          <w:i/>
        </w:rPr>
        <w:t>Cleopatra</w:t>
      </w:r>
      <w:r>
        <w:rPr>
          <w:vertAlign w:val="superscript"/>
        </w:rPr>
        <w:footnoteReference w:id="18"/>
      </w:r>
      <w:r>
        <w:t xml:space="preserve"> and </w:t>
      </w:r>
      <w:r w:rsidRPr="006E0942">
        <w:rPr>
          <w:i/>
        </w:rPr>
        <w:t>Ben-Hur</w:t>
      </w:r>
      <w:r>
        <w:t>,</w:t>
      </w:r>
      <w:r>
        <w:rPr>
          <w:vertAlign w:val="superscript"/>
        </w:rPr>
        <w:footnoteReference w:id="19"/>
      </w:r>
      <w:r>
        <w:t xml:space="preserve"> are made more comical</w:t>
      </w:r>
      <w:r w:rsidR="00854F7F">
        <w:t>.</w:t>
      </w:r>
      <w:r w:rsidR="00D87BAA" w:rsidRPr="00854F7F">
        <w:rPr>
          <w:rStyle w:val="FootnoteReference"/>
        </w:rPr>
        <w:footnoteReference w:id="20"/>
      </w:r>
      <w:r>
        <w:t xml:space="preserve"> Because of this it is possible for these screen productions to be used as a source of debate as to how gender roles were interpreted in the Imperial Roman era, because as gender roles are manipulated and flipped they nevertheless provide unique examples of gender in the time period. For example, when there is a scene with a ‘beard’ seller in </w:t>
      </w:r>
      <w:r>
        <w:rPr>
          <w:i/>
        </w:rPr>
        <w:t>Life of Brian,</w:t>
      </w:r>
      <w:r>
        <w:t xml:space="preserve"> prior to the stoning, this represents the idea that women could not go to such events, yet suggests that they may have potentially have just gone anyway, in this case using the </w:t>
      </w:r>
      <w:r w:rsidR="00CE0929">
        <w:t>disguise</w:t>
      </w:r>
      <w:r>
        <w:t xml:space="preserve"> of wearing beards.</w:t>
      </w:r>
    </w:p>
    <w:p w14:paraId="00000009" w14:textId="0B22B402" w:rsidR="007A0500" w:rsidRDefault="00E839FC" w:rsidP="00E37A3D">
      <w:pPr>
        <w:spacing w:line="360" w:lineRule="auto"/>
      </w:pPr>
      <w:r>
        <w:t xml:space="preserve">Monty Python’s </w:t>
      </w:r>
      <w:r>
        <w:rPr>
          <w:i/>
        </w:rPr>
        <w:t>Life of Brian</w:t>
      </w:r>
      <w:r>
        <w:t xml:space="preserve"> presents gender in an utterly unique way and this is perhaps one of the reasons it </w:t>
      </w:r>
      <w:r w:rsidR="00CE0929">
        <w:t xml:space="preserve">remains </w:t>
      </w:r>
      <w:r>
        <w:t xml:space="preserve"> popular with contemporary audiences, and why the film has ‘aged well’</w:t>
      </w:r>
      <w:r w:rsidR="00CE0929">
        <w:t>,</w:t>
      </w:r>
      <w:r>
        <w:t xml:space="preserve"> in that it still attracts audiences today and has a cult following</w:t>
      </w:r>
      <w:r w:rsidRPr="003B0BFE">
        <w:t>.</w:t>
      </w:r>
      <w:r w:rsidRPr="003B0BFE">
        <w:rPr>
          <w:vertAlign w:val="superscript"/>
        </w:rPr>
        <w:footnoteReference w:id="21"/>
      </w:r>
      <w:r>
        <w:t xml:space="preserve"> One could argue that what the film essentially does is manipulate values and conservative depictions of gender and flips them on their head for comedic effect</w:t>
      </w:r>
      <w:r w:rsidR="003B0BFE">
        <w:t xml:space="preserve">. </w:t>
      </w:r>
      <w:r w:rsidR="005B5845" w:rsidRPr="003B0BFE">
        <w:rPr>
          <w:rStyle w:val="FootnoteReference"/>
        </w:rPr>
        <w:footnoteReference w:id="22"/>
      </w:r>
      <w:r>
        <w:t xml:space="preserve"> For example, in one famous scene, th</w:t>
      </w:r>
      <w:r w:rsidR="00245980">
        <w:t>e</w:t>
      </w:r>
      <w:r>
        <w:t xml:space="preserve"> People’s Front</w:t>
      </w:r>
      <w:r w:rsidR="00245980">
        <w:t xml:space="preserve"> of Judea</w:t>
      </w:r>
      <w:r>
        <w:t xml:space="preserve"> member, Stan, is suddenly overcome by the desire to become a woman, seemingly from nowhere, as the other characters then proceed to haplessly argue about the realities of such a sentiment.</w:t>
      </w:r>
      <w:r w:rsidR="003664D6">
        <w:rPr>
          <w:rStyle w:val="FootnoteReference"/>
        </w:rPr>
        <w:footnoteReference w:id="23"/>
      </w:r>
      <w:r>
        <w:t xml:space="preserve"> By humouring the topic of gender they are able to convey themes without the adage of offending any particular group. Even some radical feminists are not offended by this scene in so far as it is about transgenderism,</w:t>
      </w:r>
      <w:r>
        <w:rPr>
          <w:vertAlign w:val="superscript"/>
        </w:rPr>
        <w:footnoteReference w:id="24"/>
      </w:r>
      <w:r>
        <w:t xml:space="preserve"> although there are some more conservative</w:t>
      </w:r>
      <w:r w:rsidR="00F37C82">
        <w:t>, particularly third-wave,</w:t>
      </w:r>
      <w:r>
        <w:t xml:space="preserve"> feminists </w:t>
      </w:r>
      <w:r w:rsidR="00D87BAA">
        <w:t>in the modern era whom are troubled by the film in general as in their view the film is male-centric</w:t>
      </w:r>
      <w:r w:rsidRPr="00F37C82">
        <w:t>.</w:t>
      </w:r>
      <w:r w:rsidR="00D87BAA" w:rsidRPr="00F37C82">
        <w:rPr>
          <w:rStyle w:val="FootnoteReference"/>
        </w:rPr>
        <w:footnoteReference w:id="25"/>
      </w:r>
    </w:p>
    <w:p w14:paraId="67E47A4D" w14:textId="4356B335" w:rsidR="00D175FC" w:rsidRDefault="00D175FC" w:rsidP="00E37A3D">
      <w:pPr>
        <w:spacing w:line="360" w:lineRule="auto"/>
      </w:pPr>
      <w:r>
        <w:t xml:space="preserve">Another character of discussion is Brian’s mother, as she is depicted as greedy and manipulative; for example her proclamation of loyalty to the Jewish cause, after accusing Brian’s Roman father of raping her, then immediately having oral sex with a Roman officer. This is a very clear use of irony in this scene as it is clear that she has double standards, which thus raises the question of how </w:t>
      </w:r>
      <w:r>
        <w:rPr>
          <w:i/>
        </w:rPr>
        <w:t xml:space="preserve">Life of </w:t>
      </w:r>
      <w:r>
        <w:rPr>
          <w:i/>
        </w:rPr>
        <w:lastRenderedPageBreak/>
        <w:t>Brian</w:t>
      </w:r>
      <w:r>
        <w:t xml:space="preserve">’s ironic portrayal of female characters is based on their actual role in Imperial Roman society. Baumann notes that after Octavian’s rise to power in Rome, when he declared himself Augustus Caesar, it had a profound effect on every aspect of life in the Roman Empire and to an extent this is represented in the </w:t>
      </w:r>
      <w:r>
        <w:rPr>
          <w:i/>
        </w:rPr>
        <w:t>Life of Brian</w:t>
      </w:r>
      <w:r>
        <w:t>;</w:t>
      </w:r>
      <w:r>
        <w:rPr>
          <w:vertAlign w:val="superscript"/>
        </w:rPr>
        <w:footnoteReference w:id="26"/>
      </w:r>
      <w:r>
        <w:t xml:space="preserve"> with Pontius Pilate’s wife (who strangely is unnamed and does not appear in the actual film) being the centrepiece of the People’s Front of Judea’s plan to force the Romans to grant them their independence. Therefore, this is an example that is depicted in the film that greatly illustrates Baumann’s point; that women were of great political importance in the Augustan period. The way Brian’s mother is portrayed is an oxymoron to the way Roman women were supposed to act in the time period, this is reflected by historian McGinn whom states that in the time period ‘the man protects the family’s honour; the woman conserves his sexual purity’.</w:t>
      </w:r>
      <w:r>
        <w:rPr>
          <w:vertAlign w:val="superscript"/>
        </w:rPr>
        <w:footnoteReference w:id="27"/>
      </w:r>
      <w:r>
        <w:t xml:space="preserve"> This notion of the woman preserving her sexual ‘purity’ is also referenced in Tacitus’ </w:t>
      </w:r>
      <w:r>
        <w:rPr>
          <w:i/>
        </w:rPr>
        <w:t>Annals</w:t>
      </w:r>
      <w:r>
        <w:t xml:space="preserve"> where purity and chastity until marriage were a key aspect for Roman officials whom were to marry.</w:t>
      </w:r>
      <w:r>
        <w:rPr>
          <w:vertAlign w:val="superscript"/>
        </w:rPr>
        <w:footnoteReference w:id="28"/>
      </w:r>
      <w:r>
        <w:t xml:space="preserve"> Therefore it is apparent that the </w:t>
      </w:r>
      <w:r w:rsidRPr="001F374A">
        <w:rPr>
          <w:i/>
        </w:rPr>
        <w:t>Life of Brian</w:t>
      </w:r>
      <w:r>
        <w:t xml:space="preserve"> is knowingly using irony as a method to effectively show the role of Women in Imperial Rome, by portraying the exact opposite to what would actually have been expected of Women in the time. This has the effect of making the audience subconsciously aware of what the role of Women was and what was expected of them by showing exactly what the opposite is, since as it is obvious that the </w:t>
      </w:r>
      <w:r w:rsidRPr="004935D3">
        <w:rPr>
          <w:i/>
        </w:rPr>
        <w:t>Life of Brian</w:t>
      </w:r>
      <w:r>
        <w:t xml:space="preserve"> is a parody the audience naturally finds the character of Brian’s mother hilarious, as they should be in no doubt that this is completely against the expected values for Women in Imperial Rome. Thus, by subconsciously making the audience aware of gender values in Imperial Rome</w:t>
      </w:r>
      <w:r w:rsidR="00386060">
        <w:t xml:space="preserve"> by showing the exact opposite</w:t>
      </w:r>
      <w:r>
        <w:t xml:space="preserve">, the ironic use of the character of Brian’s mother is indicative of the fact that </w:t>
      </w:r>
      <w:r w:rsidRPr="001F374A">
        <w:rPr>
          <w:i/>
        </w:rPr>
        <w:t>Life of Brian</w:t>
      </w:r>
      <w:r>
        <w:t xml:space="preserve"> is a great source of debate on past societies</w:t>
      </w:r>
      <w:r w:rsidR="00386060">
        <w:t>.</w:t>
      </w:r>
    </w:p>
    <w:p w14:paraId="4334D475" w14:textId="7BEC3BC9" w:rsidR="00D175FC" w:rsidRDefault="00D175FC" w:rsidP="00E37A3D">
      <w:pPr>
        <w:spacing w:line="360" w:lineRule="auto"/>
      </w:pPr>
      <w:r>
        <w:t xml:space="preserve">Another key example of the </w:t>
      </w:r>
      <w:r w:rsidRPr="001F374A">
        <w:rPr>
          <w:i/>
        </w:rPr>
        <w:t>Life of Brian’s</w:t>
      </w:r>
      <w:r>
        <w:t xml:space="preserve"> use of irony and sarcasm is the character of Judith Iscariot, a clear reference to Judas Iscariot. Yet in the film Judith is shown to be the only other competent member of the People’s Front of Judea, actively trying to secure the release of Brian as well as openly campaigning to further their cause by trying to convince the other members to act to save Brian as he is about to be crucified. This is an interesting portrayal of the character, as the real-life namesake in Judas Iscariot is of course the traitor of the disciples, however, in the </w:t>
      </w:r>
      <w:r w:rsidRPr="00302490">
        <w:rPr>
          <w:i/>
        </w:rPr>
        <w:t>Life of Brian</w:t>
      </w:r>
      <w:r>
        <w:t xml:space="preserve"> ‘Judith’ is the complete opposite and is probably the only one who believes in and is loyal to Brian throughout.</w:t>
      </w:r>
      <w:r>
        <w:rPr>
          <w:rStyle w:val="FootnoteReference"/>
        </w:rPr>
        <w:footnoteReference w:id="29"/>
      </w:r>
      <w:r>
        <w:t xml:space="preserve"> There are a number of reasons why Judith is used in this regard, firstly the character is a clear use of irony in that her name is a reference to Judas which could perhaps be a mockery of the disciples of the Bible. Secondly, one of the reasons Judith is portrayed in this way is the fact that the creators of </w:t>
      </w:r>
      <w:r w:rsidRPr="00CA4F6B">
        <w:rPr>
          <w:i/>
        </w:rPr>
        <w:t>Life of Brian</w:t>
      </w:r>
      <w:r>
        <w:t xml:space="preserve"> are deliberately manipulating gender assumptions in the 1970s and are placing the woman in the role of the hero, which goes against the way that female characters were shown in movies at the time as they were often seen to be the damsel in distress or using their sexual appearance to manipulate and control, such as 1963s Cleopatra.</w:t>
      </w:r>
      <w:r>
        <w:rPr>
          <w:rStyle w:val="FootnoteReference"/>
        </w:rPr>
        <w:footnoteReference w:id="30"/>
      </w:r>
      <w:r>
        <w:t xml:space="preserve"> This could therefore be one of the reasons why feminists, such as Taylor, remark that Judith provides the counter to the more puerile aspects of Pythonic sexual humour.</w:t>
      </w:r>
      <w:r>
        <w:rPr>
          <w:vertAlign w:val="superscript"/>
        </w:rPr>
        <w:footnoteReference w:id="31"/>
      </w:r>
      <w:r>
        <w:t xml:space="preserve"> Taylor also goes on to expand on the role of Judith’s character in the biblical plot, comparing Judith to modern day interpretations of Christianity as a whole, in that it was women who helped propagate the religious furore surrounding Jesus. This is an interesting thesis, as it is suggesting that the producers of </w:t>
      </w:r>
      <w:r w:rsidRPr="00302490">
        <w:rPr>
          <w:i/>
        </w:rPr>
        <w:t>Monty Python</w:t>
      </w:r>
      <w:r>
        <w:t xml:space="preserve"> were actually a positive force for woman and thusly feminists actually seem to like the film, despite the nature of some of the jokes being overtly sexual in nature. As well as some of the portrayals of women being rather negative, the fact that feminists are so approving of this film</w:t>
      </w:r>
      <w:r>
        <w:rPr>
          <w:rStyle w:val="FootnoteReference"/>
        </w:rPr>
        <w:footnoteReference w:id="32"/>
      </w:r>
      <w:r>
        <w:t xml:space="preserve"> is perhaps indicative of how well </w:t>
      </w:r>
      <w:r w:rsidRPr="00CA4F6B">
        <w:rPr>
          <w:i/>
        </w:rPr>
        <w:t>Life of Brian</w:t>
      </w:r>
      <w:r>
        <w:t xml:space="preserve"> uses irony, sarcasm and comedy to convey themes and ideas that were perhaps ahead of their time. Despite </w:t>
      </w:r>
      <w:r w:rsidRPr="00302490">
        <w:rPr>
          <w:i/>
        </w:rPr>
        <w:t>Life of Brian’s</w:t>
      </w:r>
      <w:r>
        <w:t xml:space="preserve"> mockery of the left,</w:t>
      </w:r>
      <w:r>
        <w:rPr>
          <w:rStyle w:val="FootnoteReference"/>
        </w:rPr>
        <w:footnoteReference w:id="33"/>
      </w:r>
      <w:r>
        <w:t xml:space="preserve"> Judith’s status in the group is actually equal, therefore this can easily lead to a debate on the nature of the role in women and how they are not present in it. Therefore, for </w:t>
      </w:r>
      <w:r w:rsidRPr="00CA4F6B">
        <w:rPr>
          <w:i/>
        </w:rPr>
        <w:t>Life of Brian</w:t>
      </w:r>
      <w:r>
        <w:t xml:space="preserve"> to mock this fact is an argument for it being liberal in its political stance.</w:t>
      </w:r>
      <w:r w:rsidR="00BA2189">
        <w:rPr>
          <w:rStyle w:val="FootnoteReference"/>
        </w:rPr>
        <w:footnoteReference w:id="34"/>
      </w:r>
    </w:p>
    <w:p w14:paraId="2075F27D" w14:textId="77777777" w:rsidR="00D175FC" w:rsidRDefault="00D175FC" w:rsidP="00E37A3D">
      <w:pPr>
        <w:spacing w:line="360" w:lineRule="auto"/>
      </w:pPr>
    </w:p>
    <w:p w14:paraId="0000000A" w14:textId="77777777" w:rsidR="007A0500" w:rsidRDefault="007A0500" w:rsidP="00E37A3D">
      <w:pPr>
        <w:spacing w:line="360" w:lineRule="auto"/>
      </w:pPr>
    </w:p>
    <w:p w14:paraId="0000000B" w14:textId="77777777" w:rsidR="007A0500" w:rsidRDefault="00E839FC" w:rsidP="00E37A3D">
      <w:pPr>
        <w:spacing w:line="360" w:lineRule="auto"/>
        <w:rPr>
          <w:u w:val="single"/>
        </w:rPr>
      </w:pPr>
      <w:r>
        <w:rPr>
          <w:u w:val="single"/>
        </w:rPr>
        <w:t xml:space="preserve">Maleness </w:t>
      </w:r>
    </w:p>
    <w:p w14:paraId="0F8E006F" w14:textId="079E915C" w:rsidR="006469FF" w:rsidRDefault="00E839FC" w:rsidP="00E37A3D">
      <w:pPr>
        <w:spacing w:line="360" w:lineRule="auto"/>
      </w:pPr>
      <w:r>
        <w:t>By the same token that the theme of female gender expectatio</w:t>
      </w:r>
      <w:r w:rsidR="005B5845">
        <w:t>ns are flipped, so are those of the</w:t>
      </w:r>
      <w:r>
        <w:t xml:space="preserve"> male gender. Expectations from other antiquity related films in the period, around the </w:t>
      </w:r>
      <w:r w:rsidRPr="006E0942">
        <w:rPr>
          <w:i/>
        </w:rPr>
        <w:t>Life of Brian’s</w:t>
      </w:r>
      <w:r>
        <w:t xml:space="preserve"> release, depict men as strong and heroic,</w:t>
      </w:r>
      <w:r w:rsidR="00AF6CEC">
        <w:rPr>
          <w:rStyle w:val="FootnoteReference"/>
        </w:rPr>
        <w:footnoteReference w:id="35"/>
      </w:r>
      <w:r>
        <w:t xml:space="preserve"> yet </w:t>
      </w:r>
      <w:r>
        <w:rPr>
          <w:i/>
        </w:rPr>
        <w:t>Life of Brian</w:t>
      </w:r>
      <w:r>
        <w:t xml:space="preserve"> goes against this entirely; the most famous example of this being Pontius Pilate who cannot say the letter ‘R’</w:t>
      </w:r>
      <w:r w:rsidRPr="003B0BFE">
        <w:t>.</w:t>
      </w:r>
      <w:r w:rsidR="00AF6CEC" w:rsidRPr="003B0BFE">
        <w:rPr>
          <w:rStyle w:val="FootnoteReference"/>
        </w:rPr>
        <w:footnoteReference w:id="36"/>
      </w:r>
      <w:r w:rsidRPr="003B0BFE">
        <w:t xml:space="preserve"> This</w:t>
      </w:r>
      <w:r>
        <w:t xml:space="preserve"> has the impression on the audience of comedy and raises sexuality as an issue in the Imperial Roman era, as it is heavily implied</w:t>
      </w:r>
      <w:r w:rsidR="00386060">
        <w:t xml:space="preserve"> that Pontius Pilate is</w:t>
      </w:r>
      <w:r>
        <w:t xml:space="preserve"> homosexual (what with his relation to biggus dickus) and his mannerisms. This is done entirely for comedic value as it parodies the overly serious portrayals of the character that had come in movies prior, such as </w:t>
      </w:r>
      <w:r w:rsidRPr="006E0942">
        <w:rPr>
          <w:i/>
        </w:rPr>
        <w:t>Ben-Hur</w:t>
      </w:r>
      <w:r>
        <w:t>.</w:t>
      </w:r>
      <w:r w:rsidR="002060BE">
        <w:rPr>
          <w:rStyle w:val="FootnoteReference"/>
        </w:rPr>
        <w:footnoteReference w:id="37"/>
      </w:r>
      <w:r>
        <w:t xml:space="preserve"> The portrayal of Pontius Pilate also goes against what any audience familiar with the events in the New Testament would expect o</w:t>
      </w:r>
      <w:r w:rsidR="00386060">
        <w:t>f the character, as in the Bible</w:t>
      </w:r>
      <w:r>
        <w:t xml:space="preserve"> Pontius Pilate coldly condemns Jesus to death but then feels a wave of guilt as he does so.</w:t>
      </w:r>
      <w:r w:rsidR="00386060">
        <w:rPr>
          <w:rStyle w:val="FootnoteReference"/>
        </w:rPr>
        <w:footnoteReference w:id="38"/>
      </w:r>
      <w:r>
        <w:t xml:space="preserve"> Therefore for Pilate to be shown in such a feminine way has the effect of surprise for the audience. But perhaps most interestingly it allows them to perhaps question how the Romans would have actually viewed those in char</w:t>
      </w:r>
      <w:r w:rsidR="00137C4C">
        <w:t>ge of them. For example</w:t>
      </w:r>
      <w:r w:rsidR="006469FF">
        <w:t>,</w:t>
      </w:r>
      <w:r w:rsidR="00137C4C">
        <w:t xml:space="preserve"> when historians refer to </w:t>
      </w:r>
      <w:r w:rsidR="006469FF">
        <w:t>depictions</w:t>
      </w:r>
      <w:r w:rsidR="00137C4C">
        <w:t xml:space="preserve"> of various generals</w:t>
      </w:r>
      <w:r w:rsidR="006469FF">
        <w:t>,</w:t>
      </w:r>
      <w:r w:rsidR="00137C4C">
        <w:t xml:space="preserve"> the only source they have is that of historians such as Tacitus and thus little may be known of how an important figure was actually portrayed in reality, this  allows </w:t>
      </w:r>
      <w:r w:rsidR="00137C4C" w:rsidRPr="006E0942">
        <w:rPr>
          <w:i/>
        </w:rPr>
        <w:t>Monty Python</w:t>
      </w:r>
      <w:r w:rsidR="00137C4C">
        <w:t xml:space="preserve"> to latch on to this uncertainty and thus make unique character portrayals. </w:t>
      </w:r>
    </w:p>
    <w:p w14:paraId="0000000D" w14:textId="28029CE5" w:rsidR="007A0500" w:rsidRDefault="00137C4C" w:rsidP="00E37A3D">
      <w:pPr>
        <w:spacing w:line="360" w:lineRule="auto"/>
      </w:pPr>
      <w:r>
        <w:t xml:space="preserve">Another point on the nature of males in </w:t>
      </w:r>
      <w:r w:rsidRPr="006E0942">
        <w:rPr>
          <w:i/>
        </w:rPr>
        <w:t>Life of Brian</w:t>
      </w:r>
      <w:r>
        <w:t xml:space="preserve"> is that all of them except Brian are shown to be entirely ineffectual and useless</w:t>
      </w:r>
      <w:r w:rsidR="006469FF">
        <w:t>,</w:t>
      </w:r>
      <w:r>
        <w:t xml:space="preserve"> never doing anything </w:t>
      </w:r>
      <w:r w:rsidR="006469FF">
        <w:t xml:space="preserve">which is </w:t>
      </w:r>
      <w:r>
        <w:t>successfully shown by examples of the Roman legionnaires all rushing into the room of the People’s front</w:t>
      </w:r>
      <w:r w:rsidR="00245980">
        <w:t xml:space="preserve"> of Judea</w:t>
      </w:r>
      <w:r>
        <w:t xml:space="preserve"> and not finding anything despite them still being in the room</w:t>
      </w:r>
      <w:r w:rsidR="002060BE">
        <w:t xml:space="preserve"> and then the People’s front</w:t>
      </w:r>
      <w:r w:rsidR="00245980">
        <w:t xml:space="preserve"> of Judea</w:t>
      </w:r>
      <w:r w:rsidR="002060BE">
        <w:t xml:space="preserve"> then refusing to help Brian. There is even a line in the film that goes ‘Stan cannot partake in any terrorist activity for he has a bad back’,</w:t>
      </w:r>
      <w:r w:rsidR="00DF5F92">
        <w:rPr>
          <w:rStyle w:val="FootnoteReference"/>
        </w:rPr>
        <w:footnoteReference w:id="39"/>
      </w:r>
      <w:r w:rsidR="002060BE">
        <w:t xml:space="preserve"> the reasons for all male characters except for Brian being ineffectual is that it </w:t>
      </w:r>
      <w:r w:rsidR="006469FF">
        <w:t>parodies</w:t>
      </w:r>
      <w:r w:rsidR="002060BE">
        <w:t xml:space="preserve"> movies in the time period in which men are shown as stalwart and heroic, therefore to have effeminate characters such as Pilate and to have the others being portrayed as useless (except Brian himself)  has the effect of taking the audience aback</w:t>
      </w:r>
      <w:r w:rsidR="006469FF">
        <w:t>,</w:t>
      </w:r>
      <w:r w:rsidR="002060BE">
        <w:t xml:space="preserve"> as this is not at all what male gender roles would have been at the time and thus this shows that </w:t>
      </w:r>
      <w:r w:rsidR="002060BE" w:rsidRPr="006E0942">
        <w:rPr>
          <w:i/>
        </w:rPr>
        <w:t>Life of Brian</w:t>
      </w:r>
      <w:r w:rsidR="002060BE">
        <w:t xml:space="preserve"> flips gender roles and stereotypes for comic effect</w:t>
      </w:r>
      <w:r w:rsidR="006469FF">
        <w:t>. T</w:t>
      </w:r>
      <w:r w:rsidR="002060BE">
        <w:t>his can therefore cause of debate on the nature of gender roles in films in the 1970s</w:t>
      </w:r>
      <w:r w:rsidR="006469FF">
        <w:t>,</w:t>
      </w:r>
      <w:r w:rsidR="002060BE">
        <w:t xml:space="preserve"> as </w:t>
      </w:r>
      <w:r w:rsidR="002060BE" w:rsidRPr="001F374A">
        <w:rPr>
          <w:i/>
        </w:rPr>
        <w:t>Life of Brian</w:t>
      </w:r>
      <w:r w:rsidR="002060BE">
        <w:t xml:space="preserve"> </w:t>
      </w:r>
      <w:r w:rsidR="006469FF">
        <w:t xml:space="preserve">more than </w:t>
      </w:r>
      <w:r w:rsidR="002060BE">
        <w:t>adequately shows their opposites</w:t>
      </w:r>
      <w:r w:rsidR="00DF5F92">
        <w:t>.</w:t>
      </w:r>
    </w:p>
    <w:p w14:paraId="0000000E" w14:textId="77777777" w:rsidR="007A0500" w:rsidRDefault="007A0500" w:rsidP="00E37A3D">
      <w:pPr>
        <w:spacing w:line="360" w:lineRule="auto"/>
        <w:rPr>
          <w:u w:val="single"/>
        </w:rPr>
      </w:pPr>
    </w:p>
    <w:p w14:paraId="0000000F" w14:textId="2D3F4699" w:rsidR="007A0500" w:rsidRDefault="004F2B5A" w:rsidP="00E37A3D">
      <w:pPr>
        <w:spacing w:line="360" w:lineRule="auto"/>
      </w:pPr>
      <w:r>
        <w:rPr>
          <w:u w:val="single"/>
        </w:rPr>
        <w:t>Depictions of biblical stories</w:t>
      </w:r>
      <w:r w:rsidR="00E839FC">
        <w:rPr>
          <w:u w:val="single"/>
        </w:rPr>
        <w:t xml:space="preserve"> </w:t>
      </w:r>
    </w:p>
    <w:p w14:paraId="00000010" w14:textId="2D303C05" w:rsidR="007A0500" w:rsidRDefault="00E839FC" w:rsidP="00E37A3D">
      <w:pPr>
        <w:spacing w:line="360" w:lineRule="auto"/>
      </w:pPr>
      <w:r>
        <w:t xml:space="preserve">Interestingly, some scholars, state that </w:t>
      </w:r>
      <w:r>
        <w:rPr>
          <w:i/>
        </w:rPr>
        <w:t>Life of Brian</w:t>
      </w:r>
      <w:r>
        <w:t xml:space="preserve"> can be used as a tool for research on religious matters</w:t>
      </w:r>
      <w:r w:rsidRPr="003B0BFE">
        <w:t>.</w:t>
      </w:r>
      <w:r w:rsidR="001E17CB" w:rsidRPr="003B0BFE">
        <w:rPr>
          <w:rStyle w:val="FootnoteReference"/>
        </w:rPr>
        <w:footnoteReference w:id="40"/>
      </w:r>
      <w:r>
        <w:t xml:space="preserve"> Take for example, the observation of scholar Davies, who remarked that ‘I have long been of the conviction that Monty Python’s </w:t>
      </w:r>
      <w:r>
        <w:rPr>
          <w:i/>
        </w:rPr>
        <w:t>Life of Brian</w:t>
      </w:r>
      <w:r>
        <w:t xml:space="preserve"> is an indispensable foundation to any student’s career in New Testament Studies, as it reflects a greater amount of research than any other Hollywood film’.</w:t>
      </w:r>
      <w:r>
        <w:rPr>
          <w:vertAlign w:val="superscript"/>
        </w:rPr>
        <w:footnoteReference w:id="41"/>
      </w:r>
      <w:r>
        <w:t xml:space="preserve"> Examples that scholars’ reference, include the scene where Jesus is talking to a large group in a sermon and his words are slightly misinterpreted by the onlookers</w:t>
      </w:r>
      <w:r w:rsidRPr="003B0BFE">
        <w:t>.</w:t>
      </w:r>
      <w:r w:rsidR="00DF5F92" w:rsidRPr="003B0BFE">
        <w:rPr>
          <w:rStyle w:val="FootnoteReference"/>
        </w:rPr>
        <w:footnoteReference w:id="42"/>
      </w:r>
      <w:r>
        <w:t xml:space="preserve"> Also, there are multiple different translations of the Bible therefore the actual sermons that Jesus gave could well have had variations to their meanings.</w:t>
      </w:r>
      <w:r w:rsidR="00EB71C2">
        <w:rPr>
          <w:rStyle w:val="FootnoteReference"/>
        </w:rPr>
        <w:footnoteReference w:id="43"/>
      </w:r>
      <w:r>
        <w:t xml:space="preserve"> Thus, </w:t>
      </w:r>
      <w:r>
        <w:rPr>
          <w:i/>
        </w:rPr>
        <w:t>Life of Brian</w:t>
      </w:r>
      <w:r>
        <w:t xml:space="preserve"> represents this problem accurately, as although Jesus’ sermons are always similar in tone, in that they are inherently positive, the actual words that got recorded could have easily been different, unless they were being used rhetorically. This reinforces the notion, that </w:t>
      </w:r>
      <w:r>
        <w:rPr>
          <w:i/>
        </w:rPr>
        <w:t>Life of Brian</w:t>
      </w:r>
      <w:r>
        <w:t xml:space="preserve">, can in a way be used as an educational tool for New Testament Studies, as well as the fact that the producers behind the </w:t>
      </w:r>
      <w:r>
        <w:rPr>
          <w:i/>
        </w:rPr>
        <w:t>Life of Brian</w:t>
      </w:r>
      <w:r>
        <w:t xml:space="preserve"> did detailed research into the subject area</w:t>
      </w:r>
      <w:r w:rsidRPr="003B0BFE">
        <w:t>.</w:t>
      </w:r>
      <w:r w:rsidR="00533E1E" w:rsidRPr="003B0BFE">
        <w:rPr>
          <w:rStyle w:val="FootnoteReference"/>
        </w:rPr>
        <w:footnoteReference w:id="44"/>
      </w:r>
      <w:r>
        <w:t xml:space="preserve"> This therefore gives evidence to the thesis that </w:t>
      </w:r>
      <w:r w:rsidRPr="001F374A">
        <w:rPr>
          <w:i/>
        </w:rPr>
        <w:t>Life of Brian</w:t>
      </w:r>
      <w:r>
        <w:t xml:space="preserve"> can be used as an educational tool on the subject of the New Testament. </w:t>
      </w:r>
    </w:p>
    <w:p w14:paraId="00000014" w14:textId="70053C1D" w:rsidR="007A0500" w:rsidRDefault="00E839FC" w:rsidP="00E37A3D">
      <w:pPr>
        <w:spacing w:line="360" w:lineRule="auto"/>
      </w:pPr>
      <w:r>
        <w:t xml:space="preserve">In addition, the </w:t>
      </w:r>
      <w:r>
        <w:rPr>
          <w:i/>
        </w:rPr>
        <w:t>Life of Brian</w:t>
      </w:r>
      <w:r>
        <w:t>’s</w:t>
      </w:r>
      <w:r>
        <w:rPr>
          <w:i/>
        </w:rPr>
        <w:t xml:space="preserve"> </w:t>
      </w:r>
      <w:r>
        <w:t>uses the key theme of being able to mock the dogmatic practices of the Jewish faith, as scholar Benko asserts, ‘the humo</w:t>
      </w:r>
      <w:r w:rsidR="00386060">
        <w:t>u</w:t>
      </w:r>
      <w:r>
        <w:t xml:space="preserve">r in </w:t>
      </w:r>
      <w:r>
        <w:rPr>
          <w:i/>
        </w:rPr>
        <w:t>Life of Brian</w:t>
      </w:r>
      <w:r>
        <w:t xml:space="preserve"> takes its cue from the humo</w:t>
      </w:r>
      <w:r w:rsidR="00386060">
        <w:t>u</w:t>
      </w:r>
      <w:r>
        <w:t>r in the Hebrew Bible: laughter is aimed at those who use their office or authority to get closer to the divine than they deserve or is possible.’</w:t>
      </w:r>
      <w:r>
        <w:rPr>
          <w:vertAlign w:val="superscript"/>
        </w:rPr>
        <w:footnoteReference w:id="45"/>
      </w:r>
      <w:r>
        <w:t xml:space="preserve"> This is a very interesting hypothesis as it is often assumed that the </w:t>
      </w:r>
      <w:r>
        <w:rPr>
          <w:i/>
        </w:rPr>
        <w:t>Life of Brian</w:t>
      </w:r>
      <w:r>
        <w:t>’s mocking of the Jewish religion is aimed at the entire religious faith. Some of the film crew even agreed with his sentiment, with Terry Jones referring to it as ‘a heresy</w:t>
      </w:r>
      <w:r w:rsidR="003B0BFE">
        <w:t>’</w:t>
      </w:r>
      <w:r>
        <w:t>,</w:t>
      </w:r>
      <w:r w:rsidR="00FD4782">
        <w:rPr>
          <w:rStyle w:val="FootnoteReference"/>
        </w:rPr>
        <w:footnoteReference w:id="46"/>
      </w:r>
      <w:r>
        <w:t xml:space="preserve"> yet John Cleese instead says ‘it’s a good joke. We’re not putting down anyone’s religion but the ways of following religion that completely miss the point of what it’s all about’</w:t>
      </w:r>
      <w:r w:rsidRPr="003B0BFE">
        <w:t>.</w:t>
      </w:r>
      <w:r w:rsidRPr="003B0BFE">
        <w:rPr>
          <w:vertAlign w:val="superscript"/>
        </w:rPr>
        <w:footnoteReference w:id="47"/>
      </w:r>
      <w:r>
        <w:t xml:space="preserve"> This seems to support the statement from</w:t>
      </w:r>
      <w:r w:rsidR="00AF6CEC">
        <w:t xml:space="preserve"> both</w:t>
      </w:r>
      <w:r>
        <w:t xml:space="preserve"> Benko</w:t>
      </w:r>
      <w:r w:rsidR="00AF6CEC">
        <w:rPr>
          <w:rStyle w:val="FootnoteReference"/>
        </w:rPr>
        <w:footnoteReference w:id="48"/>
      </w:r>
      <w:r w:rsidR="00AF6CEC">
        <w:t xml:space="preserve"> and Davies</w:t>
      </w:r>
      <w:r>
        <w:t>,</w:t>
      </w:r>
      <w:r w:rsidR="00AF6CEC">
        <w:rPr>
          <w:rStyle w:val="FootnoteReference"/>
        </w:rPr>
        <w:footnoteReference w:id="49"/>
      </w:r>
      <w:r>
        <w:t xml:space="preserve"> that the </w:t>
      </w:r>
      <w:r>
        <w:rPr>
          <w:i/>
        </w:rPr>
        <w:t>Life of Brian</w:t>
      </w:r>
      <w:r>
        <w:t xml:space="preserve"> can be used as an educational tool, when discussing the corruption and dogma in the Jewish hierarchy. Examples that show this idea in the film are the ‘stoning scene’</w:t>
      </w:r>
      <w:r w:rsidRPr="003B0BFE">
        <w:rPr>
          <w:vertAlign w:val="superscript"/>
        </w:rPr>
        <w:footnoteReference w:id="50"/>
      </w:r>
      <w:r>
        <w:t xml:space="preserve"> in which the priest is extremely zealous and extreme over what ‘blasphemy’ is, and secondly the Jews in the tunnels fighting each other rather than the Romans, essentially doing the Romans job of maintaining control for them,</w:t>
      </w:r>
      <w:r w:rsidR="00AF6CEC">
        <w:rPr>
          <w:rStyle w:val="FootnoteReference"/>
        </w:rPr>
        <w:footnoteReference w:id="51"/>
      </w:r>
      <w:r>
        <w:t xml:space="preserve"> this sort of event is even referenced by Josephus whom lambasts the different groups for fighting each other.</w:t>
      </w:r>
      <w:r>
        <w:rPr>
          <w:vertAlign w:val="superscript"/>
        </w:rPr>
        <w:footnoteReference w:id="52"/>
      </w:r>
      <w:r>
        <w:t xml:space="preserve"> This evidence leads on to the notion that because </w:t>
      </w:r>
      <w:r>
        <w:rPr>
          <w:i/>
        </w:rPr>
        <w:t>Life of Brian</w:t>
      </w:r>
      <w:r>
        <w:t xml:space="preserve"> is inherently satirical, it allows for criticism of the negative aspects of the Jewish faith without outwardly appearing as anti-Semitic, as, because of the movie’s rather light hearted tone, it does not come across as mean-</w:t>
      </w:r>
      <w:r w:rsidRPr="003B0BFE">
        <w:t>spirited.</w:t>
      </w:r>
      <w:r w:rsidR="00533E1E" w:rsidRPr="003B0BFE">
        <w:rPr>
          <w:rStyle w:val="FootnoteReference"/>
        </w:rPr>
        <w:footnoteReference w:id="53"/>
      </w:r>
      <w:r w:rsidRPr="003B0BFE">
        <w:t xml:space="preserve"> Therefore</w:t>
      </w:r>
      <w:r>
        <w:t xml:space="preserve"> because of these factors it is fair to be able to use </w:t>
      </w:r>
      <w:r>
        <w:rPr>
          <w:i/>
        </w:rPr>
        <w:t>Life of Brian</w:t>
      </w:r>
      <w:r>
        <w:t xml:space="preserve"> as a platform for debate and discussion.</w:t>
      </w:r>
    </w:p>
    <w:p w14:paraId="00000015" w14:textId="77777777" w:rsidR="007A0500" w:rsidRDefault="00E839FC" w:rsidP="00E37A3D">
      <w:pPr>
        <w:spacing w:line="360" w:lineRule="auto"/>
        <w:rPr>
          <w:u w:val="single"/>
        </w:rPr>
      </w:pPr>
      <w:r>
        <w:rPr>
          <w:u w:val="single"/>
        </w:rPr>
        <w:t>Subverting expectations</w:t>
      </w:r>
    </w:p>
    <w:p w14:paraId="00000016" w14:textId="152D9F81" w:rsidR="007A0500" w:rsidRDefault="00E839FC" w:rsidP="00E37A3D">
      <w:pPr>
        <w:spacing w:line="360" w:lineRule="auto"/>
      </w:pPr>
      <w:r>
        <w:t xml:space="preserve">One of the key techniques that the </w:t>
      </w:r>
      <w:r>
        <w:rPr>
          <w:i/>
        </w:rPr>
        <w:t>Life of Brian</w:t>
      </w:r>
      <w:r>
        <w:t xml:space="preserve"> successfully uses is the practice of subverting expectations by portraying what the audience expects to be very serious events and themes, such as crucifixion and slavery, in a very comedic and light-hearted way. A key example showing this would be the scene in which, during a gladiatorial duel, a small man with very little in the way of weapons and armour is thrown into the gladiatorial arena with a heavily armoured gladiator</w:t>
      </w:r>
      <w:r w:rsidRPr="003B0BFE">
        <w:t>.</w:t>
      </w:r>
      <w:r w:rsidRPr="003B0BFE">
        <w:rPr>
          <w:vertAlign w:val="superscript"/>
        </w:rPr>
        <w:footnoteReference w:id="54"/>
      </w:r>
      <w:r>
        <w:t xml:space="preserve"> As a viewer observing this scene for the first time, the expectation is that the almost naked man will die a horrible death in trying in vain to fight a man who is significantly bigger and armed much better than he is. However instead, the almost naked man, seeing the futility of his chances, starts to just run away from the Gladiator until th</w:t>
      </w:r>
      <w:r w:rsidR="00854F7F">
        <w:t>e Gladiator dies from a sudden heart attack</w:t>
      </w:r>
      <w:r>
        <w:t>.</w:t>
      </w:r>
      <w:r>
        <w:rPr>
          <w:vertAlign w:val="superscript"/>
        </w:rPr>
        <w:footnoteReference w:id="55"/>
      </w:r>
      <w:r>
        <w:t xml:space="preserve"> Because this goes entirely against what the viewer expects, the viewer is left confused and thus the scene is funny because there is no way that situation would have occurred in reality. In fact, </w:t>
      </w:r>
      <w:r>
        <w:rPr>
          <w:i/>
        </w:rPr>
        <w:t>Monty Python</w:t>
      </w:r>
      <w:r>
        <w:t xml:space="preserve"> uses this theme as the basis for its whole identity, by ‘putting a spin’ on history in a comical sense. </w:t>
      </w:r>
    </w:p>
    <w:p w14:paraId="00000017" w14:textId="124CD336" w:rsidR="007A0500" w:rsidRDefault="00E839FC" w:rsidP="00E37A3D">
      <w:pPr>
        <w:spacing w:line="360" w:lineRule="auto"/>
      </w:pPr>
      <w:r>
        <w:t>Entire comedy sketches during the ‘</w:t>
      </w:r>
      <w:r>
        <w:rPr>
          <w:i/>
        </w:rPr>
        <w:t>Flying Circus’</w:t>
      </w:r>
      <w:r>
        <w:t xml:space="preserve"> would often end abruptly, with the credits rolling mid-way through a sketch or in one particular instance,</w:t>
      </w:r>
      <w:r w:rsidR="00854F7F">
        <w:rPr>
          <w:rStyle w:val="FootnoteReference"/>
        </w:rPr>
        <w:footnoteReference w:id="56"/>
      </w:r>
      <w:r>
        <w:t xml:space="preserve"> immediately after the opening title, this therefore caused an air of unpredictability around </w:t>
      </w:r>
      <w:r>
        <w:rPr>
          <w:i/>
        </w:rPr>
        <w:t>Monty Python,</w:t>
      </w:r>
      <w:r>
        <w:t xml:space="preserve"> which increased their comedic value as the viewer has no idea what is going to happen, thus, because the results are often so unusual and so against what is expected, the audience finds it hilarious.</w:t>
      </w:r>
      <w:r>
        <w:rPr>
          <w:vertAlign w:val="superscript"/>
        </w:rPr>
        <w:footnoteReference w:id="57"/>
      </w:r>
      <w:r>
        <w:t xml:space="preserve"> Therefore, because </w:t>
      </w:r>
      <w:r>
        <w:rPr>
          <w:i/>
        </w:rPr>
        <w:t>Monty Python</w:t>
      </w:r>
      <w:r>
        <w:t xml:space="preserve"> is known and regarded for the use of subversion, it has led many scholars to assess that because of this it creates a very strong platform for which cultural assumptions and history can be discussed. For example, Landy states that the </w:t>
      </w:r>
      <w:r>
        <w:rPr>
          <w:i/>
        </w:rPr>
        <w:t>Monty Python</w:t>
      </w:r>
      <w:r>
        <w:t xml:space="preserve"> series ‘irreverently eschewed the conventions of situation comedy’</w:t>
      </w:r>
      <w:r w:rsidR="00D175FC">
        <w:rPr>
          <w:rStyle w:val="FootnoteReference"/>
        </w:rPr>
        <w:footnoteReference w:id="58"/>
      </w:r>
      <w:r>
        <w:t xml:space="preserve"> and that this is therefore a platform on which ‘hallowed taboos of social institutions’ can be discussed.</w:t>
      </w:r>
      <w:r>
        <w:rPr>
          <w:vertAlign w:val="superscript"/>
        </w:rPr>
        <w:footnoteReference w:id="59"/>
      </w:r>
      <w:r>
        <w:t xml:space="preserve"> One such hallowed taboo is the depiction of the Jewish religion as a whole, with various examples showing that the Jewish Independence Movement was wholly inept and that the Jewish hierarchy was very extreme in its persecution of perceived blasphemy.</w:t>
      </w:r>
      <w:r>
        <w:rPr>
          <w:vertAlign w:val="superscript"/>
        </w:rPr>
        <w:footnoteReference w:id="60"/>
      </w:r>
      <w:r>
        <w:t xml:space="preserve"> Examples in the </w:t>
      </w:r>
      <w:r>
        <w:rPr>
          <w:i/>
        </w:rPr>
        <w:t xml:space="preserve">Life of Brian </w:t>
      </w:r>
      <w:r>
        <w:t>that give credence to this theory are the famous ‘stoning scen</w:t>
      </w:r>
      <w:r w:rsidR="003B0BFE">
        <w:t>e’</w:t>
      </w:r>
      <w:r>
        <w:t>,</w:t>
      </w:r>
      <w:r w:rsidR="004935D3">
        <w:rPr>
          <w:rStyle w:val="FootnoteReference"/>
        </w:rPr>
        <w:footnoteReference w:id="61"/>
      </w:r>
      <w:r>
        <w:t xml:space="preserve"> in which the priest is very stringent on his definition of what blasphemy is, and the ‘Jewish Suicide Squad’, which portrays the Jewish army as completely useless as they just kill themselves rather than save Brian.</w:t>
      </w:r>
      <w:r>
        <w:rPr>
          <w:vertAlign w:val="superscript"/>
        </w:rPr>
        <w:footnoteReference w:id="62"/>
      </w:r>
      <w:r>
        <w:t xml:space="preserve"> This raises an important issue about the nature of the time period that otherwise could not be conveyed in the same media. Interestingly some sixty years after the film is set, the Jews did revolt against Roman rule but were ultimately unsuccessful, partly because of a continuation of themes depicted in </w:t>
      </w:r>
      <w:r>
        <w:rPr>
          <w:i/>
        </w:rPr>
        <w:t>Life of Brian</w:t>
      </w:r>
      <w:r>
        <w:t>, such as the fact that there were multiple factions in the Judean cause, that ranged from the standard peasantry to the radical Zionist zealots, and as such were unable to be cohesive in order to face the army of Rome.</w:t>
      </w:r>
      <w:r>
        <w:rPr>
          <w:vertAlign w:val="superscript"/>
        </w:rPr>
        <w:footnoteReference w:id="63"/>
      </w:r>
      <w:r>
        <w:t xml:space="preserve"> Therefore from that perspective one can easily make the argument that </w:t>
      </w:r>
      <w:r>
        <w:rPr>
          <w:i/>
        </w:rPr>
        <w:t>Life of Brian</w:t>
      </w:r>
      <w:r>
        <w:t xml:space="preserve"> provides a unique take on the events of the time period, as the only primary source on the events of the time is Josephus, who is a Jewish writer that fought against the Romans during said Roman-Jewish conflict, so one can easily make a case for their being bias in this evidence </w:t>
      </w:r>
      <w:r w:rsidR="004935D3">
        <w:t>,</w:t>
      </w:r>
      <w:r w:rsidR="004935D3">
        <w:rPr>
          <w:rStyle w:val="FootnoteReference"/>
        </w:rPr>
        <w:footnoteReference w:id="64"/>
      </w:r>
      <w:r w:rsidR="004935D3">
        <w:t xml:space="preserve"> as even a mathematical perpetuation is named after Josephus for his unlikely portrayal of events such as his own group’s suicide</w:t>
      </w:r>
      <w:r>
        <w:t>.</w:t>
      </w:r>
      <w:r w:rsidR="004935D3">
        <w:rPr>
          <w:rStyle w:val="FootnoteReference"/>
        </w:rPr>
        <w:footnoteReference w:id="65"/>
      </w:r>
      <w:r>
        <w:t xml:space="preserve"> This could potentially mean that there is a unique depiction of the build up to the attempted revolt, as the producers have clearly researched the subject area, and to some extent mock the portrayal that Josephus gives.</w:t>
      </w:r>
    </w:p>
    <w:p w14:paraId="00000018" w14:textId="77777777" w:rsidR="007A0500" w:rsidRDefault="00E839FC" w:rsidP="00E37A3D">
      <w:pPr>
        <w:spacing w:line="360" w:lineRule="auto"/>
        <w:rPr>
          <w:u w:val="single"/>
        </w:rPr>
      </w:pPr>
      <w:r>
        <w:rPr>
          <w:u w:val="single"/>
        </w:rPr>
        <w:t>Comparisons with other films</w:t>
      </w:r>
    </w:p>
    <w:p w14:paraId="00000019" w14:textId="4099CDB7" w:rsidR="007A0500" w:rsidRPr="0060467E" w:rsidRDefault="00E839FC" w:rsidP="00E37A3D">
      <w:pPr>
        <w:spacing w:line="360" w:lineRule="auto"/>
      </w:pPr>
      <w:r w:rsidRPr="003B0BFE">
        <w:t xml:space="preserve">Being set in Antiquity, Monty Python’s </w:t>
      </w:r>
      <w:r w:rsidRPr="003B0BFE">
        <w:rPr>
          <w:i/>
        </w:rPr>
        <w:t>Life of Brian</w:t>
      </w:r>
      <w:r w:rsidR="00386060">
        <w:t xml:space="preserve"> e</w:t>
      </w:r>
      <w:r w:rsidRPr="003B0BFE">
        <w:t xml:space="preserve">ffectively mocks other films that were released in the 1970s, for example the opening credits of the film, which are entirely animated, create a clear mockery of the overly long and dramatic introductions of the </w:t>
      </w:r>
      <w:r w:rsidRPr="003B0BFE">
        <w:rPr>
          <w:i/>
        </w:rPr>
        <w:t>James Bond</w:t>
      </w:r>
      <w:r w:rsidRPr="003B0BFE">
        <w:t xml:space="preserve"> film franchise,</w:t>
      </w:r>
      <w:r w:rsidRPr="003B0BFE">
        <w:rPr>
          <w:vertAlign w:val="superscript"/>
        </w:rPr>
        <w:footnoteReference w:id="66"/>
      </w:r>
      <w:r w:rsidRPr="003B0BFE">
        <w:t xml:space="preserve"> with the film clearly lambasting and mocking its overly long introduction as several ridiculous and over the top events are shown as a dramatic theme song plays.</w:t>
      </w:r>
      <w:r w:rsidR="005B5845" w:rsidRPr="003B0BFE">
        <w:rPr>
          <w:rStyle w:val="FootnoteReference"/>
        </w:rPr>
        <w:footnoteReference w:id="67"/>
      </w:r>
      <w:r w:rsidRPr="003B0BFE">
        <w:t xml:space="preserve"> Another similar example</w:t>
      </w:r>
      <w:r w:rsidR="00EA1D1B">
        <w:t xml:space="preserve"> of parody</w:t>
      </w:r>
      <w:r w:rsidRPr="003B0BFE">
        <w:t xml:space="preserve"> would be </w:t>
      </w:r>
      <w:r w:rsidRPr="003B0BFE">
        <w:rPr>
          <w:i/>
        </w:rPr>
        <w:t>Ben-Hur,</w:t>
      </w:r>
      <w:r w:rsidRPr="003B0BFE">
        <w:t xml:space="preserve"> as when analysing the characters of Brian and Ben-Hur there are a lot of similarities between the two; </w:t>
      </w:r>
      <w:r w:rsidR="004935D3" w:rsidRPr="003B0BFE">
        <w:t>both are ordinary men whom are caught up in circumstances beyond their</w:t>
      </w:r>
      <w:r w:rsidR="004935D3">
        <w:t xml:space="preserve"> control</w:t>
      </w:r>
      <w:r>
        <w:t>.</w:t>
      </w:r>
      <w:r w:rsidR="007F5851">
        <w:rPr>
          <w:rStyle w:val="FootnoteReference"/>
        </w:rPr>
        <w:footnoteReference w:id="68"/>
      </w:r>
      <w:r>
        <w:t xml:space="preserve"> However, the tone and idea behind Ben-Hur is that of a heroic character fighting the tyrannical and oppressive Romans, whilst Brian is simply an ordinary character who simply is at the wrong place in the wrong time and had no real intention of being put in the position he gets put in; because of this fact it allows for an arguably more realistic take on the subject matter.</w:t>
      </w:r>
      <w:r w:rsidR="00533E1E">
        <w:rPr>
          <w:rStyle w:val="FootnoteReference"/>
        </w:rPr>
        <w:footnoteReference w:id="69"/>
      </w:r>
      <w:r>
        <w:t xml:space="preserve"> This is because, despite being the main focus character, Brian himself is the only ‘ordinary’ character in </w:t>
      </w:r>
      <w:r>
        <w:rPr>
          <w:i/>
        </w:rPr>
        <w:t>Life of Brian,</w:t>
      </w:r>
      <w:r>
        <w:t xml:space="preserve"> as he thinks rationally, such as begging the two different Jewish independence groups to stop fighting each other and to instead fight the real enemy. Therefore, because of the way Brian is presented in the film, it can very easily lead to a debate as to how an ordinary Jew living in Judea, during the period of Jesus Christ’s birth, would have acted and lived.</w:t>
      </w:r>
      <w:r w:rsidR="00DE567F">
        <w:rPr>
          <w:rStyle w:val="FootnoteReference"/>
        </w:rPr>
        <w:footnoteReference w:id="70"/>
      </w:r>
      <w:r>
        <w:t xml:space="preserve"> For example, it shows Brian performing everyday tasks such as sh</w:t>
      </w:r>
      <w:r w:rsidR="00533E1E">
        <w:t>opping and encountering former l</w:t>
      </w:r>
      <w:r>
        <w:t>epers</w:t>
      </w:r>
      <w:r w:rsidR="00533E1E">
        <w:t xml:space="preserve"> who are beggars that have been</w:t>
      </w:r>
      <w:r>
        <w:t xml:space="preserve"> ‘cured’ by Jesus.</w:t>
      </w:r>
      <w:r w:rsidR="00533E1E">
        <w:rPr>
          <w:rStyle w:val="FootnoteReference"/>
        </w:rPr>
        <w:footnoteReference w:id="71"/>
      </w:r>
      <w:r w:rsidR="00533E1E">
        <w:t xml:space="preserve"> Despite the com</w:t>
      </w:r>
      <w:r>
        <w:t xml:space="preserve">ic overtones it nevertheless provides a very useful insight into the life of an ordinary Jew living at the time, therefore it is fairly clear that the </w:t>
      </w:r>
      <w:r>
        <w:rPr>
          <w:i/>
        </w:rPr>
        <w:t>Life of Brian</w:t>
      </w:r>
      <w:r>
        <w:t>’s use of irony, in how Brian is presented, makes it a great source of cultural debate of past societies.</w:t>
      </w:r>
      <w:r w:rsidR="003C45C5">
        <w:t xml:space="preserve"> Another noteworthy film comparison that the </w:t>
      </w:r>
      <w:r w:rsidR="003C45C5" w:rsidRPr="003C45C5">
        <w:rPr>
          <w:i/>
        </w:rPr>
        <w:t>Life of Brian</w:t>
      </w:r>
      <w:r w:rsidR="003C45C5">
        <w:t xml:space="preserve"> makes is that of </w:t>
      </w:r>
      <w:r w:rsidR="003C45C5" w:rsidRPr="003C45C5">
        <w:rPr>
          <w:i/>
        </w:rPr>
        <w:t>Spartacus</w:t>
      </w:r>
      <w:r w:rsidR="003C45C5">
        <w:t xml:space="preserve">, with the </w:t>
      </w:r>
      <w:r w:rsidR="003C45C5" w:rsidRPr="001F374A">
        <w:rPr>
          <w:i/>
        </w:rPr>
        <w:t>Life of Brian</w:t>
      </w:r>
      <w:r w:rsidR="003C45C5">
        <w:t xml:space="preserve"> mocking the over-the-top heroic nature of the </w:t>
      </w:r>
      <w:r w:rsidR="0060467E">
        <w:t>climactic</w:t>
      </w:r>
      <w:r w:rsidR="003C45C5">
        <w:t xml:space="preserve"> scene in </w:t>
      </w:r>
      <w:r w:rsidR="003C45C5">
        <w:rPr>
          <w:i/>
        </w:rPr>
        <w:t xml:space="preserve">Spartacus, </w:t>
      </w:r>
      <w:r w:rsidR="003C45C5">
        <w:t>in which when asked to reveal the identity of Spartacus in exchange for leniency they all proclaim that they themselves are Spartacus.</w:t>
      </w:r>
      <w:r w:rsidR="004A5589">
        <w:rPr>
          <w:rStyle w:val="FootnoteReference"/>
        </w:rPr>
        <w:footnoteReference w:id="72"/>
      </w:r>
      <w:r w:rsidR="003C45C5">
        <w:t xml:space="preserve"> This is parodied in the </w:t>
      </w:r>
      <w:r w:rsidR="003C45C5" w:rsidRPr="003C45C5">
        <w:rPr>
          <w:i/>
        </w:rPr>
        <w:t>Life of Brian</w:t>
      </w:r>
      <w:r w:rsidR="003C45C5">
        <w:t xml:space="preserve"> when Brian is being crucified the Roman legionnaires ask which one of them is Brian so that they can be pardoned, naturally all them proclaim to be Brian as they would realistically say anything to be not be crucified</w:t>
      </w:r>
      <w:r w:rsidR="00991406">
        <w:t>.</w:t>
      </w:r>
      <w:r w:rsidR="00991406">
        <w:rPr>
          <w:rStyle w:val="FootnoteReference"/>
        </w:rPr>
        <w:footnoteReference w:id="73"/>
      </w:r>
      <w:r w:rsidR="0060467E">
        <w:t xml:space="preserve"> Strangely, despite the </w:t>
      </w:r>
      <w:r w:rsidR="0060467E">
        <w:rPr>
          <w:i/>
        </w:rPr>
        <w:t>Life of Brian</w:t>
      </w:r>
      <w:r w:rsidR="0060467E">
        <w:t xml:space="preserve"> being a deliberately ridiculous and over-the-top parody, this scene when compared to </w:t>
      </w:r>
      <w:r w:rsidR="0060467E">
        <w:rPr>
          <w:i/>
        </w:rPr>
        <w:t xml:space="preserve">Spartacus </w:t>
      </w:r>
      <w:r w:rsidR="0060467E">
        <w:t xml:space="preserve">is actually far more realistic as in all likelihood most people would jump at the chance to not be crucified and suffer a horrible death. Therefore, because of the </w:t>
      </w:r>
      <w:r w:rsidR="0060467E" w:rsidRPr="0060467E">
        <w:rPr>
          <w:i/>
        </w:rPr>
        <w:t>Life of Brian’s</w:t>
      </w:r>
      <w:r w:rsidR="0060467E">
        <w:t xml:space="preserve"> mockery of </w:t>
      </w:r>
      <w:r w:rsidR="0060467E" w:rsidRPr="0060467E">
        <w:rPr>
          <w:i/>
        </w:rPr>
        <w:t>Sparta</w:t>
      </w:r>
      <w:r w:rsidR="0060467E">
        <w:rPr>
          <w:i/>
        </w:rPr>
        <w:t xml:space="preserve">cus’ </w:t>
      </w:r>
      <w:r w:rsidR="00533E1E">
        <w:t xml:space="preserve">cliché scene, this is </w:t>
      </w:r>
      <w:r w:rsidR="0060467E">
        <w:t xml:space="preserve">reflective of the intent of the film as a whole, in that it wants to mock the nature of films that came before it and the overly heroic clichés that they portray. Thus because of this fact one can make the argument that the </w:t>
      </w:r>
      <w:r w:rsidR="0060467E" w:rsidRPr="001F374A">
        <w:rPr>
          <w:i/>
        </w:rPr>
        <w:t>Life of Brian</w:t>
      </w:r>
      <w:r w:rsidR="0060467E">
        <w:t xml:space="preserve"> can be used as a tool to reflect on the nature of film tropes in the 1970s and 60s, by observing the parodies of certain films in the </w:t>
      </w:r>
      <w:r w:rsidR="0060467E" w:rsidRPr="0060467E">
        <w:rPr>
          <w:i/>
        </w:rPr>
        <w:t>Life of Brian.</w:t>
      </w:r>
    </w:p>
    <w:p w14:paraId="0000001C" w14:textId="51496990" w:rsidR="007A0500" w:rsidRDefault="00D175FC" w:rsidP="00E37A3D">
      <w:pPr>
        <w:spacing w:line="360" w:lineRule="auto"/>
      </w:pPr>
      <w:r>
        <w:t xml:space="preserve">Another point of parody </w:t>
      </w:r>
      <w:r w:rsidR="00E839FC" w:rsidRPr="00302490">
        <w:rPr>
          <w:i/>
        </w:rPr>
        <w:t>Life of Brian</w:t>
      </w:r>
      <w:r w:rsidR="00E839FC">
        <w:t xml:space="preserve"> openly </w:t>
      </w:r>
      <w:r>
        <w:t xml:space="preserve">makes is that of </w:t>
      </w:r>
      <w:r w:rsidR="00E839FC">
        <w:t xml:space="preserve">British left-wing </w:t>
      </w:r>
      <w:r w:rsidR="001E6C6A">
        <w:t xml:space="preserve">politics </w:t>
      </w:r>
      <w:r w:rsidR="00E839FC">
        <w:t>in the 1970s.</w:t>
      </w:r>
      <w:r w:rsidR="00E839FC">
        <w:rPr>
          <w:vertAlign w:val="superscript"/>
        </w:rPr>
        <w:footnoteReference w:id="74"/>
      </w:r>
      <w:r w:rsidR="00E839FC">
        <w:t xml:space="preserve"> </w:t>
      </w:r>
      <w:r>
        <w:t>As</w:t>
      </w:r>
      <w:r w:rsidR="00E839FC">
        <w:t xml:space="preserve"> during the seventies the Labour governments of Wilson and Callaghan oversaw a period of economic hardship as the multiple expanding trade unions caused severe inflation and thus an economic crash. Since all the trade unions were from different sectors, despite the fact they were all left-wing, they could not seek a resolution to the economic crash that started by them negotiating large pay rises for their workers. This situation is reflected perfectly in the </w:t>
      </w:r>
      <w:r w:rsidR="00E839FC" w:rsidRPr="00CA4F6B">
        <w:rPr>
          <w:i/>
        </w:rPr>
        <w:t>Life of Brian</w:t>
      </w:r>
      <w:r w:rsidR="00E839FC">
        <w:t xml:space="preserve"> as there are multiple groups all pertaining to be campaigning to free Judea, but they all just fight amongst themselves rather than unite together to fight the common enemy in the Romans. Wilmut states that this parallel is easy to draw, for ‘what the film does do is place modern stereotypes in a historical setting’</w:t>
      </w:r>
      <w:r w:rsidR="007F5851">
        <w:t>.</w:t>
      </w:r>
      <w:r w:rsidR="00E839FC">
        <w:rPr>
          <w:vertAlign w:val="superscript"/>
        </w:rPr>
        <w:footnoteReference w:id="75"/>
      </w:r>
      <w:r w:rsidR="00E839FC">
        <w:t xml:space="preserve"> Because of this parallel one could therefore easily make the argument that the </w:t>
      </w:r>
      <w:r w:rsidR="00E839FC" w:rsidRPr="00CA4F6B">
        <w:rPr>
          <w:i/>
        </w:rPr>
        <w:t>Life of Brian</w:t>
      </w:r>
      <w:r w:rsidR="00E839FC">
        <w:t xml:space="preserve"> is a great political satire, not just on events in Rome but also during the time frame in which it was released; thus, expanding the use that </w:t>
      </w:r>
      <w:r w:rsidR="00E839FC" w:rsidRPr="00CA4F6B">
        <w:rPr>
          <w:i/>
        </w:rPr>
        <w:t>Monty Python</w:t>
      </w:r>
      <w:r w:rsidR="00E839FC">
        <w:t xml:space="preserve"> has as a source of discussion.</w:t>
      </w:r>
    </w:p>
    <w:p w14:paraId="0000001D" w14:textId="08AF72EE" w:rsidR="007A0500" w:rsidRDefault="00E839FC" w:rsidP="00E37A3D">
      <w:pPr>
        <w:spacing w:line="360" w:lineRule="auto"/>
      </w:pPr>
      <w:r>
        <w:t xml:space="preserve">Whilst </w:t>
      </w:r>
      <w:r w:rsidRPr="00CA4F6B">
        <w:rPr>
          <w:i/>
        </w:rPr>
        <w:t>Life of Brian</w:t>
      </w:r>
      <w:r>
        <w:t xml:space="preserve"> is by no means historically accurate, that is irrelevant with regards to its depictions of Roman Judea by its parody of it. For one, the costumes, setting and cinematography do not distract the audience at all and are quite believable and historically accurate. Of course outrageous scenes, such as when Brian is abducted by aliens and then miraculously returns to the exact location, grant a sense of ridiculousness and unbelievability, but this realistically helps the film as a satirical parody of not only Imperial Rome but also the tumultuous 1970s.</w:t>
      </w:r>
      <w:r w:rsidR="00854F7F">
        <w:t xml:space="preserve"> There is also an awareness of Imperial Roman history displayed with the People’s front of Judea all listing positive aspects to life under Roman rule.</w:t>
      </w:r>
      <w:r>
        <w:t xml:space="preserve"> It is this level of awareness and satire that greatly advances the </w:t>
      </w:r>
      <w:r w:rsidRPr="00CA4F6B">
        <w:rPr>
          <w:i/>
        </w:rPr>
        <w:t>Life of Brian’s</w:t>
      </w:r>
      <w:r>
        <w:t xml:space="preserve"> status as not only a cult film for its outlandish humour, but also because of its awareness of history, to the point </w:t>
      </w:r>
      <w:r w:rsidR="009D445A">
        <w:t xml:space="preserve">that </w:t>
      </w:r>
      <w:r>
        <w:t>it can easily be used as a source of debate on the nature of past societies.</w:t>
      </w:r>
    </w:p>
    <w:p w14:paraId="0000001E" w14:textId="77777777" w:rsidR="007A0500" w:rsidRDefault="007A0500" w:rsidP="00E37A3D">
      <w:pPr>
        <w:spacing w:line="360" w:lineRule="auto"/>
      </w:pPr>
    </w:p>
    <w:p w14:paraId="0000001F" w14:textId="77777777" w:rsidR="007A0500" w:rsidRDefault="007A0500" w:rsidP="00E37A3D">
      <w:pPr>
        <w:spacing w:line="360" w:lineRule="auto"/>
      </w:pPr>
    </w:p>
    <w:p w14:paraId="00000034" w14:textId="41315A22" w:rsidR="007A0500" w:rsidRDefault="007A0500" w:rsidP="00E37A3D">
      <w:pPr>
        <w:spacing w:line="360" w:lineRule="auto"/>
        <w:rPr>
          <w:u w:val="single"/>
        </w:rPr>
      </w:pPr>
      <w:bookmarkStart w:id="1" w:name="_gjdgxs" w:colFirst="0" w:colLast="0"/>
      <w:bookmarkEnd w:id="1"/>
    </w:p>
    <w:p w14:paraId="5EA24114" w14:textId="77777777" w:rsidR="00386060" w:rsidRDefault="00E839FC" w:rsidP="00E37A3D">
      <w:pPr>
        <w:spacing w:line="360" w:lineRule="auto"/>
        <w:rPr>
          <w:u w:val="single"/>
        </w:rPr>
      </w:pPr>
      <w:r>
        <w:rPr>
          <w:u w:val="single"/>
        </w:rPr>
        <w:t xml:space="preserve">References </w:t>
      </w:r>
    </w:p>
    <w:p w14:paraId="5EE9E820" w14:textId="2BBD6EE0" w:rsidR="00386060" w:rsidRDefault="00386060" w:rsidP="00E37A3D">
      <w:pPr>
        <w:spacing w:line="360" w:lineRule="auto"/>
        <w:rPr>
          <w:u w:val="single"/>
        </w:rPr>
      </w:pPr>
      <w:r>
        <w:t>Films:</w:t>
      </w:r>
    </w:p>
    <w:p w14:paraId="63376539" w14:textId="4F1B3B32" w:rsidR="00E07D45" w:rsidRDefault="00E07D45" w:rsidP="00E37A3D">
      <w:pPr>
        <w:spacing w:line="360" w:lineRule="auto"/>
      </w:pPr>
      <w:r>
        <w:rPr>
          <w:i/>
        </w:rPr>
        <w:t xml:space="preserve">Ben-Hur. </w:t>
      </w:r>
      <w:r w:rsidR="00FC3142">
        <w:t>(</w:t>
      </w:r>
      <w:r>
        <w:t>195</w:t>
      </w:r>
      <w:r w:rsidR="00FC3142">
        <w:t>9) W. Wyler (dir). New York</w:t>
      </w:r>
      <w:r>
        <w:t>.</w:t>
      </w:r>
      <w:r w:rsidR="00FC3142">
        <w:t xml:space="preserve"> Loew’s Inc</w:t>
      </w:r>
      <w:r>
        <w:t>.</w:t>
      </w:r>
    </w:p>
    <w:p w14:paraId="5B12DE1D" w14:textId="7B34E4DB" w:rsidR="00E07D45" w:rsidRDefault="00E07D45" w:rsidP="00E37A3D">
      <w:pPr>
        <w:spacing w:line="360" w:lineRule="auto"/>
      </w:pPr>
      <w:r>
        <w:rPr>
          <w:i/>
        </w:rPr>
        <w:t xml:space="preserve">Cleopatra. </w:t>
      </w:r>
      <w:r w:rsidR="00FC3142">
        <w:t>(</w:t>
      </w:r>
      <w:r>
        <w:t>1963</w:t>
      </w:r>
      <w:r w:rsidR="00FC3142">
        <w:t>)</w:t>
      </w:r>
      <w:r>
        <w:t xml:space="preserve">. J. Mankewicz. (dir) </w:t>
      </w:r>
      <w:r w:rsidR="00FC3142">
        <w:t>Los Angeles</w:t>
      </w:r>
      <w:r>
        <w:t>. Twentieth-Century Fox</w:t>
      </w:r>
    </w:p>
    <w:p w14:paraId="5BFBA373" w14:textId="4F4EE312" w:rsidR="004F2B5A" w:rsidRDefault="004F2B5A" w:rsidP="00E37A3D">
      <w:pPr>
        <w:spacing w:line="360" w:lineRule="auto"/>
      </w:pPr>
      <w:r>
        <w:rPr>
          <w:i/>
        </w:rPr>
        <w:t xml:space="preserve">Jesus of Nazareth. </w:t>
      </w:r>
      <w:r w:rsidR="00FC3142">
        <w:t>(</w:t>
      </w:r>
      <w:r>
        <w:t>1977</w:t>
      </w:r>
      <w:r w:rsidR="00FC3142">
        <w:t>)</w:t>
      </w:r>
      <w:r>
        <w:t>. F. Zefferelli. (dir) ITC Entertainment RAI.</w:t>
      </w:r>
    </w:p>
    <w:p w14:paraId="0F479B78" w14:textId="6E48514F" w:rsidR="00854F7F" w:rsidRDefault="00FD4782" w:rsidP="00E37A3D">
      <w:pPr>
        <w:spacing w:line="360" w:lineRule="auto"/>
      </w:pPr>
      <w:r>
        <w:rPr>
          <w:i/>
        </w:rPr>
        <w:t xml:space="preserve">Monty Python and the Holy Grail. </w:t>
      </w:r>
      <w:r>
        <w:t>(1975). T. Gilliam. T. Jones (dir). London. EMI films</w:t>
      </w:r>
    </w:p>
    <w:p w14:paraId="7B7648D1" w14:textId="09FA5074" w:rsidR="00E07D45" w:rsidRDefault="00E839FC" w:rsidP="00E37A3D">
      <w:pPr>
        <w:spacing w:line="360" w:lineRule="auto"/>
      </w:pPr>
      <w:r>
        <w:rPr>
          <w:i/>
        </w:rPr>
        <w:t xml:space="preserve">Monty Python’s Life of Brian. </w:t>
      </w:r>
      <w:r w:rsidR="00FC3142">
        <w:t>1979. T. Jones (dir) London</w:t>
      </w:r>
      <w:r>
        <w:t>. Cinema International Corporation.</w:t>
      </w:r>
    </w:p>
    <w:p w14:paraId="62ED210B" w14:textId="6560874F" w:rsidR="006A0CA0" w:rsidRPr="006A0CA0" w:rsidRDefault="006A0CA0" w:rsidP="00E37A3D">
      <w:pPr>
        <w:spacing w:line="360" w:lineRule="auto"/>
      </w:pPr>
      <w:r>
        <w:rPr>
          <w:i/>
        </w:rPr>
        <w:t xml:space="preserve">Monty Python Live! </w:t>
      </w:r>
      <w:r>
        <w:t>(1998) Live at Aspen. HBO 21 March</w:t>
      </w:r>
    </w:p>
    <w:p w14:paraId="2FD3F380" w14:textId="070364BA" w:rsidR="00386060" w:rsidRDefault="00E07D45" w:rsidP="00E37A3D">
      <w:pPr>
        <w:spacing w:line="360" w:lineRule="auto"/>
      </w:pPr>
      <w:r>
        <w:rPr>
          <w:i/>
        </w:rPr>
        <w:t xml:space="preserve">Spartacus. </w:t>
      </w:r>
      <w:r>
        <w:t xml:space="preserve">1960. </w:t>
      </w:r>
      <w:r w:rsidR="003C45C5">
        <w:t>S. Kubrick.</w:t>
      </w:r>
      <w:r w:rsidR="00FC3142">
        <w:t xml:space="preserve"> (dir)</w:t>
      </w:r>
      <w:r w:rsidR="003C45C5">
        <w:t xml:space="preserve"> U</w:t>
      </w:r>
      <w:r w:rsidR="00FC3142">
        <w:t>niversal City. Universal International</w:t>
      </w:r>
      <w:r w:rsidR="003C45C5">
        <w:t>.</w:t>
      </w:r>
    </w:p>
    <w:p w14:paraId="712204C4" w14:textId="283BEF4A" w:rsidR="00386060" w:rsidRDefault="007F5851" w:rsidP="00E37A3D">
      <w:pPr>
        <w:spacing w:line="360" w:lineRule="auto"/>
      </w:pPr>
      <w:r>
        <w:rPr>
          <w:i/>
        </w:rPr>
        <w:t xml:space="preserve">The Man with the Golden Gun. </w:t>
      </w:r>
      <w:r w:rsidR="00BD2B95">
        <w:t>(</w:t>
      </w:r>
      <w:r>
        <w:t>1974</w:t>
      </w:r>
      <w:r w:rsidR="00BD2B95">
        <w:t>)</w:t>
      </w:r>
      <w:r>
        <w:t>. G. Hamilton. (dir).</w:t>
      </w:r>
      <w:r w:rsidR="00FC3142">
        <w:t xml:space="preserve"> Beverly Hills</w:t>
      </w:r>
      <w:r>
        <w:t xml:space="preserve">. </w:t>
      </w:r>
      <w:r w:rsidR="00FC3142">
        <w:t>United Artists</w:t>
      </w:r>
    </w:p>
    <w:p w14:paraId="1E57BACF" w14:textId="794CF2C4" w:rsidR="00386060" w:rsidRDefault="00386060" w:rsidP="00E37A3D">
      <w:pPr>
        <w:spacing w:line="360" w:lineRule="auto"/>
      </w:pPr>
      <w:r>
        <w:t xml:space="preserve">Television series: </w:t>
      </w:r>
    </w:p>
    <w:p w14:paraId="24DF30E1" w14:textId="1DDA454D" w:rsidR="007F5851" w:rsidRDefault="00386060" w:rsidP="00E37A3D">
      <w:pPr>
        <w:spacing w:line="360" w:lineRule="auto"/>
      </w:pPr>
      <w:r w:rsidRPr="00386060">
        <w:rPr>
          <w:i/>
        </w:rPr>
        <w:t xml:space="preserve"> </w:t>
      </w:r>
      <w:r>
        <w:rPr>
          <w:i/>
        </w:rPr>
        <w:t xml:space="preserve">Monty Python’s flying Circus. </w:t>
      </w:r>
      <w:r>
        <w:t>(1970). Series 2: episode 11 BBC one. 8</w:t>
      </w:r>
      <w:r w:rsidRPr="00386060">
        <w:rPr>
          <w:vertAlign w:val="superscript"/>
        </w:rPr>
        <w:t>th</w:t>
      </w:r>
      <w:r>
        <w:t xml:space="preserve"> December</w:t>
      </w:r>
    </w:p>
    <w:p w14:paraId="06B538F8" w14:textId="58BCC899" w:rsidR="00AA622E" w:rsidRDefault="00AA622E" w:rsidP="00E37A3D">
      <w:pPr>
        <w:spacing w:line="360" w:lineRule="auto"/>
      </w:pPr>
      <w:r>
        <w:t>Film Reviews:</w:t>
      </w:r>
    </w:p>
    <w:p w14:paraId="00760D2D" w14:textId="77777777" w:rsidR="000342D0" w:rsidRDefault="00AA622E" w:rsidP="00E37A3D">
      <w:pPr>
        <w:spacing w:line="360" w:lineRule="auto"/>
      </w:pPr>
      <w:r>
        <w:t>Bradshaw. P. (2019). ‘</w:t>
      </w:r>
      <w:r w:rsidRPr="00AA622E">
        <w:rPr>
          <w:i/>
        </w:rPr>
        <w:t>Monty Python's Life of Brian review – an unholy work of satirical genius</w:t>
      </w:r>
      <w:r>
        <w:rPr>
          <w:i/>
        </w:rPr>
        <w:t xml:space="preserve">’. </w:t>
      </w:r>
      <w:r>
        <w:t xml:space="preserve">The Guardian. Available at: </w:t>
      </w:r>
      <w:hyperlink r:id="rId7" w:history="1">
        <w:r w:rsidRPr="0046294D">
          <w:rPr>
            <w:rStyle w:val="Hyperlink"/>
          </w:rPr>
          <w:t>https://www.theguardian.com/film/2019/apr/12/monty-pythons-life-of-brian-review</w:t>
        </w:r>
      </w:hyperlink>
      <w:r>
        <w:t xml:space="preserve"> (Accessed. 24/05/19)</w:t>
      </w:r>
    </w:p>
    <w:p w14:paraId="5D6884D9" w14:textId="685B2C2A" w:rsidR="00AA622E" w:rsidRPr="00D87BAA" w:rsidRDefault="00D87BAA" w:rsidP="00E37A3D">
      <w:pPr>
        <w:spacing w:line="360" w:lineRule="auto"/>
      </w:pPr>
      <w:r>
        <w:t xml:space="preserve">Ebert. R. (2004) </w:t>
      </w:r>
      <w:r>
        <w:rPr>
          <w:i/>
        </w:rPr>
        <w:t xml:space="preserve">Monty Python’s Life of Brian. </w:t>
      </w:r>
      <w:r>
        <w:t xml:space="preserve">RogerEbert.com. Available at: </w:t>
      </w:r>
      <w:hyperlink r:id="rId8" w:history="1">
        <w:r>
          <w:rPr>
            <w:rStyle w:val="Hyperlink"/>
          </w:rPr>
          <w:t>https://www.rogerebert.com/reviews/monty-pythons-life-of-brian-2004</w:t>
        </w:r>
      </w:hyperlink>
      <w:r>
        <w:t>. (Accessed: 24/05/2019_</w:t>
      </w:r>
    </w:p>
    <w:p w14:paraId="29AC6F77" w14:textId="252B64A1" w:rsidR="00AA622E" w:rsidRDefault="00AA622E" w:rsidP="00E37A3D">
      <w:pPr>
        <w:spacing w:line="360" w:lineRule="auto"/>
      </w:pPr>
      <w:r>
        <w:t>Newspaper Articles:</w:t>
      </w:r>
    </w:p>
    <w:p w14:paraId="0CC0390D" w14:textId="2B537A53" w:rsidR="00AA622E" w:rsidRPr="007F5851" w:rsidRDefault="00AA622E" w:rsidP="00E37A3D">
      <w:pPr>
        <w:spacing w:line="360" w:lineRule="auto"/>
      </w:pPr>
      <w:r>
        <w:t>Bhaskar. S. (</w:t>
      </w:r>
      <w:r>
        <w:t>2019</w:t>
      </w:r>
      <w:r>
        <w:t xml:space="preserve">). </w:t>
      </w:r>
      <w:r w:rsidRPr="00AA622E">
        <w:rPr>
          <w:i/>
        </w:rPr>
        <w:t xml:space="preserve">Why Monty Python's 'foul, disgusting and blasphemous' Life of Brian wouldn't get made today. </w:t>
      </w:r>
      <w:r>
        <w:t xml:space="preserve"> The</w:t>
      </w:r>
      <w:r w:rsidR="00BD2B95">
        <w:t xml:space="preserve"> </w:t>
      </w:r>
      <w:r w:rsidRPr="00AA622E">
        <w:t>Telegraph.</w:t>
      </w:r>
      <w:r>
        <w:t xml:space="preserve"> 19</w:t>
      </w:r>
      <w:r w:rsidRPr="00AA622E">
        <w:rPr>
          <w:vertAlign w:val="superscript"/>
        </w:rPr>
        <w:t>th</w:t>
      </w:r>
      <w:r>
        <w:t xml:space="preserve"> Aprli 2019. Accessed: 24/05/2029</w:t>
      </w:r>
    </w:p>
    <w:p w14:paraId="46CCF4FE" w14:textId="63F0FEFD" w:rsidR="00533E1E" w:rsidRDefault="00533E1E" w:rsidP="00E37A3D">
      <w:pPr>
        <w:spacing w:line="360" w:lineRule="auto"/>
      </w:pPr>
      <w:r>
        <w:t>Plays:</w:t>
      </w:r>
    </w:p>
    <w:p w14:paraId="2F732EB1" w14:textId="5C1ADBE1" w:rsidR="00533E1E" w:rsidRDefault="00533E1E" w:rsidP="00E37A3D">
      <w:pPr>
        <w:spacing w:line="360" w:lineRule="auto"/>
      </w:pPr>
      <w:r w:rsidRPr="00533E1E">
        <w:t xml:space="preserve">Shakespeare, W. </w:t>
      </w:r>
      <w:r w:rsidR="00BD2B95">
        <w:t>(</w:t>
      </w:r>
      <w:r w:rsidRPr="00533E1E">
        <w:t>1623</w:t>
      </w:r>
      <w:r w:rsidR="00BD2B95">
        <w:t>)</w:t>
      </w:r>
      <w:r w:rsidRPr="00533E1E">
        <w:t xml:space="preserve">. </w:t>
      </w:r>
      <w:r w:rsidRPr="00533E1E">
        <w:rPr>
          <w:i/>
        </w:rPr>
        <w:t>As You Like It, in Mr William Shakespeare's Comedies, Histories, &amp; Tragedies.</w:t>
      </w:r>
      <w:r w:rsidRPr="00533E1E">
        <w:t xml:space="preserve"> London: Jaggard and Blout</w:t>
      </w:r>
    </w:p>
    <w:p w14:paraId="3F035367" w14:textId="7DA377D2" w:rsidR="00533E1E" w:rsidRPr="00E07D45" w:rsidRDefault="00533E1E" w:rsidP="00E37A3D">
      <w:pPr>
        <w:spacing w:line="360" w:lineRule="auto"/>
      </w:pPr>
      <w:r>
        <w:t>Ancient Historians:</w:t>
      </w:r>
    </w:p>
    <w:p w14:paraId="00000037" w14:textId="77777777" w:rsidR="007A0500" w:rsidRDefault="00E839FC" w:rsidP="00E37A3D">
      <w:pPr>
        <w:spacing w:line="360" w:lineRule="auto"/>
      </w:pPr>
      <w:r>
        <w:t xml:space="preserve">Josephus, </w:t>
      </w:r>
      <w:r>
        <w:rPr>
          <w:i/>
        </w:rPr>
        <w:t xml:space="preserve">Antiquities. </w:t>
      </w:r>
      <w:r>
        <w:t>W. Whitson (trans). 1895. Buffalo</w:t>
      </w:r>
    </w:p>
    <w:p w14:paraId="00000038" w14:textId="04B0A89A" w:rsidR="007A0500" w:rsidRDefault="00E839FC" w:rsidP="00E37A3D">
      <w:pPr>
        <w:spacing w:line="360" w:lineRule="auto"/>
      </w:pPr>
      <w:r>
        <w:t xml:space="preserve">Tacitus. </w:t>
      </w:r>
      <w:r>
        <w:rPr>
          <w:i/>
        </w:rPr>
        <w:t xml:space="preserve">Annales. </w:t>
      </w:r>
      <w:r>
        <w:t>A. J. Church (trans). 1942. New York. Random House.</w:t>
      </w:r>
    </w:p>
    <w:p w14:paraId="7B59A4EC" w14:textId="5C47FF5A" w:rsidR="00386060" w:rsidRDefault="00386060" w:rsidP="00E37A3D">
      <w:pPr>
        <w:spacing w:line="360" w:lineRule="auto"/>
      </w:pPr>
      <w:r>
        <w:t>Religious texts:</w:t>
      </w:r>
    </w:p>
    <w:p w14:paraId="511C187B" w14:textId="386428E0" w:rsidR="00386060" w:rsidRDefault="00386060" w:rsidP="00E37A3D">
      <w:pPr>
        <w:spacing w:line="360" w:lineRule="auto"/>
      </w:pPr>
      <w:r>
        <w:t>Matthew. 27, Holy Bible: King James version</w:t>
      </w:r>
    </w:p>
    <w:p w14:paraId="6FD56A8D" w14:textId="4D462171" w:rsidR="00533E1E" w:rsidRDefault="00533E1E" w:rsidP="00E37A3D">
      <w:pPr>
        <w:spacing w:line="360" w:lineRule="auto"/>
      </w:pPr>
      <w:r>
        <w:t>Modern historiography:</w:t>
      </w:r>
    </w:p>
    <w:p w14:paraId="167DB9FB" w14:textId="65EE21A8" w:rsidR="00533E1E" w:rsidRPr="00533E1E" w:rsidRDefault="00533E1E" w:rsidP="00E37A3D">
      <w:pPr>
        <w:spacing w:line="360" w:lineRule="auto"/>
      </w:pPr>
      <w:r>
        <w:t xml:space="preserve">Ascough. R. </w:t>
      </w:r>
      <w:r w:rsidR="00FC3142">
        <w:t>(</w:t>
      </w:r>
      <w:r>
        <w:t>2009</w:t>
      </w:r>
      <w:r w:rsidR="00FC3142">
        <w:t>)</w:t>
      </w:r>
      <w:r>
        <w:t xml:space="preserve">. </w:t>
      </w:r>
      <w:r w:rsidRPr="00533E1E">
        <w:rPr>
          <w:i/>
        </w:rPr>
        <w:t>Jesus: Real to Reel</w:t>
      </w:r>
      <w:r>
        <w:rPr>
          <w:i/>
        </w:rPr>
        <w:t xml:space="preserve">. </w:t>
      </w:r>
      <w:r w:rsidR="007F5851">
        <w:t>Volume 29, Number 2. Atlasaerials</w:t>
      </w:r>
    </w:p>
    <w:p w14:paraId="00000039" w14:textId="36E3AD24" w:rsidR="007A0500" w:rsidRDefault="00E839FC" w:rsidP="00E37A3D">
      <w:pPr>
        <w:spacing w:line="360" w:lineRule="auto"/>
      </w:pPr>
      <w:r>
        <w:t>Baumann. R.</w:t>
      </w:r>
      <w:r w:rsidR="00533E1E">
        <w:t xml:space="preserve"> </w:t>
      </w:r>
      <w:r w:rsidR="00FC3142">
        <w:t>(</w:t>
      </w:r>
      <w:r w:rsidR="00533E1E">
        <w:t>1992</w:t>
      </w:r>
      <w:r w:rsidR="00FC3142">
        <w:t>)</w:t>
      </w:r>
      <w:r w:rsidR="00533E1E">
        <w:t>.</w:t>
      </w:r>
      <w:r>
        <w:t xml:space="preserve"> </w:t>
      </w:r>
      <w:r>
        <w:rPr>
          <w:i/>
        </w:rPr>
        <w:t>Women and Politics in Ancient Rome.</w:t>
      </w:r>
      <w:r>
        <w:t xml:space="preserve"> London: Routlege</w:t>
      </w:r>
    </w:p>
    <w:p w14:paraId="0000003A" w14:textId="68060BF6" w:rsidR="007A0500" w:rsidRDefault="00E839FC" w:rsidP="00E37A3D">
      <w:pPr>
        <w:spacing w:line="360" w:lineRule="auto"/>
      </w:pPr>
      <w:r>
        <w:t xml:space="preserve">Benko. S. </w:t>
      </w:r>
      <w:r w:rsidR="00FC3142">
        <w:t>(</w:t>
      </w:r>
      <w:r>
        <w:t>2012</w:t>
      </w:r>
      <w:r w:rsidR="00FC3142">
        <w:t>)</w:t>
      </w:r>
      <w:r>
        <w:t xml:space="preserve">. </w:t>
      </w:r>
      <w:r>
        <w:rPr>
          <w:i/>
        </w:rPr>
        <w:t xml:space="preserve">Ironic Faith in Monty Python’s Life of Brian. </w:t>
      </w:r>
      <w:r>
        <w:t>Journal of Religion &amp; Fil</w:t>
      </w:r>
      <w:r w:rsidR="00DE567F">
        <w:t>m: Vol. 16 : Iss. 1 , Article 6.</w:t>
      </w:r>
    </w:p>
    <w:p w14:paraId="2DDCCB0E" w14:textId="010FFFFD" w:rsidR="00DE567F" w:rsidRPr="00DE567F" w:rsidRDefault="00DE567F" w:rsidP="00E37A3D">
      <w:pPr>
        <w:spacing w:line="360" w:lineRule="auto"/>
      </w:pPr>
      <w:r>
        <w:t>Crossely. J.</w:t>
      </w:r>
      <w:r w:rsidR="00FC3142">
        <w:t xml:space="preserve"> (2011)</w:t>
      </w:r>
      <w:r>
        <w:t xml:space="preserve"> </w:t>
      </w:r>
      <w:r w:rsidRPr="00DE567F">
        <w:rPr>
          <w:i/>
        </w:rPr>
        <w:t>Life of Brian or Life of Jesus? Uses of Critical Biblical Scholarship and Non-orthodox Views of Jesus in Monty Python's Life of Brian</w:t>
      </w:r>
      <w:r>
        <w:rPr>
          <w:i/>
        </w:rPr>
        <w:t xml:space="preserve">. </w:t>
      </w:r>
      <w:r>
        <w:t>London: Relegare</w:t>
      </w:r>
    </w:p>
    <w:p w14:paraId="481AD4B1" w14:textId="6CEE29A2" w:rsidR="00755CC6" w:rsidRDefault="008C7136" w:rsidP="00E37A3D">
      <w:pPr>
        <w:spacing w:line="360" w:lineRule="auto"/>
      </w:pPr>
      <w:r>
        <w:t>Evans. C</w:t>
      </w:r>
      <w:r w:rsidR="000342D0">
        <w:t>.</w:t>
      </w:r>
      <w:r w:rsidRPr="008C7136">
        <w:t xml:space="preserve"> </w:t>
      </w:r>
      <w:r w:rsidR="00FC3142">
        <w:t>(</w:t>
      </w:r>
      <w:r w:rsidRPr="008C7136">
        <w:t>2003</w:t>
      </w:r>
      <w:r w:rsidR="00FC3142">
        <w:t>)</w:t>
      </w:r>
      <w:r w:rsidRPr="008C7136">
        <w:t>.</w:t>
      </w:r>
      <w:r w:rsidR="00533E1E">
        <w:t xml:space="preserve"> </w:t>
      </w:r>
      <w:r w:rsidRPr="008C7136">
        <w:rPr>
          <w:i/>
        </w:rPr>
        <w:t>Jesus and the ossuaries</w:t>
      </w:r>
      <w:r>
        <w:t xml:space="preserve"> Baylor: </w:t>
      </w:r>
      <w:r w:rsidRPr="008C7136">
        <w:t xml:space="preserve">Baylor University Press, </w:t>
      </w:r>
    </w:p>
    <w:p w14:paraId="6D46E3E0" w14:textId="1F7B940A" w:rsidR="000342D0" w:rsidRDefault="000342D0" w:rsidP="00E37A3D">
      <w:pPr>
        <w:spacing w:line="360" w:lineRule="auto"/>
      </w:pPr>
      <w:r>
        <w:t xml:space="preserve">Evans. G. </w:t>
      </w:r>
      <w:r w:rsidR="00FC3142">
        <w:t>(</w:t>
      </w:r>
      <w:r>
        <w:t>1974</w:t>
      </w:r>
      <w:r w:rsidR="00FC3142">
        <w:t>)</w:t>
      </w:r>
      <w:r>
        <w:t xml:space="preserve">. </w:t>
      </w:r>
      <w:r w:rsidRPr="000342D0">
        <w:rPr>
          <w:i/>
        </w:rPr>
        <w:t>The Riverside Shakespeare</w:t>
      </w:r>
      <w:r w:rsidRPr="000342D0">
        <w:t>. Boston: Houghton Mifflin.</w:t>
      </w:r>
    </w:p>
    <w:p w14:paraId="34423FE3" w14:textId="5E7A4E2F" w:rsidR="00F37C82" w:rsidRPr="00F37C82" w:rsidRDefault="00F37C82" w:rsidP="00E37A3D">
      <w:pPr>
        <w:spacing w:line="360" w:lineRule="auto"/>
      </w:pPr>
      <w:r>
        <w:t xml:space="preserve">Housel. E. (2010). </w:t>
      </w:r>
      <w:r w:rsidRPr="00F37C82">
        <w:rPr>
          <w:i/>
        </w:rPr>
        <w:t>Monty Python and Philosophy: Nudge Nudge, Think Think!</w:t>
      </w:r>
      <w:r>
        <w:t xml:space="preserve"> Peru, Illinois. Carus Publishing company</w:t>
      </w:r>
    </w:p>
    <w:p w14:paraId="0000003B" w14:textId="47C374B6" w:rsidR="007A0500" w:rsidRDefault="00E839FC" w:rsidP="00E37A3D">
      <w:pPr>
        <w:spacing w:line="360" w:lineRule="auto"/>
      </w:pPr>
      <w:r>
        <w:t xml:space="preserve">Larsen. D. </w:t>
      </w:r>
      <w:r w:rsidR="00FC3142">
        <w:t>(</w:t>
      </w:r>
      <w:r>
        <w:t>2010</w:t>
      </w:r>
      <w:r w:rsidR="00FC3142">
        <w:t>)</w:t>
      </w:r>
      <w:r>
        <w:t xml:space="preserve">. </w:t>
      </w:r>
      <w:r>
        <w:rPr>
          <w:i/>
        </w:rPr>
        <w:t>Monty Python, Shakespeare and English Renaissance Drama.</w:t>
      </w:r>
      <w:r>
        <w:t xml:space="preserve"> Jefferson. Mcfarland</w:t>
      </w:r>
    </w:p>
    <w:p w14:paraId="5DCBE4D5" w14:textId="578592E7" w:rsidR="005B5845" w:rsidRDefault="00E839FC" w:rsidP="00E37A3D">
      <w:pPr>
        <w:spacing w:line="360" w:lineRule="auto"/>
      </w:pPr>
      <w:r>
        <w:t xml:space="preserve">McGinn. T. </w:t>
      </w:r>
      <w:r w:rsidR="00FC3142">
        <w:t>(</w:t>
      </w:r>
      <w:r>
        <w:t>1998</w:t>
      </w:r>
      <w:r w:rsidR="00FC3142">
        <w:t>)</w:t>
      </w:r>
      <w:r>
        <w:t xml:space="preserve">. </w:t>
      </w:r>
      <w:r>
        <w:rPr>
          <w:i/>
        </w:rPr>
        <w:t xml:space="preserve">Prostitution, Sexuality, and the Law in Ancient Rome. </w:t>
      </w:r>
      <w:r>
        <w:t>Oxford: Oxford University Press</w:t>
      </w:r>
    </w:p>
    <w:p w14:paraId="3F837C61" w14:textId="37D3666F" w:rsidR="00755CC6" w:rsidRDefault="005B5845" w:rsidP="00E37A3D">
      <w:pPr>
        <w:spacing w:line="360" w:lineRule="auto"/>
      </w:pPr>
      <w:r>
        <w:t xml:space="preserve">Otto. K. </w:t>
      </w:r>
      <w:r w:rsidR="00FC3142">
        <w:t>(</w:t>
      </w:r>
      <w:r>
        <w:t>2001</w:t>
      </w:r>
      <w:r w:rsidR="00FC3142">
        <w:t>)</w:t>
      </w:r>
      <w:r>
        <w:t xml:space="preserve">. </w:t>
      </w:r>
      <w:r w:rsidRPr="005B5845">
        <w:rPr>
          <w:i/>
        </w:rPr>
        <w:t>Fools Are Everywhere: The Court Jester Around the World</w:t>
      </w:r>
      <w:r>
        <w:rPr>
          <w:i/>
        </w:rPr>
        <w:t xml:space="preserve">. </w:t>
      </w:r>
      <w:r>
        <w:t>Chicago: University of Chicage Press.</w:t>
      </w:r>
    </w:p>
    <w:p w14:paraId="74CA8914" w14:textId="23FBB322" w:rsidR="00755CC6" w:rsidRDefault="00755CC6" w:rsidP="00E37A3D">
      <w:pPr>
        <w:spacing w:line="360" w:lineRule="auto"/>
      </w:pPr>
      <w:r>
        <w:t>Price. R</w:t>
      </w:r>
      <w:r w:rsidRPr="00755CC6">
        <w:rPr>
          <w:i/>
        </w:rPr>
        <w:t>.</w:t>
      </w:r>
      <w:r w:rsidR="00FC3142">
        <w:t xml:space="preserve"> (2000)</w:t>
      </w:r>
      <w:r w:rsidRPr="00755CC6">
        <w:rPr>
          <w:i/>
        </w:rPr>
        <w:t xml:space="preserve"> Deconstructing Jesus</w:t>
      </w:r>
      <w:r w:rsidRPr="00755CC6">
        <w:t xml:space="preserve">. </w:t>
      </w:r>
      <w:r>
        <w:t xml:space="preserve">New York: </w:t>
      </w:r>
      <w:r w:rsidRPr="00755CC6">
        <w:t>Prometheus Books</w:t>
      </w:r>
    </w:p>
    <w:p w14:paraId="74606277" w14:textId="40FC63A7" w:rsidR="00E07D45" w:rsidRDefault="00E07D45" w:rsidP="00E37A3D">
      <w:pPr>
        <w:spacing w:line="360" w:lineRule="auto"/>
      </w:pPr>
      <w:r>
        <w:t xml:space="preserve">Reay. P. </w:t>
      </w:r>
      <w:r w:rsidR="00FC3142">
        <w:t>(</w:t>
      </w:r>
      <w:r>
        <w:t>2004.</w:t>
      </w:r>
      <w:r w:rsidR="00FC3142">
        <w:t>)</w:t>
      </w:r>
      <w:r>
        <w:t xml:space="preserve"> </w:t>
      </w:r>
      <w:r w:rsidRPr="00E07D45">
        <w:rPr>
          <w:i/>
        </w:rPr>
        <w:t>Music in Film: Soundtracks and Synergy</w:t>
      </w:r>
      <w:r>
        <w:rPr>
          <w:i/>
        </w:rPr>
        <w:t xml:space="preserve">. </w:t>
      </w:r>
      <w:r>
        <w:t>London: Wallflower Press</w:t>
      </w:r>
    </w:p>
    <w:p w14:paraId="14294E94" w14:textId="456C73CA" w:rsidR="009B495B" w:rsidRPr="009B495B" w:rsidRDefault="009B495B" w:rsidP="00E37A3D">
      <w:pPr>
        <w:spacing w:line="360" w:lineRule="auto"/>
      </w:pPr>
      <w:r>
        <w:t xml:space="preserve">Robinson. </w:t>
      </w:r>
      <w:r w:rsidR="00FC3142">
        <w:t>(</w:t>
      </w:r>
      <w:r>
        <w:t>2006.</w:t>
      </w:r>
      <w:r w:rsidR="00FC3142">
        <w:t>)</w:t>
      </w:r>
      <w:r>
        <w:t xml:space="preserve"> </w:t>
      </w:r>
      <w:r>
        <w:rPr>
          <w:i/>
        </w:rPr>
        <w:t xml:space="preserve">The Sources of Roman Law </w:t>
      </w:r>
      <w:r w:rsidRPr="009B495B">
        <w:rPr>
          <w:i/>
        </w:rPr>
        <w:t>Problems and Methods for Ancient Historians</w:t>
      </w:r>
      <w:r>
        <w:rPr>
          <w:i/>
        </w:rPr>
        <w:t xml:space="preserve">. </w:t>
      </w:r>
      <w:r>
        <w:t>London Routledge</w:t>
      </w:r>
    </w:p>
    <w:p w14:paraId="09151F08" w14:textId="59EF3F34" w:rsidR="00991406" w:rsidRDefault="00EB71C2" w:rsidP="00E37A3D">
      <w:pPr>
        <w:spacing w:line="360" w:lineRule="auto"/>
      </w:pPr>
      <w:r>
        <w:t>Shcilbrack. K.</w:t>
      </w:r>
      <w:r w:rsidR="00533E1E">
        <w:t xml:space="preserve"> </w:t>
      </w:r>
      <w:r w:rsidR="00FC3142">
        <w:t>(</w:t>
      </w:r>
      <w:r w:rsidR="00533E1E">
        <w:t>2011</w:t>
      </w:r>
      <w:r w:rsidR="00FC3142">
        <w:t>)</w:t>
      </w:r>
      <w:r>
        <w:t xml:space="preserve"> “</w:t>
      </w:r>
      <w:r w:rsidRPr="00EB71C2">
        <w:rPr>
          <w:i/>
        </w:rPr>
        <w:t>Life’s a Piece of Shit”: Heresy, Humanism, and Heroism in Monty Python’s Life of Brian</w:t>
      </w:r>
      <w:r>
        <w:rPr>
          <w:i/>
        </w:rPr>
        <w:t xml:space="preserve">. </w:t>
      </w:r>
      <w:r>
        <w:t>San Francisco. Academia.edu</w:t>
      </w:r>
    </w:p>
    <w:p w14:paraId="7AD9FD69" w14:textId="701F5767" w:rsidR="00D87BAA" w:rsidRPr="00D87BAA" w:rsidRDefault="00D87BAA" w:rsidP="00E37A3D">
      <w:pPr>
        <w:spacing w:line="360" w:lineRule="auto"/>
      </w:pPr>
      <w:r>
        <w:t xml:space="preserve">Smith. S. (2009). </w:t>
      </w:r>
      <w:r w:rsidRPr="00D87BAA">
        <w:rPr>
          <w:i/>
        </w:rPr>
        <w:t>Gender Roles &amp; Occupations: A Look at Character Attributes and Job-Related Aspirations in Film and Television</w:t>
      </w:r>
      <w:r>
        <w:rPr>
          <w:i/>
        </w:rPr>
        <w:t xml:space="preserve">. </w:t>
      </w:r>
      <w:r>
        <w:t xml:space="preserve">Los Angeles: University of Southern California. </w:t>
      </w:r>
    </w:p>
    <w:p w14:paraId="7CAB2B76" w14:textId="4B6A4264" w:rsidR="00533E1E" w:rsidRPr="00533E1E" w:rsidRDefault="00533E1E" w:rsidP="00E37A3D">
      <w:pPr>
        <w:spacing w:line="360" w:lineRule="auto"/>
      </w:pPr>
      <w:r>
        <w:t xml:space="preserve">Stott. A. </w:t>
      </w:r>
      <w:r w:rsidR="00FC3142">
        <w:t>(</w:t>
      </w:r>
      <w:r>
        <w:t>2004</w:t>
      </w:r>
      <w:r w:rsidR="00FC3142">
        <w:t>)</w:t>
      </w:r>
      <w:r>
        <w:t xml:space="preserve">. </w:t>
      </w:r>
      <w:r>
        <w:rPr>
          <w:i/>
        </w:rPr>
        <w:t xml:space="preserve">Comedy. </w:t>
      </w:r>
      <w:r>
        <w:t>London: Routledge.</w:t>
      </w:r>
    </w:p>
    <w:p w14:paraId="0000003D" w14:textId="5F3974FF" w:rsidR="007A0500" w:rsidRDefault="00E839FC" w:rsidP="00E37A3D">
      <w:pPr>
        <w:spacing w:line="360" w:lineRule="auto"/>
      </w:pPr>
      <w:r>
        <w:t xml:space="preserve">Taylor. J. </w:t>
      </w:r>
      <w:r w:rsidR="00FC3142">
        <w:t>(</w:t>
      </w:r>
      <w:r>
        <w:t>2015</w:t>
      </w:r>
      <w:r w:rsidR="00FC3142">
        <w:t>)</w:t>
      </w:r>
      <w:r>
        <w:t xml:space="preserve">. </w:t>
      </w:r>
      <w:r>
        <w:rPr>
          <w:i/>
        </w:rPr>
        <w:t xml:space="preserve">Jesus and Brian: Exploring the Historical Jesus and His Times Via Monty Python’s Life Of Brian. </w:t>
      </w:r>
      <w:r>
        <w:t>London. Bloomsbury.</w:t>
      </w:r>
    </w:p>
    <w:p w14:paraId="0000003E" w14:textId="29E2278A" w:rsidR="007A0500" w:rsidRDefault="00E839FC" w:rsidP="00E37A3D">
      <w:pPr>
        <w:spacing w:line="360" w:lineRule="auto"/>
      </w:pPr>
      <w:r>
        <w:t xml:space="preserve">Wilmut. R. </w:t>
      </w:r>
      <w:r w:rsidR="00FC3142">
        <w:t>(</w:t>
      </w:r>
      <w:r>
        <w:t>1980</w:t>
      </w:r>
      <w:r w:rsidR="00FC3142">
        <w:t>)</w:t>
      </w:r>
      <w:r>
        <w:t xml:space="preserve">. </w:t>
      </w:r>
      <w:r>
        <w:rPr>
          <w:i/>
        </w:rPr>
        <w:t>From Fringe to Flying Circus</w:t>
      </w:r>
      <w:r>
        <w:t>. London: Eyre Methuen Ltd</w:t>
      </w:r>
    </w:p>
    <w:p w14:paraId="0000003F" w14:textId="07BD10A4" w:rsidR="007A0500" w:rsidRDefault="0060467E" w:rsidP="00E37A3D">
      <w:pPr>
        <w:spacing w:line="360" w:lineRule="auto"/>
      </w:pPr>
      <w:r>
        <w:t>Winkler.</w:t>
      </w:r>
      <w:r w:rsidRPr="0060467E">
        <w:t xml:space="preserve"> M. </w:t>
      </w:r>
      <w:r w:rsidR="00FC3142">
        <w:t>(</w:t>
      </w:r>
      <w:r w:rsidRPr="0060467E">
        <w:t>2007</w:t>
      </w:r>
      <w:r w:rsidR="00FC3142">
        <w:t>)</w:t>
      </w:r>
      <w:r>
        <w:t xml:space="preserve">. </w:t>
      </w:r>
      <w:r w:rsidRPr="0060467E">
        <w:rPr>
          <w:i/>
        </w:rPr>
        <w:t>Spartacus: Film and History</w:t>
      </w:r>
      <w:r w:rsidRPr="0060467E">
        <w:t>,</w:t>
      </w:r>
      <w:r>
        <w:t xml:space="preserve"> Hoboken:</w:t>
      </w:r>
      <w:r w:rsidR="00D175FC">
        <w:t xml:space="preserve"> Wiley-Blackwell</w:t>
      </w:r>
    </w:p>
    <w:sectPr w:rsidR="007A0500">
      <w:pgSz w:w="11906" w:h="16838"/>
      <w:pgMar w:top="1440" w:right="1440" w:bottom="1440" w:left="1440" w:header="708"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000080" w16cid:durableId="2091019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4594B" w14:textId="77777777" w:rsidR="003F2CF8" w:rsidRDefault="003F2CF8">
      <w:pPr>
        <w:spacing w:after="0" w:line="240" w:lineRule="auto"/>
      </w:pPr>
      <w:r>
        <w:separator/>
      </w:r>
    </w:p>
  </w:endnote>
  <w:endnote w:type="continuationSeparator" w:id="0">
    <w:p w14:paraId="43CDD5EE" w14:textId="77777777" w:rsidR="003F2CF8" w:rsidRDefault="003F2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23F92" w14:textId="77777777" w:rsidR="003F2CF8" w:rsidRDefault="003F2CF8">
      <w:pPr>
        <w:spacing w:after="0" w:line="240" w:lineRule="auto"/>
      </w:pPr>
      <w:r>
        <w:separator/>
      </w:r>
    </w:p>
  </w:footnote>
  <w:footnote w:type="continuationSeparator" w:id="0">
    <w:p w14:paraId="23A767F0" w14:textId="77777777" w:rsidR="003F2CF8" w:rsidRDefault="003F2CF8">
      <w:pPr>
        <w:spacing w:after="0" w:line="240" w:lineRule="auto"/>
      </w:pPr>
      <w:r>
        <w:continuationSeparator/>
      </w:r>
    </w:p>
  </w:footnote>
  <w:footnote w:id="1">
    <w:p w14:paraId="00000040" w14:textId="2D651DD4" w:rsidR="007A0500" w:rsidRPr="00AA622E"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AA622E">
        <w:rPr>
          <w:color w:val="000000"/>
          <w:sz w:val="20"/>
          <w:szCs w:val="20"/>
        </w:rPr>
        <w:t>(Bradshaw. 2019)</w:t>
      </w:r>
    </w:p>
  </w:footnote>
  <w:footnote w:id="2">
    <w:p w14:paraId="00000041" w14:textId="49C4B362"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color w:val="000000"/>
          <w:sz w:val="20"/>
          <w:szCs w:val="20"/>
        </w:rPr>
        <w:t>Otto. 2001. 2</w:t>
      </w:r>
      <w:r w:rsidR="000342D0">
        <w:rPr>
          <w:color w:val="000000"/>
          <w:sz w:val="20"/>
          <w:szCs w:val="20"/>
        </w:rPr>
        <w:t>)</w:t>
      </w:r>
    </w:p>
  </w:footnote>
  <w:footnote w:id="3">
    <w:p w14:paraId="00000042" w14:textId="0CAD3BDB"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(Evans. 1974. 406)</w:t>
      </w:r>
    </w:p>
  </w:footnote>
  <w:footnote w:id="4">
    <w:p w14:paraId="00000043" w14:textId="420F577B"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color w:val="000000"/>
          <w:sz w:val="20"/>
          <w:szCs w:val="20"/>
        </w:rPr>
        <w:t>Otto. 2001. 2</w:t>
      </w:r>
      <w:r w:rsidR="000342D0">
        <w:rPr>
          <w:color w:val="000000"/>
          <w:sz w:val="20"/>
          <w:szCs w:val="20"/>
        </w:rPr>
        <w:t>)</w:t>
      </w:r>
    </w:p>
  </w:footnote>
  <w:footnote w:id="5">
    <w:p w14:paraId="6C171AA2" w14:textId="619BDA01" w:rsidR="00AF6CEC" w:rsidRDefault="00AF6CEC">
      <w:pPr>
        <w:pStyle w:val="FootnoteText"/>
      </w:pPr>
      <w:r>
        <w:rPr>
          <w:rStyle w:val="FootnoteReference"/>
        </w:rPr>
        <w:footnoteRef/>
      </w:r>
      <w:r w:rsidR="000342D0">
        <w:t xml:space="preserve"> (</w:t>
      </w:r>
      <w:r>
        <w:t>Shakespeare. 1623.</w:t>
      </w:r>
      <w:r w:rsidR="000342D0">
        <w:t>)</w:t>
      </w:r>
    </w:p>
  </w:footnote>
  <w:footnote w:id="6">
    <w:p w14:paraId="1A8BB577" w14:textId="3A3F96F9" w:rsidR="00AF6CEC" w:rsidRDefault="00AF6CEC">
      <w:pPr>
        <w:pStyle w:val="FootnoteText"/>
      </w:pPr>
      <w:r>
        <w:rPr>
          <w:rStyle w:val="FootnoteReference"/>
        </w:rPr>
        <w:footnoteRef/>
      </w:r>
      <w:r>
        <w:t xml:space="preserve"> </w:t>
      </w:r>
      <w:r w:rsidR="000342D0">
        <w:t>(</w:t>
      </w:r>
      <w:r>
        <w:t>Shakespeare. 1623.</w:t>
      </w:r>
      <w:r w:rsidR="000342D0">
        <w:t>)</w:t>
      </w:r>
    </w:p>
  </w:footnote>
  <w:footnote w:id="7">
    <w:p w14:paraId="762804BE" w14:textId="2D0C5649" w:rsidR="004F2B5A" w:rsidRPr="004F2B5A" w:rsidRDefault="004F2B5A">
      <w:pPr>
        <w:pStyle w:val="FootnoteText"/>
      </w:pPr>
      <w:r>
        <w:rPr>
          <w:rStyle w:val="FootnoteReference"/>
        </w:rPr>
        <w:footnoteRef/>
      </w:r>
      <w:r w:rsidR="00755CC6">
        <w:t>(</w:t>
      </w:r>
      <w:r>
        <w:rPr>
          <w:i/>
        </w:rPr>
        <w:t xml:space="preserve">Jesus of Nazareth. </w:t>
      </w:r>
      <w:r>
        <w:t>1977</w:t>
      </w:r>
      <w:r w:rsidR="00755CC6">
        <w:t>)</w:t>
      </w:r>
    </w:p>
  </w:footnote>
  <w:footnote w:id="8">
    <w:p w14:paraId="050CB0D3" w14:textId="0D4DE921" w:rsidR="00533E1E" w:rsidRPr="00533E1E" w:rsidRDefault="00533E1E">
      <w:pPr>
        <w:pStyle w:val="FootnoteText"/>
      </w:pPr>
      <w:r>
        <w:rPr>
          <w:rStyle w:val="FootnoteReference"/>
        </w:rPr>
        <w:footnoteRef/>
      </w:r>
      <w:r>
        <w:t xml:space="preserve"> </w:t>
      </w:r>
      <w:r w:rsidR="00755CC6">
        <w:t>(</w:t>
      </w:r>
      <w:r>
        <w:rPr>
          <w:i/>
        </w:rPr>
        <w:t xml:space="preserve">Life of Brian. </w:t>
      </w:r>
      <w:r>
        <w:t>1979.</w:t>
      </w:r>
      <w:r w:rsidR="00755CC6">
        <w:t>)</w:t>
      </w:r>
    </w:p>
  </w:footnote>
  <w:footnote w:id="9">
    <w:p w14:paraId="63FB6CAE" w14:textId="0319213D" w:rsidR="009B495B" w:rsidRDefault="009B495B">
      <w:pPr>
        <w:pStyle w:val="FootnoteText"/>
      </w:pPr>
      <w:r>
        <w:rPr>
          <w:rStyle w:val="FootnoteReference"/>
        </w:rPr>
        <w:footnoteRef/>
      </w:r>
      <w:r>
        <w:t xml:space="preserve"> </w:t>
      </w:r>
      <w:r w:rsidR="000342D0">
        <w:t>(</w:t>
      </w:r>
      <w:r>
        <w:t>Robinson. 2006.18</w:t>
      </w:r>
      <w:r w:rsidR="000342D0">
        <w:t>)</w:t>
      </w:r>
    </w:p>
  </w:footnote>
  <w:footnote w:id="10">
    <w:p w14:paraId="22012F73" w14:textId="131CB4C0" w:rsidR="00FD4782" w:rsidRPr="00FD4782" w:rsidRDefault="00FD4782">
      <w:pPr>
        <w:pStyle w:val="FootnoteText"/>
      </w:pPr>
      <w:r>
        <w:rPr>
          <w:rStyle w:val="FootnoteReference"/>
        </w:rPr>
        <w:footnoteRef/>
      </w:r>
      <w:r>
        <w:t xml:space="preserve"> </w:t>
      </w:r>
      <w:r>
        <w:rPr>
          <w:i/>
        </w:rPr>
        <w:t>Monty Python and the Holy Grail</w:t>
      </w:r>
      <w:r>
        <w:t>. 1975</w:t>
      </w:r>
    </w:p>
  </w:footnote>
  <w:footnote w:id="11">
    <w:p w14:paraId="38264FD3" w14:textId="158B35DA" w:rsidR="006A0CA0" w:rsidRDefault="006A0CA0">
      <w:pPr>
        <w:pStyle w:val="FootnoteText"/>
      </w:pPr>
      <w:r>
        <w:rPr>
          <w:rStyle w:val="FootnoteReference"/>
        </w:rPr>
        <w:footnoteRef/>
      </w:r>
      <w:r>
        <w:t xml:space="preserve"> (Shakespeare. 1623)</w:t>
      </w:r>
    </w:p>
  </w:footnote>
  <w:footnote w:id="12">
    <w:p w14:paraId="1341CECE" w14:textId="4A3BCCB8" w:rsidR="001E17CB" w:rsidRDefault="001E17CB" w:rsidP="001E17C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color w:val="000000"/>
          <w:sz w:val="20"/>
          <w:szCs w:val="20"/>
        </w:rPr>
        <w:t>Larsen. 2010. 14</w:t>
      </w:r>
      <w:r w:rsidR="000342D0">
        <w:rPr>
          <w:color w:val="000000"/>
          <w:sz w:val="20"/>
          <w:szCs w:val="20"/>
        </w:rPr>
        <w:t>)</w:t>
      </w:r>
    </w:p>
  </w:footnote>
  <w:footnote w:id="13">
    <w:p w14:paraId="1A09F3E7" w14:textId="6AC00296" w:rsidR="006A0CA0" w:rsidRPr="006A0CA0" w:rsidRDefault="006A0CA0">
      <w:pPr>
        <w:pStyle w:val="FootnoteText"/>
      </w:pPr>
      <w:r>
        <w:rPr>
          <w:rStyle w:val="FootnoteReference"/>
        </w:rPr>
        <w:footnoteRef/>
      </w:r>
      <w:r>
        <w:t xml:space="preserve"> </w:t>
      </w:r>
      <w:r>
        <w:rPr>
          <w:i/>
        </w:rPr>
        <w:t xml:space="preserve">Life of Brain. </w:t>
      </w:r>
      <w:r>
        <w:t>1979</w:t>
      </w:r>
    </w:p>
  </w:footnote>
  <w:footnote w:id="14">
    <w:p w14:paraId="0B7A6219" w14:textId="1A03438B" w:rsidR="009B495B" w:rsidRDefault="009B495B">
      <w:pPr>
        <w:pStyle w:val="FootnoteText"/>
      </w:pPr>
      <w:r>
        <w:rPr>
          <w:rStyle w:val="FootnoteReference"/>
        </w:rPr>
        <w:footnoteRef/>
      </w:r>
      <w:r>
        <w:t xml:space="preserve"> </w:t>
      </w:r>
      <w:r w:rsidR="000342D0">
        <w:t>(</w:t>
      </w:r>
      <w:r>
        <w:t>Larsen. 2010. 15</w:t>
      </w:r>
      <w:r w:rsidR="000342D0">
        <w:t>)</w:t>
      </w:r>
    </w:p>
  </w:footnote>
  <w:footnote w:id="15">
    <w:p w14:paraId="482C4753" w14:textId="54D3FA94" w:rsidR="006A0CA0" w:rsidRPr="006A0CA0" w:rsidRDefault="006A0CA0">
      <w:pPr>
        <w:pStyle w:val="FootnoteText"/>
      </w:pPr>
      <w:r>
        <w:rPr>
          <w:rStyle w:val="FootnoteReference"/>
        </w:rPr>
        <w:footnoteRef/>
      </w:r>
      <w:r>
        <w:t xml:space="preserve"> </w:t>
      </w:r>
      <w:r>
        <w:rPr>
          <w:i/>
        </w:rPr>
        <w:t>Life of Brian</w:t>
      </w:r>
      <w:r>
        <w:t>. 1979</w:t>
      </w:r>
    </w:p>
  </w:footnote>
  <w:footnote w:id="16">
    <w:p w14:paraId="5EA78070" w14:textId="45732578" w:rsidR="001E17CB" w:rsidRDefault="001E17CB" w:rsidP="001E17CB">
      <w:pPr>
        <w:pStyle w:val="FootnoteText"/>
      </w:pPr>
      <w:r>
        <w:rPr>
          <w:rStyle w:val="FootnoteReference"/>
        </w:rPr>
        <w:footnoteRef/>
      </w:r>
      <w:r>
        <w:t xml:space="preserve"> </w:t>
      </w:r>
      <w:r w:rsidR="000342D0">
        <w:t>(</w:t>
      </w:r>
      <w:r>
        <w:t>Evans. 2003. 45</w:t>
      </w:r>
      <w:r w:rsidR="000342D0">
        <w:t>)</w:t>
      </w:r>
    </w:p>
  </w:footnote>
  <w:footnote w:id="17">
    <w:p w14:paraId="73C6BC93" w14:textId="1B5C2BF7" w:rsidR="005B5845" w:rsidRPr="005B5845" w:rsidRDefault="005B5845">
      <w:pPr>
        <w:pStyle w:val="FootnoteText"/>
      </w:pPr>
      <w:r>
        <w:rPr>
          <w:rStyle w:val="FootnoteReference"/>
        </w:rPr>
        <w:footnoteRef/>
      </w:r>
      <w:r>
        <w:t xml:space="preserve"> </w:t>
      </w:r>
      <w:r w:rsidR="00755CC6">
        <w:t>(</w:t>
      </w:r>
      <w:r>
        <w:rPr>
          <w:i/>
        </w:rPr>
        <w:t xml:space="preserve">Life of Brian. </w:t>
      </w:r>
      <w:r>
        <w:t>1979.</w:t>
      </w:r>
      <w:r w:rsidR="00755CC6">
        <w:t>)</w:t>
      </w:r>
    </w:p>
  </w:footnote>
  <w:footnote w:id="18">
    <w:p w14:paraId="00000044" w14:textId="79094552"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755CC6">
        <w:rPr>
          <w:color w:val="000000"/>
          <w:sz w:val="20"/>
          <w:szCs w:val="20"/>
        </w:rPr>
        <w:t>(</w:t>
      </w:r>
      <w:r>
        <w:rPr>
          <w:i/>
          <w:color w:val="000000"/>
          <w:sz w:val="20"/>
          <w:szCs w:val="20"/>
        </w:rPr>
        <w:t xml:space="preserve">Cleopatra. </w:t>
      </w:r>
      <w:r>
        <w:rPr>
          <w:color w:val="000000"/>
          <w:sz w:val="20"/>
          <w:szCs w:val="20"/>
        </w:rPr>
        <w:t>1963.</w:t>
      </w:r>
      <w:r w:rsidR="00755CC6">
        <w:rPr>
          <w:color w:val="000000"/>
          <w:sz w:val="20"/>
          <w:szCs w:val="20"/>
        </w:rPr>
        <w:t>)</w:t>
      </w:r>
    </w:p>
  </w:footnote>
  <w:footnote w:id="19">
    <w:p w14:paraId="00000045" w14:textId="0D5FABD2"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755CC6">
        <w:rPr>
          <w:color w:val="000000"/>
          <w:sz w:val="20"/>
          <w:szCs w:val="20"/>
        </w:rPr>
        <w:t>(</w:t>
      </w:r>
      <w:r>
        <w:rPr>
          <w:i/>
          <w:color w:val="000000"/>
          <w:sz w:val="20"/>
          <w:szCs w:val="20"/>
        </w:rPr>
        <w:t>Ben-Hur</w:t>
      </w:r>
      <w:r>
        <w:rPr>
          <w:color w:val="000000"/>
          <w:sz w:val="20"/>
          <w:szCs w:val="20"/>
        </w:rPr>
        <w:t>. 1959.</w:t>
      </w:r>
      <w:r w:rsidR="00755CC6">
        <w:rPr>
          <w:color w:val="000000"/>
          <w:sz w:val="20"/>
          <w:szCs w:val="20"/>
        </w:rPr>
        <w:t>)</w:t>
      </w:r>
    </w:p>
  </w:footnote>
  <w:footnote w:id="20">
    <w:p w14:paraId="3EE3A8E0" w14:textId="7FA9FA30" w:rsidR="00D87BAA" w:rsidRDefault="00D87BAA">
      <w:pPr>
        <w:pStyle w:val="FootnoteText"/>
      </w:pPr>
      <w:r>
        <w:rPr>
          <w:rStyle w:val="FootnoteReference"/>
        </w:rPr>
        <w:footnoteRef/>
      </w:r>
      <w:r>
        <w:t xml:space="preserve"> (Housel. 2010 136)</w:t>
      </w:r>
    </w:p>
  </w:footnote>
  <w:footnote w:id="21">
    <w:p w14:paraId="00000046" w14:textId="2ECD14CE" w:rsidR="007A0500" w:rsidRPr="00755CC6"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sidR="00755CC6">
        <w:rPr>
          <w:color w:val="000000"/>
          <w:sz w:val="20"/>
          <w:szCs w:val="20"/>
        </w:rPr>
        <w:t>Bhaskar</w:t>
      </w:r>
      <w:r w:rsidR="00AA622E">
        <w:rPr>
          <w:color w:val="000000"/>
          <w:sz w:val="20"/>
          <w:szCs w:val="20"/>
        </w:rPr>
        <w:t>. 2019</w:t>
      </w:r>
      <w:r w:rsidR="000342D0">
        <w:rPr>
          <w:color w:val="000000"/>
          <w:sz w:val="20"/>
          <w:szCs w:val="20"/>
        </w:rPr>
        <w:t>)</w:t>
      </w:r>
    </w:p>
  </w:footnote>
  <w:footnote w:id="22">
    <w:p w14:paraId="7FECD5D4" w14:textId="0A4F4874" w:rsidR="005B5845" w:rsidRDefault="005B5845">
      <w:pPr>
        <w:pStyle w:val="FootnoteText"/>
      </w:pPr>
      <w:r>
        <w:rPr>
          <w:rStyle w:val="FootnoteReference"/>
        </w:rPr>
        <w:footnoteRef/>
      </w:r>
      <w:r>
        <w:t xml:space="preserve"> </w:t>
      </w:r>
      <w:r w:rsidR="000342D0">
        <w:t>(</w:t>
      </w:r>
      <w:r>
        <w:t>Taylor. 2010. 21</w:t>
      </w:r>
      <w:r w:rsidR="000342D0">
        <w:t>)</w:t>
      </w:r>
    </w:p>
  </w:footnote>
  <w:footnote w:id="23">
    <w:p w14:paraId="26911FC8" w14:textId="0085920F" w:rsidR="003664D6" w:rsidRPr="003664D6" w:rsidRDefault="003664D6">
      <w:pPr>
        <w:pStyle w:val="FootnoteText"/>
      </w:pPr>
      <w:r>
        <w:rPr>
          <w:rStyle w:val="FootnoteReference"/>
        </w:rPr>
        <w:footnoteRef/>
      </w:r>
      <w:r>
        <w:t xml:space="preserve"> (</w:t>
      </w:r>
      <w:r>
        <w:rPr>
          <w:i/>
        </w:rPr>
        <w:t xml:space="preserve">Life of Brian. </w:t>
      </w:r>
      <w:r>
        <w:t>1979)</w:t>
      </w:r>
    </w:p>
  </w:footnote>
  <w:footnote w:id="24">
    <w:p w14:paraId="00000047" w14:textId="46245639"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color w:val="000000"/>
          <w:sz w:val="20"/>
          <w:szCs w:val="20"/>
        </w:rPr>
        <w:t>Taylor. 2010. 21</w:t>
      </w:r>
      <w:r w:rsidR="000342D0">
        <w:rPr>
          <w:color w:val="000000"/>
          <w:sz w:val="20"/>
          <w:szCs w:val="20"/>
        </w:rPr>
        <w:t>)</w:t>
      </w:r>
    </w:p>
  </w:footnote>
  <w:footnote w:id="25">
    <w:p w14:paraId="7F900F4A" w14:textId="2A63EA5A" w:rsidR="00D87BAA" w:rsidRDefault="00D87BAA">
      <w:pPr>
        <w:pStyle w:val="FootnoteText"/>
      </w:pPr>
      <w:r>
        <w:rPr>
          <w:rStyle w:val="FootnoteReference"/>
        </w:rPr>
        <w:footnoteRef/>
      </w:r>
      <w:r>
        <w:t xml:space="preserve"> (Smith. 2009)</w:t>
      </w:r>
    </w:p>
  </w:footnote>
  <w:footnote w:id="26">
    <w:p w14:paraId="12AB6998" w14:textId="2FB61BAB" w:rsidR="00D175FC" w:rsidRDefault="00D175FC" w:rsidP="00D175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color w:val="000000"/>
          <w:sz w:val="20"/>
          <w:szCs w:val="20"/>
        </w:rPr>
        <w:t>Baumann. 1992. 100</w:t>
      </w:r>
      <w:r w:rsidR="000342D0">
        <w:rPr>
          <w:color w:val="000000"/>
          <w:sz w:val="20"/>
          <w:szCs w:val="20"/>
        </w:rPr>
        <w:t>)</w:t>
      </w:r>
    </w:p>
  </w:footnote>
  <w:footnote w:id="27">
    <w:p w14:paraId="54FEB9B2" w14:textId="3ADDD91C" w:rsidR="00D175FC" w:rsidRDefault="00D175FC" w:rsidP="00D175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color w:val="000000"/>
          <w:sz w:val="20"/>
          <w:szCs w:val="20"/>
        </w:rPr>
        <w:t>McGinn. 2011. 10</w:t>
      </w:r>
      <w:r w:rsidR="000342D0">
        <w:rPr>
          <w:color w:val="000000"/>
          <w:sz w:val="20"/>
          <w:szCs w:val="20"/>
        </w:rPr>
        <w:t>)</w:t>
      </w:r>
    </w:p>
  </w:footnote>
  <w:footnote w:id="28">
    <w:p w14:paraId="4B26B476" w14:textId="4F428851" w:rsidR="00D175FC" w:rsidRDefault="00D175FC" w:rsidP="00D175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color w:val="000000"/>
          <w:sz w:val="20"/>
          <w:szCs w:val="20"/>
        </w:rPr>
        <w:t>Tac. Ann. 12. 6</w:t>
      </w:r>
      <w:r w:rsidR="000342D0">
        <w:rPr>
          <w:color w:val="000000"/>
          <w:sz w:val="20"/>
          <w:szCs w:val="20"/>
        </w:rPr>
        <w:t>)</w:t>
      </w:r>
    </w:p>
  </w:footnote>
  <w:footnote w:id="29">
    <w:p w14:paraId="26E5E1B2" w14:textId="7B3B096A" w:rsidR="00D175FC" w:rsidRDefault="00D175FC" w:rsidP="00D175FC">
      <w:pPr>
        <w:pStyle w:val="FootnoteText"/>
      </w:pPr>
      <w:r>
        <w:rPr>
          <w:rStyle w:val="FootnoteReference"/>
        </w:rPr>
        <w:footnoteRef/>
      </w:r>
      <w:r>
        <w:t xml:space="preserve"> </w:t>
      </w:r>
      <w:r w:rsidR="000342D0">
        <w:t>(</w:t>
      </w:r>
      <w:r>
        <w:t>Taylor. 2010. 25</w:t>
      </w:r>
      <w:r w:rsidR="000342D0">
        <w:t>)</w:t>
      </w:r>
    </w:p>
  </w:footnote>
  <w:footnote w:id="30">
    <w:p w14:paraId="5C10206F" w14:textId="3E981704" w:rsidR="00D175FC" w:rsidRDefault="00D175FC" w:rsidP="00D175FC">
      <w:pPr>
        <w:pStyle w:val="FootnoteText"/>
      </w:pPr>
      <w:r>
        <w:rPr>
          <w:rStyle w:val="FootnoteReference"/>
        </w:rPr>
        <w:footnoteRef/>
      </w:r>
      <w:r>
        <w:t xml:space="preserve"> </w:t>
      </w:r>
      <w:r w:rsidR="00755CC6">
        <w:t>(</w:t>
      </w:r>
      <w:r w:rsidRPr="00302490">
        <w:rPr>
          <w:i/>
        </w:rPr>
        <w:t>Cleopatra</w:t>
      </w:r>
      <w:r>
        <w:t>. 1963</w:t>
      </w:r>
      <w:r w:rsidR="00755CC6">
        <w:t>)</w:t>
      </w:r>
    </w:p>
  </w:footnote>
  <w:footnote w:id="31">
    <w:p w14:paraId="71B93A0F" w14:textId="4A9075B1" w:rsidR="00D175FC" w:rsidRDefault="00D175FC" w:rsidP="00D175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color w:val="000000"/>
          <w:sz w:val="20"/>
          <w:szCs w:val="20"/>
        </w:rPr>
        <w:t>Taylor. 2015. 183</w:t>
      </w:r>
      <w:r w:rsidR="000342D0">
        <w:rPr>
          <w:color w:val="000000"/>
          <w:sz w:val="20"/>
          <w:szCs w:val="20"/>
        </w:rPr>
        <w:t>)</w:t>
      </w:r>
    </w:p>
  </w:footnote>
  <w:footnote w:id="32">
    <w:p w14:paraId="69F53554" w14:textId="4D029889" w:rsidR="00D175FC" w:rsidRDefault="00D175FC" w:rsidP="00D175FC">
      <w:pPr>
        <w:pStyle w:val="FootnoteText"/>
      </w:pPr>
      <w:r>
        <w:rPr>
          <w:rStyle w:val="FootnoteReference"/>
        </w:rPr>
        <w:footnoteRef/>
      </w:r>
      <w:r>
        <w:t xml:space="preserve"> </w:t>
      </w:r>
      <w:r w:rsidR="000342D0">
        <w:t>(</w:t>
      </w:r>
      <w:r>
        <w:t>Taylor. 2015. 183</w:t>
      </w:r>
      <w:r w:rsidR="000342D0">
        <w:t>)</w:t>
      </w:r>
    </w:p>
  </w:footnote>
  <w:footnote w:id="33">
    <w:p w14:paraId="7F0BB64C" w14:textId="33B529CD" w:rsidR="00D175FC" w:rsidRDefault="00D175FC" w:rsidP="00D175FC">
      <w:pPr>
        <w:pStyle w:val="FootnoteText"/>
      </w:pPr>
      <w:r>
        <w:rPr>
          <w:rStyle w:val="FootnoteReference"/>
        </w:rPr>
        <w:footnoteRef/>
      </w:r>
      <w:r>
        <w:t xml:space="preserve"> </w:t>
      </w:r>
      <w:r w:rsidR="000342D0">
        <w:t>(</w:t>
      </w:r>
      <w:r>
        <w:t>Wilmut. 1990. 250</w:t>
      </w:r>
      <w:r w:rsidR="000342D0">
        <w:t>)</w:t>
      </w:r>
    </w:p>
  </w:footnote>
  <w:footnote w:id="34">
    <w:p w14:paraId="750A66F1" w14:textId="614907AA" w:rsidR="00BA2189" w:rsidRDefault="00BA2189">
      <w:pPr>
        <w:pStyle w:val="FootnoteText"/>
      </w:pPr>
      <w:r>
        <w:rPr>
          <w:rStyle w:val="FootnoteReference"/>
        </w:rPr>
        <w:footnoteRef/>
      </w:r>
      <w:r>
        <w:t xml:space="preserve"> </w:t>
      </w:r>
      <w:r w:rsidR="000342D0">
        <w:t>(</w:t>
      </w:r>
      <w:r>
        <w:t>Wilmut. 1990. 250</w:t>
      </w:r>
      <w:r w:rsidR="000342D0">
        <w:t>)</w:t>
      </w:r>
    </w:p>
  </w:footnote>
  <w:footnote w:id="35">
    <w:p w14:paraId="457E45DF" w14:textId="0224CAF2" w:rsidR="00AF6CEC" w:rsidRPr="00AF6CEC" w:rsidRDefault="00AF6CEC">
      <w:pPr>
        <w:pStyle w:val="FootnoteText"/>
      </w:pPr>
      <w:r>
        <w:rPr>
          <w:rStyle w:val="FootnoteReference"/>
        </w:rPr>
        <w:footnoteRef/>
      </w:r>
      <w:r>
        <w:t xml:space="preserve"> </w:t>
      </w:r>
      <w:r w:rsidR="00755CC6">
        <w:t>(</w:t>
      </w:r>
      <w:r>
        <w:rPr>
          <w:i/>
        </w:rPr>
        <w:t>Spartacus</w:t>
      </w:r>
      <w:r>
        <w:t>. 1960</w:t>
      </w:r>
      <w:r w:rsidR="00755CC6">
        <w:t>)</w:t>
      </w:r>
    </w:p>
  </w:footnote>
  <w:footnote w:id="36">
    <w:p w14:paraId="4E2E5C3E" w14:textId="2F701369" w:rsidR="00AF6CEC" w:rsidRPr="00AF6CEC" w:rsidRDefault="00AF6CEC">
      <w:pPr>
        <w:pStyle w:val="FootnoteText"/>
      </w:pPr>
      <w:r>
        <w:rPr>
          <w:rStyle w:val="FootnoteReference"/>
        </w:rPr>
        <w:footnoteRef/>
      </w:r>
      <w:r>
        <w:t xml:space="preserve"> </w:t>
      </w:r>
      <w:r w:rsidR="000342D0">
        <w:t>(</w:t>
      </w:r>
      <w:r>
        <w:rPr>
          <w:i/>
        </w:rPr>
        <w:t xml:space="preserve">Life of Brian. </w:t>
      </w:r>
      <w:r>
        <w:t>1979.</w:t>
      </w:r>
      <w:r w:rsidR="000342D0">
        <w:t>)</w:t>
      </w:r>
    </w:p>
  </w:footnote>
  <w:footnote w:id="37">
    <w:p w14:paraId="58366C14" w14:textId="57EA5892" w:rsidR="002060BE" w:rsidRDefault="002060BE">
      <w:pPr>
        <w:pStyle w:val="FootnoteText"/>
      </w:pPr>
      <w:r>
        <w:rPr>
          <w:rStyle w:val="FootnoteReference"/>
        </w:rPr>
        <w:footnoteRef/>
      </w:r>
      <w:r>
        <w:t xml:space="preserve"> </w:t>
      </w:r>
      <w:r w:rsidR="000342D0">
        <w:t>(</w:t>
      </w:r>
      <w:r>
        <w:t>Ben-Hur. 1959</w:t>
      </w:r>
      <w:r w:rsidR="000342D0">
        <w:t>)</w:t>
      </w:r>
    </w:p>
  </w:footnote>
  <w:footnote w:id="38">
    <w:p w14:paraId="693B22DA" w14:textId="6E94FB6F" w:rsidR="00386060" w:rsidRDefault="00386060">
      <w:pPr>
        <w:pStyle w:val="FootnoteText"/>
      </w:pPr>
      <w:r>
        <w:rPr>
          <w:rStyle w:val="FootnoteReference"/>
        </w:rPr>
        <w:footnoteRef/>
      </w:r>
      <w:r>
        <w:t xml:space="preserve"> (Matthew. 27)</w:t>
      </w:r>
    </w:p>
  </w:footnote>
  <w:footnote w:id="39">
    <w:p w14:paraId="4CC9E4E0" w14:textId="5031357B" w:rsidR="00DF5F92" w:rsidRPr="00DF5F92" w:rsidRDefault="00DF5F92">
      <w:pPr>
        <w:pStyle w:val="FootnoteText"/>
      </w:pPr>
      <w:r>
        <w:rPr>
          <w:rStyle w:val="FootnoteReference"/>
        </w:rPr>
        <w:footnoteRef/>
      </w:r>
      <w:r>
        <w:t xml:space="preserve"> </w:t>
      </w:r>
      <w:r w:rsidR="000342D0">
        <w:t>(</w:t>
      </w:r>
      <w:r>
        <w:rPr>
          <w:i/>
        </w:rPr>
        <w:t xml:space="preserve">Life of Brian. </w:t>
      </w:r>
      <w:r>
        <w:t>1979</w:t>
      </w:r>
      <w:r w:rsidR="000342D0">
        <w:t>)</w:t>
      </w:r>
    </w:p>
  </w:footnote>
  <w:footnote w:id="40">
    <w:p w14:paraId="4A478CD4" w14:textId="6E427EBF" w:rsidR="001E17CB" w:rsidRDefault="001E17CB">
      <w:pPr>
        <w:pStyle w:val="FootnoteText"/>
      </w:pPr>
      <w:r>
        <w:rPr>
          <w:rStyle w:val="FootnoteReference"/>
        </w:rPr>
        <w:footnoteRef/>
      </w:r>
      <w:r>
        <w:t xml:space="preserve"> </w:t>
      </w:r>
      <w:r w:rsidR="000342D0">
        <w:t>(</w:t>
      </w:r>
      <w:r>
        <w:t>Davies. 1998. 400</w:t>
      </w:r>
      <w:r w:rsidR="000342D0">
        <w:t>)</w:t>
      </w:r>
    </w:p>
  </w:footnote>
  <w:footnote w:id="41">
    <w:p w14:paraId="00000048" w14:textId="52AC9CE0"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color w:val="000000"/>
          <w:sz w:val="20"/>
          <w:szCs w:val="20"/>
        </w:rPr>
        <w:t>Davies. 1998. 400</w:t>
      </w:r>
      <w:r w:rsidR="000342D0">
        <w:rPr>
          <w:color w:val="000000"/>
          <w:sz w:val="20"/>
          <w:szCs w:val="20"/>
        </w:rPr>
        <w:t>)</w:t>
      </w:r>
    </w:p>
  </w:footnote>
  <w:footnote w:id="42">
    <w:p w14:paraId="5AB7743F" w14:textId="1EE1E3FC" w:rsidR="00DF5F92" w:rsidRPr="00DF5F92" w:rsidRDefault="00DF5F92">
      <w:pPr>
        <w:pStyle w:val="FootnoteText"/>
      </w:pPr>
      <w:r>
        <w:rPr>
          <w:rStyle w:val="FootnoteReference"/>
        </w:rPr>
        <w:footnoteRef/>
      </w:r>
      <w:r>
        <w:t xml:space="preserve"> </w:t>
      </w:r>
      <w:r w:rsidR="000342D0">
        <w:t>(</w:t>
      </w:r>
      <w:r>
        <w:rPr>
          <w:i/>
        </w:rPr>
        <w:t xml:space="preserve">Life of Brian. </w:t>
      </w:r>
      <w:r>
        <w:t>1979</w:t>
      </w:r>
      <w:r w:rsidR="000342D0">
        <w:t>)</w:t>
      </w:r>
    </w:p>
  </w:footnote>
  <w:footnote w:id="43">
    <w:p w14:paraId="65D40C09" w14:textId="5FFE544D" w:rsidR="00EB71C2" w:rsidRDefault="00EB71C2">
      <w:pPr>
        <w:pStyle w:val="FootnoteText"/>
      </w:pPr>
      <w:r>
        <w:rPr>
          <w:rStyle w:val="FootnoteReference"/>
        </w:rPr>
        <w:footnoteRef/>
      </w:r>
      <w:r>
        <w:t xml:space="preserve"> </w:t>
      </w:r>
      <w:r w:rsidR="000342D0">
        <w:t>(</w:t>
      </w:r>
      <w:r>
        <w:t>Schilbrack. 2011. 13</w:t>
      </w:r>
      <w:r w:rsidR="000342D0">
        <w:t>)</w:t>
      </w:r>
    </w:p>
  </w:footnote>
  <w:footnote w:id="44">
    <w:p w14:paraId="44BED62F" w14:textId="617EFBF2" w:rsidR="00533E1E" w:rsidRDefault="00533E1E">
      <w:pPr>
        <w:pStyle w:val="FootnoteText"/>
      </w:pPr>
      <w:r>
        <w:rPr>
          <w:rStyle w:val="FootnoteReference"/>
        </w:rPr>
        <w:footnoteRef/>
      </w:r>
      <w:r>
        <w:t xml:space="preserve"> </w:t>
      </w:r>
      <w:r w:rsidR="000342D0">
        <w:t>(</w:t>
      </w:r>
      <w:r>
        <w:t>Wilmut. 2007. 247</w:t>
      </w:r>
      <w:r w:rsidR="000342D0">
        <w:t>)</w:t>
      </w:r>
    </w:p>
  </w:footnote>
  <w:footnote w:id="45">
    <w:p w14:paraId="00000049" w14:textId="5BD205ED"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color w:val="000000"/>
          <w:sz w:val="20"/>
          <w:szCs w:val="20"/>
        </w:rPr>
        <w:t>Benko</w:t>
      </w:r>
      <w:r w:rsidR="00AF6CEC">
        <w:rPr>
          <w:color w:val="000000"/>
          <w:sz w:val="20"/>
          <w:szCs w:val="20"/>
        </w:rPr>
        <w:t>.</w:t>
      </w:r>
      <w:r>
        <w:rPr>
          <w:color w:val="000000"/>
          <w:sz w:val="20"/>
          <w:szCs w:val="20"/>
        </w:rPr>
        <w:t xml:space="preserve"> 2012. 6</w:t>
      </w:r>
      <w:r w:rsidR="000342D0">
        <w:rPr>
          <w:color w:val="000000"/>
          <w:sz w:val="20"/>
          <w:szCs w:val="20"/>
        </w:rPr>
        <w:t>)</w:t>
      </w:r>
    </w:p>
  </w:footnote>
  <w:footnote w:id="46">
    <w:p w14:paraId="3984D44F" w14:textId="13A05C1C" w:rsidR="00FD4782" w:rsidRPr="00FD4782" w:rsidRDefault="00FD4782">
      <w:pPr>
        <w:pStyle w:val="FootnoteText"/>
      </w:pPr>
      <w:r>
        <w:rPr>
          <w:rStyle w:val="FootnoteReference"/>
        </w:rPr>
        <w:footnoteRef/>
      </w:r>
      <w:r>
        <w:t xml:space="preserve"> (</w:t>
      </w:r>
      <w:r>
        <w:rPr>
          <w:i/>
        </w:rPr>
        <w:t xml:space="preserve">Monty Python Live! </w:t>
      </w:r>
      <w:r>
        <w:t>1998</w:t>
      </w:r>
      <w:r w:rsidR="006A0CA0">
        <w:t>.</w:t>
      </w:r>
      <w:r>
        <w:t>)</w:t>
      </w:r>
    </w:p>
  </w:footnote>
  <w:footnote w:id="47">
    <w:p w14:paraId="0000004A" w14:textId="4C1BBF74"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755CC6">
        <w:rPr>
          <w:color w:val="000000"/>
          <w:sz w:val="20"/>
          <w:szCs w:val="20"/>
        </w:rPr>
        <w:t>(</w:t>
      </w:r>
      <w:r>
        <w:rPr>
          <w:i/>
          <w:color w:val="000000"/>
          <w:sz w:val="20"/>
          <w:szCs w:val="20"/>
        </w:rPr>
        <w:t>Monty Python Live!</w:t>
      </w:r>
      <w:r>
        <w:rPr>
          <w:color w:val="000000"/>
          <w:sz w:val="20"/>
          <w:szCs w:val="20"/>
        </w:rPr>
        <w:t xml:space="preserve"> 1998.</w:t>
      </w:r>
      <w:r w:rsidR="00755CC6">
        <w:rPr>
          <w:color w:val="000000"/>
          <w:sz w:val="20"/>
          <w:szCs w:val="20"/>
        </w:rPr>
        <w:t>)</w:t>
      </w:r>
    </w:p>
  </w:footnote>
  <w:footnote w:id="48">
    <w:p w14:paraId="1D9869FB" w14:textId="09A624AF" w:rsidR="00AF6CEC" w:rsidRDefault="00AF6CEC">
      <w:pPr>
        <w:pStyle w:val="FootnoteText"/>
      </w:pPr>
      <w:r>
        <w:rPr>
          <w:rStyle w:val="FootnoteReference"/>
        </w:rPr>
        <w:footnoteRef/>
      </w:r>
      <w:r>
        <w:t xml:space="preserve"> </w:t>
      </w:r>
      <w:r w:rsidR="000342D0">
        <w:t>(</w:t>
      </w:r>
      <w:r>
        <w:t>Benko. 2012.6</w:t>
      </w:r>
      <w:r w:rsidR="000342D0">
        <w:t>)</w:t>
      </w:r>
    </w:p>
  </w:footnote>
  <w:footnote w:id="49">
    <w:p w14:paraId="13D1D53C" w14:textId="56618D29" w:rsidR="00AF6CEC" w:rsidRDefault="00AF6CEC">
      <w:pPr>
        <w:pStyle w:val="FootnoteText"/>
      </w:pPr>
      <w:r>
        <w:rPr>
          <w:rStyle w:val="FootnoteReference"/>
        </w:rPr>
        <w:footnoteRef/>
      </w:r>
      <w:r>
        <w:t xml:space="preserve"> </w:t>
      </w:r>
      <w:r w:rsidR="000342D0">
        <w:t>(</w:t>
      </w:r>
      <w:r>
        <w:t>Davies. 1998. 400</w:t>
      </w:r>
      <w:r w:rsidR="000342D0">
        <w:t>)</w:t>
      </w:r>
    </w:p>
  </w:footnote>
  <w:footnote w:id="50">
    <w:p w14:paraId="0000004B" w14:textId="51D7E667" w:rsidR="007A0500" w:rsidRDefault="00E839FC">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i/>
          <w:color w:val="000000"/>
          <w:sz w:val="20"/>
          <w:szCs w:val="20"/>
        </w:rPr>
        <w:t xml:space="preserve">Life of Brian. </w:t>
      </w:r>
      <w:r>
        <w:rPr>
          <w:color w:val="000000"/>
          <w:sz w:val="20"/>
          <w:szCs w:val="20"/>
        </w:rPr>
        <w:t>1979</w:t>
      </w:r>
      <w:r w:rsidR="000342D0">
        <w:rPr>
          <w:color w:val="000000"/>
          <w:sz w:val="20"/>
          <w:szCs w:val="20"/>
        </w:rPr>
        <w:t>)</w:t>
      </w:r>
    </w:p>
  </w:footnote>
  <w:footnote w:id="51">
    <w:p w14:paraId="1ACC7186" w14:textId="62AED6CE" w:rsidR="00AF6CEC" w:rsidRPr="00AF6CEC" w:rsidRDefault="00AF6CEC">
      <w:pPr>
        <w:pStyle w:val="FootnoteText"/>
      </w:pPr>
      <w:r>
        <w:rPr>
          <w:rStyle w:val="FootnoteReference"/>
        </w:rPr>
        <w:footnoteRef/>
      </w:r>
      <w:r>
        <w:t xml:space="preserve"> </w:t>
      </w:r>
      <w:r w:rsidR="000342D0">
        <w:t>(</w:t>
      </w:r>
      <w:r>
        <w:rPr>
          <w:i/>
        </w:rPr>
        <w:t xml:space="preserve">Life of Brian. </w:t>
      </w:r>
      <w:r>
        <w:t>1979</w:t>
      </w:r>
    </w:p>
  </w:footnote>
  <w:footnote w:id="52">
    <w:p w14:paraId="0000004C" w14:textId="77777777"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Jos. 5.11.4</w:t>
      </w:r>
    </w:p>
  </w:footnote>
  <w:footnote w:id="53">
    <w:p w14:paraId="0A9CF085" w14:textId="0F65A3E3" w:rsidR="00533E1E" w:rsidRDefault="00533E1E">
      <w:pPr>
        <w:pStyle w:val="FootnoteText"/>
      </w:pPr>
      <w:r>
        <w:rPr>
          <w:rStyle w:val="FootnoteReference"/>
        </w:rPr>
        <w:footnoteRef/>
      </w:r>
      <w:r>
        <w:t xml:space="preserve"> </w:t>
      </w:r>
      <w:r w:rsidR="00BD2B95">
        <w:t>(</w:t>
      </w:r>
      <w:r>
        <w:t>Stott. 2004. 130</w:t>
      </w:r>
      <w:r w:rsidR="00BD2B95">
        <w:t>)</w:t>
      </w:r>
    </w:p>
  </w:footnote>
  <w:footnote w:id="54">
    <w:p w14:paraId="0000004E" w14:textId="3200A63E"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755CC6">
        <w:rPr>
          <w:color w:val="000000"/>
          <w:sz w:val="20"/>
          <w:szCs w:val="20"/>
        </w:rPr>
        <w:t>(</w:t>
      </w:r>
      <w:r>
        <w:rPr>
          <w:i/>
          <w:color w:val="000000"/>
          <w:sz w:val="20"/>
          <w:szCs w:val="20"/>
        </w:rPr>
        <w:t xml:space="preserve">Life of Brian. </w:t>
      </w:r>
      <w:r>
        <w:rPr>
          <w:color w:val="000000"/>
          <w:sz w:val="20"/>
          <w:szCs w:val="20"/>
        </w:rPr>
        <w:t>1979.</w:t>
      </w:r>
      <w:r w:rsidR="00755CC6">
        <w:rPr>
          <w:color w:val="000000"/>
          <w:sz w:val="20"/>
          <w:szCs w:val="20"/>
        </w:rPr>
        <w:t>)</w:t>
      </w:r>
    </w:p>
  </w:footnote>
  <w:footnote w:id="55">
    <w:p w14:paraId="0000004F" w14:textId="51B0D56A"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755CC6">
        <w:rPr>
          <w:color w:val="000000"/>
          <w:sz w:val="20"/>
          <w:szCs w:val="20"/>
        </w:rPr>
        <w:t>(</w:t>
      </w:r>
      <w:r>
        <w:rPr>
          <w:i/>
          <w:color w:val="000000"/>
          <w:sz w:val="20"/>
          <w:szCs w:val="20"/>
        </w:rPr>
        <w:t xml:space="preserve">Life of Brian. </w:t>
      </w:r>
      <w:r>
        <w:rPr>
          <w:color w:val="000000"/>
          <w:sz w:val="20"/>
          <w:szCs w:val="20"/>
        </w:rPr>
        <w:t>1979.</w:t>
      </w:r>
      <w:r w:rsidR="00755CC6">
        <w:rPr>
          <w:color w:val="000000"/>
          <w:sz w:val="20"/>
          <w:szCs w:val="20"/>
        </w:rPr>
        <w:t>)</w:t>
      </w:r>
    </w:p>
  </w:footnote>
  <w:footnote w:id="56">
    <w:p w14:paraId="284F6CB3" w14:textId="18D464C1" w:rsidR="00854F7F" w:rsidRPr="00854F7F" w:rsidRDefault="00854F7F">
      <w:pPr>
        <w:pStyle w:val="FootnoteText"/>
      </w:pPr>
      <w:r>
        <w:rPr>
          <w:rStyle w:val="FootnoteReference"/>
        </w:rPr>
        <w:footnoteRef/>
      </w:r>
      <w:r>
        <w:t xml:space="preserve"> (</w:t>
      </w:r>
      <w:r>
        <w:rPr>
          <w:i/>
        </w:rPr>
        <w:t xml:space="preserve">Monty Python’s Flying Circus. </w:t>
      </w:r>
      <w:r>
        <w:t>1970)</w:t>
      </w:r>
    </w:p>
  </w:footnote>
  <w:footnote w:id="57">
    <w:p w14:paraId="00000050" w14:textId="48F7257C"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 xml:space="preserve"> </w:t>
      </w:r>
      <w:r w:rsidR="00D87BAA">
        <w:rPr>
          <w:color w:val="000000"/>
          <w:sz w:val="20"/>
          <w:szCs w:val="20"/>
        </w:rPr>
        <w:t>(Ebert</w:t>
      </w:r>
      <w:r w:rsidR="000342D0">
        <w:rPr>
          <w:color w:val="000000"/>
          <w:sz w:val="20"/>
          <w:szCs w:val="20"/>
        </w:rPr>
        <w:t xml:space="preserve">. </w:t>
      </w:r>
      <w:r w:rsidR="00D87BAA">
        <w:rPr>
          <w:color w:val="000000"/>
          <w:sz w:val="20"/>
          <w:szCs w:val="20"/>
        </w:rPr>
        <w:t>2004)</w:t>
      </w:r>
    </w:p>
  </w:footnote>
  <w:footnote w:id="58">
    <w:p w14:paraId="21726C6A" w14:textId="349ECE5A" w:rsidR="00D175FC" w:rsidRDefault="00D175FC">
      <w:pPr>
        <w:pStyle w:val="FootnoteText"/>
      </w:pPr>
      <w:r>
        <w:rPr>
          <w:rStyle w:val="FootnoteReference"/>
        </w:rPr>
        <w:footnoteRef/>
      </w:r>
      <w:r>
        <w:t xml:space="preserve"> </w:t>
      </w:r>
      <w:r w:rsidR="000342D0">
        <w:t>(</w:t>
      </w:r>
      <w:r>
        <w:t>Landy. 2005. 4</w:t>
      </w:r>
      <w:r w:rsidR="000342D0">
        <w:t>)</w:t>
      </w:r>
    </w:p>
  </w:footnote>
  <w:footnote w:id="59">
    <w:p w14:paraId="00000051" w14:textId="1B288D5F"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0342D0">
        <w:rPr>
          <w:color w:val="000000"/>
          <w:sz w:val="20"/>
          <w:szCs w:val="20"/>
        </w:rPr>
        <w:t>(</w:t>
      </w:r>
      <w:r>
        <w:rPr>
          <w:color w:val="000000"/>
          <w:sz w:val="20"/>
          <w:szCs w:val="20"/>
        </w:rPr>
        <w:t>Landy.2005. 4</w:t>
      </w:r>
      <w:r w:rsidR="000342D0">
        <w:rPr>
          <w:color w:val="000000"/>
          <w:sz w:val="20"/>
          <w:szCs w:val="20"/>
        </w:rPr>
        <w:t>)</w:t>
      </w:r>
    </w:p>
  </w:footnote>
  <w:footnote w:id="60">
    <w:p w14:paraId="00000052" w14:textId="77777777"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Jos. 5.11.4</w:t>
      </w:r>
    </w:p>
  </w:footnote>
  <w:footnote w:id="61">
    <w:p w14:paraId="1559FEB5" w14:textId="5608FFCD" w:rsidR="004935D3" w:rsidRPr="004935D3" w:rsidRDefault="004935D3">
      <w:pPr>
        <w:pStyle w:val="FootnoteText"/>
      </w:pPr>
      <w:r>
        <w:rPr>
          <w:rStyle w:val="FootnoteReference"/>
        </w:rPr>
        <w:footnoteRef/>
      </w:r>
      <w:r>
        <w:t xml:space="preserve"> </w:t>
      </w:r>
      <w:r w:rsidR="00755CC6">
        <w:t>(</w:t>
      </w:r>
      <w:r>
        <w:rPr>
          <w:i/>
        </w:rPr>
        <w:t xml:space="preserve">Life of Brian. </w:t>
      </w:r>
      <w:r>
        <w:t>1979</w:t>
      </w:r>
      <w:r w:rsidR="00755CC6">
        <w:t>)</w:t>
      </w:r>
    </w:p>
  </w:footnote>
  <w:footnote w:id="62">
    <w:p w14:paraId="00000053" w14:textId="67F4014E"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i/>
          <w:color w:val="000000"/>
          <w:sz w:val="20"/>
          <w:szCs w:val="20"/>
        </w:rPr>
        <w:t xml:space="preserve"> </w:t>
      </w:r>
      <w:r w:rsidR="00755CC6">
        <w:rPr>
          <w:i/>
          <w:color w:val="000000"/>
          <w:sz w:val="20"/>
          <w:szCs w:val="20"/>
        </w:rPr>
        <w:t>(</w:t>
      </w:r>
      <w:r>
        <w:rPr>
          <w:i/>
          <w:color w:val="000000"/>
          <w:sz w:val="20"/>
          <w:szCs w:val="20"/>
        </w:rPr>
        <w:t xml:space="preserve">Life of Brian. </w:t>
      </w:r>
      <w:r>
        <w:rPr>
          <w:color w:val="000000"/>
          <w:sz w:val="20"/>
          <w:szCs w:val="20"/>
        </w:rPr>
        <w:t>1979</w:t>
      </w:r>
      <w:r w:rsidR="00755CC6">
        <w:rPr>
          <w:color w:val="000000"/>
          <w:sz w:val="20"/>
          <w:szCs w:val="20"/>
        </w:rPr>
        <w:t>)</w:t>
      </w:r>
    </w:p>
  </w:footnote>
  <w:footnote w:id="63">
    <w:p w14:paraId="00000054" w14:textId="77777777"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Jos. 5.11.4</w:t>
      </w:r>
    </w:p>
  </w:footnote>
  <w:footnote w:id="64">
    <w:p w14:paraId="44040099" w14:textId="1F6EF93C" w:rsidR="004935D3" w:rsidRDefault="004935D3">
      <w:pPr>
        <w:pStyle w:val="FootnoteText"/>
      </w:pPr>
      <w:r>
        <w:rPr>
          <w:rStyle w:val="FootnoteReference"/>
        </w:rPr>
        <w:footnoteRef/>
      </w:r>
      <w:r w:rsidR="00755CC6">
        <w:t xml:space="preserve"> </w:t>
      </w:r>
      <w:r w:rsidR="00BD2B95">
        <w:t>(</w:t>
      </w:r>
      <w:r w:rsidR="00755CC6">
        <w:t>Price. 2000</w:t>
      </w:r>
      <w:r>
        <w:t>. 236</w:t>
      </w:r>
      <w:r w:rsidR="00BD2B95">
        <w:t>)</w:t>
      </w:r>
    </w:p>
  </w:footnote>
  <w:footnote w:id="65">
    <w:p w14:paraId="7BA66595" w14:textId="1C3B3EF5" w:rsidR="004935D3" w:rsidRDefault="004935D3">
      <w:pPr>
        <w:pStyle w:val="FootnoteText"/>
      </w:pPr>
      <w:r>
        <w:rPr>
          <w:rStyle w:val="FootnoteReference"/>
        </w:rPr>
        <w:footnoteRef/>
      </w:r>
      <w:r>
        <w:t xml:space="preserve"> Jos. 3.8.7</w:t>
      </w:r>
    </w:p>
  </w:footnote>
  <w:footnote w:id="66">
    <w:p w14:paraId="00000055" w14:textId="7EFDE37A"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755CC6">
        <w:rPr>
          <w:color w:val="000000"/>
          <w:sz w:val="20"/>
          <w:szCs w:val="20"/>
        </w:rPr>
        <w:t>(</w:t>
      </w:r>
      <w:r>
        <w:rPr>
          <w:i/>
          <w:color w:val="000000"/>
          <w:sz w:val="20"/>
          <w:szCs w:val="20"/>
        </w:rPr>
        <w:t xml:space="preserve">The Man with the Golden Gun. </w:t>
      </w:r>
      <w:r>
        <w:rPr>
          <w:color w:val="000000"/>
          <w:sz w:val="20"/>
          <w:szCs w:val="20"/>
        </w:rPr>
        <w:t>1974</w:t>
      </w:r>
      <w:r w:rsidR="00755CC6">
        <w:rPr>
          <w:color w:val="000000"/>
          <w:sz w:val="20"/>
          <w:szCs w:val="20"/>
        </w:rPr>
        <w:t>)</w:t>
      </w:r>
    </w:p>
  </w:footnote>
  <w:footnote w:id="67">
    <w:p w14:paraId="05593FB1" w14:textId="319604D1" w:rsidR="005B5845" w:rsidRDefault="005B5845">
      <w:pPr>
        <w:pStyle w:val="FootnoteText"/>
      </w:pPr>
      <w:r>
        <w:rPr>
          <w:rStyle w:val="FootnoteReference"/>
        </w:rPr>
        <w:footnoteRef/>
      </w:r>
      <w:r>
        <w:t xml:space="preserve"> Reay.2004. 57</w:t>
      </w:r>
    </w:p>
  </w:footnote>
  <w:footnote w:id="68">
    <w:p w14:paraId="3C199277" w14:textId="560BC9E2" w:rsidR="007F5851" w:rsidRDefault="007F5851">
      <w:pPr>
        <w:pStyle w:val="FootnoteText"/>
      </w:pPr>
      <w:r>
        <w:rPr>
          <w:rStyle w:val="FootnoteReference"/>
        </w:rPr>
        <w:footnoteRef/>
      </w:r>
      <w:r>
        <w:t xml:space="preserve"> Ascough. 2009. 181</w:t>
      </w:r>
    </w:p>
  </w:footnote>
  <w:footnote w:id="69">
    <w:p w14:paraId="74D38FA8" w14:textId="01CA69B6" w:rsidR="00533E1E" w:rsidRDefault="00533E1E">
      <w:pPr>
        <w:pStyle w:val="FootnoteText"/>
      </w:pPr>
      <w:r>
        <w:rPr>
          <w:rStyle w:val="FootnoteReference"/>
        </w:rPr>
        <w:footnoteRef/>
      </w:r>
      <w:r>
        <w:t xml:space="preserve"> Ascough. 2009. 181</w:t>
      </w:r>
    </w:p>
  </w:footnote>
  <w:footnote w:id="70">
    <w:p w14:paraId="7B479755" w14:textId="325B3F68" w:rsidR="00DE567F" w:rsidRDefault="00DE567F">
      <w:pPr>
        <w:pStyle w:val="FootnoteText"/>
      </w:pPr>
      <w:r>
        <w:rPr>
          <w:rStyle w:val="FootnoteReference"/>
        </w:rPr>
        <w:footnoteRef/>
      </w:r>
      <w:r>
        <w:t xml:space="preserve"> Crossely. 2011. 1</w:t>
      </w:r>
    </w:p>
  </w:footnote>
  <w:footnote w:id="71">
    <w:p w14:paraId="39C7514F" w14:textId="1B75BC5D" w:rsidR="00533E1E" w:rsidRPr="00533E1E" w:rsidRDefault="00533E1E">
      <w:pPr>
        <w:pStyle w:val="FootnoteText"/>
      </w:pPr>
      <w:r>
        <w:rPr>
          <w:rStyle w:val="FootnoteReference"/>
        </w:rPr>
        <w:footnoteRef/>
      </w:r>
      <w:r>
        <w:t xml:space="preserve"> </w:t>
      </w:r>
      <w:r w:rsidR="00755CC6">
        <w:t>(</w:t>
      </w:r>
      <w:r>
        <w:rPr>
          <w:i/>
        </w:rPr>
        <w:t xml:space="preserve">Life of Brian. </w:t>
      </w:r>
      <w:r>
        <w:t>1979</w:t>
      </w:r>
      <w:r w:rsidR="00755CC6">
        <w:t>)</w:t>
      </w:r>
    </w:p>
  </w:footnote>
  <w:footnote w:id="72">
    <w:p w14:paraId="0DB466F5" w14:textId="2BB07B48" w:rsidR="004A5589" w:rsidRPr="004A5589" w:rsidRDefault="004A5589">
      <w:pPr>
        <w:pStyle w:val="FootnoteText"/>
      </w:pPr>
      <w:r>
        <w:rPr>
          <w:rStyle w:val="FootnoteReference"/>
        </w:rPr>
        <w:footnoteRef/>
      </w:r>
      <w:r>
        <w:t xml:space="preserve"> </w:t>
      </w:r>
      <w:r w:rsidR="00755CC6">
        <w:t>(</w:t>
      </w:r>
      <w:r>
        <w:rPr>
          <w:i/>
        </w:rPr>
        <w:t xml:space="preserve">Spartacus. </w:t>
      </w:r>
      <w:r>
        <w:t>1960</w:t>
      </w:r>
      <w:r w:rsidR="00755CC6">
        <w:t>)</w:t>
      </w:r>
    </w:p>
  </w:footnote>
  <w:footnote w:id="73">
    <w:p w14:paraId="5147DE84" w14:textId="3C3A82AA" w:rsidR="00991406" w:rsidRDefault="00991406">
      <w:pPr>
        <w:pStyle w:val="FootnoteText"/>
      </w:pPr>
      <w:r>
        <w:rPr>
          <w:rStyle w:val="FootnoteReference"/>
        </w:rPr>
        <w:footnoteRef/>
      </w:r>
      <w:r>
        <w:t xml:space="preserve"> </w:t>
      </w:r>
      <w:r w:rsidR="00BD2B95">
        <w:t>(</w:t>
      </w:r>
      <w:r w:rsidR="0060467E">
        <w:t>Winkler. 2008. 7</w:t>
      </w:r>
      <w:r w:rsidR="00BD2B95">
        <w:t>)</w:t>
      </w:r>
    </w:p>
  </w:footnote>
  <w:footnote w:id="74">
    <w:p w14:paraId="0000005A" w14:textId="1241CD63"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sidR="008C7136">
        <w:rPr>
          <w:color w:val="000000"/>
          <w:sz w:val="20"/>
          <w:szCs w:val="20"/>
        </w:rPr>
        <w:t xml:space="preserve"> Wilmut</w:t>
      </w:r>
      <w:r>
        <w:rPr>
          <w:color w:val="000000"/>
          <w:sz w:val="20"/>
          <w:szCs w:val="20"/>
        </w:rPr>
        <w:t>. 1990. 250</w:t>
      </w:r>
    </w:p>
  </w:footnote>
  <w:footnote w:id="75">
    <w:p w14:paraId="0000005B" w14:textId="77777777" w:rsidR="007A0500" w:rsidRDefault="00E839F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Wilmut. 1990. 250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500"/>
    <w:rsid w:val="000342D0"/>
    <w:rsid w:val="00137C4C"/>
    <w:rsid w:val="001E17CB"/>
    <w:rsid w:val="001E5F99"/>
    <w:rsid w:val="001E6C6A"/>
    <w:rsid w:val="001F374A"/>
    <w:rsid w:val="002060BE"/>
    <w:rsid w:val="00245980"/>
    <w:rsid w:val="00250120"/>
    <w:rsid w:val="00302490"/>
    <w:rsid w:val="003664D6"/>
    <w:rsid w:val="00386060"/>
    <w:rsid w:val="003B0BFE"/>
    <w:rsid w:val="003B35BB"/>
    <w:rsid w:val="003C45C5"/>
    <w:rsid w:val="003F2CF8"/>
    <w:rsid w:val="004416A4"/>
    <w:rsid w:val="004935D3"/>
    <w:rsid w:val="004A5589"/>
    <w:rsid w:val="004F2B5A"/>
    <w:rsid w:val="00526CCE"/>
    <w:rsid w:val="00533E1E"/>
    <w:rsid w:val="005B5845"/>
    <w:rsid w:val="005D4C50"/>
    <w:rsid w:val="0060467E"/>
    <w:rsid w:val="006469FF"/>
    <w:rsid w:val="006A0CA0"/>
    <w:rsid w:val="006E0942"/>
    <w:rsid w:val="00755CC6"/>
    <w:rsid w:val="007A0500"/>
    <w:rsid w:val="007F5851"/>
    <w:rsid w:val="00807ABD"/>
    <w:rsid w:val="008106FF"/>
    <w:rsid w:val="00854F7F"/>
    <w:rsid w:val="00863E44"/>
    <w:rsid w:val="008C7136"/>
    <w:rsid w:val="00991406"/>
    <w:rsid w:val="00995A1D"/>
    <w:rsid w:val="009B495B"/>
    <w:rsid w:val="009D445A"/>
    <w:rsid w:val="00A4276C"/>
    <w:rsid w:val="00A64B62"/>
    <w:rsid w:val="00AA622E"/>
    <w:rsid w:val="00AF6CEC"/>
    <w:rsid w:val="00BA2189"/>
    <w:rsid w:val="00BC4DC9"/>
    <w:rsid w:val="00BD2B95"/>
    <w:rsid w:val="00C93A04"/>
    <w:rsid w:val="00CA4F6B"/>
    <w:rsid w:val="00CE0929"/>
    <w:rsid w:val="00D175FC"/>
    <w:rsid w:val="00D87BAA"/>
    <w:rsid w:val="00DB4104"/>
    <w:rsid w:val="00DE2664"/>
    <w:rsid w:val="00DE567F"/>
    <w:rsid w:val="00DF5F92"/>
    <w:rsid w:val="00E07D45"/>
    <w:rsid w:val="00E37A3D"/>
    <w:rsid w:val="00E839FC"/>
    <w:rsid w:val="00EA1D1B"/>
    <w:rsid w:val="00EB71C2"/>
    <w:rsid w:val="00F37C82"/>
    <w:rsid w:val="00FC3142"/>
    <w:rsid w:val="00FD4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A52FA"/>
  <w15:docId w15:val="{74C9D58D-AC32-47D7-B86B-ABD8CA3B9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C5F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133D0B"/>
    <w:pPr>
      <w:ind w:left="720"/>
      <w:contextualSpacing/>
    </w:pPr>
  </w:style>
  <w:style w:type="character" w:styleId="CommentReference">
    <w:name w:val="annotation reference"/>
    <w:basedOn w:val="DefaultParagraphFont"/>
    <w:uiPriority w:val="99"/>
    <w:semiHidden/>
    <w:unhideWhenUsed/>
    <w:rsid w:val="00427324"/>
    <w:rPr>
      <w:sz w:val="16"/>
      <w:szCs w:val="16"/>
    </w:rPr>
  </w:style>
  <w:style w:type="paragraph" w:styleId="CommentText">
    <w:name w:val="annotation text"/>
    <w:basedOn w:val="Normal"/>
    <w:link w:val="CommentTextChar"/>
    <w:uiPriority w:val="99"/>
    <w:semiHidden/>
    <w:unhideWhenUsed/>
    <w:rsid w:val="00427324"/>
    <w:pPr>
      <w:spacing w:line="240" w:lineRule="auto"/>
    </w:pPr>
    <w:rPr>
      <w:sz w:val="20"/>
      <w:szCs w:val="20"/>
    </w:rPr>
  </w:style>
  <w:style w:type="character" w:customStyle="1" w:styleId="CommentTextChar">
    <w:name w:val="Comment Text Char"/>
    <w:basedOn w:val="DefaultParagraphFont"/>
    <w:link w:val="CommentText"/>
    <w:uiPriority w:val="99"/>
    <w:semiHidden/>
    <w:rsid w:val="00427324"/>
    <w:rPr>
      <w:sz w:val="20"/>
      <w:szCs w:val="20"/>
    </w:rPr>
  </w:style>
  <w:style w:type="paragraph" w:styleId="CommentSubject">
    <w:name w:val="annotation subject"/>
    <w:basedOn w:val="CommentText"/>
    <w:next w:val="CommentText"/>
    <w:link w:val="CommentSubjectChar"/>
    <w:uiPriority w:val="99"/>
    <w:semiHidden/>
    <w:unhideWhenUsed/>
    <w:rsid w:val="00427324"/>
    <w:rPr>
      <w:b/>
      <w:bCs/>
    </w:rPr>
  </w:style>
  <w:style w:type="character" w:customStyle="1" w:styleId="CommentSubjectChar">
    <w:name w:val="Comment Subject Char"/>
    <w:basedOn w:val="CommentTextChar"/>
    <w:link w:val="CommentSubject"/>
    <w:uiPriority w:val="99"/>
    <w:semiHidden/>
    <w:rsid w:val="00427324"/>
    <w:rPr>
      <w:b/>
      <w:bCs/>
      <w:sz w:val="20"/>
      <w:szCs w:val="20"/>
    </w:rPr>
  </w:style>
  <w:style w:type="paragraph" w:styleId="BalloonText">
    <w:name w:val="Balloon Text"/>
    <w:basedOn w:val="Normal"/>
    <w:link w:val="BalloonTextChar"/>
    <w:uiPriority w:val="99"/>
    <w:semiHidden/>
    <w:unhideWhenUsed/>
    <w:rsid w:val="004273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324"/>
    <w:rPr>
      <w:rFonts w:ascii="Segoe UI" w:hAnsi="Segoe UI" w:cs="Segoe UI"/>
      <w:sz w:val="18"/>
      <w:szCs w:val="18"/>
    </w:rPr>
  </w:style>
  <w:style w:type="paragraph" w:styleId="FootnoteText">
    <w:name w:val="footnote text"/>
    <w:basedOn w:val="Normal"/>
    <w:link w:val="FootnoteTextChar"/>
    <w:uiPriority w:val="99"/>
    <w:semiHidden/>
    <w:unhideWhenUsed/>
    <w:rsid w:val="007C2D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2D66"/>
    <w:rPr>
      <w:sz w:val="20"/>
      <w:szCs w:val="20"/>
    </w:rPr>
  </w:style>
  <w:style w:type="character" w:styleId="FootnoteReference">
    <w:name w:val="footnote reference"/>
    <w:basedOn w:val="DefaultParagraphFont"/>
    <w:uiPriority w:val="99"/>
    <w:semiHidden/>
    <w:unhideWhenUsed/>
    <w:rsid w:val="007C2D66"/>
    <w:rPr>
      <w:vertAlign w:val="superscript"/>
    </w:rPr>
  </w:style>
  <w:style w:type="character" w:styleId="Hyperlink">
    <w:name w:val="Hyperlink"/>
    <w:basedOn w:val="DefaultParagraphFont"/>
    <w:uiPriority w:val="99"/>
    <w:unhideWhenUsed/>
    <w:rsid w:val="002E14C1"/>
    <w:rPr>
      <w:color w:val="0563C1" w:themeColor="hyperlink"/>
      <w:u w:val="single"/>
    </w:rPr>
  </w:style>
  <w:style w:type="character" w:customStyle="1" w:styleId="Heading1Char">
    <w:name w:val="Heading 1 Char"/>
    <w:basedOn w:val="DefaultParagraphFont"/>
    <w:link w:val="Heading1"/>
    <w:uiPriority w:val="9"/>
    <w:rsid w:val="001C5F95"/>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123398"/>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58925">
      <w:bodyDiv w:val="1"/>
      <w:marLeft w:val="0"/>
      <w:marRight w:val="0"/>
      <w:marTop w:val="0"/>
      <w:marBottom w:val="0"/>
      <w:divBdr>
        <w:top w:val="none" w:sz="0" w:space="0" w:color="auto"/>
        <w:left w:val="none" w:sz="0" w:space="0" w:color="auto"/>
        <w:bottom w:val="none" w:sz="0" w:space="0" w:color="auto"/>
        <w:right w:val="none" w:sz="0" w:space="0" w:color="auto"/>
      </w:divBdr>
    </w:div>
    <w:div w:id="1186600546">
      <w:bodyDiv w:val="1"/>
      <w:marLeft w:val="0"/>
      <w:marRight w:val="0"/>
      <w:marTop w:val="0"/>
      <w:marBottom w:val="0"/>
      <w:divBdr>
        <w:top w:val="none" w:sz="0" w:space="0" w:color="auto"/>
        <w:left w:val="none" w:sz="0" w:space="0" w:color="auto"/>
        <w:bottom w:val="none" w:sz="0" w:space="0" w:color="auto"/>
        <w:right w:val="none" w:sz="0" w:space="0" w:color="auto"/>
      </w:divBdr>
    </w:div>
    <w:div w:id="1226523435">
      <w:bodyDiv w:val="1"/>
      <w:marLeft w:val="0"/>
      <w:marRight w:val="0"/>
      <w:marTop w:val="0"/>
      <w:marBottom w:val="0"/>
      <w:divBdr>
        <w:top w:val="none" w:sz="0" w:space="0" w:color="auto"/>
        <w:left w:val="none" w:sz="0" w:space="0" w:color="auto"/>
        <w:bottom w:val="none" w:sz="0" w:space="0" w:color="auto"/>
        <w:right w:val="none" w:sz="0" w:space="0" w:color="auto"/>
      </w:divBdr>
    </w:div>
    <w:div w:id="1579555616">
      <w:bodyDiv w:val="1"/>
      <w:marLeft w:val="0"/>
      <w:marRight w:val="0"/>
      <w:marTop w:val="0"/>
      <w:marBottom w:val="0"/>
      <w:divBdr>
        <w:top w:val="none" w:sz="0" w:space="0" w:color="auto"/>
        <w:left w:val="none" w:sz="0" w:space="0" w:color="auto"/>
        <w:bottom w:val="none" w:sz="0" w:space="0" w:color="auto"/>
        <w:right w:val="none" w:sz="0" w:space="0" w:color="auto"/>
      </w:divBdr>
    </w:div>
    <w:div w:id="1637175863">
      <w:bodyDiv w:val="1"/>
      <w:marLeft w:val="0"/>
      <w:marRight w:val="0"/>
      <w:marTop w:val="0"/>
      <w:marBottom w:val="0"/>
      <w:divBdr>
        <w:top w:val="none" w:sz="0" w:space="0" w:color="auto"/>
        <w:left w:val="none" w:sz="0" w:space="0" w:color="auto"/>
        <w:bottom w:val="none" w:sz="0" w:space="0" w:color="auto"/>
        <w:right w:val="none" w:sz="0" w:space="0" w:color="auto"/>
      </w:divBdr>
    </w:div>
    <w:div w:id="1649439438">
      <w:bodyDiv w:val="1"/>
      <w:marLeft w:val="0"/>
      <w:marRight w:val="0"/>
      <w:marTop w:val="0"/>
      <w:marBottom w:val="0"/>
      <w:divBdr>
        <w:top w:val="none" w:sz="0" w:space="0" w:color="auto"/>
        <w:left w:val="none" w:sz="0" w:space="0" w:color="auto"/>
        <w:bottom w:val="none" w:sz="0" w:space="0" w:color="auto"/>
        <w:right w:val="none" w:sz="0" w:space="0" w:color="auto"/>
      </w:divBdr>
      <w:divsChild>
        <w:div w:id="128373111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ogerebert.com/reviews/monty-pythons-life-of-brian-2004" TargetMode="External"/><Relationship Id="rId3" Type="http://schemas.openxmlformats.org/officeDocument/2006/relationships/settings" Target="settings.xml"/><Relationship Id="rId7" Type="http://schemas.openxmlformats.org/officeDocument/2006/relationships/hyperlink" Target="https://www.theguardian.com/film/2019/apr/12/monty-pythons-life-of-brian-review"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E1466-4C6A-4D2A-A44A-5833852FF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5198</Words>
  <Characters>29635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Raybould</dc:creator>
  <cp:lastModifiedBy>Liam Raybould (1500458)</cp:lastModifiedBy>
  <cp:revision>9</cp:revision>
  <dcterms:created xsi:type="dcterms:W3CDTF">2019-05-24T17:43:00Z</dcterms:created>
  <dcterms:modified xsi:type="dcterms:W3CDTF">2019-05-24T17:57:00Z</dcterms:modified>
</cp:coreProperties>
</file>