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7546" w:rsidRDefault="002D054C" w:rsidP="001F4CE1">
      <w:pPr>
        <w:pStyle w:val="NormalWeb"/>
        <w:spacing w:before="0" w:beforeAutospacing="0" w:after="0" w:afterAutospacing="0"/>
        <w:ind w:left="-180" w:right="-334"/>
        <w:rPr>
          <w:rFonts w:ascii="Trebuchet MS" w:hAnsi="Trebuchet MS" w:cs="Tahoma"/>
          <w:sz w:val="24"/>
          <w:szCs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5pt;height:82.5pt" o:bordertopcolor="this" o:borderleftcolor="this" o:borderbottomcolor="this" o:borderrightcolor="this">
            <v:imagedata r:id="rId8" o:title="TSD_logo2010"/>
            <w10:bordertop type="single" width="12"/>
            <w10:borderleft type="single" width="12"/>
            <w10:borderbottom type="single" width="12"/>
            <w10:borderright type="single" width="12"/>
          </v:shape>
        </w:pict>
      </w:r>
    </w:p>
    <w:p w:rsidR="002E67CE" w:rsidRDefault="002E67CE" w:rsidP="00D121FD">
      <w:pPr>
        <w:pStyle w:val="Heading1"/>
        <w:jc w:val="center"/>
        <w:rPr>
          <w:lang w:val="cy-GB"/>
        </w:rPr>
      </w:pPr>
      <w:r>
        <w:rPr>
          <w:lang w:val="cy-GB"/>
        </w:rPr>
        <w:t>Undergraduate a</w:t>
      </w:r>
      <w:r w:rsidRPr="0065654E">
        <w:rPr>
          <w:lang w:val="cy-GB"/>
        </w:rPr>
        <w:t>ssignment</w:t>
      </w:r>
      <w:r w:rsidR="00D121FD">
        <w:rPr>
          <w:lang w:val="cy-GB"/>
        </w:rPr>
        <w:t xml:space="preserve"> </w:t>
      </w:r>
      <w:r w:rsidRPr="0065654E">
        <w:rPr>
          <w:lang w:val="cy-GB"/>
        </w:rPr>
        <w:t>feedback form</w:t>
      </w:r>
    </w:p>
    <w:p w:rsidR="001E50BB" w:rsidRPr="001E50BB" w:rsidRDefault="001E50BB" w:rsidP="001E50BB">
      <w:pPr>
        <w:jc w:val="center"/>
        <w:rPr>
          <w:rFonts w:ascii="Arial" w:hAnsi="Arial" w:cs="Arial"/>
          <w:b/>
          <w:lang w:val="cy-GB"/>
        </w:rPr>
      </w:pPr>
      <w:r w:rsidRPr="001E50BB">
        <w:rPr>
          <w:rFonts w:ascii="Arial" w:hAnsi="Arial" w:cs="Arial"/>
          <w:b/>
          <w:lang w:val="cy-GB"/>
        </w:rPr>
        <w:t>(to be completed by marker)</w:t>
      </w:r>
    </w:p>
    <w:p w:rsidR="002E67CE" w:rsidRPr="001E50BB" w:rsidRDefault="002E67CE" w:rsidP="001E50BB">
      <w:pPr>
        <w:jc w:val="center"/>
        <w:rPr>
          <w:rFonts w:ascii="Arial" w:hAnsi="Arial" w:cs="Arial"/>
          <w:b/>
          <w:lang w:val="cy-GB"/>
        </w:rPr>
      </w:pPr>
    </w:p>
    <w:p w:rsidR="002E67CE" w:rsidRDefault="002E67CE" w:rsidP="001E50BB">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65654E" w:rsidRPr="0065654E" w:rsidTr="00043549">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65654E" w:rsidRDefault="0065654E" w:rsidP="00E57529">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sidR="00CE3B79">
              <w:rPr>
                <w:rFonts w:ascii="Calibri" w:hAnsi="Calibri" w:cs="Tahoma"/>
                <w:i/>
                <w:sz w:val="24"/>
                <w:szCs w:val="24"/>
              </w:rPr>
              <w:t>me:</w:t>
            </w:r>
            <w:r w:rsidR="00C676B8">
              <w:rPr>
                <w:rFonts w:ascii="Calibri" w:hAnsi="Calibri" w:cs="Tahoma"/>
                <w:i/>
                <w:sz w:val="24"/>
                <w:szCs w:val="24"/>
              </w:rPr>
              <w:t xml:space="preserve"> James Forder</w:t>
            </w:r>
          </w:p>
          <w:p w:rsidR="00FA2A4C" w:rsidRPr="0065654E" w:rsidRDefault="00FA2A4C" w:rsidP="00E57529">
            <w:pPr>
              <w:pStyle w:val="NormalWeb"/>
              <w:spacing w:before="0" w:beforeAutospacing="0" w:after="0" w:afterAutospacing="0"/>
              <w:ind w:right="34"/>
              <w:rPr>
                <w:rFonts w:ascii="Calibri" w:hAnsi="Calibri" w:cs="Tahoma"/>
                <w:i/>
                <w:sz w:val="24"/>
                <w:szCs w:val="24"/>
              </w:rPr>
            </w:pPr>
          </w:p>
        </w:tc>
      </w:tr>
      <w:tr w:rsidR="001E50BB" w:rsidRPr="0065654E" w:rsidTr="00DB2FD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1E50BB" w:rsidRPr="0065654E" w:rsidRDefault="00D121FD" w:rsidP="00C129C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w:t>
            </w:r>
            <w:r w:rsidR="00C676B8">
              <w:rPr>
                <w:rFonts w:ascii="Calibri" w:hAnsi="Calibri" w:cs="Tahoma"/>
                <w:i/>
                <w:sz w:val="24"/>
                <w:szCs w:val="24"/>
              </w:rPr>
              <w:t xml:space="preserve"> </w:t>
            </w:r>
            <w:r w:rsidR="00C676B8" w:rsidRPr="00C676B8">
              <w:rPr>
                <w:rFonts w:ascii="Calibri" w:hAnsi="Calibri" w:cs="Tahoma"/>
                <w:i/>
                <w:sz w:val="24"/>
                <w:szCs w:val="24"/>
              </w:rPr>
              <w:t>CLAH4006</w:t>
            </w:r>
            <w:r w:rsidR="00FD6E1E">
              <w:rPr>
                <w:rFonts w:ascii="Calibri" w:hAnsi="Calibri" w:cs="Tahoma"/>
                <w:i/>
                <w:sz w:val="24"/>
                <w:szCs w:val="24"/>
              </w:rPr>
              <w:t>:</w:t>
            </w:r>
            <w:r w:rsidR="00C676B8" w:rsidRPr="00C676B8">
              <w:rPr>
                <w:rFonts w:ascii="Calibri" w:hAnsi="Calibri" w:cs="Tahoma"/>
                <w:i/>
                <w:sz w:val="24"/>
                <w:szCs w:val="24"/>
              </w:rPr>
              <w:t xml:space="preserve"> From Village to Empire</w:t>
            </w:r>
          </w:p>
        </w:tc>
        <w:tc>
          <w:tcPr>
            <w:tcW w:w="3967" w:type="dxa"/>
            <w:gridSpan w:val="2"/>
            <w:tcBorders>
              <w:top w:val="single" w:sz="4" w:space="0" w:color="auto"/>
              <w:left w:val="single" w:sz="4" w:space="0" w:color="auto"/>
              <w:bottom w:val="single" w:sz="4" w:space="0" w:color="auto"/>
              <w:right w:val="single" w:sz="4" w:space="0" w:color="auto"/>
            </w:tcBorders>
          </w:tcPr>
          <w:p w:rsidR="001E50BB" w:rsidRPr="0065654E" w:rsidRDefault="001E50BB" w:rsidP="00C129C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sidR="00C676B8">
              <w:rPr>
                <w:rFonts w:ascii="Calibri" w:hAnsi="Calibri" w:cs="Tahoma"/>
                <w:i/>
                <w:sz w:val="24"/>
                <w:szCs w:val="24"/>
              </w:rPr>
              <w:t xml:space="preserve"> 1701007</w:t>
            </w:r>
          </w:p>
        </w:tc>
      </w:tr>
      <w:tr w:rsidR="00590E9A" w:rsidRPr="0065654E" w:rsidTr="002E67CE">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590E9A" w:rsidRPr="0065654E" w:rsidRDefault="00590E9A" w:rsidP="00C129C7">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C129C7" w:rsidRDefault="00590E9A" w:rsidP="00043549">
            <w:pPr>
              <w:pStyle w:val="NormalWeb"/>
              <w:rPr>
                <w:rFonts w:ascii="Calibri" w:hAnsi="Calibri" w:cs="Tahoma"/>
                <w:i/>
                <w:sz w:val="24"/>
                <w:szCs w:val="24"/>
              </w:rPr>
            </w:pPr>
            <w:r w:rsidRPr="0065654E">
              <w:rPr>
                <w:rFonts w:ascii="Calibri" w:hAnsi="Calibri" w:cs="Tahoma"/>
                <w:i/>
                <w:sz w:val="24"/>
                <w:szCs w:val="24"/>
              </w:rPr>
              <w:t>Comments:</w:t>
            </w:r>
          </w:p>
          <w:p w:rsidR="001E50BB" w:rsidRDefault="001E50BB" w:rsidP="00043549">
            <w:pPr>
              <w:pStyle w:val="NormalWeb"/>
              <w:rPr>
                <w:rFonts w:ascii="Calibri" w:hAnsi="Calibri" w:cs="Tahoma"/>
                <w:i/>
                <w:sz w:val="24"/>
                <w:szCs w:val="24"/>
              </w:rPr>
            </w:pPr>
          </w:p>
          <w:p w:rsidR="001E50BB" w:rsidRDefault="001E50BB" w:rsidP="00043549">
            <w:pPr>
              <w:pStyle w:val="NormalWeb"/>
              <w:rPr>
                <w:rFonts w:ascii="Calibri" w:hAnsi="Calibri" w:cs="Tahoma"/>
                <w:i/>
                <w:sz w:val="24"/>
                <w:szCs w:val="24"/>
              </w:rPr>
            </w:pPr>
          </w:p>
          <w:p w:rsidR="001E50BB" w:rsidRDefault="001E50BB" w:rsidP="00043549">
            <w:pPr>
              <w:pStyle w:val="NormalWeb"/>
              <w:rPr>
                <w:rFonts w:ascii="Calibri" w:hAnsi="Calibri" w:cs="Tahoma"/>
                <w:i/>
                <w:sz w:val="24"/>
                <w:szCs w:val="24"/>
              </w:rPr>
            </w:pPr>
          </w:p>
          <w:p w:rsidR="001E50BB" w:rsidRDefault="001E50BB" w:rsidP="00043549">
            <w:pPr>
              <w:pStyle w:val="NormalWeb"/>
              <w:rPr>
                <w:rFonts w:ascii="Calibri" w:hAnsi="Calibri" w:cs="Tahoma"/>
                <w:i/>
                <w:sz w:val="24"/>
                <w:szCs w:val="24"/>
              </w:rPr>
            </w:pPr>
          </w:p>
          <w:p w:rsidR="001E50BB" w:rsidRDefault="001E50BB" w:rsidP="00043549">
            <w:pPr>
              <w:pStyle w:val="NormalWeb"/>
              <w:rPr>
                <w:rFonts w:ascii="Calibri" w:hAnsi="Calibri" w:cs="Tahoma"/>
                <w:i/>
                <w:sz w:val="24"/>
                <w:szCs w:val="24"/>
              </w:rPr>
            </w:pPr>
          </w:p>
          <w:p w:rsidR="001E50BB" w:rsidRDefault="001E50BB" w:rsidP="00043549">
            <w:pPr>
              <w:pStyle w:val="NormalWeb"/>
              <w:rPr>
                <w:rFonts w:ascii="Calibri" w:hAnsi="Calibri" w:cs="Tahoma"/>
                <w:i/>
                <w:sz w:val="24"/>
                <w:szCs w:val="24"/>
              </w:rPr>
            </w:pPr>
          </w:p>
          <w:p w:rsidR="001E50BB" w:rsidRDefault="001E50BB" w:rsidP="00043549">
            <w:pPr>
              <w:pStyle w:val="NormalWeb"/>
              <w:rPr>
                <w:rFonts w:ascii="Calibri" w:hAnsi="Calibri" w:cs="Tahoma"/>
                <w:i/>
                <w:sz w:val="24"/>
                <w:szCs w:val="24"/>
              </w:rPr>
            </w:pPr>
          </w:p>
          <w:p w:rsidR="00D121FD" w:rsidRDefault="00D121FD" w:rsidP="00043549">
            <w:pPr>
              <w:pStyle w:val="NormalWeb"/>
              <w:rPr>
                <w:rFonts w:ascii="Calibri" w:hAnsi="Calibri" w:cs="Tahoma"/>
                <w:i/>
                <w:sz w:val="24"/>
                <w:szCs w:val="24"/>
              </w:rPr>
            </w:pPr>
          </w:p>
          <w:p w:rsidR="00D121FD" w:rsidRDefault="00D121FD" w:rsidP="00043549">
            <w:pPr>
              <w:pStyle w:val="NormalWeb"/>
              <w:rPr>
                <w:rFonts w:ascii="Calibri" w:hAnsi="Calibri" w:cs="Tahoma"/>
                <w:i/>
                <w:sz w:val="24"/>
                <w:szCs w:val="24"/>
              </w:rPr>
            </w:pPr>
          </w:p>
          <w:p w:rsidR="00D121FD" w:rsidRDefault="00D121FD" w:rsidP="00043549">
            <w:pPr>
              <w:pStyle w:val="NormalWeb"/>
              <w:rPr>
                <w:rFonts w:ascii="Calibri" w:hAnsi="Calibri" w:cs="Tahoma"/>
                <w:i/>
                <w:sz w:val="24"/>
                <w:szCs w:val="24"/>
              </w:rPr>
            </w:pPr>
          </w:p>
          <w:p w:rsidR="001E50BB" w:rsidRPr="0065654E" w:rsidRDefault="001E50BB" w:rsidP="00043549">
            <w:pPr>
              <w:pStyle w:val="NormalWeb"/>
              <w:rPr>
                <w:rFonts w:ascii="Calibri" w:hAnsi="Calibri" w:cs="Tahoma"/>
                <w:i/>
                <w:sz w:val="24"/>
                <w:szCs w:val="24"/>
              </w:rPr>
            </w:pPr>
          </w:p>
        </w:tc>
      </w:tr>
      <w:tr w:rsidR="00EC7546" w:rsidRPr="0065654E" w:rsidTr="00043549">
        <w:trPr>
          <w:trHeight w:val="492"/>
        </w:trPr>
        <w:tc>
          <w:tcPr>
            <w:tcW w:w="6768" w:type="dxa"/>
            <w:gridSpan w:val="2"/>
            <w:tcBorders>
              <w:top w:val="single" w:sz="4" w:space="0" w:color="auto"/>
            </w:tcBorders>
            <w:vAlign w:val="center"/>
          </w:tcPr>
          <w:p w:rsidR="00EC7546" w:rsidRPr="0065654E" w:rsidRDefault="00E3766D" w:rsidP="00043549">
            <w:pPr>
              <w:pStyle w:val="NormalWeb"/>
              <w:ind w:left="142" w:right="34"/>
              <w:rPr>
                <w:rFonts w:ascii="Calibri" w:hAnsi="Calibri" w:cs="Tahoma"/>
                <w:i/>
                <w:sz w:val="24"/>
                <w:szCs w:val="24"/>
              </w:rPr>
            </w:pPr>
            <w:r w:rsidRPr="0065654E">
              <w:rPr>
                <w:rFonts w:ascii="Calibri" w:hAnsi="Calibri" w:cs="Tahoma"/>
                <w:i/>
                <w:sz w:val="24"/>
                <w:szCs w:val="24"/>
              </w:rPr>
              <w:t>M</w:t>
            </w:r>
            <w:r w:rsidR="00EC7546" w:rsidRPr="0065654E">
              <w:rPr>
                <w:rFonts w:ascii="Calibri" w:hAnsi="Calibri" w:cs="Tahoma"/>
                <w:i/>
                <w:sz w:val="24"/>
                <w:szCs w:val="24"/>
              </w:rPr>
              <w:t>arker</w:t>
            </w:r>
            <w:r w:rsidR="00CE3B79">
              <w:rPr>
                <w:rFonts w:ascii="Calibri" w:hAnsi="Calibri" w:cs="Tahoma"/>
                <w:i/>
                <w:sz w:val="24"/>
                <w:szCs w:val="24"/>
              </w:rPr>
              <w:t xml:space="preserve">’s </w:t>
            </w:r>
            <w:r w:rsidR="00EC7546" w:rsidRPr="0065654E">
              <w:rPr>
                <w:rFonts w:ascii="Calibri" w:hAnsi="Calibri" w:cs="Tahoma"/>
                <w:i/>
                <w:sz w:val="24"/>
                <w:szCs w:val="24"/>
              </w:rPr>
              <w:t>signature:</w:t>
            </w:r>
          </w:p>
        </w:tc>
        <w:tc>
          <w:tcPr>
            <w:tcW w:w="1987" w:type="dxa"/>
            <w:tcBorders>
              <w:top w:val="single" w:sz="4" w:space="0" w:color="auto"/>
            </w:tcBorders>
            <w:vAlign w:val="center"/>
          </w:tcPr>
          <w:p w:rsidR="00EC7546" w:rsidRPr="0065654E" w:rsidRDefault="0065654E" w:rsidP="00E3766D">
            <w:pPr>
              <w:pStyle w:val="NormalWeb"/>
              <w:spacing w:after="0"/>
              <w:ind w:left="142" w:right="34"/>
              <w:rPr>
                <w:rFonts w:ascii="Calibri" w:hAnsi="Calibri" w:cs="Tahoma"/>
                <w:i/>
                <w:sz w:val="24"/>
                <w:szCs w:val="24"/>
              </w:rPr>
            </w:pPr>
            <w:r>
              <w:rPr>
                <w:rFonts w:ascii="Calibri" w:hAnsi="Calibri" w:cs="Tahoma"/>
                <w:i/>
                <w:sz w:val="24"/>
                <w:szCs w:val="24"/>
              </w:rPr>
              <w:t>D</w:t>
            </w:r>
            <w:r w:rsidR="00EC7546" w:rsidRPr="0065654E">
              <w:rPr>
                <w:rFonts w:ascii="Calibri" w:hAnsi="Calibri" w:cs="Tahoma"/>
                <w:i/>
                <w:sz w:val="24"/>
                <w:szCs w:val="24"/>
              </w:rPr>
              <w:t>ate</w:t>
            </w:r>
            <w:r>
              <w:rPr>
                <w:rFonts w:ascii="Calibri" w:hAnsi="Calibri" w:cs="Tahoma"/>
                <w:i/>
                <w:sz w:val="24"/>
                <w:szCs w:val="24"/>
              </w:rPr>
              <w:t>:</w:t>
            </w:r>
          </w:p>
        </w:tc>
      </w:tr>
      <w:tr w:rsidR="00EC7546" w:rsidRPr="0065654E" w:rsidTr="00043549">
        <w:tc>
          <w:tcPr>
            <w:tcW w:w="8755" w:type="dxa"/>
            <w:gridSpan w:val="3"/>
            <w:vAlign w:val="center"/>
          </w:tcPr>
          <w:p w:rsidR="00043549" w:rsidRDefault="00E3766D" w:rsidP="002E67CE">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P</w:t>
            </w:r>
            <w:r w:rsidR="00EC7546" w:rsidRPr="0065654E">
              <w:rPr>
                <w:rFonts w:ascii="Calibri" w:hAnsi="Calibri" w:cs="Tahoma"/>
                <w:i/>
                <w:sz w:val="24"/>
                <w:szCs w:val="24"/>
              </w:rPr>
              <w:t>rovisional mark:</w:t>
            </w:r>
            <w:r w:rsidR="00B45FEF" w:rsidRPr="0065654E">
              <w:rPr>
                <w:rFonts w:ascii="Calibri" w:hAnsi="Calibri" w:cs="Tahoma"/>
                <w:i/>
                <w:sz w:val="24"/>
                <w:szCs w:val="24"/>
              </w:rPr>
              <w:t xml:space="preserve"> </w:t>
            </w:r>
          </w:p>
          <w:p w:rsidR="00EC7546" w:rsidRPr="0065654E" w:rsidRDefault="00EC7546" w:rsidP="00043549">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w:t>
            </w:r>
            <w:r w:rsidR="00F73533" w:rsidRPr="0065654E">
              <w:rPr>
                <w:rFonts w:ascii="Calibri" w:hAnsi="Calibri" w:cs="Tahoma"/>
                <w:i/>
                <w:sz w:val="24"/>
                <w:szCs w:val="24"/>
              </w:rPr>
              <w:t>firmed</w:t>
            </w:r>
            <w:r w:rsidRPr="0065654E">
              <w:rPr>
                <w:rFonts w:ascii="Calibri" w:hAnsi="Calibri" w:cs="Tahoma"/>
                <w:i/>
                <w:sz w:val="24"/>
                <w:szCs w:val="24"/>
              </w:rPr>
              <w:t xml:space="preserve"> by the </w:t>
            </w:r>
            <w:r w:rsidR="00CC52A3">
              <w:rPr>
                <w:rFonts w:ascii="Calibri" w:hAnsi="Calibri" w:cs="Tahoma"/>
                <w:i/>
                <w:sz w:val="24"/>
                <w:szCs w:val="24"/>
              </w:rPr>
              <w:t xml:space="preserve">final </w:t>
            </w:r>
            <w:r w:rsidRPr="0065654E">
              <w:rPr>
                <w:rFonts w:ascii="Calibri" w:hAnsi="Calibri" w:cs="Tahoma"/>
                <w:i/>
                <w:sz w:val="24"/>
                <w:szCs w:val="24"/>
              </w:rPr>
              <w:t>exam</w:t>
            </w:r>
            <w:r w:rsidR="00076A0B">
              <w:rPr>
                <w:rFonts w:ascii="Calibri" w:hAnsi="Calibri" w:cs="Tahoma"/>
                <w:i/>
                <w:sz w:val="24"/>
                <w:szCs w:val="24"/>
              </w:rPr>
              <w:t>ination</w:t>
            </w:r>
            <w:r w:rsidRPr="0065654E">
              <w:rPr>
                <w:rFonts w:ascii="Calibri" w:hAnsi="Calibri" w:cs="Tahoma"/>
                <w:i/>
                <w:sz w:val="24"/>
                <w:szCs w:val="24"/>
              </w:rPr>
              <w:t xml:space="preserve"> board. </w:t>
            </w:r>
          </w:p>
        </w:tc>
      </w:tr>
    </w:tbl>
    <w:p w:rsidR="00C676B8" w:rsidRDefault="00C676B8" w:rsidP="00FA07E9">
      <w:pPr>
        <w:pStyle w:val="NormalWeb"/>
        <w:spacing w:before="0" w:beforeAutospacing="0" w:after="0" w:afterAutospacing="0"/>
        <w:ind w:right="-334"/>
        <w:rPr>
          <w:rFonts w:ascii="Trebuchet MS" w:hAnsi="Trebuchet MS" w:cs="Tahoma"/>
          <w:b/>
          <w:bCs/>
          <w:sz w:val="24"/>
          <w:szCs w:val="24"/>
        </w:rPr>
      </w:pPr>
    </w:p>
    <w:p w:rsidR="00EC7546" w:rsidRDefault="00C676B8" w:rsidP="00C676B8">
      <w:pPr>
        <w:tabs>
          <w:tab w:val="left" w:pos="1965"/>
        </w:tabs>
      </w:pPr>
      <w:r>
        <w:lastRenderedPageBreak/>
        <w:tab/>
      </w:r>
    </w:p>
    <w:p w:rsidR="00C676B8" w:rsidRDefault="00C676B8" w:rsidP="00C676B8">
      <w:pPr>
        <w:tabs>
          <w:tab w:val="left" w:pos="1965"/>
        </w:tabs>
      </w:pPr>
    </w:p>
    <w:p w:rsidR="00C676B8" w:rsidRDefault="00C676B8" w:rsidP="00C676B8">
      <w:pPr>
        <w:tabs>
          <w:tab w:val="left" w:pos="1965"/>
        </w:tabs>
        <w:jc w:val="center"/>
        <w:rPr>
          <w:u w:val="single"/>
        </w:rPr>
      </w:pPr>
      <w:r w:rsidRPr="00C676B8">
        <w:rPr>
          <w:u w:val="single"/>
        </w:rPr>
        <w:t>Based on a critical discussion of the available ancient sources, analyse the reasons that resulted in the Second Punic War.</w:t>
      </w:r>
    </w:p>
    <w:p w:rsidR="00C676B8" w:rsidRDefault="00C676B8" w:rsidP="00C676B8">
      <w:pPr>
        <w:tabs>
          <w:tab w:val="left" w:pos="1965"/>
        </w:tabs>
        <w:jc w:val="center"/>
        <w:rPr>
          <w:u w:val="single"/>
        </w:rPr>
      </w:pPr>
    </w:p>
    <w:p w:rsidR="007A0E45" w:rsidRDefault="00DF4780" w:rsidP="007A0E45">
      <w:pPr>
        <w:tabs>
          <w:tab w:val="left" w:pos="1965"/>
        </w:tabs>
      </w:pPr>
      <w:r>
        <w:t>The cause of the Second Punic War is</w:t>
      </w:r>
      <w:r w:rsidR="00A94BF9">
        <w:t xml:space="preserve"> highly problematic</w:t>
      </w:r>
      <w:r>
        <w:t xml:space="preserve">, due to the lack of </w:t>
      </w:r>
      <w:r w:rsidR="001D07D9">
        <w:t>contemporary ancient evidence and reliance upon subsequent secondary sources</w:t>
      </w:r>
      <w:r>
        <w:t>. The two main ancient</w:t>
      </w:r>
      <w:r w:rsidR="00A94BF9">
        <w:t xml:space="preserve"> </w:t>
      </w:r>
      <w:r>
        <w:t xml:space="preserve">sources available are Polybius’ </w:t>
      </w:r>
      <w:r>
        <w:rPr>
          <w:i/>
        </w:rPr>
        <w:t>Histories</w:t>
      </w:r>
      <w:r>
        <w:t xml:space="preserve"> and Livy’s </w:t>
      </w:r>
      <w:r>
        <w:rPr>
          <w:i/>
        </w:rPr>
        <w:t>History of Rome</w:t>
      </w:r>
      <w:r>
        <w:t>, each having differing perspectives. Livy</w:t>
      </w:r>
      <w:r w:rsidR="006273F9">
        <w:t xml:space="preserve"> squares the blame on an “unprovoked attack by a previously beaten enemy”,</w:t>
      </w:r>
      <w:r w:rsidR="006273F9">
        <w:rPr>
          <w:rStyle w:val="FootnoteReference"/>
        </w:rPr>
        <w:footnoteReference w:id="1"/>
      </w:r>
      <w:r w:rsidR="006273F9">
        <w:t xml:space="preserve"> </w:t>
      </w:r>
      <w:r w:rsidR="001D07D9">
        <w:t>referring to the</w:t>
      </w:r>
      <w:r w:rsidR="004D267B">
        <w:t xml:space="preserve"> </w:t>
      </w:r>
      <w:r w:rsidR="001D07D9">
        <w:t xml:space="preserve">attack on </w:t>
      </w:r>
      <w:proofErr w:type="spellStart"/>
      <w:r w:rsidR="001D07D9">
        <w:t>Saguntum</w:t>
      </w:r>
      <w:proofErr w:type="spellEnd"/>
      <w:r w:rsidR="001D07D9">
        <w:t xml:space="preserve">, </w:t>
      </w:r>
      <w:r w:rsidR="006273F9">
        <w:t xml:space="preserve">with Polybius </w:t>
      </w:r>
      <w:r w:rsidR="001D07D9">
        <w:t>taking the position of the war emerging out of the Sicilian War, creating a desire for revenge in Hannibal.</w:t>
      </w:r>
      <w:r w:rsidR="001D07D9">
        <w:rPr>
          <w:rStyle w:val="FootnoteReference"/>
        </w:rPr>
        <w:footnoteReference w:id="2"/>
      </w:r>
      <w:r w:rsidR="00650F69">
        <w:t xml:space="preserve"> There are also some less detailed accounts from Appian and </w:t>
      </w:r>
      <w:proofErr w:type="spellStart"/>
      <w:r w:rsidR="00650F69">
        <w:t>Diodorus</w:t>
      </w:r>
      <w:proofErr w:type="spellEnd"/>
      <w:r w:rsidR="00650F69">
        <w:t>, which although problematic, do offer some alternative interpretations of some events.</w:t>
      </w:r>
      <w:r w:rsidR="00650F69">
        <w:rPr>
          <w:rStyle w:val="FootnoteReference"/>
        </w:rPr>
        <w:footnoteReference w:id="3"/>
      </w:r>
      <w:r w:rsidR="00650F69">
        <w:t xml:space="preserve"> Some controversies arising in modern scholarship are revenge as a causation, with </w:t>
      </w:r>
      <w:proofErr w:type="spellStart"/>
      <w:r w:rsidR="00650F69">
        <w:t>Lazenby</w:t>
      </w:r>
      <w:proofErr w:type="spellEnd"/>
      <w:r w:rsidR="00650F69">
        <w:t xml:space="preserve"> challenging the idea of vengeance as a motive</w:t>
      </w:r>
      <w:r w:rsidR="00CE4424">
        <w:t>.</w:t>
      </w:r>
      <w:r w:rsidR="00650F69">
        <w:rPr>
          <w:rStyle w:val="FootnoteReference"/>
        </w:rPr>
        <w:footnoteReference w:id="4"/>
      </w:r>
      <w:r w:rsidR="00CE4424">
        <w:t xml:space="preserve"> There is also the question of whether Rome and Carthage wanted war, with Polybius and John Rich arguing </w:t>
      </w:r>
      <w:r w:rsidR="007A0E45">
        <w:t>Carthage desired war</w:t>
      </w:r>
      <w:r w:rsidR="00CE4424">
        <w:t xml:space="preserve"> to retake Sicily and Sardinia and Dexter </w:t>
      </w:r>
      <w:proofErr w:type="spellStart"/>
      <w:r w:rsidR="00CE4424">
        <w:t>Hoyos</w:t>
      </w:r>
      <w:proofErr w:type="spellEnd"/>
      <w:r w:rsidR="00CE4424">
        <w:t xml:space="preserve"> arguing that neither side desired war, due to their positions of stability.</w:t>
      </w:r>
      <w:r w:rsidR="00CE4424">
        <w:rPr>
          <w:rStyle w:val="FootnoteReference"/>
        </w:rPr>
        <w:footnoteReference w:id="5"/>
      </w:r>
      <w:r w:rsidR="00CE4424">
        <w:t xml:space="preserve"> In order to determine the causes of the war, we must </w:t>
      </w:r>
      <w:r w:rsidR="009168F1">
        <w:t xml:space="preserve">assess these interpretations and </w:t>
      </w:r>
      <w:r w:rsidR="00CE4424">
        <w:t>the conditions of the situation before the war and how they developed into conflict.</w:t>
      </w:r>
    </w:p>
    <w:p w:rsidR="00E45D53" w:rsidRDefault="00F912E7" w:rsidP="007A0E45">
      <w:pPr>
        <w:tabs>
          <w:tab w:val="left" w:pos="1965"/>
        </w:tabs>
      </w:pPr>
      <w:r>
        <w:t>Regarding the ancient sources, we have many problems. Firstly, the most detailed and reliable account, Polybius, is incomplete, so may be missing pieces of information which could contradict or support existing arguments. He also writes with the goal of explaining why Rome came to dominate the Mediterranean world, therefore writing through a Roman lens.</w:t>
      </w:r>
      <w:r w:rsidR="0035008D">
        <w:rPr>
          <w:rStyle w:val="FootnoteReference"/>
        </w:rPr>
        <w:footnoteReference w:id="6"/>
      </w:r>
      <w:r w:rsidR="0035008D">
        <w:t xml:space="preserve"> Although Polybius certainly does have his faults, he is critical of prior historical accounts, such as </w:t>
      </w:r>
      <w:proofErr w:type="spellStart"/>
      <w:r w:rsidR="0035008D">
        <w:t>Fabius</w:t>
      </w:r>
      <w:proofErr w:type="spellEnd"/>
      <w:r w:rsidR="0035008D">
        <w:t xml:space="preserve"> Pictor, so is certainly a useful source.</w:t>
      </w:r>
      <w:r w:rsidR="0035008D">
        <w:rPr>
          <w:rStyle w:val="FootnoteReference"/>
        </w:rPr>
        <w:footnoteReference w:id="7"/>
      </w:r>
      <w:r w:rsidR="0035008D">
        <w:t xml:space="preserve"> Livy on the other hand, is extremely subjective, </w:t>
      </w:r>
      <w:r w:rsidR="007C1BD6">
        <w:t>writing in the Augustan period to put</w:t>
      </w:r>
      <w:r w:rsidR="0035008D">
        <w:t xml:space="preserve"> “on record the story of the greatest nation in the world”,</w:t>
      </w:r>
      <w:r w:rsidR="0035008D">
        <w:rPr>
          <w:rStyle w:val="FootnoteReference"/>
        </w:rPr>
        <w:footnoteReference w:id="8"/>
      </w:r>
      <w:r w:rsidR="0035008D">
        <w:t xml:space="preserve"> with </w:t>
      </w:r>
      <w:proofErr w:type="spellStart"/>
      <w:r w:rsidR="0035008D">
        <w:t>Hoyos</w:t>
      </w:r>
      <w:proofErr w:type="spellEnd"/>
      <w:r w:rsidR="0035008D">
        <w:t xml:space="preserve"> </w:t>
      </w:r>
      <w:r w:rsidR="007C1BD6">
        <w:t>deeming</w:t>
      </w:r>
      <w:r w:rsidR="0035008D">
        <w:t xml:space="preserve"> his work, as well as Appian, as </w:t>
      </w:r>
      <w:r w:rsidR="007C1BD6">
        <w:t>“Roman propaganda”,</w:t>
      </w:r>
      <w:r w:rsidR="007C1BD6">
        <w:rPr>
          <w:rStyle w:val="FootnoteReference"/>
        </w:rPr>
        <w:footnoteReference w:id="9"/>
      </w:r>
      <w:r w:rsidR="0023561E">
        <w:t xml:space="preserve"> and Briscoe calling his account of events preceding the war as a “totally confused chronology”,</w:t>
      </w:r>
      <w:r w:rsidR="0023561E">
        <w:rPr>
          <w:rStyle w:val="FootnoteReference"/>
        </w:rPr>
        <w:footnoteReference w:id="10"/>
      </w:r>
      <w:r w:rsidR="007C1BD6">
        <w:t xml:space="preserve"> although his work does offer a useful alternative perspective</w:t>
      </w:r>
      <w:r w:rsidR="00BC1165">
        <w:t xml:space="preserve">. The issue with the other sources is that they are written at much later times and are rather vague, so do not add much to the discussion. However, there is a large contradiction between </w:t>
      </w:r>
      <w:proofErr w:type="spellStart"/>
      <w:r w:rsidR="00BC1165">
        <w:t>Diodorus</w:t>
      </w:r>
      <w:proofErr w:type="spellEnd"/>
      <w:r w:rsidR="00BC1165">
        <w:t xml:space="preserve">, Polybius and Livy regarding the fate of </w:t>
      </w:r>
      <w:proofErr w:type="spellStart"/>
      <w:r w:rsidR="00BC1165">
        <w:t>Saguntum</w:t>
      </w:r>
      <w:proofErr w:type="spellEnd"/>
      <w:r w:rsidR="00BC1165">
        <w:t xml:space="preserve">, </w:t>
      </w:r>
      <w:proofErr w:type="spellStart"/>
      <w:r w:rsidR="00BC1165">
        <w:t>Diodorus</w:t>
      </w:r>
      <w:proofErr w:type="spellEnd"/>
      <w:r w:rsidR="00BC1165">
        <w:t xml:space="preserve"> saying that the </w:t>
      </w:r>
      <w:proofErr w:type="spellStart"/>
      <w:r w:rsidR="00BC1165">
        <w:t>Saguntines</w:t>
      </w:r>
      <w:proofErr w:type="spellEnd"/>
      <w:r w:rsidR="00BC1165">
        <w:t xml:space="preserve"> destroyed objects of value and Polybius and Livy saying that Carthage received large amounts of plunder.</w:t>
      </w:r>
      <w:r w:rsidR="00BC1165">
        <w:rPr>
          <w:rStyle w:val="FootnoteReference"/>
        </w:rPr>
        <w:footnoteReference w:id="11"/>
      </w:r>
      <w:r w:rsidR="00BC1165">
        <w:t xml:space="preserve"> This shows a lack of clarity in the sources of information, meaning one of the accounts used incorrect information.</w:t>
      </w:r>
    </w:p>
    <w:p w:rsidR="00C260F8" w:rsidRDefault="007336F9" w:rsidP="007A0E45">
      <w:pPr>
        <w:tabs>
          <w:tab w:val="left" w:pos="1965"/>
        </w:tabs>
      </w:pPr>
      <w:r>
        <w:lastRenderedPageBreak/>
        <w:t>The first factor in need of discussion is the Punic expansion into Spain and the reasons behind it. The terms of the treaty ending the First Punic War required harsh war reparations from Carthage to the Romans, along with the loss of their colonies in Sicily and eventually Sardinia, after the mercenary war.</w:t>
      </w:r>
      <w:r>
        <w:rPr>
          <w:rStyle w:val="FootnoteReference"/>
        </w:rPr>
        <w:footnoteReference w:id="12"/>
      </w:r>
      <w:r>
        <w:t xml:space="preserve"> According to Polybius and Livy, this led Hamilcar to expand Carthaginian influence into Spain, to act as a platform for a future invasion of Italy, due to the personal resentment toward Rome</w:t>
      </w:r>
      <w:r w:rsidR="00315EF2">
        <w:t>,</w:t>
      </w:r>
      <w:r w:rsidR="00315EF2">
        <w:rPr>
          <w:rStyle w:val="FootnoteReference"/>
        </w:rPr>
        <w:footnoteReference w:id="13"/>
      </w:r>
      <w:r w:rsidR="00315EF2">
        <w:t xml:space="preserve"> leading to him making Hannibal take an oath to either “never be a friend of Rome”,</w:t>
      </w:r>
      <w:r w:rsidR="00315EF2">
        <w:rPr>
          <w:rStyle w:val="FootnoteReference"/>
        </w:rPr>
        <w:footnoteReference w:id="14"/>
      </w:r>
      <w:r w:rsidR="00315EF2">
        <w:t>or in Livy’s account, to be an “enemy of Rome”.</w:t>
      </w:r>
      <w:r w:rsidR="00315EF2">
        <w:rPr>
          <w:rStyle w:val="FootnoteReference"/>
        </w:rPr>
        <w:footnoteReference w:id="15"/>
      </w:r>
      <w:r w:rsidR="00315EF2">
        <w:t xml:space="preserve"> With regard to the expansion into Spain, this could also be argued to have been for primarily economic reasons, trying to make up for its territorial losses by profiting off of the silver mines in the region.</w:t>
      </w:r>
      <w:r w:rsidR="00315EF2">
        <w:rPr>
          <w:rStyle w:val="FootnoteReference"/>
        </w:rPr>
        <w:footnoteReference w:id="16"/>
      </w:r>
      <w:r w:rsidR="00315EF2">
        <w:t xml:space="preserve"> However, as Goldsworthy points out, a significant portion of this wealth would have been used to pay the new recruits into the Carthaginian military</w:t>
      </w:r>
      <w:r w:rsidR="004729B6">
        <w:t xml:space="preserve"> and the Carthaginian communities already there would have already had access to much of these resources regardless.</w:t>
      </w:r>
      <w:r w:rsidR="004729B6">
        <w:rPr>
          <w:rStyle w:val="FootnoteReference"/>
        </w:rPr>
        <w:footnoteReference w:id="17"/>
      </w:r>
      <w:r w:rsidR="004729B6">
        <w:t xml:space="preserve"> However, this doesn’t prove the theory that the expansion into Spain was an offensive move against Rome. The loss of territory in the first war gave Carthage a first-hand experience of the effectiveness of Rome’s military power and their own ambitions of expansion. Therefore, it could also be argued that, rather than for economic purposes, it could indeed have been used to increase military power, but rather for defensive purposes, as a deterrence to avoid Roman action against other Punic interests.</w:t>
      </w:r>
      <w:r w:rsidR="004729B6">
        <w:rPr>
          <w:rStyle w:val="FootnoteReference"/>
        </w:rPr>
        <w:footnoteReference w:id="18"/>
      </w:r>
      <w:r w:rsidR="003D0307">
        <w:t xml:space="preserve"> This argument, although reasonable, does not seem to address the likelihood of possible resistance against their rule and control over resources and the possibility of Roman interference in those areas. The successful revolt in Sardinia could have alerted the Carthaginians to the possibility of similar situations arising in their other colonies, such as in Spain, which would have made their economic situation bleak, due to the combination of the loss of income from colonies and the war reparations. This expansion could, therefore have been used to assert their control over their pre-existing territories as a pre-emptive move to prevent future rebellions. Overall, </w:t>
      </w:r>
      <w:r w:rsidR="00242C73">
        <w:t>Carthaginian expansion</w:t>
      </w:r>
      <w:r w:rsidR="003D0307">
        <w:t xml:space="preserve"> certainly d</w:t>
      </w:r>
      <w:r w:rsidR="00242C73">
        <w:t>id</w:t>
      </w:r>
      <w:r w:rsidR="003D0307">
        <w:t xml:space="preserve"> ha</w:t>
      </w:r>
      <w:r w:rsidR="00242C73">
        <w:t>ve</w:t>
      </w:r>
      <w:r w:rsidR="003D0307">
        <w:t xml:space="preserve"> a mixture of economic and military objectives</w:t>
      </w:r>
      <w:r w:rsidR="00C260F8">
        <w:t>, to protect their existing interests from perceived internal and external threats.</w:t>
      </w:r>
      <w:r w:rsidR="00C260F8">
        <w:br/>
      </w:r>
      <w:r w:rsidR="00C260F8">
        <w:br/>
        <w:t>We must also address the idea of the war being caused by a desire for personal revenge for Hannibal. As previously mentioned, Hannibal supposedly took an oath against Rome as a child, which Polybius uses as one of the causes of the war.</w:t>
      </w:r>
      <w:r w:rsidR="00C260F8">
        <w:rPr>
          <w:rStyle w:val="FootnoteReference"/>
        </w:rPr>
        <w:footnoteReference w:id="19"/>
      </w:r>
      <w:r w:rsidR="00C260F8">
        <w:t xml:space="preserve"> Although there certainly would have been animosity towards Rome, this does not mean revenge was necessarily a cause of war. Firstly, as </w:t>
      </w:r>
      <w:r w:rsidR="00AF0B18">
        <w:t>often pointed out, making promises as a child do not inevitably continue into adulthood and his treaty with Philip V of Macedon shows that he envisaged Rome’s continued existence in the event of a victory, showing that he was clearly not a fanatic with in this regard, contrary to Livy and Polybius’ perspectives.</w:t>
      </w:r>
      <w:r w:rsidR="00AF0B18">
        <w:rPr>
          <w:rStyle w:val="FootnoteReference"/>
        </w:rPr>
        <w:footnoteReference w:id="20"/>
      </w:r>
      <w:r w:rsidR="00AF0B18">
        <w:t xml:space="preserve"> He was also pushing for peace settlements towards the end of the war, which again, suggests he did </w:t>
      </w:r>
      <w:r w:rsidR="00AF0B18">
        <w:lastRenderedPageBreak/>
        <w:t>have a sense of pragmatism, rather than an obsessive desire for retribution.</w:t>
      </w:r>
      <w:r w:rsidR="00AF0B18">
        <w:rPr>
          <w:rStyle w:val="FootnoteReference"/>
        </w:rPr>
        <w:footnoteReference w:id="21"/>
      </w:r>
      <w:r w:rsidR="00970379">
        <w:t xml:space="preserve"> Whether this oath actually occurred or not is also debatable, as it is based on a supposed witness testimony of which we cannot verify the authenticity. </w:t>
      </w:r>
      <w:r w:rsidR="00020BE2">
        <w:t>Although one man’s malice towards Rome does not explain the cause of the war, the loss of pride caused by relinquishing two valuable territories could have made the Carthaginian leaders have similar feelings and could not afford to look weak in the eyes of their rivals and make it easier to convince the senate of war being a necessary step to regain this prestige.</w:t>
      </w:r>
      <w:r w:rsidR="00020BE2">
        <w:rPr>
          <w:rStyle w:val="FootnoteReference"/>
        </w:rPr>
        <w:footnoteReference w:id="22"/>
      </w:r>
      <w:r w:rsidR="00020BE2">
        <w:t xml:space="preserve"> Ideas of revenge, pride and dignity likely did play a role in the events leading to the war, but I believe their significance, particularly that of individuals, is overplayed and do not offer a nuanced enough explanation.</w:t>
      </w:r>
    </w:p>
    <w:p w:rsidR="00020BE2" w:rsidRDefault="00020BE2" w:rsidP="007A0E45">
      <w:pPr>
        <w:tabs>
          <w:tab w:val="left" w:pos="1965"/>
        </w:tabs>
      </w:pPr>
      <w:r>
        <w:t xml:space="preserve">The next issue to be addressed is that of the Ebro treaty and the </w:t>
      </w:r>
      <w:r w:rsidR="00970379">
        <w:t>attack</w:t>
      </w:r>
      <w:r>
        <w:t xml:space="preserve"> o</w:t>
      </w:r>
      <w:r w:rsidR="00970379">
        <w:t>n</w:t>
      </w:r>
      <w:r>
        <w:t xml:space="preserve"> </w:t>
      </w:r>
      <w:proofErr w:type="spellStart"/>
      <w:r>
        <w:t>Saguntum</w:t>
      </w:r>
      <w:proofErr w:type="spellEnd"/>
      <w:r>
        <w:t>.</w:t>
      </w:r>
      <w:r w:rsidR="0039148D">
        <w:t xml:space="preserve"> </w:t>
      </w:r>
      <w:r w:rsidR="00970379">
        <w:t xml:space="preserve">The pro-Roman accounts of Livy and Appian both say that the attack on </w:t>
      </w:r>
      <w:proofErr w:type="spellStart"/>
      <w:r w:rsidR="00970379">
        <w:t>Saguntum</w:t>
      </w:r>
      <w:proofErr w:type="spellEnd"/>
      <w:r w:rsidR="00970379">
        <w:t xml:space="preserve"> was carried out to draw Rome into conflict with Carthage to fulfil Hannibal’s desire to invade Italy, and was therefore the main cause of the war.</w:t>
      </w:r>
      <w:r w:rsidR="00970379">
        <w:rPr>
          <w:rStyle w:val="FootnoteReference"/>
        </w:rPr>
        <w:footnoteReference w:id="23"/>
      </w:r>
      <w:r w:rsidR="0039148D">
        <w:t xml:space="preserve"> </w:t>
      </w:r>
      <w:r w:rsidR="00AA4983">
        <w:t>Polybius also takes a similar view, while also offering an alternative strategy in hindsight.</w:t>
      </w:r>
      <w:r w:rsidR="00AA4983">
        <w:rPr>
          <w:rStyle w:val="FootnoteReference"/>
        </w:rPr>
        <w:footnoteReference w:id="24"/>
      </w:r>
      <w:r w:rsidR="00AA4983">
        <w:t xml:space="preserve"> The problem with Appian’s account is that he implies that </w:t>
      </w:r>
      <w:proofErr w:type="spellStart"/>
      <w:r w:rsidR="00AA4983">
        <w:t>Saguntum</w:t>
      </w:r>
      <w:proofErr w:type="spellEnd"/>
      <w:r w:rsidR="00AA4983">
        <w:t xml:space="preserve"> was located North of the Ebro, when it was located 150km South. This location creates an unclear situation, with Carthage considering the town unrelated to the treaty and therefore within their sphere of influence.</w:t>
      </w:r>
      <w:r w:rsidR="00AA4983">
        <w:rPr>
          <w:rStyle w:val="FootnoteReference"/>
        </w:rPr>
        <w:footnoteReference w:id="25"/>
      </w:r>
      <w:r w:rsidR="00AA4983">
        <w:t xml:space="preserve"> </w:t>
      </w:r>
      <w:proofErr w:type="spellStart"/>
      <w:r w:rsidR="00AA4983">
        <w:t>Lazenby</w:t>
      </w:r>
      <w:proofErr w:type="spellEnd"/>
      <w:r w:rsidR="00AA4983">
        <w:t xml:space="preserve"> argues that, if Carthage backed down, Rome would have interfered more in the region, challenging their control of the area</w:t>
      </w:r>
      <w:r w:rsidR="00E50434">
        <w:t>’</w:t>
      </w:r>
      <w:r w:rsidR="00AA4983">
        <w:t>s resources</w:t>
      </w:r>
      <w:r w:rsidR="00E50434">
        <w:t>, or may have thought Rome was bluffing in their threats of war.</w:t>
      </w:r>
      <w:r w:rsidR="00E50434">
        <w:rPr>
          <w:rStyle w:val="FootnoteReference"/>
        </w:rPr>
        <w:footnoteReference w:id="26"/>
      </w:r>
      <w:r w:rsidR="007C60A9">
        <w:t xml:space="preserve"> Briscoe also has a similar view of Hannibal looking for war and that Hannibal would have invaded Italy regardless of whether they declared war.</w:t>
      </w:r>
      <w:r w:rsidR="007C60A9">
        <w:rPr>
          <w:rStyle w:val="FootnoteReference"/>
        </w:rPr>
        <w:footnoteReference w:id="27"/>
      </w:r>
      <w:r w:rsidR="00AA4983">
        <w:t xml:space="preserve"> However, it could also be argued that the Roman presence in </w:t>
      </w:r>
      <w:proofErr w:type="spellStart"/>
      <w:r w:rsidR="00AA4983">
        <w:t>Saguntum</w:t>
      </w:r>
      <w:proofErr w:type="spellEnd"/>
      <w:r w:rsidR="00AA4983">
        <w:t xml:space="preserve"> was actually trying to entice Carthage into war. </w:t>
      </w:r>
      <w:r w:rsidR="007C60A9">
        <w:t>For example, Briscoe also points out that Rome expected the war to remain in Spain.</w:t>
      </w:r>
      <w:r w:rsidR="007C60A9">
        <w:rPr>
          <w:rStyle w:val="FootnoteReference"/>
        </w:rPr>
        <w:footnoteReference w:id="28"/>
      </w:r>
      <w:r w:rsidR="007C60A9">
        <w:t xml:space="preserve"> The fact that Rome was not expecting Punic actions outside of Spain may suggest Roman ambitions in Spain. </w:t>
      </w:r>
      <w:proofErr w:type="spellStart"/>
      <w:r w:rsidR="007C60A9">
        <w:t>Lazenby</w:t>
      </w:r>
      <w:proofErr w:type="spellEnd"/>
      <w:r w:rsidR="007C60A9">
        <w:t xml:space="preserve"> </w:t>
      </w:r>
      <w:r w:rsidR="00FD7F36">
        <w:t>argues</w:t>
      </w:r>
      <w:r w:rsidR="007C60A9">
        <w:t xml:space="preserve"> that </w:t>
      </w:r>
      <w:r w:rsidR="00FD7F36">
        <w:t xml:space="preserve">actions in </w:t>
      </w:r>
      <w:proofErr w:type="spellStart"/>
      <w:r w:rsidR="00FD7F36">
        <w:t>Saguntum</w:t>
      </w:r>
      <w:proofErr w:type="spellEnd"/>
      <w:r w:rsidR="00FD7F36">
        <w:t xml:space="preserve"> do not demonstrate a desire to attack Rome, but rather a desire to gain control of all territory south of the Ebro and that the march on Italy was precautionary.</w:t>
      </w:r>
      <w:r w:rsidR="00FD7F36">
        <w:rPr>
          <w:rStyle w:val="FootnoteReference"/>
        </w:rPr>
        <w:footnoteReference w:id="29"/>
      </w:r>
      <w:r w:rsidR="00FD7F36">
        <w:t xml:space="preserve"> Harris also points out that Rome had nothing to defend in Spain and </w:t>
      </w:r>
      <w:proofErr w:type="spellStart"/>
      <w:r w:rsidR="00FD7F36">
        <w:t>Saguntum</w:t>
      </w:r>
      <w:proofErr w:type="spellEnd"/>
      <w:r w:rsidR="00FD7F36">
        <w:t xml:space="preserve"> did not contribute to Roman possessions elsewhere.</w:t>
      </w:r>
      <w:r w:rsidR="00FD7F36">
        <w:rPr>
          <w:rStyle w:val="FootnoteReference"/>
        </w:rPr>
        <w:footnoteReference w:id="30"/>
      </w:r>
      <w:r w:rsidR="00096DF0">
        <w:t xml:space="preserve"> </w:t>
      </w:r>
      <w:proofErr w:type="spellStart"/>
      <w:r w:rsidR="00096DF0">
        <w:t>Hoyos</w:t>
      </w:r>
      <w:proofErr w:type="spellEnd"/>
      <w:r w:rsidR="00096DF0">
        <w:t xml:space="preserve"> argues that neither side in fact wanted war, due to Carthaginian stability and Rome’s more pronounced interest in the North and East, rather than Spain and North Africa.</w:t>
      </w:r>
      <w:r w:rsidR="00096DF0">
        <w:rPr>
          <w:rStyle w:val="FootnoteReference"/>
        </w:rPr>
        <w:footnoteReference w:id="31"/>
      </w:r>
      <w:r w:rsidR="00FD7F36">
        <w:t xml:space="preserve"> If Rome </w:t>
      </w:r>
      <w:r w:rsidR="00096DF0">
        <w:t xml:space="preserve">didn’t gain any major benefits from aligning themselves with </w:t>
      </w:r>
      <w:proofErr w:type="spellStart"/>
      <w:r w:rsidR="00096DF0">
        <w:t>Saguntum</w:t>
      </w:r>
      <w:proofErr w:type="spellEnd"/>
      <w:r w:rsidR="00096DF0">
        <w:t xml:space="preserve">, why would they go to war over it? The answer I am proposing is that Rome was used to gaining total victory in prior conflicts, such as in the conquest of Italy and saw the Sicilian War as an unfished campaign, due to the continuing rivalry </w:t>
      </w:r>
      <w:r w:rsidR="008B446B">
        <w:t xml:space="preserve">between the states. Therefore, </w:t>
      </w:r>
      <w:proofErr w:type="spellStart"/>
      <w:r w:rsidR="008B446B">
        <w:t>Saguntum</w:t>
      </w:r>
      <w:proofErr w:type="spellEnd"/>
      <w:r w:rsidR="008B446B">
        <w:t xml:space="preserve"> was maintained as an ally with the foresight that it would eventually be attacked by </w:t>
      </w:r>
      <w:r w:rsidR="008B446B">
        <w:lastRenderedPageBreak/>
        <w:t xml:space="preserve">Carthage, </w:t>
      </w:r>
      <w:r w:rsidR="002C3EEE">
        <w:t>to</w:t>
      </w:r>
      <w:r w:rsidR="008B446B">
        <w:t xml:space="preserve"> </w:t>
      </w:r>
      <w:r w:rsidR="00C71B71">
        <w:t>tempt them into war</w:t>
      </w:r>
      <w:r w:rsidR="002C3EEE">
        <w:t>, to finalise</w:t>
      </w:r>
      <w:r w:rsidR="00C71B71">
        <w:t xml:space="preserve"> their goal of Carthaginian submission to Rome.</w:t>
      </w:r>
    </w:p>
    <w:p w:rsidR="00AB3B3B" w:rsidRDefault="00AB3B3B" w:rsidP="007A0E45">
      <w:pPr>
        <w:tabs>
          <w:tab w:val="left" w:pos="1965"/>
        </w:tabs>
      </w:pPr>
      <w:proofErr w:type="gramStart"/>
      <w:r>
        <w:t>On the whole</w:t>
      </w:r>
      <w:proofErr w:type="gramEnd"/>
      <w:r>
        <w:t xml:space="preserve">, the Second Punic War was a result of the conditions created by the First Punic War and Mercenary War in Sardinia. The loss of Carthaginian territory caused them to expand control of Spain, to make up for their </w:t>
      </w:r>
      <w:r w:rsidR="003A7EBA">
        <w:t xml:space="preserve">economic </w:t>
      </w:r>
      <w:r>
        <w:t xml:space="preserve">losses and increase the size of their military to </w:t>
      </w:r>
      <w:r w:rsidR="003A7EBA">
        <w:t>deter Rome and internal revolts from further harming their interests. On the Roman side, the lack of total victory created a sense of unfinished affairs, leading them to form an alliance with an insignificant state surrounded by Carthaginian territory to draw in a conflict, which they believed would be limited to Spain, to continue what they had left unfinished. All in all, the Second Punic War was simply a continuation of the first.</w:t>
      </w:r>
    </w:p>
    <w:p w:rsidR="00D02E55" w:rsidRDefault="00CD6839" w:rsidP="00AF0B18">
      <w:pPr>
        <w:tabs>
          <w:tab w:val="left" w:pos="1965"/>
        </w:tabs>
      </w:pPr>
      <w:r>
        <w:t>Word count: 1618</w:t>
      </w:r>
    </w:p>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Pr="00D02E55" w:rsidRDefault="00D02E55" w:rsidP="00D02E55"/>
    <w:p w:rsidR="00D02E55" w:rsidRDefault="00D02E55" w:rsidP="00D02E55"/>
    <w:p w:rsidR="00D02E55" w:rsidRDefault="00D02E55" w:rsidP="00D02E55"/>
    <w:p w:rsidR="007A0E45" w:rsidRDefault="007A0E45" w:rsidP="00D02E55">
      <w:pPr>
        <w:ind w:firstLine="720"/>
      </w:pPr>
    </w:p>
    <w:p w:rsidR="00D02E55" w:rsidRDefault="00D02E55" w:rsidP="00D02E55">
      <w:pPr>
        <w:ind w:firstLine="720"/>
      </w:pPr>
    </w:p>
    <w:p w:rsidR="00D02E55" w:rsidRDefault="00D02E55" w:rsidP="00D02E55">
      <w:pPr>
        <w:ind w:firstLine="720"/>
      </w:pPr>
    </w:p>
    <w:p w:rsidR="00D02E55" w:rsidRDefault="00D02E55" w:rsidP="00D02E55">
      <w:pPr>
        <w:ind w:firstLine="720"/>
      </w:pPr>
    </w:p>
    <w:p w:rsidR="00D02E55" w:rsidRDefault="00D02E55" w:rsidP="00D02E55">
      <w:pPr>
        <w:ind w:firstLine="720"/>
      </w:pPr>
    </w:p>
    <w:p w:rsidR="00D02E55" w:rsidRDefault="00D02E55">
      <w:pPr>
        <w:pStyle w:val="Heading1"/>
      </w:pPr>
      <w:r>
        <w:lastRenderedPageBreak/>
        <w:t>Bibliography</w:t>
      </w:r>
    </w:p>
    <w:p w:rsidR="00D02E55" w:rsidRDefault="00D02E55" w:rsidP="00D02E55">
      <w:pPr>
        <w:pStyle w:val="Bibliography"/>
        <w:rPr>
          <w:noProof/>
        </w:rPr>
      </w:pPr>
    </w:p>
    <w:p w:rsidR="00D02E55" w:rsidRPr="00D02E55" w:rsidRDefault="00D02E55" w:rsidP="00D02E55">
      <w:pPr>
        <w:rPr>
          <w:u w:val="single"/>
        </w:rPr>
      </w:pPr>
      <w:r w:rsidRPr="00D02E55">
        <w:rPr>
          <w:u w:val="single"/>
        </w:rPr>
        <w:t>Ancient sources</w:t>
      </w:r>
    </w:p>
    <w:p w:rsidR="00D02E55" w:rsidRDefault="00D02E55" w:rsidP="00D02E55">
      <w:pPr>
        <w:rPr>
          <w:noProof/>
        </w:rPr>
      </w:pPr>
      <w:r>
        <w:rPr>
          <w:noProof/>
        </w:rPr>
        <w:t xml:space="preserve">Appian, The Hannibalic War. In: </w:t>
      </w:r>
      <w:r>
        <w:rPr>
          <w:i/>
          <w:iCs/>
          <w:noProof/>
        </w:rPr>
        <w:t xml:space="preserve">Appian's Roman History I. </w:t>
      </w:r>
      <w:r w:rsidR="00C42CA1">
        <w:rPr>
          <w:iCs/>
          <w:noProof/>
        </w:rPr>
        <w:t xml:space="preserve">Horace White (trans.). 1958. </w:t>
      </w:r>
      <w:r>
        <w:rPr>
          <w:noProof/>
        </w:rPr>
        <w:t>Cambridge, Massachusetts: Harvard University Press, pp. 303-400.</w:t>
      </w:r>
    </w:p>
    <w:p w:rsidR="00D02E55" w:rsidRDefault="00D02E55" w:rsidP="00D02E55">
      <w:pPr>
        <w:pStyle w:val="Bibliography"/>
        <w:rPr>
          <w:noProof/>
        </w:rPr>
      </w:pPr>
      <w:r>
        <w:rPr>
          <w:noProof/>
        </w:rPr>
        <w:t xml:space="preserve">Diodorus, </w:t>
      </w:r>
      <w:r>
        <w:rPr>
          <w:i/>
          <w:iCs/>
          <w:noProof/>
        </w:rPr>
        <w:t xml:space="preserve">Diodorus of Sicily XI. </w:t>
      </w:r>
      <w:r w:rsidR="00C42CA1">
        <w:rPr>
          <w:iCs/>
          <w:noProof/>
        </w:rPr>
        <w:t xml:space="preserve">Francis R. Walton (trans.). n.d. </w:t>
      </w:r>
      <w:r>
        <w:rPr>
          <w:noProof/>
        </w:rPr>
        <w:t>Cambridge, Massachusetts: Harvard University Press.</w:t>
      </w:r>
    </w:p>
    <w:p w:rsidR="00D02E55" w:rsidRDefault="00D02E55" w:rsidP="00D02E55">
      <w:pPr>
        <w:pStyle w:val="Bibliography"/>
        <w:rPr>
          <w:noProof/>
        </w:rPr>
      </w:pPr>
      <w:r>
        <w:rPr>
          <w:noProof/>
        </w:rPr>
        <w:t xml:space="preserve">Livy, </w:t>
      </w:r>
      <w:r>
        <w:rPr>
          <w:i/>
          <w:iCs/>
          <w:noProof/>
        </w:rPr>
        <w:t xml:space="preserve">The War With Hannibal. </w:t>
      </w:r>
      <w:r w:rsidR="00782871">
        <w:rPr>
          <w:iCs/>
          <w:noProof/>
        </w:rPr>
        <w:t xml:space="preserve">Aubrey De Selincourt (trans.). 1972. </w:t>
      </w:r>
      <w:r>
        <w:rPr>
          <w:noProof/>
        </w:rPr>
        <w:t>Harmondsworth: Penguin.</w:t>
      </w:r>
    </w:p>
    <w:p w:rsidR="008344AC" w:rsidRPr="008344AC" w:rsidRDefault="008344AC" w:rsidP="008344AC">
      <w:r>
        <w:t xml:space="preserve">Polybius, </w:t>
      </w:r>
      <w:r>
        <w:rPr>
          <w:i/>
        </w:rPr>
        <w:t>The Complete Works of Polybius</w:t>
      </w:r>
      <w:r>
        <w:t xml:space="preserve">. Evelyn S. </w:t>
      </w:r>
      <w:proofErr w:type="spellStart"/>
      <w:r>
        <w:t>Shuckbergh</w:t>
      </w:r>
      <w:proofErr w:type="spellEnd"/>
      <w:r>
        <w:t xml:space="preserve"> (trans.). 2014. Hastings</w:t>
      </w:r>
      <w:r w:rsidR="00690DA5">
        <w:t>: Delphi Classics.</w:t>
      </w:r>
    </w:p>
    <w:p w:rsidR="008344AC" w:rsidRPr="008344AC" w:rsidRDefault="00D02E55" w:rsidP="008344AC">
      <w:pPr>
        <w:pStyle w:val="Bibliography"/>
        <w:rPr>
          <w:noProof/>
        </w:rPr>
      </w:pPr>
      <w:r>
        <w:rPr>
          <w:noProof/>
        </w:rPr>
        <w:t xml:space="preserve">Polybius, </w:t>
      </w:r>
      <w:r>
        <w:rPr>
          <w:i/>
          <w:iCs/>
          <w:noProof/>
        </w:rPr>
        <w:t xml:space="preserve">The Histories. </w:t>
      </w:r>
      <w:r w:rsidR="00782871">
        <w:rPr>
          <w:iCs/>
          <w:noProof/>
        </w:rPr>
        <w:t xml:space="preserve">Robin Waterfield (trans.). 2010. </w:t>
      </w:r>
      <w:r>
        <w:rPr>
          <w:noProof/>
        </w:rPr>
        <w:t>Oxford: Oxford University Press.</w:t>
      </w:r>
    </w:p>
    <w:p w:rsidR="00D02E55" w:rsidRDefault="00D02E55" w:rsidP="00D02E55"/>
    <w:p w:rsidR="00D02E55" w:rsidRPr="00D02E55" w:rsidRDefault="00D02E55" w:rsidP="00D02E55">
      <w:pPr>
        <w:rPr>
          <w:u w:val="single"/>
        </w:rPr>
      </w:pPr>
      <w:r w:rsidRPr="00D02E55">
        <w:rPr>
          <w:u w:val="single"/>
        </w:rPr>
        <w:t>Modern Scholarship</w:t>
      </w:r>
    </w:p>
    <w:p w:rsidR="00D02E55" w:rsidRDefault="00D02E55" w:rsidP="00D02E55">
      <w:pPr>
        <w:pStyle w:val="Bibliography"/>
        <w:rPr>
          <w:noProof/>
        </w:rPr>
      </w:pPr>
      <w:r>
        <w:rPr>
          <w:noProof/>
        </w:rPr>
        <w:t xml:space="preserve">Briscoe, J., 1989. The Second Punic War. In: A. Austin, F. W. Walbank, M. W. Frederiksen &amp; R. M. Ogilvie, eds. </w:t>
      </w:r>
      <w:r>
        <w:rPr>
          <w:i/>
          <w:iCs/>
          <w:noProof/>
        </w:rPr>
        <w:t xml:space="preserve">The Cambridge Ancient History Volume VIII: Rome and the Mediterranean to 133BC. </w:t>
      </w:r>
      <w:r>
        <w:rPr>
          <w:noProof/>
        </w:rPr>
        <w:t>2nd ed. Cambridge: Cambridge University Press, pp. 44-79.</w:t>
      </w:r>
    </w:p>
    <w:p w:rsidR="00D02E55" w:rsidRDefault="00D02E55" w:rsidP="00D02E55">
      <w:pPr>
        <w:pStyle w:val="Bibliography"/>
        <w:rPr>
          <w:noProof/>
        </w:rPr>
      </w:pPr>
      <w:r>
        <w:rPr>
          <w:noProof/>
        </w:rPr>
        <w:t xml:space="preserve">Goldsworthy, A., 2000. </w:t>
      </w:r>
      <w:r>
        <w:rPr>
          <w:i/>
          <w:iCs/>
          <w:noProof/>
        </w:rPr>
        <w:t xml:space="preserve">The Fall of Carthage. </w:t>
      </w:r>
      <w:r>
        <w:rPr>
          <w:noProof/>
        </w:rPr>
        <w:t>London: Phoenix.</w:t>
      </w:r>
    </w:p>
    <w:p w:rsidR="00D02E55" w:rsidRDefault="00D02E55" w:rsidP="00D02E55">
      <w:pPr>
        <w:pStyle w:val="Bibliography"/>
        <w:rPr>
          <w:noProof/>
        </w:rPr>
      </w:pPr>
      <w:r>
        <w:rPr>
          <w:noProof/>
        </w:rPr>
        <w:t xml:space="preserve">Harris, W. V., 2006 (1979). </w:t>
      </w:r>
      <w:r>
        <w:rPr>
          <w:i/>
          <w:iCs/>
          <w:noProof/>
        </w:rPr>
        <w:t xml:space="preserve">War and Imperialism in Republican Rome:327-70BC. </w:t>
      </w:r>
      <w:r>
        <w:rPr>
          <w:noProof/>
        </w:rPr>
        <w:t>Oxford: Oxford University Press.</w:t>
      </w:r>
    </w:p>
    <w:p w:rsidR="00D02E55" w:rsidRDefault="00D02E55" w:rsidP="00D02E55">
      <w:pPr>
        <w:pStyle w:val="Bibliography"/>
        <w:rPr>
          <w:noProof/>
        </w:rPr>
      </w:pPr>
      <w:r>
        <w:rPr>
          <w:noProof/>
        </w:rPr>
        <w:t xml:space="preserve">Hoyos, D., 2015. </w:t>
      </w:r>
      <w:r>
        <w:rPr>
          <w:i/>
          <w:iCs/>
          <w:noProof/>
        </w:rPr>
        <w:t xml:space="preserve">Mastering the West: Rome and Carthage at War. </w:t>
      </w:r>
      <w:r>
        <w:rPr>
          <w:noProof/>
        </w:rPr>
        <w:t>Oxford: Oxford University Press.</w:t>
      </w:r>
    </w:p>
    <w:p w:rsidR="00D02E55" w:rsidRDefault="00D02E55" w:rsidP="00D02E55">
      <w:pPr>
        <w:pStyle w:val="Bibliography"/>
        <w:rPr>
          <w:noProof/>
        </w:rPr>
      </w:pPr>
      <w:r>
        <w:rPr>
          <w:noProof/>
        </w:rPr>
        <w:t xml:space="preserve">Lazenby, J. F., 2004. Rome and Carthage. In: H. I. Flower, ed. </w:t>
      </w:r>
      <w:r>
        <w:rPr>
          <w:i/>
          <w:iCs/>
          <w:noProof/>
        </w:rPr>
        <w:t xml:space="preserve">The Cambridge Companion to the Roman Republic. </w:t>
      </w:r>
      <w:r>
        <w:rPr>
          <w:noProof/>
        </w:rPr>
        <w:t>Cambridge: Cambridge University Press, pp. 225-241.</w:t>
      </w:r>
    </w:p>
    <w:p w:rsidR="00D02E55" w:rsidRDefault="00D02E55" w:rsidP="00D02E55">
      <w:pPr>
        <w:pStyle w:val="Bibliography"/>
        <w:rPr>
          <w:noProof/>
        </w:rPr>
      </w:pPr>
      <w:r>
        <w:rPr>
          <w:noProof/>
        </w:rPr>
        <w:t xml:space="preserve">Rich, J., 1996. The Origins of the Second Punic War. In: T. Cornell, B. Rankov &amp; P. Sabin, eds. </w:t>
      </w:r>
      <w:r>
        <w:rPr>
          <w:i/>
          <w:iCs/>
          <w:noProof/>
        </w:rPr>
        <w:t xml:space="preserve">The Second Punic War: a Reappraisal. </w:t>
      </w:r>
      <w:r>
        <w:rPr>
          <w:noProof/>
        </w:rPr>
        <w:t>London: Institute of Classical Studies, University of London, pp. 1-38.</w:t>
      </w:r>
    </w:p>
    <w:p w:rsidR="00D02E55" w:rsidRDefault="00D02E55" w:rsidP="00D02E55"/>
    <w:p w:rsidR="00D02E55" w:rsidRPr="00D02E55" w:rsidRDefault="00D02E55" w:rsidP="00D02E55">
      <w:pPr>
        <w:ind w:firstLine="720"/>
      </w:pPr>
    </w:p>
    <w:sectPr w:rsidR="00D02E55" w:rsidRPr="00D02E55" w:rsidSect="00F73533">
      <w:headerReference w:type="default" r:id="rId9"/>
      <w:footerReference w:type="default" r:id="rId10"/>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054C" w:rsidRDefault="002D054C" w:rsidP="00AD5D5A">
      <w:r>
        <w:separator/>
      </w:r>
    </w:p>
  </w:endnote>
  <w:endnote w:type="continuationSeparator" w:id="0">
    <w:p w:rsidR="002D054C" w:rsidRDefault="002D054C"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5B73" w:rsidRPr="00337A70" w:rsidRDefault="00565B73">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054C" w:rsidRDefault="002D054C" w:rsidP="00AD5D5A">
      <w:r>
        <w:separator/>
      </w:r>
    </w:p>
  </w:footnote>
  <w:footnote w:type="continuationSeparator" w:id="0">
    <w:p w:rsidR="002D054C" w:rsidRDefault="002D054C" w:rsidP="00AD5D5A">
      <w:r>
        <w:continuationSeparator/>
      </w:r>
    </w:p>
  </w:footnote>
  <w:footnote w:id="1">
    <w:p w:rsidR="006273F9" w:rsidRPr="0035008D" w:rsidRDefault="006273F9" w:rsidP="00B270B7">
      <w:pPr>
        <w:pStyle w:val="FootnoteText"/>
        <w:spacing w:after="0"/>
        <w:rPr>
          <w:sz w:val="18"/>
          <w:szCs w:val="18"/>
        </w:rPr>
      </w:pPr>
      <w:r w:rsidRPr="0035008D">
        <w:rPr>
          <w:rStyle w:val="FootnoteReference"/>
          <w:sz w:val="18"/>
          <w:szCs w:val="18"/>
        </w:rPr>
        <w:footnoteRef/>
      </w:r>
      <w:r w:rsidRPr="0035008D">
        <w:rPr>
          <w:sz w:val="18"/>
          <w:szCs w:val="18"/>
        </w:rPr>
        <w:t xml:space="preserve"> Liv. 21.1</w:t>
      </w:r>
      <w:r w:rsidR="001D07D9" w:rsidRPr="0035008D">
        <w:rPr>
          <w:sz w:val="18"/>
          <w:szCs w:val="18"/>
        </w:rPr>
        <w:t>.</w:t>
      </w:r>
      <w:r w:rsidR="00D02E55">
        <w:rPr>
          <w:sz w:val="18"/>
          <w:szCs w:val="18"/>
        </w:rPr>
        <w:t xml:space="preserve"> (trans. </w:t>
      </w:r>
      <w:proofErr w:type="spellStart"/>
      <w:r w:rsidR="00D02E55">
        <w:rPr>
          <w:sz w:val="18"/>
          <w:szCs w:val="18"/>
        </w:rPr>
        <w:t>Selincourt</w:t>
      </w:r>
      <w:proofErr w:type="spellEnd"/>
      <w:r w:rsidR="00D02E55">
        <w:rPr>
          <w:sz w:val="18"/>
          <w:szCs w:val="18"/>
        </w:rPr>
        <w:t>)</w:t>
      </w:r>
    </w:p>
  </w:footnote>
  <w:footnote w:id="2">
    <w:p w:rsidR="001D07D9" w:rsidRPr="0035008D" w:rsidRDefault="001D07D9" w:rsidP="00B270B7">
      <w:pPr>
        <w:pStyle w:val="FootnoteText"/>
        <w:spacing w:after="0"/>
        <w:rPr>
          <w:sz w:val="18"/>
          <w:szCs w:val="18"/>
        </w:rPr>
      </w:pPr>
      <w:r w:rsidRPr="0035008D">
        <w:rPr>
          <w:rStyle w:val="FootnoteReference"/>
          <w:sz w:val="18"/>
          <w:szCs w:val="18"/>
        </w:rPr>
        <w:footnoteRef/>
      </w:r>
      <w:r w:rsidRPr="0035008D">
        <w:rPr>
          <w:sz w:val="18"/>
          <w:szCs w:val="18"/>
        </w:rPr>
        <w:t xml:space="preserve"> </w:t>
      </w:r>
      <w:proofErr w:type="spellStart"/>
      <w:r w:rsidRPr="0035008D">
        <w:rPr>
          <w:sz w:val="18"/>
          <w:szCs w:val="18"/>
        </w:rPr>
        <w:t>Plb</w:t>
      </w:r>
      <w:proofErr w:type="spellEnd"/>
      <w:r w:rsidRPr="0035008D">
        <w:rPr>
          <w:sz w:val="18"/>
          <w:szCs w:val="18"/>
        </w:rPr>
        <w:t>. 3.9-12</w:t>
      </w:r>
      <w:r w:rsidR="00650F69" w:rsidRPr="0035008D">
        <w:rPr>
          <w:sz w:val="18"/>
          <w:szCs w:val="18"/>
        </w:rPr>
        <w:t>.</w:t>
      </w:r>
    </w:p>
  </w:footnote>
  <w:footnote w:id="3">
    <w:p w:rsidR="00650F69" w:rsidRPr="0035008D" w:rsidRDefault="00650F69" w:rsidP="00B270B7">
      <w:pPr>
        <w:pStyle w:val="FootnoteText"/>
        <w:spacing w:after="0"/>
        <w:rPr>
          <w:sz w:val="18"/>
          <w:szCs w:val="18"/>
        </w:rPr>
      </w:pPr>
      <w:r w:rsidRPr="0035008D">
        <w:rPr>
          <w:rStyle w:val="FootnoteReference"/>
          <w:sz w:val="18"/>
          <w:szCs w:val="18"/>
        </w:rPr>
        <w:footnoteRef/>
      </w:r>
      <w:r w:rsidRPr="0035008D">
        <w:rPr>
          <w:sz w:val="18"/>
          <w:szCs w:val="18"/>
        </w:rPr>
        <w:t xml:space="preserve"> App. Hann; </w:t>
      </w:r>
      <w:proofErr w:type="spellStart"/>
      <w:r w:rsidRPr="0035008D">
        <w:rPr>
          <w:sz w:val="18"/>
          <w:szCs w:val="18"/>
        </w:rPr>
        <w:t>Diod</w:t>
      </w:r>
      <w:proofErr w:type="spellEnd"/>
      <w:r w:rsidRPr="0035008D">
        <w:rPr>
          <w:sz w:val="18"/>
          <w:szCs w:val="18"/>
        </w:rPr>
        <w:t>. 25.</w:t>
      </w:r>
    </w:p>
  </w:footnote>
  <w:footnote w:id="4">
    <w:p w:rsidR="00650F69" w:rsidRPr="0035008D" w:rsidRDefault="00650F69" w:rsidP="00B270B7">
      <w:pPr>
        <w:pStyle w:val="FootnoteText"/>
        <w:spacing w:after="0"/>
        <w:rPr>
          <w:sz w:val="18"/>
          <w:szCs w:val="18"/>
        </w:rPr>
      </w:pPr>
      <w:r w:rsidRPr="0035008D">
        <w:rPr>
          <w:rStyle w:val="FootnoteReference"/>
          <w:sz w:val="18"/>
          <w:szCs w:val="18"/>
        </w:rPr>
        <w:footnoteRef/>
      </w:r>
      <w:r w:rsidRPr="0035008D">
        <w:rPr>
          <w:sz w:val="18"/>
          <w:szCs w:val="18"/>
        </w:rPr>
        <w:t xml:space="preserve"> </w:t>
      </w:r>
      <w:r w:rsidRPr="0035008D">
        <w:rPr>
          <w:noProof/>
          <w:sz w:val="18"/>
          <w:szCs w:val="18"/>
        </w:rPr>
        <w:t>Lazenby 2004: 231</w:t>
      </w:r>
    </w:p>
  </w:footnote>
  <w:footnote w:id="5">
    <w:p w:rsidR="00CE4424" w:rsidRPr="0035008D" w:rsidRDefault="00CE4424" w:rsidP="00B270B7">
      <w:pPr>
        <w:pStyle w:val="FootnoteText"/>
        <w:spacing w:after="0"/>
        <w:rPr>
          <w:sz w:val="18"/>
          <w:szCs w:val="18"/>
        </w:rPr>
      </w:pPr>
      <w:r w:rsidRPr="0035008D">
        <w:rPr>
          <w:rStyle w:val="FootnoteReference"/>
          <w:sz w:val="18"/>
          <w:szCs w:val="18"/>
        </w:rPr>
        <w:footnoteRef/>
      </w:r>
      <w:r w:rsidRPr="0035008D">
        <w:rPr>
          <w:sz w:val="18"/>
          <w:szCs w:val="18"/>
        </w:rPr>
        <w:t xml:space="preserve"> </w:t>
      </w:r>
      <w:proofErr w:type="spellStart"/>
      <w:r w:rsidRPr="0035008D">
        <w:rPr>
          <w:sz w:val="18"/>
          <w:szCs w:val="18"/>
        </w:rPr>
        <w:t>Plb</w:t>
      </w:r>
      <w:proofErr w:type="spellEnd"/>
      <w:r w:rsidRPr="0035008D">
        <w:rPr>
          <w:sz w:val="18"/>
          <w:szCs w:val="18"/>
        </w:rPr>
        <w:t xml:space="preserve">. 3.9-12; Rich 1996: 1-3; </w:t>
      </w:r>
      <w:proofErr w:type="spellStart"/>
      <w:r w:rsidRPr="0035008D">
        <w:rPr>
          <w:sz w:val="18"/>
          <w:szCs w:val="18"/>
        </w:rPr>
        <w:t>Hoyos</w:t>
      </w:r>
      <w:proofErr w:type="spellEnd"/>
      <w:r w:rsidRPr="0035008D">
        <w:rPr>
          <w:sz w:val="18"/>
          <w:szCs w:val="18"/>
        </w:rPr>
        <w:t xml:space="preserve"> 2015: 88</w:t>
      </w:r>
    </w:p>
  </w:footnote>
  <w:footnote w:id="6">
    <w:p w:rsidR="0035008D" w:rsidRPr="0035008D" w:rsidRDefault="0035008D" w:rsidP="00B270B7">
      <w:pPr>
        <w:pStyle w:val="FootnoteText"/>
        <w:spacing w:after="0"/>
        <w:rPr>
          <w:sz w:val="18"/>
          <w:szCs w:val="18"/>
        </w:rPr>
      </w:pPr>
      <w:r w:rsidRPr="0035008D">
        <w:rPr>
          <w:rStyle w:val="FootnoteReference"/>
          <w:sz w:val="18"/>
          <w:szCs w:val="18"/>
        </w:rPr>
        <w:footnoteRef/>
      </w:r>
      <w:r w:rsidRPr="0035008D">
        <w:rPr>
          <w:sz w:val="18"/>
          <w:szCs w:val="18"/>
        </w:rPr>
        <w:t xml:space="preserve"> </w:t>
      </w:r>
      <w:proofErr w:type="spellStart"/>
      <w:r w:rsidRPr="0035008D">
        <w:rPr>
          <w:sz w:val="18"/>
          <w:szCs w:val="18"/>
        </w:rPr>
        <w:t>Plb</w:t>
      </w:r>
      <w:proofErr w:type="spellEnd"/>
      <w:r w:rsidRPr="0035008D">
        <w:rPr>
          <w:sz w:val="18"/>
          <w:szCs w:val="18"/>
        </w:rPr>
        <w:t>. 1.1</w:t>
      </w:r>
    </w:p>
  </w:footnote>
  <w:footnote w:id="7">
    <w:p w:rsidR="0035008D" w:rsidRPr="0035008D" w:rsidRDefault="0035008D" w:rsidP="00B270B7">
      <w:pPr>
        <w:pStyle w:val="FootnoteText"/>
        <w:spacing w:after="0"/>
        <w:rPr>
          <w:sz w:val="18"/>
          <w:szCs w:val="18"/>
        </w:rPr>
      </w:pPr>
      <w:r w:rsidRPr="0035008D">
        <w:rPr>
          <w:rStyle w:val="FootnoteReference"/>
          <w:sz w:val="18"/>
          <w:szCs w:val="18"/>
        </w:rPr>
        <w:footnoteRef/>
      </w:r>
      <w:r>
        <w:t xml:space="preserve"> </w:t>
      </w:r>
      <w:proofErr w:type="spellStart"/>
      <w:r>
        <w:t>Plb</w:t>
      </w:r>
      <w:proofErr w:type="spellEnd"/>
      <w:r>
        <w:t>. 3.8-9</w:t>
      </w:r>
    </w:p>
  </w:footnote>
  <w:footnote w:id="8">
    <w:p w:rsidR="0035008D" w:rsidRDefault="0035008D" w:rsidP="00B270B7">
      <w:pPr>
        <w:pStyle w:val="FootnoteText"/>
        <w:spacing w:after="0"/>
      </w:pPr>
      <w:r>
        <w:rPr>
          <w:rStyle w:val="FootnoteReference"/>
        </w:rPr>
        <w:footnoteRef/>
      </w:r>
      <w:r>
        <w:t xml:space="preserve"> Liv. 1.1</w:t>
      </w:r>
      <w:r w:rsidR="00D02E55">
        <w:t xml:space="preserve"> (trans. </w:t>
      </w:r>
      <w:proofErr w:type="spellStart"/>
      <w:r w:rsidR="00D02E55">
        <w:t>Selincourt</w:t>
      </w:r>
      <w:proofErr w:type="spellEnd"/>
      <w:r w:rsidR="00D02E55">
        <w:t>)</w:t>
      </w:r>
    </w:p>
  </w:footnote>
  <w:footnote w:id="9">
    <w:p w:rsidR="007C1BD6" w:rsidRDefault="007C1BD6" w:rsidP="00B270B7">
      <w:pPr>
        <w:pStyle w:val="FootnoteText"/>
        <w:spacing w:after="0"/>
      </w:pPr>
      <w:r>
        <w:rPr>
          <w:rStyle w:val="FootnoteReference"/>
        </w:rPr>
        <w:footnoteRef/>
      </w:r>
      <w:r>
        <w:t xml:space="preserve"> </w:t>
      </w:r>
      <w:proofErr w:type="spellStart"/>
      <w:r>
        <w:t>Hoyos</w:t>
      </w:r>
      <w:proofErr w:type="spellEnd"/>
      <w:r>
        <w:t xml:space="preserve"> 2015: 85</w:t>
      </w:r>
    </w:p>
  </w:footnote>
  <w:footnote w:id="10">
    <w:p w:rsidR="0023561E" w:rsidRDefault="0023561E" w:rsidP="00B270B7">
      <w:pPr>
        <w:pStyle w:val="FootnoteText"/>
        <w:spacing w:after="0"/>
      </w:pPr>
      <w:r>
        <w:rPr>
          <w:rStyle w:val="FootnoteReference"/>
        </w:rPr>
        <w:footnoteRef/>
      </w:r>
      <w:r>
        <w:t xml:space="preserve"> Briscoe 1989: 44, footnote 6</w:t>
      </w:r>
    </w:p>
  </w:footnote>
  <w:footnote w:id="11">
    <w:p w:rsidR="00BC1165" w:rsidRDefault="00BC1165" w:rsidP="00B270B7">
      <w:pPr>
        <w:pStyle w:val="FootnoteText"/>
        <w:spacing w:after="0"/>
      </w:pPr>
      <w:r>
        <w:rPr>
          <w:rStyle w:val="FootnoteReference"/>
        </w:rPr>
        <w:footnoteRef/>
      </w:r>
      <w:r>
        <w:t xml:space="preserve"> </w:t>
      </w:r>
      <w:proofErr w:type="spellStart"/>
      <w:r>
        <w:t>Diod</w:t>
      </w:r>
      <w:proofErr w:type="spellEnd"/>
      <w:r>
        <w:t xml:space="preserve">. 25.15; </w:t>
      </w:r>
      <w:proofErr w:type="spellStart"/>
      <w:r>
        <w:t>Plb</w:t>
      </w:r>
      <w:proofErr w:type="spellEnd"/>
      <w:r>
        <w:t>. 3.17.10; Liv. 21.14-15</w:t>
      </w:r>
    </w:p>
  </w:footnote>
  <w:footnote w:id="12">
    <w:p w:rsidR="007336F9" w:rsidRDefault="007336F9" w:rsidP="00C260F8">
      <w:pPr>
        <w:pStyle w:val="FootnoteText"/>
        <w:spacing w:after="0"/>
      </w:pPr>
      <w:r>
        <w:rPr>
          <w:rStyle w:val="FootnoteReference"/>
        </w:rPr>
        <w:footnoteRef/>
      </w:r>
      <w:r>
        <w:t xml:space="preserve"> </w:t>
      </w:r>
      <w:proofErr w:type="spellStart"/>
      <w:r>
        <w:t>Plb</w:t>
      </w:r>
      <w:proofErr w:type="spellEnd"/>
      <w:r>
        <w:t xml:space="preserve">. 1.62-63; </w:t>
      </w:r>
      <w:proofErr w:type="spellStart"/>
      <w:r>
        <w:t>Plb</w:t>
      </w:r>
      <w:proofErr w:type="spellEnd"/>
      <w:r>
        <w:t xml:space="preserve">. 3.10; Liv. </w:t>
      </w:r>
      <w:r w:rsidR="00315EF2">
        <w:t>21</w:t>
      </w:r>
      <w:r>
        <w:t>.1-2</w:t>
      </w:r>
      <w:r w:rsidR="004729B6">
        <w:t>.</w:t>
      </w:r>
    </w:p>
  </w:footnote>
  <w:footnote w:id="13">
    <w:p w:rsidR="00315EF2" w:rsidRDefault="00315EF2" w:rsidP="00C260F8">
      <w:pPr>
        <w:pStyle w:val="FootnoteText"/>
        <w:spacing w:after="0"/>
      </w:pPr>
      <w:r>
        <w:rPr>
          <w:rStyle w:val="FootnoteReference"/>
        </w:rPr>
        <w:footnoteRef/>
      </w:r>
      <w:r>
        <w:t xml:space="preserve"> </w:t>
      </w:r>
      <w:proofErr w:type="spellStart"/>
      <w:r>
        <w:t>Plb</w:t>
      </w:r>
      <w:proofErr w:type="spellEnd"/>
      <w:r>
        <w:t>. 3.10; Liv. 21.2</w:t>
      </w:r>
      <w:r w:rsidR="004729B6">
        <w:t>.</w:t>
      </w:r>
    </w:p>
  </w:footnote>
  <w:footnote w:id="14">
    <w:p w:rsidR="00315EF2" w:rsidRDefault="00315EF2" w:rsidP="00C260F8">
      <w:pPr>
        <w:pStyle w:val="FootnoteText"/>
        <w:spacing w:after="0"/>
      </w:pPr>
      <w:r>
        <w:rPr>
          <w:rStyle w:val="FootnoteReference"/>
        </w:rPr>
        <w:footnoteRef/>
      </w:r>
      <w:r>
        <w:t xml:space="preserve"> Plb.3.11</w:t>
      </w:r>
      <w:r w:rsidR="004729B6">
        <w:t>.</w:t>
      </w:r>
    </w:p>
  </w:footnote>
  <w:footnote w:id="15">
    <w:p w:rsidR="00315EF2" w:rsidRDefault="00315EF2" w:rsidP="00C260F8">
      <w:pPr>
        <w:pStyle w:val="FootnoteText"/>
        <w:spacing w:after="0"/>
      </w:pPr>
      <w:r>
        <w:rPr>
          <w:rStyle w:val="FootnoteReference"/>
        </w:rPr>
        <w:footnoteRef/>
      </w:r>
      <w:r>
        <w:t xml:space="preserve"> Liv. 21.1.4</w:t>
      </w:r>
      <w:r w:rsidR="004729B6">
        <w:t>.</w:t>
      </w:r>
    </w:p>
  </w:footnote>
  <w:footnote w:id="16">
    <w:p w:rsidR="00315EF2" w:rsidRDefault="00315EF2" w:rsidP="00C260F8">
      <w:pPr>
        <w:pStyle w:val="FootnoteText"/>
        <w:spacing w:after="0"/>
      </w:pPr>
      <w:r>
        <w:rPr>
          <w:rStyle w:val="FootnoteReference"/>
        </w:rPr>
        <w:footnoteRef/>
      </w:r>
      <w:r>
        <w:t xml:space="preserve"> Harris 1979: 69; Rich 1996: 3</w:t>
      </w:r>
      <w:r w:rsidR="004729B6">
        <w:t>.</w:t>
      </w:r>
    </w:p>
  </w:footnote>
  <w:footnote w:id="17">
    <w:p w:rsidR="004729B6" w:rsidRDefault="004729B6" w:rsidP="00C260F8">
      <w:pPr>
        <w:pStyle w:val="FootnoteText"/>
        <w:spacing w:after="0"/>
      </w:pPr>
      <w:r>
        <w:rPr>
          <w:rStyle w:val="FootnoteReference"/>
        </w:rPr>
        <w:footnoteRef/>
      </w:r>
      <w:r>
        <w:t xml:space="preserve"> Goldsworthy 2000: 148.</w:t>
      </w:r>
    </w:p>
  </w:footnote>
  <w:footnote w:id="18">
    <w:p w:rsidR="004729B6" w:rsidRDefault="004729B6" w:rsidP="00C260F8">
      <w:pPr>
        <w:pStyle w:val="FootnoteText"/>
        <w:spacing w:after="0"/>
      </w:pPr>
      <w:r>
        <w:rPr>
          <w:rStyle w:val="FootnoteReference"/>
        </w:rPr>
        <w:footnoteRef/>
      </w:r>
      <w:r>
        <w:t xml:space="preserve"> Goldsworthy 2000: 148.</w:t>
      </w:r>
    </w:p>
  </w:footnote>
  <w:footnote w:id="19">
    <w:p w:rsidR="00C260F8" w:rsidRDefault="00C260F8" w:rsidP="00C260F8">
      <w:pPr>
        <w:pStyle w:val="FootnoteText"/>
        <w:spacing w:after="0"/>
      </w:pPr>
      <w:r>
        <w:rPr>
          <w:rStyle w:val="FootnoteReference"/>
        </w:rPr>
        <w:footnoteRef/>
      </w:r>
      <w:r>
        <w:t xml:space="preserve"> </w:t>
      </w:r>
      <w:proofErr w:type="spellStart"/>
      <w:r>
        <w:t>Plb</w:t>
      </w:r>
      <w:proofErr w:type="spellEnd"/>
      <w:r>
        <w:t>. 3.11; Liv.21.1.2.</w:t>
      </w:r>
    </w:p>
  </w:footnote>
  <w:footnote w:id="20">
    <w:p w:rsidR="00AF0B18" w:rsidRDefault="00AF0B18">
      <w:pPr>
        <w:pStyle w:val="FootnoteText"/>
      </w:pPr>
      <w:r>
        <w:rPr>
          <w:rStyle w:val="FootnoteReference"/>
        </w:rPr>
        <w:footnoteRef/>
      </w:r>
      <w:r>
        <w:t xml:space="preserve"> </w:t>
      </w:r>
      <w:proofErr w:type="spellStart"/>
      <w:r>
        <w:t>Lazenby</w:t>
      </w:r>
      <w:proofErr w:type="spellEnd"/>
      <w:r>
        <w:t xml:space="preserve"> 2004: 231; </w:t>
      </w:r>
      <w:proofErr w:type="spellStart"/>
      <w:r>
        <w:t>Plb</w:t>
      </w:r>
      <w:proofErr w:type="spellEnd"/>
      <w:r>
        <w:t xml:space="preserve">. </w:t>
      </w:r>
      <w:r>
        <w:t>7.9; Briscoe 1989: 46</w:t>
      </w:r>
      <w:r w:rsidR="002858B1">
        <w:t>.</w:t>
      </w:r>
      <w:bookmarkStart w:id="0" w:name="_GoBack"/>
      <w:bookmarkEnd w:id="0"/>
    </w:p>
  </w:footnote>
  <w:footnote w:id="21">
    <w:p w:rsidR="00AF0B18" w:rsidRDefault="00AF0B18" w:rsidP="008B446B">
      <w:pPr>
        <w:pStyle w:val="FootnoteText"/>
        <w:spacing w:after="0"/>
      </w:pPr>
      <w:r>
        <w:rPr>
          <w:rStyle w:val="FootnoteReference"/>
        </w:rPr>
        <w:footnoteRef/>
      </w:r>
      <w:r>
        <w:t xml:space="preserve"> </w:t>
      </w:r>
      <w:proofErr w:type="spellStart"/>
      <w:r>
        <w:t>Plb</w:t>
      </w:r>
      <w:proofErr w:type="spellEnd"/>
      <w:r>
        <w:t>. 15.19.</w:t>
      </w:r>
    </w:p>
  </w:footnote>
  <w:footnote w:id="22">
    <w:p w:rsidR="00020BE2" w:rsidRDefault="00020BE2" w:rsidP="008B446B">
      <w:pPr>
        <w:pStyle w:val="FootnoteText"/>
        <w:spacing w:after="0"/>
      </w:pPr>
      <w:r>
        <w:rPr>
          <w:rStyle w:val="FootnoteReference"/>
        </w:rPr>
        <w:footnoteRef/>
      </w:r>
      <w:r>
        <w:t xml:space="preserve"> </w:t>
      </w:r>
      <w:proofErr w:type="spellStart"/>
      <w:r>
        <w:t>Hoyos</w:t>
      </w:r>
      <w:proofErr w:type="spellEnd"/>
      <w:r>
        <w:t xml:space="preserve"> 2015: 97-98</w:t>
      </w:r>
      <w:r w:rsidR="002858B1">
        <w:t>.</w:t>
      </w:r>
    </w:p>
  </w:footnote>
  <w:footnote w:id="23">
    <w:p w:rsidR="00970379" w:rsidRDefault="00970379" w:rsidP="008B446B">
      <w:pPr>
        <w:pStyle w:val="FootnoteText"/>
        <w:spacing w:after="0"/>
      </w:pPr>
      <w:r>
        <w:rPr>
          <w:rStyle w:val="FootnoteReference"/>
        </w:rPr>
        <w:footnoteRef/>
      </w:r>
      <w:r>
        <w:t xml:space="preserve"> Liv. 21.5; App. Hann. 1.3</w:t>
      </w:r>
      <w:r w:rsidR="002858B1">
        <w:t>.</w:t>
      </w:r>
    </w:p>
  </w:footnote>
  <w:footnote w:id="24">
    <w:p w:rsidR="00AA4983" w:rsidRDefault="00AA4983" w:rsidP="008B446B">
      <w:pPr>
        <w:pStyle w:val="FootnoteText"/>
        <w:spacing w:after="0"/>
      </w:pPr>
      <w:r>
        <w:rPr>
          <w:rStyle w:val="FootnoteReference"/>
        </w:rPr>
        <w:footnoteRef/>
      </w:r>
      <w:r>
        <w:t xml:space="preserve"> </w:t>
      </w:r>
      <w:proofErr w:type="spellStart"/>
      <w:r>
        <w:t>Plb</w:t>
      </w:r>
      <w:proofErr w:type="spellEnd"/>
      <w:r>
        <w:t>. 3.15</w:t>
      </w:r>
      <w:r w:rsidR="002858B1">
        <w:t>.</w:t>
      </w:r>
    </w:p>
  </w:footnote>
  <w:footnote w:id="25">
    <w:p w:rsidR="00AA4983" w:rsidRDefault="00AA4983" w:rsidP="008B446B">
      <w:pPr>
        <w:pStyle w:val="FootnoteText"/>
        <w:spacing w:after="0"/>
      </w:pPr>
      <w:r>
        <w:rPr>
          <w:rStyle w:val="FootnoteReference"/>
        </w:rPr>
        <w:footnoteRef/>
      </w:r>
      <w:r>
        <w:t xml:space="preserve"> </w:t>
      </w:r>
      <w:proofErr w:type="spellStart"/>
      <w:r>
        <w:t>Plb</w:t>
      </w:r>
      <w:proofErr w:type="spellEnd"/>
      <w:r>
        <w:t>. 3.15</w:t>
      </w:r>
      <w:r w:rsidR="002858B1">
        <w:t>.</w:t>
      </w:r>
    </w:p>
  </w:footnote>
  <w:footnote w:id="26">
    <w:p w:rsidR="00E50434" w:rsidRDefault="00E50434" w:rsidP="008B446B">
      <w:pPr>
        <w:pStyle w:val="FootnoteText"/>
        <w:spacing w:after="0"/>
      </w:pPr>
      <w:r>
        <w:rPr>
          <w:rStyle w:val="FootnoteReference"/>
        </w:rPr>
        <w:footnoteRef/>
      </w:r>
      <w:r>
        <w:t xml:space="preserve"> </w:t>
      </w:r>
      <w:proofErr w:type="spellStart"/>
      <w:r>
        <w:t>Lazenby</w:t>
      </w:r>
      <w:proofErr w:type="spellEnd"/>
      <w:r>
        <w:t xml:space="preserve"> 2004: 232-33</w:t>
      </w:r>
      <w:r w:rsidR="002858B1">
        <w:t>.</w:t>
      </w:r>
    </w:p>
  </w:footnote>
  <w:footnote w:id="27">
    <w:p w:rsidR="007C60A9" w:rsidRDefault="007C60A9" w:rsidP="008B446B">
      <w:pPr>
        <w:pStyle w:val="FootnoteText"/>
        <w:spacing w:after="0"/>
      </w:pPr>
      <w:r>
        <w:rPr>
          <w:rStyle w:val="FootnoteReference"/>
        </w:rPr>
        <w:footnoteRef/>
      </w:r>
      <w:r>
        <w:t xml:space="preserve"> Briscoe 1989: 45</w:t>
      </w:r>
      <w:r w:rsidR="002858B1">
        <w:t>.</w:t>
      </w:r>
    </w:p>
  </w:footnote>
  <w:footnote w:id="28">
    <w:p w:rsidR="007C60A9" w:rsidRDefault="007C60A9" w:rsidP="008B446B">
      <w:pPr>
        <w:pStyle w:val="FootnoteText"/>
        <w:spacing w:after="0"/>
      </w:pPr>
      <w:r>
        <w:rPr>
          <w:rStyle w:val="FootnoteReference"/>
        </w:rPr>
        <w:footnoteRef/>
      </w:r>
      <w:r>
        <w:t xml:space="preserve"> Briscoe 1989: 45, 46; </w:t>
      </w:r>
      <w:proofErr w:type="spellStart"/>
      <w:r>
        <w:t>Plb</w:t>
      </w:r>
      <w:proofErr w:type="spellEnd"/>
      <w:r>
        <w:t>. 3.15.3</w:t>
      </w:r>
      <w:r w:rsidR="002858B1">
        <w:t>.</w:t>
      </w:r>
    </w:p>
  </w:footnote>
  <w:footnote w:id="29">
    <w:p w:rsidR="00FD7F36" w:rsidRDefault="00FD7F36" w:rsidP="008B446B">
      <w:pPr>
        <w:pStyle w:val="FootnoteText"/>
        <w:spacing w:after="0"/>
      </w:pPr>
      <w:r>
        <w:rPr>
          <w:rStyle w:val="FootnoteReference"/>
        </w:rPr>
        <w:footnoteRef/>
      </w:r>
      <w:r>
        <w:t xml:space="preserve"> </w:t>
      </w:r>
      <w:proofErr w:type="spellStart"/>
      <w:r>
        <w:t>Lazenby</w:t>
      </w:r>
      <w:proofErr w:type="spellEnd"/>
      <w:r>
        <w:t xml:space="preserve"> 2004: 231, 233</w:t>
      </w:r>
      <w:r w:rsidR="002858B1">
        <w:t>.</w:t>
      </w:r>
    </w:p>
  </w:footnote>
  <w:footnote w:id="30">
    <w:p w:rsidR="00FD7F36" w:rsidRDefault="00FD7F36" w:rsidP="008B446B">
      <w:pPr>
        <w:pStyle w:val="FootnoteText"/>
        <w:spacing w:after="0"/>
      </w:pPr>
      <w:r>
        <w:rPr>
          <w:rStyle w:val="FootnoteReference"/>
        </w:rPr>
        <w:footnoteRef/>
      </w:r>
      <w:r>
        <w:t xml:space="preserve"> Harris 1979: 201</w:t>
      </w:r>
      <w:r w:rsidR="002858B1">
        <w:t>.</w:t>
      </w:r>
    </w:p>
  </w:footnote>
  <w:footnote w:id="31">
    <w:p w:rsidR="00096DF0" w:rsidRDefault="00096DF0" w:rsidP="008B446B">
      <w:pPr>
        <w:pStyle w:val="FootnoteText"/>
        <w:spacing w:after="0"/>
      </w:pPr>
      <w:r>
        <w:rPr>
          <w:rStyle w:val="FootnoteReference"/>
        </w:rPr>
        <w:footnoteRef/>
      </w:r>
      <w:r>
        <w:t xml:space="preserve"> </w:t>
      </w:r>
      <w:proofErr w:type="spellStart"/>
      <w:r>
        <w:t>Hoyos</w:t>
      </w:r>
      <w:proofErr w:type="spellEnd"/>
      <w:r>
        <w:t xml:space="preserve"> 2015: 88</w:t>
      </w:r>
      <w:r w:rsidR="002858B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6B8" w:rsidRPr="00C676B8" w:rsidRDefault="00C676B8">
    <w:pPr>
      <w:pStyle w:val="Header"/>
      <w:rPr>
        <w:rFonts w:ascii="Times New Roman" w:hAnsi="Times New Roman" w:cs="Times New Roman"/>
        <w:sz w:val="24"/>
        <w:szCs w:val="24"/>
      </w:rPr>
    </w:pPr>
    <w:r w:rsidRPr="00C676B8">
      <w:rPr>
        <w:rFonts w:ascii="Times New Roman" w:hAnsi="Times New Roman" w:cs="Times New Roman"/>
        <w:sz w:val="24"/>
        <w:szCs w:val="24"/>
      </w:rPr>
      <w:t>James Forder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185F"/>
    <w:rsid w:val="00013545"/>
    <w:rsid w:val="00020BE2"/>
    <w:rsid w:val="00026363"/>
    <w:rsid w:val="00043549"/>
    <w:rsid w:val="00046A16"/>
    <w:rsid w:val="00047074"/>
    <w:rsid w:val="00076A0B"/>
    <w:rsid w:val="000854DF"/>
    <w:rsid w:val="00096DF0"/>
    <w:rsid w:val="000A6D49"/>
    <w:rsid w:val="000E3682"/>
    <w:rsid w:val="000E3751"/>
    <w:rsid w:val="001070F2"/>
    <w:rsid w:val="00111283"/>
    <w:rsid w:val="00127212"/>
    <w:rsid w:val="00172497"/>
    <w:rsid w:val="001C0B52"/>
    <w:rsid w:val="001C4B2D"/>
    <w:rsid w:val="001D07D9"/>
    <w:rsid w:val="001E0E06"/>
    <w:rsid w:val="001E50BB"/>
    <w:rsid w:val="001F4CE1"/>
    <w:rsid w:val="002132DC"/>
    <w:rsid w:val="00216211"/>
    <w:rsid w:val="00224B95"/>
    <w:rsid w:val="002302F7"/>
    <w:rsid w:val="00234633"/>
    <w:rsid w:val="0023561E"/>
    <w:rsid w:val="00242C73"/>
    <w:rsid w:val="002715FA"/>
    <w:rsid w:val="00276002"/>
    <w:rsid w:val="00277421"/>
    <w:rsid w:val="002858B1"/>
    <w:rsid w:val="00290783"/>
    <w:rsid w:val="002B6EE0"/>
    <w:rsid w:val="002C3EEE"/>
    <w:rsid w:val="002D054C"/>
    <w:rsid w:val="002D2A04"/>
    <w:rsid w:val="002E2BA0"/>
    <w:rsid w:val="002E67CE"/>
    <w:rsid w:val="002F1475"/>
    <w:rsid w:val="003014FE"/>
    <w:rsid w:val="00305185"/>
    <w:rsid w:val="00307B22"/>
    <w:rsid w:val="00315EF2"/>
    <w:rsid w:val="00326631"/>
    <w:rsid w:val="00337A70"/>
    <w:rsid w:val="00341D2F"/>
    <w:rsid w:val="0035008D"/>
    <w:rsid w:val="0038342D"/>
    <w:rsid w:val="0039148D"/>
    <w:rsid w:val="003A7EBA"/>
    <w:rsid w:val="003C3F4F"/>
    <w:rsid w:val="003C7F6F"/>
    <w:rsid w:val="003D0307"/>
    <w:rsid w:val="003E08F3"/>
    <w:rsid w:val="003F0AD2"/>
    <w:rsid w:val="0040732D"/>
    <w:rsid w:val="004250DD"/>
    <w:rsid w:val="0043758C"/>
    <w:rsid w:val="0044129B"/>
    <w:rsid w:val="00447497"/>
    <w:rsid w:val="00460A5C"/>
    <w:rsid w:val="004627BA"/>
    <w:rsid w:val="004724D6"/>
    <w:rsid w:val="004729B6"/>
    <w:rsid w:val="00475C78"/>
    <w:rsid w:val="004B73BA"/>
    <w:rsid w:val="004C79CE"/>
    <w:rsid w:val="004D267B"/>
    <w:rsid w:val="00500DCF"/>
    <w:rsid w:val="00521E0F"/>
    <w:rsid w:val="00531109"/>
    <w:rsid w:val="00537B4C"/>
    <w:rsid w:val="005429EF"/>
    <w:rsid w:val="005627D4"/>
    <w:rsid w:val="00565B73"/>
    <w:rsid w:val="0058726A"/>
    <w:rsid w:val="00590E9A"/>
    <w:rsid w:val="005942E9"/>
    <w:rsid w:val="005C6560"/>
    <w:rsid w:val="00610318"/>
    <w:rsid w:val="006273F9"/>
    <w:rsid w:val="00632937"/>
    <w:rsid w:val="00650F69"/>
    <w:rsid w:val="0065654E"/>
    <w:rsid w:val="00662A40"/>
    <w:rsid w:val="006805EC"/>
    <w:rsid w:val="00690DA5"/>
    <w:rsid w:val="00691819"/>
    <w:rsid w:val="00693C4D"/>
    <w:rsid w:val="006A205D"/>
    <w:rsid w:val="006C0A3A"/>
    <w:rsid w:val="006C5E96"/>
    <w:rsid w:val="007336F9"/>
    <w:rsid w:val="00751BE2"/>
    <w:rsid w:val="00765417"/>
    <w:rsid w:val="00770733"/>
    <w:rsid w:val="00773D0E"/>
    <w:rsid w:val="00782871"/>
    <w:rsid w:val="00790E2F"/>
    <w:rsid w:val="007A0E45"/>
    <w:rsid w:val="007B721A"/>
    <w:rsid w:val="007C098A"/>
    <w:rsid w:val="007C1BD6"/>
    <w:rsid w:val="007C3AFF"/>
    <w:rsid w:val="007C60A9"/>
    <w:rsid w:val="007C6F33"/>
    <w:rsid w:val="007D7715"/>
    <w:rsid w:val="00823895"/>
    <w:rsid w:val="0083442E"/>
    <w:rsid w:val="008344AC"/>
    <w:rsid w:val="00840B95"/>
    <w:rsid w:val="0084272E"/>
    <w:rsid w:val="00843DE9"/>
    <w:rsid w:val="00860711"/>
    <w:rsid w:val="0089447F"/>
    <w:rsid w:val="008A4DCC"/>
    <w:rsid w:val="008B3A97"/>
    <w:rsid w:val="008B446B"/>
    <w:rsid w:val="008D03F0"/>
    <w:rsid w:val="008E525C"/>
    <w:rsid w:val="00914769"/>
    <w:rsid w:val="009168F1"/>
    <w:rsid w:val="00961FFE"/>
    <w:rsid w:val="00962725"/>
    <w:rsid w:val="00970379"/>
    <w:rsid w:val="00973B44"/>
    <w:rsid w:val="009801D3"/>
    <w:rsid w:val="009A3D0A"/>
    <w:rsid w:val="009B2D10"/>
    <w:rsid w:val="009C01A3"/>
    <w:rsid w:val="009C396A"/>
    <w:rsid w:val="00A02C62"/>
    <w:rsid w:val="00A2073F"/>
    <w:rsid w:val="00A303FE"/>
    <w:rsid w:val="00A41032"/>
    <w:rsid w:val="00A41AF9"/>
    <w:rsid w:val="00A507E4"/>
    <w:rsid w:val="00A50BE3"/>
    <w:rsid w:val="00A62E68"/>
    <w:rsid w:val="00A94BF9"/>
    <w:rsid w:val="00A972E4"/>
    <w:rsid w:val="00A9744A"/>
    <w:rsid w:val="00AA4983"/>
    <w:rsid w:val="00AA73AD"/>
    <w:rsid w:val="00AB3B3B"/>
    <w:rsid w:val="00AC36E3"/>
    <w:rsid w:val="00AC3798"/>
    <w:rsid w:val="00AC6213"/>
    <w:rsid w:val="00AD5D5A"/>
    <w:rsid w:val="00AE49F6"/>
    <w:rsid w:val="00AF0B18"/>
    <w:rsid w:val="00B11E29"/>
    <w:rsid w:val="00B222A1"/>
    <w:rsid w:val="00B270B7"/>
    <w:rsid w:val="00B36F4A"/>
    <w:rsid w:val="00B42501"/>
    <w:rsid w:val="00B45FEF"/>
    <w:rsid w:val="00B7694D"/>
    <w:rsid w:val="00B81E5D"/>
    <w:rsid w:val="00B96983"/>
    <w:rsid w:val="00B9724B"/>
    <w:rsid w:val="00BA724A"/>
    <w:rsid w:val="00BC1165"/>
    <w:rsid w:val="00BC17F1"/>
    <w:rsid w:val="00BE7B7A"/>
    <w:rsid w:val="00BF22DC"/>
    <w:rsid w:val="00BF3D29"/>
    <w:rsid w:val="00BF6291"/>
    <w:rsid w:val="00C129C7"/>
    <w:rsid w:val="00C22A88"/>
    <w:rsid w:val="00C260F8"/>
    <w:rsid w:val="00C42CA1"/>
    <w:rsid w:val="00C65E7F"/>
    <w:rsid w:val="00C676B8"/>
    <w:rsid w:val="00C71B71"/>
    <w:rsid w:val="00C93CD4"/>
    <w:rsid w:val="00CC52A3"/>
    <w:rsid w:val="00CD6839"/>
    <w:rsid w:val="00CE3B79"/>
    <w:rsid w:val="00CE4424"/>
    <w:rsid w:val="00D02E55"/>
    <w:rsid w:val="00D0754F"/>
    <w:rsid w:val="00D121FD"/>
    <w:rsid w:val="00D459DC"/>
    <w:rsid w:val="00D56EFA"/>
    <w:rsid w:val="00DA3217"/>
    <w:rsid w:val="00DA3E0F"/>
    <w:rsid w:val="00DB185F"/>
    <w:rsid w:val="00DB2FD8"/>
    <w:rsid w:val="00DB43BB"/>
    <w:rsid w:val="00DD363B"/>
    <w:rsid w:val="00DE54B1"/>
    <w:rsid w:val="00DF4780"/>
    <w:rsid w:val="00E3766D"/>
    <w:rsid w:val="00E45D53"/>
    <w:rsid w:val="00E50434"/>
    <w:rsid w:val="00E57529"/>
    <w:rsid w:val="00E84F5D"/>
    <w:rsid w:val="00E977BE"/>
    <w:rsid w:val="00EC7546"/>
    <w:rsid w:val="00F1661E"/>
    <w:rsid w:val="00F346BE"/>
    <w:rsid w:val="00F40209"/>
    <w:rsid w:val="00F73533"/>
    <w:rsid w:val="00F7471D"/>
    <w:rsid w:val="00F87C78"/>
    <w:rsid w:val="00F912E7"/>
    <w:rsid w:val="00FA07E9"/>
    <w:rsid w:val="00FA2A4C"/>
    <w:rsid w:val="00FD6E1E"/>
    <w:rsid w:val="00FD7F36"/>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29FA4A"/>
  <w15:chartTrackingRefBased/>
  <w15:docId w15:val="{9FFD7466-1326-478F-8C96-B93E5B7C3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45D53"/>
    <w:pPr>
      <w:spacing w:after="120"/>
    </w:pPr>
    <w:rPr>
      <w:sz w:val="24"/>
      <w:szCs w:val="24"/>
      <w:lang w:eastAsia="zh-CN"/>
    </w:rPr>
  </w:style>
  <w:style w:type="paragraph" w:styleId="Heading1">
    <w:name w:val="heading 1"/>
    <w:basedOn w:val="Normal"/>
    <w:next w:val="Normal"/>
    <w:link w:val="Heading1Char"/>
    <w:uiPriority w:val="9"/>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cs="Tahoma"/>
      <w:sz w:val="16"/>
      <w:szCs w:val="16"/>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cs="Tahoma"/>
      <w:sz w:val="22"/>
      <w:szCs w:val="20"/>
      <w:lang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link w:val="Footer"/>
    <w:uiPriority w:val="99"/>
    <w:rsid w:val="00AD5D5A"/>
    <w:rPr>
      <w:sz w:val="24"/>
      <w:szCs w:val="24"/>
      <w:lang w:eastAsia="zh-CN"/>
    </w:rPr>
  </w:style>
  <w:style w:type="paragraph" w:styleId="FootnoteText">
    <w:name w:val="footnote text"/>
    <w:basedOn w:val="Normal"/>
    <w:link w:val="FootnoteTextChar"/>
    <w:rsid w:val="006273F9"/>
    <w:rPr>
      <w:sz w:val="20"/>
      <w:szCs w:val="20"/>
    </w:rPr>
  </w:style>
  <w:style w:type="character" w:customStyle="1" w:styleId="FootnoteTextChar">
    <w:name w:val="Footnote Text Char"/>
    <w:link w:val="FootnoteText"/>
    <w:rsid w:val="006273F9"/>
    <w:rPr>
      <w:lang w:eastAsia="zh-CN"/>
    </w:rPr>
  </w:style>
  <w:style w:type="character" w:styleId="FootnoteReference">
    <w:name w:val="footnote reference"/>
    <w:rsid w:val="006273F9"/>
    <w:rPr>
      <w:vertAlign w:val="superscript"/>
    </w:rPr>
  </w:style>
  <w:style w:type="character" w:customStyle="1" w:styleId="Heading1Char">
    <w:name w:val="Heading 1 Char"/>
    <w:link w:val="Heading1"/>
    <w:uiPriority w:val="9"/>
    <w:rsid w:val="00D02E55"/>
    <w:rPr>
      <w:rFonts w:ascii="Arial" w:hAnsi="Arial" w:cs="Arial"/>
      <w:b/>
      <w:bCs/>
      <w:kern w:val="32"/>
      <w:sz w:val="32"/>
      <w:szCs w:val="32"/>
      <w:lang w:eastAsia="zh-CN"/>
    </w:rPr>
  </w:style>
  <w:style w:type="paragraph" w:styleId="Bibliography">
    <w:name w:val="Bibliography"/>
    <w:basedOn w:val="Normal"/>
    <w:next w:val="Normal"/>
    <w:uiPriority w:val="37"/>
    <w:unhideWhenUsed/>
    <w:rsid w:val="00D02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709375209">
      <w:bodyDiv w:val="1"/>
      <w:marLeft w:val="0"/>
      <w:marRight w:val="0"/>
      <w:marTop w:val="0"/>
      <w:marBottom w:val="0"/>
      <w:divBdr>
        <w:top w:val="none" w:sz="0" w:space="0" w:color="auto"/>
        <w:left w:val="none" w:sz="0" w:space="0" w:color="auto"/>
        <w:bottom w:val="none" w:sz="0" w:space="0" w:color="auto"/>
        <w:right w:val="none" w:sz="0" w:space="0" w:color="auto"/>
      </w:divBdr>
    </w:div>
    <w:div w:id="1166356521">
      <w:bodyDiv w:val="1"/>
      <w:marLeft w:val="0"/>
      <w:marRight w:val="0"/>
      <w:marTop w:val="0"/>
      <w:marBottom w:val="0"/>
      <w:divBdr>
        <w:top w:val="none" w:sz="0" w:space="0" w:color="auto"/>
        <w:left w:val="none" w:sz="0" w:space="0" w:color="auto"/>
        <w:bottom w:val="none" w:sz="0" w:space="0" w:color="auto"/>
        <w:right w:val="none" w:sz="0" w:space="0" w:color="auto"/>
      </w:divBdr>
    </w:div>
    <w:div w:id="1717585272">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Wil79</b:Tag>
    <b:SourceType>Book</b:SourceType>
    <b:Guid>{1341D395-7008-48F2-965B-1F7DE3793276}</b:Guid>
    <b:Title>War and Imperialism in Republican Rome:327-70BC</b:Title>
    <b:Year>2006 (1979)</b:Year>
    <b:Author>
      <b:Author>
        <b:NameList>
          <b:Person>
            <b:Last>Harris</b:Last>
            <b:First>William</b:First>
            <b:Middle>V.</b:Middle>
          </b:Person>
        </b:NameList>
      </b:Author>
    </b:Author>
    <b:City>Oxford</b:City>
    <b:Publisher>Oxford University Press</b:Publisher>
    <b:RefOrder>1</b:RefOrder>
  </b:Source>
  <b:Source>
    <b:Tag>Joh04</b:Tag>
    <b:SourceType>BookSection</b:SourceType>
    <b:Guid>{80630352-11C0-4293-B3DB-FB9698E99F2C}</b:Guid>
    <b:Title>Rome and Carthage</b:Title>
    <b:Year>2004</b:Year>
    <b:City>Cambridge</b:City>
    <b:Publisher>Cambridge University Press</b:Publisher>
    <b:Author>
      <b:Author>
        <b:NameList>
          <b:Person>
            <b:Last>Lazenby</b:Last>
            <b:First>John</b:First>
            <b:Middle>F.</b:Middle>
          </b:Person>
        </b:NameList>
      </b:Author>
      <b:Editor>
        <b:NameList>
          <b:Person>
            <b:Last>Flower</b:Last>
            <b:First>Harriet</b:First>
            <b:Middle>I.</b:Middle>
          </b:Person>
        </b:NameList>
      </b:Editor>
    </b:Author>
    <b:BookTitle>The Cambridge Companion to the Roman Republic</b:BookTitle>
    <b:Pages>225-241</b:Pages>
    <b:RefOrder>2</b:RefOrder>
  </b:Source>
  <b:Source>
    <b:Tag>Dex15</b:Tag>
    <b:SourceType>Book</b:SourceType>
    <b:Guid>{AD610D74-1236-47B0-89FE-6553CCADF7B7}</b:Guid>
    <b:Title>Mastering the West: Rome and Carthage at War</b:Title>
    <b:Year>2015</b:Year>
    <b:City>Oxford</b:City>
    <b:Publisher>Oxford University Press</b:Publisher>
    <b:Author>
      <b:Author>
        <b:NameList>
          <b:Person>
            <b:Last>Hoyos</b:Last>
            <b:First>Dexter</b:First>
          </b:Person>
        </b:NameList>
      </b:Author>
    </b:Author>
    <b:RefOrder>3</b:RefOrder>
  </b:Source>
  <b:Source>
    <b:Tag>Joh96</b:Tag>
    <b:SourceType>BookSection</b:SourceType>
    <b:Guid>{34BF1C4B-99CC-45A3-ACA4-E4F6BB944DE9}</b:Guid>
    <b:Title>The Origins of the Second Punic War</b:Title>
    <b:Year>1996</b:Year>
    <b:City>London</b:City>
    <b:Publisher>Institute of Classical Studies, University of London</b:Publisher>
    <b:Author>
      <b:Author>
        <b:NameList>
          <b:Person>
            <b:Last>Rich</b:Last>
            <b:First>John</b:First>
          </b:Person>
        </b:NameList>
      </b:Author>
      <b:Editor>
        <b:NameList>
          <b:Person>
            <b:Last>Cornell</b:Last>
            <b:First>Tim</b:First>
          </b:Person>
          <b:Person>
            <b:Last>Rankov</b:Last>
            <b:First>Boris</b:First>
          </b:Person>
          <b:Person>
            <b:Last>Sabin</b:Last>
            <b:First>Philip</b:First>
          </b:Person>
        </b:NameList>
      </b:Editor>
    </b:Author>
    <b:BookTitle>The Second Punic War: a Reappraisal</b:BookTitle>
    <b:Pages>1-38</b:Pages>
    <b:RefOrder>4</b:RefOrder>
  </b:Source>
  <b:Source>
    <b:Tag>Bri89</b:Tag>
    <b:SourceType>BookSection</b:SourceType>
    <b:Guid>{7FACE3ED-A2C9-4EC1-B3F1-8787B554314C}</b:Guid>
    <b:Author>
      <b:Author>
        <b:NameList>
          <b:Person>
            <b:Last>Briscoe</b:Last>
            <b:First>John</b:First>
          </b:Person>
        </b:NameList>
      </b:Author>
      <b:Editor>
        <b:NameList>
          <b:Person>
            <b:Last>Austin</b:Last>
            <b:First>A.E.</b:First>
          </b:Person>
          <b:Person>
            <b:Last>Walbank</b:Last>
            <b:First>F.</b:First>
            <b:Middle>W.</b:Middle>
          </b:Person>
          <b:Person>
            <b:Last>Frederiksen</b:Last>
            <b:First>M.</b:First>
            <b:Middle>W.</b:Middle>
          </b:Person>
          <b:Person>
            <b:Last>Ogilvie</b:Last>
            <b:First>R.</b:First>
            <b:Middle>M.</b:Middle>
          </b:Person>
        </b:NameList>
      </b:Editor>
    </b:Author>
    <b:Title>The Second Punic War</b:Title>
    <b:BookTitle>The Cambridge Ancient History Volume VIII: Rome and the Mediterranean to 133BC</b:BookTitle>
    <b:Year>1989</b:Year>
    <b:Pages>44-79</b:Pages>
    <b:City>Cambridge</b:City>
    <b:Publisher>Cambridge University Press</b:Publisher>
    <b:Edition>2nd</b:Edition>
    <b:RefOrder>5</b:RefOrder>
  </b:Source>
  <b:Source>
    <b:Tag>Adr00</b:Tag>
    <b:SourceType>Book</b:SourceType>
    <b:Guid>{43CA8906-6DC7-4AAC-BD96-FF77EAFA5590}</b:Guid>
    <b:Title>The Fall of Carthage</b:Title>
    <b:Year>2000</b:Year>
    <b:City>London</b:City>
    <b:Publisher>Phoenix</b:Publisher>
    <b:Author>
      <b:Author>
        <b:NameList>
          <b:Person>
            <b:Last>Goldsworthy</b:Last>
            <b:First>Adrian</b:First>
          </b:Person>
        </b:NameList>
      </b:Author>
    </b:Author>
    <b:RefOrder>6</b:RefOrder>
  </b:Source>
  <b:Source>
    <b:Tag>Don11</b:Tag>
    <b:SourceType>Book</b:SourceType>
    <b:Guid>{A2085281-77B8-47E8-A3C4-C15369852D49}</b:Guid>
    <b:Author>
      <b:Author>
        <b:NameList>
          <b:Person>
            <b:Last>Baronowski</b:Last>
            <b:First>Donald</b:First>
            <b:Middle>Walter</b:Middle>
          </b:Person>
        </b:NameList>
      </b:Author>
    </b:Author>
    <b:Title>Polybius and Roman Imperialism</b:Title>
    <b:Year>2011</b:Year>
    <b:City>London</b:City>
    <b:Publisher>Bristol Classical Press</b:Publisher>
    <b:RefOrder>7</b:RefOrder>
  </b:Source>
  <b:Source>
    <b:Tag>Pol10</b:Tag>
    <b:SourceType>Book</b:SourceType>
    <b:Guid>{9CC3AEF0-C42F-403F-AECB-90B49E882675}</b:Guid>
    <b:Author>
      <b:Author>
        <b:NameList>
          <b:Person>
            <b:Last>Polybius</b:Last>
          </b:Person>
        </b:NameList>
      </b:Author>
      <b:Translator>
        <b:NameList>
          <b:Person>
            <b:Last>Waterfield</b:Last>
            <b:First>Robin</b:First>
          </b:Person>
        </b:NameList>
      </b:Translator>
    </b:Author>
    <b:Title>The Histories</b:Title>
    <b:Year>2010</b:Year>
    <b:City>Oxford</b:City>
    <b:Publisher>Oxford University Press</b:Publisher>
    <b:RefOrder>8</b:RefOrder>
  </b:Source>
  <b:Source>
    <b:Tag>Liv72</b:Tag>
    <b:SourceType>Book</b:SourceType>
    <b:Guid>{0FAD52F1-A522-483C-B2F6-B478ACC946D0}</b:Guid>
    <b:Author>
      <b:Author>
        <b:NameList>
          <b:Person>
            <b:Last>Livy</b:Last>
          </b:Person>
        </b:NameList>
      </b:Author>
      <b:Translator>
        <b:NameList>
          <b:Person>
            <b:Last>Selincourt</b:Last>
            <b:First>Aubrey</b:First>
            <b:Middle>De</b:Middle>
          </b:Person>
        </b:NameList>
      </b:Translator>
    </b:Author>
    <b:Title>The War With Hannibal</b:Title>
    <b:Year>1972</b:Year>
    <b:City>Harmondsworth</b:City>
    <b:Publisher>Penguin</b:Publisher>
    <b:RefOrder>9</b:RefOrder>
  </b:Source>
  <b:Source>
    <b:Tag>Dio</b:Tag>
    <b:SourceType>Book</b:SourceType>
    <b:Guid>{B21089EB-9EFD-45A8-BA01-F56C3C0B00AB}</b:Guid>
    <b:Author>
      <b:Author>
        <b:NameList>
          <b:Person>
            <b:Last>Diodorus</b:Last>
          </b:Person>
        </b:NameList>
      </b:Author>
      <b:Translator>
        <b:NameList>
          <b:Person>
            <b:Last>Walton</b:Last>
            <b:First>Francis</b:First>
            <b:Middle>R.</b:Middle>
          </b:Person>
        </b:NameList>
      </b:Translator>
    </b:Author>
    <b:Title>Diodorus of Sicily XI</b:Title>
    <b:City>Cambridge, Massachusetts</b:City>
    <b:Publisher>Harvard University Press</b:Publisher>
    <b:RefOrder>10</b:RefOrder>
  </b:Source>
  <b:Source>
    <b:Tag>App58</b:Tag>
    <b:SourceType>BookSection</b:SourceType>
    <b:Guid>{ADBC2482-2F3E-439A-BC71-3B2E0A021B41}</b:Guid>
    <b:Author>
      <b:Author>
        <b:NameList>
          <b:Person>
            <b:Last>Appian</b:Last>
          </b:Person>
        </b:NameList>
      </b:Author>
      <b:Translator>
        <b:NameList>
          <b:Person>
            <b:Last>White</b:Last>
            <b:First>Horace</b:First>
          </b:Person>
        </b:NameList>
      </b:Translator>
    </b:Author>
    <b:Title>The Hannibalic War</b:Title>
    <b:Year>1958</b:Year>
    <b:City>Cambridge, Massachusetts</b:City>
    <b:Publisher>Harvard University Press</b:Publisher>
    <b:BookTitle>Appian's Roman History I</b:BookTitle>
    <b:Pages>303-400</b:Pages>
    <b:RefOrder>11</b:RefOrder>
  </b:Source>
</b:Sources>
</file>

<file path=customXml/itemProps1.xml><?xml version="1.0" encoding="utf-8"?>
<ds:datastoreItem xmlns:ds="http://schemas.openxmlformats.org/officeDocument/2006/customXml" ds:itemID="{B4C50A3E-83F8-4437-B45A-E91A9A24F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6</Pages>
  <Words>1765</Words>
  <Characters>10063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James</cp:lastModifiedBy>
  <cp:revision>27</cp:revision>
  <cp:lastPrinted>2010-10-08T16:31:00Z</cp:lastPrinted>
  <dcterms:created xsi:type="dcterms:W3CDTF">2017-12-05T16:25:00Z</dcterms:created>
  <dcterms:modified xsi:type="dcterms:W3CDTF">2017-12-07T17:13:00Z</dcterms:modified>
</cp:coreProperties>
</file>