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Bdr>
          <w:top w:val="none" w:sz="0" w:space="0" w:color="auto"/>
          <w:left w:val="none" w:sz="0" w:space="0" w:color="auto"/>
          <w:bottom w:val="none" w:sz="0" w:space="0" w:color="auto"/>
          <w:right w:val="none" w:sz="0" w:space="0" w:color="auto"/>
          <w:between w:val="none" w:sz="0" w:space="0" w:color="auto"/>
        </w:pBdr>
        <w:jc w:val="center"/>
        <w:rPr>
          <w:b/>
          <w:bCs/>
          <w:sz w:val="24"/>
          <w:szCs w:val="24"/>
        </w:rPr>
      </w:pPr>
    </w:p>
    <w:p>
      <w:pPr>
        <w:pBdr>
          <w:top w:val="none" w:sz="0" w:space="0" w:color="auto"/>
          <w:left w:val="none" w:sz="0" w:space="0" w:color="auto"/>
          <w:bottom w:val="none" w:sz="0" w:space="0" w:color="auto"/>
          <w:right w:val="none" w:sz="0" w:space="0" w:color="auto"/>
          <w:between w:val="none" w:sz="0" w:space="0" w:color="auto"/>
        </w:pBdr>
        <w:jc w:val="center"/>
        <w:rPr>
          <w:b/>
          <w:bCs/>
          <w:sz w:val="24"/>
          <w:szCs w:val="24"/>
        </w:rPr>
      </w:pPr>
      <w:r>
        <w:rPr>
          <w:b/>
          <w:bCs/>
          <w:sz w:val="24"/>
          <w:szCs w:val="24"/>
          <w:lang w:eastAsia="en-GB"/>
        </w:rPr>
        <w:drawing>
          <wp:inline distT="0" distB="0" distL="0" distR="0">
            <wp:extent cx="1541780" cy="595630"/>
            <wp:effectExtent l="0" t="0" r="0" b="0"/>
            <wp:docPr id="1" name="图片 1"/>
            <wp:cNvGraphicFramePr>
              <a:graphicFrameLocks noChangeAspect="0"/>
            </wp:cNvGraphicFramePr>
            <a:graphic>
              <a:graphicData uri="http://schemas.openxmlformats.org/drawingml/2006/picture">
                <pic:pic>
                  <pic:nvPicPr>
                    <pic:cNvPr id="3" name="图片 3"/>
                    <pic:cNvPicPr/>
                  </pic:nvPicPr>
                  <pic:blipFill>
                    <a:blip r:embed="rId3"/>
                    <a:stretch>
                      <a:fillRect/>
                    </a:stretch>
                  </pic:blipFill>
                  <pic:spPr>
                    <a:xfrm rot="0">
                      <a:off x="0" y="0"/>
                      <a:ext cx="1541780" cy="595630"/>
                    </a:xfrm>
                    <a:prstGeom prst="rect"/>
                    <a:noFill/>
                    <a:ln w="12700" cmpd="sng" cap="flat">
                      <a:solidFill>
                        <a:srgbClr val="000000"/>
                      </a:solidFill>
                      <a:prstDash val="solid"/>
                      <a:round/>
                    </a:ln>
                  </pic:spPr>
                </pic:pic>
              </a:graphicData>
            </a:graphic>
          </wp:inline>
        </w:drawing>
      </w:r>
    </w:p>
    <w:p>
      <w:pPr>
        <w:pBdr>
          <w:top w:val="none" w:sz="0" w:space="0" w:color="auto"/>
          <w:left w:val="none" w:sz="0" w:space="0" w:color="auto"/>
          <w:bottom w:val="none" w:sz="0" w:space="0" w:color="auto"/>
          <w:right w:val="none" w:sz="0" w:space="0" w:color="auto"/>
          <w:between w:val="none" w:sz="0" w:space="0" w:color="auto"/>
        </w:pBdr>
        <w:jc w:val="center"/>
        <w:rPr>
          <w:b/>
          <w:bCs/>
          <w:sz w:val="24"/>
          <w:szCs w:val="24"/>
        </w:rPr>
      </w:pP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PROGRAMME: MSC PUBLIC HEALTH AND SOCIAL CARE IN</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PRACTICE</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MODULE: PRACTICE-BASED RESEARCH</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MODULE CODE: LCHS7008</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LECTURER: DR DIOLA BIJLHOUT</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ASSIGNMENT TITLE: COMPONENT 2- WRITTEN RESEARCH</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EFFECTIVENESS OF PERSONALIZED CARE PLANNING IN ADULT STROKE SURVIVORS AGED BETWEEN 45 TO 60 IN THE UK</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by</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 xml:space="preserve">Ganesh Sukhiprasad Gautam </w:t>
      </w:r>
    </w:p>
    <w:p>
      <w:pPr>
        <w:pBdr>
          <w:top w:val="none" w:sz="0" w:space="0" w:color="auto"/>
          <w:left w:val="none" w:sz="0" w:space="0" w:color="auto"/>
          <w:bottom w:val="none" w:sz="0" w:space="0" w:color="auto"/>
          <w:right w:val="none" w:sz="0" w:space="0" w:color="auto"/>
          <w:between w:val="none" w:sz="0" w:space="0" w:color="auto"/>
        </w:pBdr>
        <w:jc w:val="center"/>
        <w:rPr>
          <w:b/>
          <w:bCs/>
          <w:sz w:val="32"/>
          <w:szCs w:val="32"/>
        </w:rPr>
      </w:pPr>
      <w:r>
        <w:rPr>
          <w:b/>
          <w:bCs/>
          <w:sz w:val="32"/>
          <w:szCs w:val="32"/>
        </w:rPr>
        <w:t>2427677</w:t>
      </w:r>
    </w:p>
    <w:p>
      <w:pPr>
        <w:rPr>
          <w:b/>
          <w:bCs/>
          <w:sz w:val="32"/>
          <w:szCs w:val="32"/>
        </w:rPr>
      </w:pPr>
      <w:r>
        <w:br w:type="page"/>
      </w:r>
    </w:p>
    <w:p>
      <w:pPr>
        <w:pBdr>
          <w:top w:val="none" w:sz="0" w:space="0" w:color="auto"/>
          <w:left w:val="none" w:sz="0" w:space="0" w:color="auto"/>
          <w:bottom w:val="none" w:sz="0" w:space="0" w:color="auto"/>
          <w:right w:val="none" w:sz="0" w:space="0" w:color="auto"/>
          <w:between w:val="none" w:sz="0" w:space="0" w:color="auto"/>
        </w:pBdr>
        <w:jc w:val="center"/>
        <w:rPr>
          <w:b/>
          <w:bCs/>
          <w:sz w:val="24"/>
          <w:szCs w:val="24"/>
        </w:rPr>
      </w:pPr>
      <w:r>
        <w:rPr>
          <w:b/>
          <w:bCs/>
          <w:sz w:val="24"/>
          <w:szCs w:val="24"/>
        </w:rPr>
        <w:t>Abstract</w:t>
      </w:r>
    </w:p>
    <w:p>
      <w:pPr>
        <w:rPr>
          <w:b/>
          <w:bCs/>
          <w:i/>
          <w:iCs/>
          <w:color w:val="000000"/>
          <w:u w:val="single"/>
        </w:rPr>
      </w:pPr>
      <w:r>
        <w:rPr>
          <w:b/>
          <w:bCs/>
          <w:i/>
          <w:iCs/>
          <w:color w:val="000000"/>
          <w:u w:val="single"/>
        </w:rPr>
        <w:t xml:space="preserve">Objective and Background </w:t>
      </w:r>
    </w:p>
    <w:p>
      <w:pPr>
        <w:rPr>
          <w:color w:val="000000"/>
        </w:rPr>
      </w:pPr>
      <w:r>
        <w:rPr>
          <w:color w:val="000000"/>
        </w:rPr>
        <w:t xml:space="preserve">The research has aimed to understand the effectiveness of personalised care planning in adult stroke survivors in the UK aged between 45 and 60. The use of personalized-level care plan and outcomes prediction has been beneficial for the people with stroke due to the efficiency of individualised stroke predictions. Cardiovascular diseases for stroke has caused almost a quarter of all death records in the UK. NHS or National Health Services-based reports showcase an increasing rate of stroke among the adult people in the UK due to lack of healthcare plan follow-up. </w:t>
      </w:r>
    </w:p>
    <w:p>
      <w:pPr>
        <w:rPr>
          <w:color w:val="000000"/>
        </w:rPr>
      </w:pPr>
      <w:r>
        <w:rPr>
          <w:b/>
          <w:bCs/>
          <w:i/>
          <w:iCs/>
          <w:color w:val="000000"/>
          <w:u w:val="single"/>
        </w:rPr>
        <w:t>Methods</w:t>
      </w:r>
      <w:r>
        <w:rPr>
          <w:color w:val="000000"/>
        </w:rPr>
        <w:t xml:space="preserve"> </w:t>
      </w:r>
    </w:p>
    <w:p>
      <w:pPr>
        <w:rPr>
          <w:color w:val="000000"/>
        </w:rPr>
      </w:pPr>
      <w:r>
        <w:rPr>
          <w:color w:val="000000"/>
        </w:rPr>
        <w:t xml:space="preserve">The methodological chapter has evaluated the use of thematic analysis in terms of interpreting the information accumulated through systematic review. It has been recognised that deductive approach fulfils a data collection approach based on theoretical perspectives. Apart from this, Research questions have been answered by analysing databases of these healthcare articles with the support of CASP tables. </w:t>
      </w:r>
    </w:p>
    <w:p>
      <w:pPr>
        <w:rPr>
          <w:b/>
          <w:bCs/>
          <w:i/>
          <w:iCs/>
          <w:color w:val="000000"/>
          <w:u w:val="single"/>
        </w:rPr>
      </w:pPr>
      <w:r>
        <w:rPr>
          <w:b/>
          <w:bCs/>
          <w:i/>
          <w:iCs/>
          <w:color w:val="000000"/>
          <w:u w:val="single"/>
        </w:rPr>
        <w:t xml:space="preserve">Results </w:t>
      </w:r>
    </w:p>
    <w:p>
      <w:pPr>
        <w:rPr>
          <w:color w:val="000000"/>
        </w:rPr>
      </w:pPr>
      <w:r>
        <w:rPr>
          <w:color w:val="000000"/>
        </w:rPr>
        <w:t>The key findings has evaluated the role of AI and ML, which has been indispensable for stroke-support with Artillery Fibrillation, educating caregivers and Medicare staff also has been proven equally important for effective patient-care. One by one, the articles have explained how different innovative care-approaches including technological and strategic-plan are shaping advanced-care support for patients. There has been many differences of opinions between patients and doctors were noticed in some cases regarding care-supports’ effectiveness. However, optimising care planning for establishing advanced care-support programs have been mentioned to resolve these issues, assuring positive health-outcomes. </w:t>
      </w:r>
    </w:p>
    <w:p>
      <w:pPr>
        <w:rPr>
          <w:b/>
          <w:bCs/>
          <w:i/>
          <w:iCs/>
          <w:color w:val="000000"/>
          <w:u w:val="single"/>
        </w:rPr>
      </w:pPr>
      <w:r>
        <w:rPr>
          <w:b/>
          <w:bCs/>
          <w:i/>
          <w:iCs/>
          <w:color w:val="000000"/>
          <w:u w:val="single"/>
        </w:rPr>
        <w:t>Conclusion</w:t>
      </w:r>
    </w:p>
    <w:p>
      <w:pPr>
        <w:rPr>
          <w:color w:val="000000"/>
        </w:rPr>
      </w:pPr>
      <w:r>
        <w:rPr>
          <w:color w:val="000000"/>
        </w:rPr>
        <w:t>The concluding statement has revolved around the main propaganda of this research, which is how stroke patients are getting impacted with a personalised care-support plan. It was revealed how despite of challenges being ascertained, changing diet plans, adopting healthy behaviours, motivating patients and supporting them with an integrated digitally-supported framework has managed to bring healthy-outcomes.</w:t>
      </w:r>
      <w:r>
        <w:br w:type="page"/>
      </w:r>
    </w:p>
    <w:p>
      <w:pPr>
        <w:keepNext/>
        <w:keepLines/>
        <w:pBdr>
          <w:top w:val="none" w:sz="0" w:space="0" w:color="auto"/>
          <w:left w:val="none" w:sz="0" w:space="0" w:color="auto"/>
          <w:bottom w:val="none" w:sz="0" w:space="0" w:color="auto"/>
          <w:right w:val="none" w:sz="0" w:space="0" w:color="auto"/>
          <w:between w:val="none" w:sz="0" w:space="0" w:color="auto"/>
        </w:pBdr>
        <w:spacing w:before="480"/>
        <w:jc w:val="center"/>
        <w:rPr>
          <w:b/>
          <w:bCs/>
        </w:rPr>
      </w:pPr>
      <w:r>
        <w:rPr>
          <w:b/>
          <w:bCs/>
        </w:rPr>
        <w:t>Table of Contents</w:t>
      </w:r>
    </w:p>
    <w:p>
      <w:pPr>
        <w:pStyle w:val="24"/>
        <w:tabs>
          <w:tab w:val="right" w:pos="9019"/>
        </w:tabs>
        <w:spacing w:after="0"/>
        <w:rPr>
          <w:rFonts w:eastAsia="宋体"/>
        </w:rPr>
      </w:pPr>
      <w:r>
        <w:fldChar w:fldCharType="begin"/>
      </w:r>
      <w:r>
        <w:instrText xml:space="preserve"> TOC \h \u \z \t "Heading 1,1,Heading 2,2,Heading 3,3,"</w:instrText>
      </w:r>
      <w:r>
        <w:fldChar w:fldCharType="separate"/>
      </w:r>
      <w:r>
        <w:fldChar w:fldCharType="begin"/>
      </w:r>
      <w:r>
        <w:instrText>Hyperlink \l "_Toc220754444"</w:instrText>
      </w:r>
      <w:r>
        <w:fldChar w:fldCharType="separate"/>
      </w:r>
      <w:r>
        <w:t>Chapter 1: Introduction</w:t>
        <w:tab/>
      </w:r>
      <w:r>
        <w:fldChar w:fldCharType="begin"/>
      </w:r>
      <w:r>
        <w:instrText xml:space="preserve"> PAGEREF _Toc220754444 \h </w:instrText>
      </w:r>
      <w:r>
        <w:fldChar w:fldCharType="separate"/>
      </w:r>
      <w:r>
        <w:t>7</w:t>
      </w:r>
      <w:r>
        <w:fldChar w:fldCharType="end"/>
      </w:r>
      <w:r>
        <w:fldChar w:fldCharType="end"/>
      </w:r>
    </w:p>
    <w:p>
      <w:pPr>
        <w:pStyle w:val="25"/>
        <w:tabs>
          <w:tab w:val="right" w:pos="9019"/>
        </w:tabs>
        <w:spacing w:after="0"/>
        <w:rPr>
          <w:rFonts w:eastAsia="宋体"/>
        </w:rPr>
      </w:pPr>
      <w:r>
        <w:fldChar w:fldCharType="begin"/>
      </w:r>
      <w:r>
        <w:instrText>Hyperlink \l "_Toc220754445"</w:instrText>
      </w:r>
      <w:r>
        <w:fldChar w:fldCharType="separate"/>
      </w:r>
      <w:r>
        <w:t>1.1 Background/Context</w:t>
        <w:tab/>
      </w:r>
      <w:r>
        <w:fldChar w:fldCharType="begin"/>
      </w:r>
      <w:r>
        <w:instrText xml:space="preserve"> PAGEREF _Toc220754445 \h </w:instrText>
      </w:r>
      <w:r>
        <w:fldChar w:fldCharType="separate"/>
      </w:r>
      <w:r>
        <w:t>7</w:t>
      </w:r>
      <w:r>
        <w:fldChar w:fldCharType="end"/>
      </w:r>
      <w:r>
        <w:fldChar w:fldCharType="end"/>
      </w:r>
    </w:p>
    <w:p>
      <w:pPr>
        <w:pStyle w:val="25"/>
        <w:tabs>
          <w:tab w:val="right" w:pos="9019"/>
        </w:tabs>
        <w:spacing w:after="0"/>
        <w:rPr>
          <w:rFonts w:eastAsia="宋体"/>
        </w:rPr>
      </w:pPr>
      <w:r>
        <w:fldChar w:fldCharType="begin"/>
      </w:r>
      <w:r>
        <w:instrText>Hyperlink \l "_Toc220754446"</w:instrText>
      </w:r>
      <w:r>
        <w:fldChar w:fldCharType="separate"/>
      </w:r>
      <w:r>
        <w:t>1.2 Literature based background</w:t>
        <w:tab/>
      </w:r>
      <w:r>
        <w:fldChar w:fldCharType="begin"/>
      </w:r>
      <w:r>
        <w:instrText xml:space="preserve"> PAGEREF _Toc220754446 \h </w:instrText>
      </w:r>
      <w:r>
        <w:fldChar w:fldCharType="separate"/>
      </w:r>
      <w:r>
        <w:t>8</w:t>
      </w:r>
      <w:r>
        <w:fldChar w:fldCharType="end"/>
      </w:r>
      <w:r>
        <w:fldChar w:fldCharType="end"/>
      </w:r>
    </w:p>
    <w:p>
      <w:pPr>
        <w:pStyle w:val="25"/>
        <w:tabs>
          <w:tab w:val="right" w:pos="9019"/>
        </w:tabs>
        <w:spacing w:after="0"/>
        <w:rPr>
          <w:rFonts w:eastAsia="宋体"/>
        </w:rPr>
      </w:pPr>
      <w:r>
        <w:fldChar w:fldCharType="begin"/>
      </w:r>
      <w:r>
        <w:instrText>Hyperlink \l "_Toc220754447"</w:instrText>
      </w:r>
      <w:r>
        <w:fldChar w:fldCharType="separate"/>
      </w:r>
      <w:r>
        <w:t>1.3 Aim and objectives</w:t>
        <w:tab/>
      </w:r>
      <w:r>
        <w:fldChar w:fldCharType="begin"/>
      </w:r>
      <w:r>
        <w:instrText xml:space="preserve"> PAGEREF _Toc220754447 \h </w:instrText>
      </w:r>
      <w:r>
        <w:fldChar w:fldCharType="separate"/>
      </w:r>
      <w:r>
        <w:t>10</w:t>
      </w:r>
      <w:r>
        <w:fldChar w:fldCharType="end"/>
      </w:r>
      <w:r>
        <w:fldChar w:fldCharType="end"/>
      </w:r>
    </w:p>
    <w:p>
      <w:pPr>
        <w:pStyle w:val="26"/>
        <w:tabs>
          <w:tab w:val="right" w:pos="9019"/>
        </w:tabs>
        <w:spacing w:after="0"/>
        <w:rPr>
          <w:rFonts w:eastAsia="宋体"/>
        </w:rPr>
      </w:pPr>
      <w:r>
        <w:fldChar w:fldCharType="begin"/>
      </w:r>
      <w:r>
        <w:instrText>Hyperlink \l "_Toc220754448"</w:instrText>
      </w:r>
      <w:r>
        <w:fldChar w:fldCharType="separate"/>
      </w:r>
      <w:r>
        <w:t>1.3.1 Aim</w:t>
        <w:tab/>
      </w:r>
      <w:r>
        <w:fldChar w:fldCharType="begin"/>
      </w:r>
      <w:r>
        <w:instrText xml:space="preserve"> PAGEREF _Toc220754448 \h </w:instrText>
      </w:r>
      <w:r>
        <w:fldChar w:fldCharType="separate"/>
      </w:r>
      <w:r>
        <w:t>10</w:t>
      </w:r>
      <w:r>
        <w:fldChar w:fldCharType="end"/>
      </w:r>
      <w:r>
        <w:fldChar w:fldCharType="end"/>
      </w:r>
    </w:p>
    <w:p>
      <w:pPr>
        <w:pStyle w:val="26"/>
        <w:tabs>
          <w:tab w:val="right" w:pos="9019"/>
        </w:tabs>
        <w:spacing w:after="0"/>
        <w:rPr>
          <w:rFonts w:eastAsia="宋体"/>
        </w:rPr>
      </w:pPr>
      <w:r>
        <w:fldChar w:fldCharType="begin"/>
      </w:r>
      <w:r>
        <w:instrText>Hyperlink \l "_Toc220754449"</w:instrText>
      </w:r>
      <w:r>
        <w:fldChar w:fldCharType="separate"/>
      </w:r>
      <w:r>
        <w:t>1.3.2 Objectives</w:t>
        <w:tab/>
      </w:r>
      <w:r>
        <w:fldChar w:fldCharType="begin"/>
      </w:r>
      <w:r>
        <w:instrText xml:space="preserve"> PAGEREF _Toc220754449 \h </w:instrText>
      </w:r>
      <w:r>
        <w:fldChar w:fldCharType="separate"/>
      </w:r>
      <w:r>
        <w:t>10</w:t>
      </w:r>
      <w:r>
        <w:fldChar w:fldCharType="end"/>
      </w:r>
      <w:r>
        <w:fldChar w:fldCharType="end"/>
      </w:r>
    </w:p>
    <w:p>
      <w:pPr>
        <w:pStyle w:val="25"/>
        <w:tabs>
          <w:tab w:val="right" w:pos="9019"/>
        </w:tabs>
        <w:spacing w:after="0"/>
        <w:rPr>
          <w:rFonts w:eastAsia="宋体"/>
        </w:rPr>
      </w:pPr>
      <w:r>
        <w:fldChar w:fldCharType="begin"/>
      </w:r>
      <w:r>
        <w:instrText>Hyperlink \l "_Toc220754450"</w:instrText>
      </w:r>
      <w:r>
        <w:fldChar w:fldCharType="separate"/>
      </w:r>
      <w:r>
        <w:t>1.4 Research question</w:t>
        <w:tab/>
      </w:r>
      <w:r>
        <w:fldChar w:fldCharType="begin"/>
      </w:r>
      <w:r>
        <w:instrText xml:space="preserve"> PAGEREF _Toc220754450 \h </w:instrText>
      </w:r>
      <w:r>
        <w:fldChar w:fldCharType="separate"/>
      </w:r>
      <w:r>
        <w:t>10</w:t>
      </w:r>
      <w:r>
        <w:fldChar w:fldCharType="end"/>
      </w:r>
      <w:r>
        <w:fldChar w:fldCharType="end"/>
      </w:r>
    </w:p>
    <w:p>
      <w:pPr>
        <w:pStyle w:val="25"/>
        <w:tabs>
          <w:tab w:val="right" w:pos="9019"/>
        </w:tabs>
        <w:spacing w:after="0"/>
        <w:rPr>
          <w:rFonts w:eastAsia="宋体"/>
        </w:rPr>
      </w:pPr>
      <w:r>
        <w:fldChar w:fldCharType="begin"/>
      </w:r>
      <w:r>
        <w:instrText>Hyperlink \l "_Toc220754451"</w:instrText>
      </w:r>
      <w:r>
        <w:fldChar w:fldCharType="separate"/>
      </w:r>
      <w:r>
        <w:t>1.5 Problem statement</w:t>
        <w:tab/>
      </w:r>
      <w:r>
        <w:fldChar w:fldCharType="begin"/>
      </w:r>
      <w:r>
        <w:instrText xml:space="preserve"> PAGEREF _Toc220754451 \h </w:instrText>
      </w:r>
      <w:r>
        <w:fldChar w:fldCharType="separate"/>
      </w:r>
      <w:r>
        <w:t>11</w:t>
      </w:r>
      <w:r>
        <w:fldChar w:fldCharType="end"/>
      </w:r>
      <w:r>
        <w:fldChar w:fldCharType="end"/>
      </w:r>
    </w:p>
    <w:p>
      <w:pPr>
        <w:pStyle w:val="25"/>
        <w:tabs>
          <w:tab w:val="right" w:pos="9019"/>
        </w:tabs>
        <w:spacing w:after="0"/>
        <w:rPr>
          <w:rFonts w:eastAsia="宋体"/>
        </w:rPr>
      </w:pPr>
      <w:r>
        <w:fldChar w:fldCharType="begin"/>
      </w:r>
      <w:r>
        <w:instrText>Hyperlink \l "_Toc220754452"</w:instrText>
      </w:r>
      <w:r>
        <w:fldChar w:fldCharType="separate"/>
      </w:r>
      <w:r>
        <w:t>1.6 Rationale of the research</w:t>
        <w:tab/>
      </w:r>
      <w:r>
        <w:fldChar w:fldCharType="begin"/>
      </w:r>
      <w:r>
        <w:instrText xml:space="preserve"> PAGEREF _Toc220754452 \h </w:instrText>
      </w:r>
      <w:r>
        <w:fldChar w:fldCharType="separate"/>
      </w:r>
      <w:r>
        <w:t>11</w:t>
      </w:r>
      <w:r>
        <w:fldChar w:fldCharType="end"/>
      </w:r>
      <w:r>
        <w:fldChar w:fldCharType="end"/>
      </w:r>
    </w:p>
    <w:p>
      <w:pPr>
        <w:pStyle w:val="25"/>
        <w:tabs>
          <w:tab w:val="right" w:pos="9019"/>
        </w:tabs>
        <w:spacing w:after="0"/>
        <w:rPr>
          <w:rFonts w:eastAsia="宋体"/>
        </w:rPr>
      </w:pPr>
      <w:r>
        <w:fldChar w:fldCharType="begin"/>
      </w:r>
      <w:r>
        <w:instrText>Hyperlink \l "_Toc220754453"</w:instrText>
      </w:r>
      <w:r>
        <w:fldChar w:fldCharType="separate"/>
      </w:r>
      <w:r>
        <w:t>1.7 Significance of the research</w:t>
        <w:tab/>
      </w:r>
      <w:r>
        <w:fldChar w:fldCharType="begin"/>
      </w:r>
      <w:r>
        <w:instrText xml:space="preserve"> PAGEREF _Toc220754453 \h </w:instrText>
      </w:r>
      <w:r>
        <w:fldChar w:fldCharType="separate"/>
      </w:r>
      <w:r>
        <w:t>11</w:t>
      </w:r>
      <w:r>
        <w:fldChar w:fldCharType="end"/>
      </w:r>
      <w:r>
        <w:fldChar w:fldCharType="end"/>
      </w:r>
    </w:p>
    <w:p>
      <w:pPr>
        <w:pStyle w:val="25"/>
        <w:tabs>
          <w:tab w:val="right" w:pos="9019"/>
        </w:tabs>
        <w:spacing w:after="0"/>
        <w:rPr>
          <w:rFonts w:eastAsia="宋体"/>
        </w:rPr>
      </w:pPr>
      <w:r>
        <w:fldChar w:fldCharType="begin"/>
      </w:r>
      <w:r>
        <w:instrText>Hyperlink \l "_Toc220754454"</w:instrText>
      </w:r>
      <w:r>
        <w:fldChar w:fldCharType="separate"/>
      </w:r>
      <w:r>
        <w:t>1.8 Structure of the research</w:t>
        <w:tab/>
      </w:r>
      <w:r>
        <w:fldChar w:fldCharType="begin"/>
      </w:r>
      <w:r>
        <w:instrText xml:space="preserve"> PAGEREF _Toc220754454 \h </w:instrText>
      </w:r>
      <w:r>
        <w:fldChar w:fldCharType="separate"/>
      </w:r>
      <w:r>
        <w:t>12</w:t>
      </w:r>
      <w:r>
        <w:fldChar w:fldCharType="end"/>
      </w:r>
      <w:r>
        <w:fldChar w:fldCharType="end"/>
      </w:r>
    </w:p>
    <w:p>
      <w:pPr>
        <w:pStyle w:val="25"/>
        <w:tabs>
          <w:tab w:val="right" w:pos="9019"/>
        </w:tabs>
        <w:spacing w:after="0"/>
        <w:rPr>
          <w:rFonts w:eastAsia="宋体"/>
        </w:rPr>
      </w:pPr>
      <w:r>
        <w:fldChar w:fldCharType="begin"/>
      </w:r>
      <w:r>
        <w:instrText>Hyperlink \l "_Toc220754455"</w:instrText>
      </w:r>
      <w:r>
        <w:fldChar w:fldCharType="separate"/>
      </w:r>
      <w:r>
        <w:t>1.9 Summary of the chapter</w:t>
        <w:tab/>
      </w:r>
      <w:r>
        <w:fldChar w:fldCharType="begin"/>
      </w:r>
      <w:r>
        <w:instrText xml:space="preserve"> PAGEREF _Toc220754455 \h </w:instrText>
      </w:r>
      <w:r>
        <w:fldChar w:fldCharType="separate"/>
      </w:r>
      <w:r>
        <w:t>12</w:t>
      </w:r>
      <w:r>
        <w:fldChar w:fldCharType="end"/>
      </w:r>
      <w:r>
        <w:fldChar w:fldCharType="end"/>
      </w:r>
    </w:p>
    <w:p>
      <w:pPr>
        <w:pStyle w:val="24"/>
        <w:tabs>
          <w:tab w:val="right" w:pos="9019"/>
        </w:tabs>
        <w:spacing w:after="0"/>
        <w:rPr>
          <w:rFonts w:eastAsia="宋体"/>
        </w:rPr>
      </w:pPr>
      <w:r>
        <w:fldChar w:fldCharType="begin"/>
      </w:r>
      <w:r>
        <w:instrText>Hyperlink \l "_Toc220754456"</w:instrText>
      </w:r>
      <w:r>
        <w:fldChar w:fldCharType="separate"/>
      </w:r>
      <w:r>
        <w:t>Chapter 2: Literature review</w:t>
        <w:tab/>
      </w:r>
      <w:r>
        <w:fldChar w:fldCharType="begin"/>
      </w:r>
      <w:r>
        <w:instrText xml:space="preserve"> PAGEREF _Toc220754456 \h </w:instrText>
      </w:r>
      <w:r>
        <w:fldChar w:fldCharType="separate"/>
      </w:r>
      <w:r>
        <w:t>13</w:t>
      </w:r>
      <w:r>
        <w:fldChar w:fldCharType="end"/>
      </w:r>
      <w:r>
        <w:fldChar w:fldCharType="end"/>
      </w:r>
    </w:p>
    <w:p>
      <w:pPr>
        <w:pStyle w:val="25"/>
        <w:tabs>
          <w:tab w:val="right" w:pos="9019"/>
        </w:tabs>
        <w:spacing w:after="0"/>
        <w:rPr>
          <w:rFonts w:eastAsia="宋体"/>
        </w:rPr>
      </w:pPr>
      <w:r>
        <w:fldChar w:fldCharType="begin"/>
      </w:r>
      <w:r>
        <w:instrText>Hyperlink \l "_Toc220754457"</w:instrText>
      </w:r>
      <w:r>
        <w:fldChar w:fldCharType="separate"/>
      </w:r>
      <w:r>
        <w:t>2.1 Introduction</w:t>
        <w:tab/>
      </w:r>
      <w:r>
        <w:fldChar w:fldCharType="begin"/>
      </w:r>
      <w:r>
        <w:instrText xml:space="preserve"> PAGEREF _Toc220754457 \h </w:instrText>
      </w:r>
      <w:r>
        <w:fldChar w:fldCharType="separate"/>
      </w:r>
      <w:r>
        <w:t>13</w:t>
      </w:r>
      <w:r>
        <w:fldChar w:fldCharType="end"/>
      </w:r>
      <w:r>
        <w:fldChar w:fldCharType="end"/>
      </w:r>
    </w:p>
    <w:p>
      <w:pPr>
        <w:pStyle w:val="25"/>
        <w:tabs>
          <w:tab w:val="right" w:pos="9019"/>
        </w:tabs>
        <w:spacing w:after="0"/>
        <w:rPr>
          <w:rFonts w:eastAsia="宋体"/>
        </w:rPr>
      </w:pPr>
      <w:r>
        <w:fldChar w:fldCharType="begin"/>
      </w:r>
      <w:r>
        <w:instrText>Hyperlink \l "_Toc220754458"</w:instrText>
      </w:r>
      <w:r>
        <w:fldChar w:fldCharType="separate"/>
      </w:r>
      <w:r>
        <w:t>2.2 Literature review</w:t>
        <w:tab/>
      </w:r>
      <w:r>
        <w:fldChar w:fldCharType="begin"/>
      </w:r>
      <w:r>
        <w:instrText xml:space="preserve"> PAGEREF _Toc220754458 \h </w:instrText>
      </w:r>
      <w:r>
        <w:fldChar w:fldCharType="separate"/>
      </w:r>
      <w:r>
        <w:t>13</w:t>
      </w:r>
      <w:r>
        <w:fldChar w:fldCharType="end"/>
      </w:r>
      <w:r>
        <w:fldChar w:fldCharType="end"/>
      </w:r>
    </w:p>
    <w:p>
      <w:pPr>
        <w:pStyle w:val="26"/>
        <w:tabs>
          <w:tab w:val="right" w:pos="9019"/>
        </w:tabs>
        <w:spacing w:after="0"/>
        <w:rPr>
          <w:rFonts w:eastAsia="宋体"/>
        </w:rPr>
      </w:pPr>
      <w:r>
        <w:fldChar w:fldCharType="begin"/>
      </w:r>
      <w:r>
        <w:instrText>Hyperlink \l "_Toc220754459"</w:instrText>
      </w:r>
      <w:r>
        <w:fldChar w:fldCharType="separate"/>
      </w:r>
      <w:r>
        <w:t>2.2.1 Discussing the uniqueness of the personalised care planning to support stroke survivor</w:t>
        <w:tab/>
      </w:r>
      <w:r>
        <w:fldChar w:fldCharType="begin"/>
      </w:r>
      <w:r>
        <w:instrText xml:space="preserve"> PAGEREF _Toc220754459 \h </w:instrText>
      </w:r>
      <w:r>
        <w:fldChar w:fldCharType="separate"/>
      </w:r>
      <w:r>
        <w:t>13</w:t>
      </w:r>
      <w:r>
        <w:fldChar w:fldCharType="end"/>
      </w:r>
      <w:r>
        <w:fldChar w:fldCharType="end"/>
      </w:r>
    </w:p>
    <w:p>
      <w:pPr>
        <w:pStyle w:val="26"/>
        <w:tabs>
          <w:tab w:val="right" w:pos="9019"/>
        </w:tabs>
        <w:spacing w:after="0"/>
        <w:rPr>
          <w:rFonts w:eastAsia="宋体"/>
        </w:rPr>
      </w:pPr>
      <w:r>
        <w:fldChar w:fldCharType="begin"/>
      </w:r>
      <w:r>
        <w:instrText>Hyperlink \l "_Toc220754460"</w:instrText>
      </w:r>
      <w:r>
        <w:fldChar w:fldCharType="separate"/>
      </w:r>
      <w:r>
        <w:t>2.2.2 Determining the stroke survivors’ views on personalised care considering the functions daily and well-being</w:t>
        <w:tab/>
      </w:r>
      <w:r>
        <w:fldChar w:fldCharType="begin"/>
      </w:r>
      <w:r>
        <w:instrText xml:space="preserve"> PAGEREF _Toc220754460 \h </w:instrText>
      </w:r>
      <w:r>
        <w:fldChar w:fldCharType="separate"/>
      </w:r>
      <w:r>
        <w:t>16</w:t>
      </w:r>
      <w:r>
        <w:fldChar w:fldCharType="end"/>
      </w:r>
      <w:r>
        <w:fldChar w:fldCharType="end"/>
      </w:r>
    </w:p>
    <w:p>
      <w:pPr>
        <w:pStyle w:val="26"/>
        <w:tabs>
          <w:tab w:val="right" w:pos="9019"/>
        </w:tabs>
        <w:spacing w:after="0"/>
        <w:rPr>
          <w:rFonts w:eastAsia="宋体"/>
        </w:rPr>
      </w:pPr>
      <w:r>
        <w:fldChar w:fldCharType="begin"/>
      </w:r>
      <w:r>
        <w:instrText>Hyperlink \l "_Toc220754461"</w:instrText>
      </w:r>
      <w:r>
        <w:fldChar w:fldCharType="separate"/>
      </w:r>
      <w:r>
        <w:t>2.2.3 Determining the role of the factors’ independence, emotional wellbeing, use of health services with personalised care planning</w:t>
        <w:tab/>
      </w:r>
      <w:r>
        <w:fldChar w:fldCharType="begin"/>
      </w:r>
      <w:r>
        <w:instrText xml:space="preserve"> PAGEREF _Toc220754461 \h </w:instrText>
      </w:r>
      <w:r>
        <w:fldChar w:fldCharType="separate"/>
      </w:r>
      <w:r>
        <w:t>17</w:t>
      </w:r>
      <w:r>
        <w:fldChar w:fldCharType="end"/>
      </w:r>
      <w:r>
        <w:fldChar w:fldCharType="end"/>
      </w:r>
    </w:p>
    <w:p>
      <w:pPr>
        <w:pStyle w:val="25"/>
        <w:tabs>
          <w:tab w:val="right" w:pos="9019"/>
        </w:tabs>
        <w:spacing w:after="0"/>
        <w:rPr>
          <w:rFonts w:eastAsia="宋体"/>
        </w:rPr>
      </w:pPr>
      <w:r>
        <w:fldChar w:fldCharType="begin"/>
      </w:r>
      <w:r>
        <w:instrText>Hyperlink \l "_Toc220754462"</w:instrText>
      </w:r>
      <w:r>
        <w:fldChar w:fldCharType="separate"/>
      </w:r>
      <w:r>
        <w:t>2.2.4 Illustrating unique strategies for improving personalised care plan and support stroke survivors</w:t>
        <w:tab/>
      </w:r>
      <w:r>
        <w:fldChar w:fldCharType="begin"/>
      </w:r>
      <w:r>
        <w:instrText xml:space="preserve"> PAGEREF _Toc220754462 \h </w:instrText>
      </w:r>
      <w:r>
        <w:fldChar w:fldCharType="separate"/>
      </w:r>
      <w:r>
        <w:t>19</w:t>
      </w:r>
      <w:r>
        <w:fldChar w:fldCharType="end"/>
      </w:r>
      <w:r>
        <w:fldChar w:fldCharType="end"/>
      </w:r>
    </w:p>
    <w:p>
      <w:pPr>
        <w:pStyle w:val="25"/>
        <w:tabs>
          <w:tab w:val="right" w:pos="9019"/>
        </w:tabs>
        <w:spacing w:after="0"/>
        <w:rPr>
          <w:rFonts w:eastAsia="宋体"/>
        </w:rPr>
      </w:pPr>
      <w:r>
        <w:fldChar w:fldCharType="begin"/>
      </w:r>
      <w:r>
        <w:instrText>Hyperlink \l "_Toc220754463"</w:instrText>
      </w:r>
      <w:r>
        <w:fldChar w:fldCharType="separate"/>
      </w:r>
      <w:r>
        <w:t>2.3 Gaps in literature</w:t>
        <w:tab/>
      </w:r>
      <w:r>
        <w:fldChar w:fldCharType="begin"/>
      </w:r>
      <w:r>
        <w:instrText xml:space="preserve"> PAGEREF _Toc220754463 \h </w:instrText>
      </w:r>
      <w:r>
        <w:fldChar w:fldCharType="separate"/>
      </w:r>
      <w:r>
        <w:t>21</w:t>
      </w:r>
      <w:r>
        <w:fldChar w:fldCharType="end"/>
      </w:r>
      <w:r>
        <w:fldChar w:fldCharType="end"/>
      </w:r>
    </w:p>
    <w:p>
      <w:pPr>
        <w:pStyle w:val="25"/>
        <w:tabs>
          <w:tab w:val="right" w:pos="9019"/>
        </w:tabs>
        <w:spacing w:after="0"/>
        <w:rPr>
          <w:rFonts w:eastAsia="宋体"/>
        </w:rPr>
      </w:pPr>
      <w:r>
        <w:fldChar w:fldCharType="begin"/>
      </w:r>
      <w:r>
        <w:instrText>Hyperlink \l "_Toc220754464"</w:instrText>
      </w:r>
      <w:r>
        <w:fldChar w:fldCharType="separate"/>
      </w:r>
      <w:r>
        <w:t>2.4 Theoretical Framework</w:t>
        <w:tab/>
      </w:r>
      <w:r>
        <w:fldChar w:fldCharType="begin"/>
      </w:r>
      <w:r>
        <w:instrText xml:space="preserve"> PAGEREF _Toc220754464 \h </w:instrText>
      </w:r>
      <w:r>
        <w:fldChar w:fldCharType="separate"/>
      </w:r>
      <w:r>
        <w:t>21</w:t>
      </w:r>
      <w:r>
        <w:fldChar w:fldCharType="end"/>
      </w:r>
      <w:r>
        <w:fldChar w:fldCharType="end"/>
      </w:r>
    </w:p>
    <w:p>
      <w:pPr>
        <w:pStyle w:val="26"/>
        <w:tabs>
          <w:tab w:val="right" w:pos="9019"/>
        </w:tabs>
        <w:spacing w:after="0"/>
        <w:rPr>
          <w:rFonts w:eastAsia="宋体"/>
        </w:rPr>
      </w:pPr>
      <w:r>
        <w:fldChar w:fldCharType="begin"/>
      </w:r>
      <w:r>
        <w:instrText>Hyperlink \l "_Toc220754465"</w:instrText>
      </w:r>
      <w:r>
        <w:fldChar w:fldCharType="separate"/>
      </w:r>
      <w:r>
        <w:t>2.4.1 TAM Model for adapting technological advancement in healthcare planning</w:t>
        <w:tab/>
      </w:r>
      <w:r>
        <w:fldChar w:fldCharType="begin"/>
      </w:r>
      <w:r>
        <w:instrText xml:space="preserve"> PAGEREF _Toc220754465 \h </w:instrText>
      </w:r>
      <w:r>
        <w:fldChar w:fldCharType="separate"/>
      </w:r>
      <w:r>
        <w:t>21</w:t>
      </w:r>
      <w:r>
        <w:fldChar w:fldCharType="end"/>
      </w:r>
      <w:r>
        <w:fldChar w:fldCharType="end"/>
      </w:r>
    </w:p>
    <w:p>
      <w:pPr>
        <w:pStyle w:val="26"/>
        <w:tabs>
          <w:tab w:val="right" w:pos="9019"/>
        </w:tabs>
        <w:spacing w:after="0"/>
        <w:rPr>
          <w:rFonts w:eastAsia="宋体"/>
        </w:rPr>
      </w:pPr>
      <w:r>
        <w:fldChar w:fldCharType="begin"/>
      </w:r>
      <w:r>
        <w:instrText>Hyperlink \l "_Toc220754466"</w:instrText>
      </w:r>
      <w:r>
        <w:fldChar w:fldCharType="separate"/>
      </w:r>
      <w:r>
        <w:t>2.4.2 Herzberg's Two Factor Theory for encouraging old people to get personalised care</w:t>
        <w:tab/>
      </w:r>
      <w:r>
        <w:fldChar w:fldCharType="begin"/>
      </w:r>
      <w:r>
        <w:instrText xml:space="preserve"> PAGEREF _Toc220754466 \h </w:instrText>
      </w:r>
      <w:r>
        <w:fldChar w:fldCharType="separate"/>
      </w:r>
      <w:r>
        <w:t>23</w:t>
      </w:r>
      <w:r>
        <w:fldChar w:fldCharType="end"/>
      </w:r>
      <w:r>
        <w:fldChar w:fldCharType="end"/>
      </w:r>
    </w:p>
    <w:p>
      <w:pPr>
        <w:pStyle w:val="25"/>
        <w:tabs>
          <w:tab w:val="right" w:pos="9019"/>
        </w:tabs>
        <w:spacing w:after="0"/>
        <w:rPr>
          <w:rFonts w:eastAsia="宋体"/>
        </w:rPr>
      </w:pPr>
      <w:r>
        <w:fldChar w:fldCharType="begin"/>
      </w:r>
      <w:r>
        <w:instrText>Hyperlink \l "_Toc220754467"</w:instrText>
      </w:r>
      <w:r>
        <w:fldChar w:fldCharType="separate"/>
      </w:r>
      <w:r>
        <w:t>2.5 Conceptual framework</w:t>
        <w:tab/>
      </w:r>
      <w:r>
        <w:fldChar w:fldCharType="begin"/>
      </w:r>
      <w:r>
        <w:instrText xml:space="preserve"> PAGEREF _Toc220754467 \h </w:instrText>
      </w:r>
      <w:r>
        <w:fldChar w:fldCharType="separate"/>
      </w:r>
      <w:r>
        <w:t>25</w:t>
      </w:r>
      <w:r>
        <w:fldChar w:fldCharType="end"/>
      </w:r>
      <w:r>
        <w:fldChar w:fldCharType="end"/>
      </w:r>
    </w:p>
    <w:p>
      <w:pPr>
        <w:pStyle w:val="25"/>
        <w:tabs>
          <w:tab w:val="right" w:pos="9019"/>
        </w:tabs>
        <w:spacing w:after="0"/>
        <w:rPr>
          <w:rFonts w:eastAsia="宋体"/>
        </w:rPr>
      </w:pPr>
      <w:r>
        <w:fldChar w:fldCharType="begin"/>
      </w:r>
      <w:r>
        <w:instrText>Hyperlink \l "_Toc220754468"</w:instrText>
      </w:r>
      <w:r>
        <w:fldChar w:fldCharType="separate"/>
      </w:r>
      <w:r>
        <w:t>2.6 Chapter Summary</w:t>
        <w:tab/>
      </w:r>
      <w:r>
        <w:fldChar w:fldCharType="begin"/>
      </w:r>
      <w:r>
        <w:instrText xml:space="preserve"> PAGEREF _Toc220754468 \h </w:instrText>
      </w:r>
      <w:r>
        <w:fldChar w:fldCharType="separate"/>
      </w:r>
      <w:r>
        <w:t>26</w:t>
      </w:r>
      <w:r>
        <w:fldChar w:fldCharType="end"/>
      </w:r>
      <w:r>
        <w:fldChar w:fldCharType="end"/>
      </w:r>
    </w:p>
    <w:p>
      <w:pPr>
        <w:pStyle w:val="24"/>
        <w:tabs>
          <w:tab w:val="right" w:pos="9019"/>
        </w:tabs>
        <w:spacing w:after="0"/>
        <w:rPr>
          <w:rFonts w:eastAsia="宋体"/>
        </w:rPr>
      </w:pPr>
      <w:r>
        <w:fldChar w:fldCharType="begin"/>
      </w:r>
      <w:r>
        <w:instrText>Hyperlink \l "_Toc220754469"</w:instrText>
      </w:r>
      <w:r>
        <w:fldChar w:fldCharType="separate"/>
      </w:r>
      <w:r>
        <w:t>Chapter 3: Methodology</w:t>
        <w:tab/>
      </w:r>
      <w:r>
        <w:fldChar w:fldCharType="begin"/>
      </w:r>
      <w:r>
        <w:instrText xml:space="preserve"> PAGEREF _Toc220754469 \h </w:instrText>
      </w:r>
      <w:r>
        <w:fldChar w:fldCharType="separate"/>
      </w:r>
      <w:r>
        <w:t>27</w:t>
      </w:r>
      <w:r>
        <w:fldChar w:fldCharType="end"/>
      </w:r>
      <w:r>
        <w:fldChar w:fldCharType="end"/>
      </w:r>
    </w:p>
    <w:p>
      <w:pPr>
        <w:pStyle w:val="25"/>
        <w:tabs>
          <w:tab w:val="right" w:pos="9019"/>
        </w:tabs>
        <w:spacing w:after="0"/>
        <w:rPr>
          <w:rFonts w:eastAsia="宋体"/>
        </w:rPr>
      </w:pPr>
      <w:r>
        <w:fldChar w:fldCharType="begin"/>
      </w:r>
      <w:r>
        <w:instrText>Hyperlink \l "_Toc220754470"</w:instrText>
      </w:r>
      <w:r>
        <w:fldChar w:fldCharType="separate"/>
      </w:r>
      <w:r>
        <w:t>3.1 Methods and methodology</w:t>
        <w:tab/>
      </w:r>
      <w:r>
        <w:fldChar w:fldCharType="begin"/>
      </w:r>
      <w:r>
        <w:instrText xml:space="preserve"> PAGEREF _Toc220754470 \h </w:instrText>
      </w:r>
      <w:r>
        <w:fldChar w:fldCharType="separate"/>
      </w:r>
      <w:r>
        <w:t>27</w:t>
      </w:r>
      <w:r>
        <w:fldChar w:fldCharType="end"/>
      </w:r>
      <w:r>
        <w:fldChar w:fldCharType="end"/>
      </w:r>
    </w:p>
    <w:p>
      <w:pPr>
        <w:pStyle w:val="25"/>
        <w:tabs>
          <w:tab w:val="right" w:pos="9019"/>
        </w:tabs>
        <w:spacing w:after="0"/>
        <w:rPr>
          <w:rFonts w:eastAsia="宋体"/>
        </w:rPr>
      </w:pPr>
      <w:r>
        <w:fldChar w:fldCharType="begin"/>
      </w:r>
      <w:r>
        <w:instrText>Hyperlink \l "_Toc220754471"</w:instrText>
      </w:r>
      <w:r>
        <w:fldChar w:fldCharType="separate"/>
      </w:r>
      <w:r>
        <w:t>3.2 Introduction</w:t>
        <w:tab/>
      </w:r>
      <w:r>
        <w:fldChar w:fldCharType="begin"/>
      </w:r>
      <w:r>
        <w:instrText xml:space="preserve"> PAGEREF _Toc220754471 \h </w:instrText>
      </w:r>
      <w:r>
        <w:fldChar w:fldCharType="separate"/>
      </w:r>
      <w:r>
        <w:t>27</w:t>
      </w:r>
      <w:r>
        <w:fldChar w:fldCharType="end"/>
      </w:r>
      <w:r>
        <w:fldChar w:fldCharType="end"/>
      </w:r>
    </w:p>
    <w:p>
      <w:pPr>
        <w:pStyle w:val="25"/>
        <w:tabs>
          <w:tab w:val="right" w:pos="9019"/>
        </w:tabs>
        <w:spacing w:after="0"/>
        <w:rPr>
          <w:rFonts w:eastAsia="宋体"/>
        </w:rPr>
      </w:pPr>
      <w:r>
        <w:fldChar w:fldCharType="begin"/>
      </w:r>
      <w:r>
        <w:instrText>Hyperlink \l "_Toc220754472"</w:instrText>
      </w:r>
      <w:r>
        <w:fldChar w:fldCharType="separate"/>
      </w:r>
      <w:r>
        <w:t>3.3 Research philosophy</w:t>
        <w:tab/>
      </w:r>
      <w:r>
        <w:fldChar w:fldCharType="begin"/>
      </w:r>
      <w:r>
        <w:instrText xml:space="preserve"> PAGEREF _Toc220754472 \h </w:instrText>
      </w:r>
      <w:r>
        <w:fldChar w:fldCharType="separate"/>
      </w:r>
      <w:r>
        <w:t>27</w:t>
      </w:r>
      <w:r>
        <w:fldChar w:fldCharType="end"/>
      </w:r>
      <w:r>
        <w:fldChar w:fldCharType="end"/>
      </w:r>
    </w:p>
    <w:p>
      <w:pPr>
        <w:pStyle w:val="25"/>
        <w:tabs>
          <w:tab w:val="right" w:pos="9019"/>
        </w:tabs>
        <w:spacing w:after="0"/>
        <w:rPr>
          <w:rFonts w:eastAsia="宋体"/>
        </w:rPr>
      </w:pPr>
      <w:r>
        <w:fldChar w:fldCharType="begin"/>
      </w:r>
      <w:r>
        <w:instrText>Hyperlink \l "_Toc220754473"</w:instrText>
      </w:r>
      <w:r>
        <w:fldChar w:fldCharType="separate"/>
      </w:r>
      <w:r>
        <w:t>3.4 Ethical consideration</w:t>
        <w:tab/>
      </w:r>
      <w:r>
        <w:fldChar w:fldCharType="begin"/>
      </w:r>
      <w:r>
        <w:instrText xml:space="preserve"> PAGEREF _Toc220754473 \h </w:instrText>
      </w:r>
      <w:r>
        <w:fldChar w:fldCharType="separate"/>
      </w:r>
      <w:r>
        <w:t>27</w:t>
      </w:r>
      <w:r>
        <w:fldChar w:fldCharType="end"/>
      </w:r>
      <w:r>
        <w:fldChar w:fldCharType="end"/>
      </w:r>
    </w:p>
    <w:p>
      <w:pPr>
        <w:pStyle w:val="25"/>
        <w:tabs>
          <w:tab w:val="right" w:pos="9019"/>
        </w:tabs>
        <w:spacing w:after="0"/>
        <w:rPr>
          <w:rFonts w:eastAsia="宋体"/>
        </w:rPr>
      </w:pPr>
      <w:r>
        <w:fldChar w:fldCharType="begin"/>
      </w:r>
      <w:r>
        <w:instrText>Hyperlink \l "_Toc220754474"</w:instrText>
      </w:r>
      <w:r>
        <w:fldChar w:fldCharType="separate"/>
      </w:r>
      <w:r>
        <w:t>3.5 Why SR needed</w:t>
        <w:tab/>
      </w:r>
      <w:r>
        <w:fldChar w:fldCharType="begin"/>
      </w:r>
      <w:r>
        <w:instrText xml:space="preserve"> PAGEREF _Toc220754474 \h </w:instrText>
      </w:r>
      <w:r>
        <w:fldChar w:fldCharType="separate"/>
      </w:r>
      <w:r>
        <w:t>28</w:t>
      </w:r>
      <w:r>
        <w:fldChar w:fldCharType="end"/>
      </w:r>
      <w:r>
        <w:fldChar w:fldCharType="end"/>
      </w:r>
    </w:p>
    <w:p>
      <w:pPr>
        <w:pStyle w:val="25"/>
        <w:tabs>
          <w:tab w:val="right" w:pos="9019"/>
        </w:tabs>
        <w:spacing w:after="0"/>
        <w:rPr>
          <w:rFonts w:eastAsia="宋体"/>
        </w:rPr>
      </w:pPr>
      <w:r>
        <w:fldChar w:fldCharType="begin"/>
      </w:r>
      <w:r>
        <w:instrText>Hyperlink \l "_Toc220754475"</w:instrText>
      </w:r>
      <w:r>
        <w:fldChar w:fldCharType="separate"/>
      </w:r>
      <w:r>
        <w:t>3.6 Research approach</w:t>
        <w:tab/>
      </w:r>
      <w:r>
        <w:fldChar w:fldCharType="begin"/>
      </w:r>
      <w:r>
        <w:instrText xml:space="preserve"> PAGEREF _Toc220754475 \h </w:instrText>
      </w:r>
      <w:r>
        <w:fldChar w:fldCharType="separate"/>
      </w:r>
      <w:r>
        <w:t>28</w:t>
      </w:r>
      <w:r>
        <w:fldChar w:fldCharType="end"/>
      </w:r>
      <w:r>
        <w:fldChar w:fldCharType="end"/>
      </w:r>
    </w:p>
    <w:p>
      <w:pPr>
        <w:pStyle w:val="25"/>
        <w:tabs>
          <w:tab w:val="right" w:pos="9019"/>
        </w:tabs>
        <w:spacing w:after="0"/>
        <w:rPr>
          <w:rFonts w:eastAsia="宋体"/>
        </w:rPr>
      </w:pPr>
      <w:r>
        <w:fldChar w:fldCharType="begin"/>
      </w:r>
      <w:r>
        <w:instrText>Hyperlink \l "_Toc220754476"</w:instrText>
      </w:r>
      <w:r>
        <w:fldChar w:fldCharType="separate"/>
      </w:r>
      <w:r>
        <w:t>3.7 Research strategy</w:t>
        <w:tab/>
      </w:r>
      <w:r>
        <w:fldChar w:fldCharType="begin"/>
      </w:r>
      <w:r>
        <w:instrText xml:space="preserve"> PAGEREF _Toc220754476 \h </w:instrText>
      </w:r>
      <w:r>
        <w:fldChar w:fldCharType="separate"/>
      </w:r>
      <w:r>
        <w:t>28</w:t>
      </w:r>
      <w:r>
        <w:fldChar w:fldCharType="end"/>
      </w:r>
      <w:r>
        <w:fldChar w:fldCharType="end"/>
      </w:r>
    </w:p>
    <w:p>
      <w:pPr>
        <w:pStyle w:val="25"/>
        <w:tabs>
          <w:tab w:val="right" w:pos="9019"/>
        </w:tabs>
        <w:spacing w:after="0"/>
        <w:rPr>
          <w:rFonts w:eastAsia="宋体"/>
        </w:rPr>
      </w:pPr>
      <w:r>
        <w:fldChar w:fldCharType="begin"/>
      </w:r>
      <w:r>
        <w:instrText>Hyperlink \l "_Toc220754477"</w:instrText>
      </w:r>
      <w:r>
        <w:fldChar w:fldCharType="separate"/>
      </w:r>
      <w:r>
        <w:t>3.8 Study design-systematic review</w:t>
        <w:tab/>
      </w:r>
      <w:r>
        <w:fldChar w:fldCharType="begin"/>
      </w:r>
      <w:r>
        <w:instrText xml:space="preserve"> PAGEREF _Toc220754477 \h </w:instrText>
      </w:r>
      <w:r>
        <w:fldChar w:fldCharType="separate"/>
      </w:r>
      <w:r>
        <w:t>29</w:t>
      </w:r>
      <w:r>
        <w:fldChar w:fldCharType="end"/>
      </w:r>
      <w:r>
        <w:fldChar w:fldCharType="end"/>
      </w:r>
    </w:p>
    <w:p>
      <w:pPr>
        <w:pStyle w:val="25"/>
        <w:tabs>
          <w:tab w:val="right" w:pos="9019"/>
        </w:tabs>
        <w:spacing w:after="0"/>
        <w:rPr>
          <w:rFonts w:eastAsia="宋体"/>
        </w:rPr>
      </w:pPr>
      <w:r>
        <w:fldChar w:fldCharType="begin"/>
      </w:r>
      <w:r>
        <w:instrText>Hyperlink \l "_Toc220754478"</w:instrText>
      </w:r>
      <w:r>
        <w:fldChar w:fldCharType="separate"/>
      </w:r>
      <w:r>
        <w:t>3.9 Method of data collection</w:t>
        <w:tab/>
      </w:r>
      <w:r>
        <w:fldChar w:fldCharType="begin"/>
      </w:r>
      <w:r>
        <w:instrText xml:space="preserve"> PAGEREF _Toc220754478 \h </w:instrText>
      </w:r>
      <w:r>
        <w:fldChar w:fldCharType="separate"/>
      </w:r>
      <w:r>
        <w:t>29</w:t>
      </w:r>
      <w:r>
        <w:fldChar w:fldCharType="end"/>
      </w:r>
      <w:r>
        <w:fldChar w:fldCharType="end"/>
      </w:r>
    </w:p>
    <w:p>
      <w:pPr>
        <w:pStyle w:val="26"/>
        <w:tabs>
          <w:tab w:val="right" w:pos="9019"/>
        </w:tabs>
        <w:spacing w:after="0"/>
        <w:rPr>
          <w:rFonts w:eastAsia="宋体"/>
        </w:rPr>
      </w:pPr>
      <w:r>
        <w:fldChar w:fldCharType="begin"/>
      </w:r>
      <w:r>
        <w:instrText>Hyperlink \l "_Toc220754479"</w:instrText>
      </w:r>
      <w:r>
        <w:fldChar w:fldCharType="separate"/>
      </w:r>
      <w:r>
        <w:rPr>
          <w:i/>
          <w:iCs/>
        </w:rPr>
        <w:t>3.9.1 Search strategy</w:t>
      </w:r>
      <w:r>
        <w:tab/>
      </w:r>
      <w:r>
        <w:fldChar w:fldCharType="begin"/>
      </w:r>
      <w:r>
        <w:instrText xml:space="preserve"> PAGEREF _Toc220754479 \h </w:instrText>
      </w:r>
      <w:r>
        <w:fldChar w:fldCharType="separate"/>
      </w:r>
      <w:r>
        <w:t>29</w:t>
      </w:r>
      <w:r>
        <w:fldChar w:fldCharType="end"/>
      </w:r>
      <w:r>
        <w:fldChar w:fldCharType="end"/>
      </w:r>
    </w:p>
    <w:p>
      <w:pPr>
        <w:pStyle w:val="26"/>
        <w:tabs>
          <w:tab w:val="right" w:pos="9019"/>
        </w:tabs>
        <w:spacing w:after="0"/>
        <w:rPr>
          <w:rFonts w:eastAsia="宋体"/>
        </w:rPr>
      </w:pPr>
      <w:r>
        <w:fldChar w:fldCharType="begin"/>
      </w:r>
      <w:r>
        <w:instrText>Hyperlink \l "_Toc220754480"</w:instrText>
      </w:r>
      <w:r>
        <w:fldChar w:fldCharType="separate"/>
      </w:r>
      <w:r>
        <w:rPr>
          <w:i/>
          <w:iCs/>
        </w:rPr>
        <w:t>3.9.2 Framing research question: PICO</w:t>
      </w:r>
      <w:r>
        <w:tab/>
      </w:r>
      <w:r>
        <w:fldChar w:fldCharType="begin"/>
      </w:r>
      <w:r>
        <w:instrText xml:space="preserve"> PAGEREF _Toc220754480 \h </w:instrText>
      </w:r>
      <w:r>
        <w:fldChar w:fldCharType="separate"/>
      </w:r>
      <w:r>
        <w:t>30</w:t>
      </w:r>
      <w:r>
        <w:fldChar w:fldCharType="end"/>
      </w:r>
      <w:r>
        <w:fldChar w:fldCharType="end"/>
      </w:r>
    </w:p>
    <w:p>
      <w:pPr>
        <w:pStyle w:val="26"/>
        <w:tabs>
          <w:tab w:val="right" w:pos="9019"/>
        </w:tabs>
        <w:spacing w:after="0"/>
        <w:rPr>
          <w:rFonts w:eastAsia="宋体"/>
        </w:rPr>
      </w:pPr>
      <w:r>
        <w:fldChar w:fldCharType="begin"/>
      </w:r>
      <w:r>
        <w:instrText>Hyperlink \l "_Toc220754481"</w:instrText>
      </w:r>
      <w:r>
        <w:fldChar w:fldCharType="separate"/>
      </w:r>
      <w:r>
        <w:rPr>
          <w:i/>
          <w:iCs/>
        </w:rPr>
        <w:t>3.9.3 Database search procedure</w:t>
      </w:r>
      <w:r>
        <w:tab/>
      </w:r>
      <w:r>
        <w:fldChar w:fldCharType="begin"/>
      </w:r>
      <w:r>
        <w:instrText xml:space="preserve"> PAGEREF _Toc220754481 \h </w:instrText>
      </w:r>
      <w:r>
        <w:fldChar w:fldCharType="separate"/>
      </w:r>
      <w:r>
        <w:t>30</w:t>
      </w:r>
      <w:r>
        <w:fldChar w:fldCharType="end"/>
      </w:r>
      <w:r>
        <w:fldChar w:fldCharType="end"/>
      </w:r>
    </w:p>
    <w:p>
      <w:pPr>
        <w:pStyle w:val="26"/>
        <w:tabs>
          <w:tab w:val="right" w:pos="9019"/>
        </w:tabs>
        <w:spacing w:after="0"/>
        <w:rPr>
          <w:rFonts w:eastAsia="宋体"/>
        </w:rPr>
      </w:pPr>
      <w:r>
        <w:fldChar w:fldCharType="begin"/>
      </w:r>
      <w:r>
        <w:instrText>Hyperlink \l "_Toc220754482"</w:instrText>
      </w:r>
      <w:r>
        <w:fldChar w:fldCharType="separate"/>
      </w:r>
      <w:r>
        <w:rPr>
          <w:i/>
          <w:iCs/>
        </w:rPr>
        <w:t>3.9.4 HAND search</w:t>
      </w:r>
      <w:r>
        <w:tab/>
      </w:r>
      <w:r>
        <w:fldChar w:fldCharType="begin"/>
      </w:r>
      <w:r>
        <w:instrText xml:space="preserve"> PAGEREF _Toc220754482 \h </w:instrText>
      </w:r>
      <w:r>
        <w:fldChar w:fldCharType="separate"/>
      </w:r>
      <w:r>
        <w:t>30</w:t>
      </w:r>
      <w:r>
        <w:fldChar w:fldCharType="end"/>
      </w:r>
      <w:r>
        <w:fldChar w:fldCharType="end"/>
      </w:r>
    </w:p>
    <w:p>
      <w:pPr>
        <w:pStyle w:val="26"/>
        <w:tabs>
          <w:tab w:val="right" w:pos="9019"/>
        </w:tabs>
        <w:spacing w:after="0"/>
        <w:rPr>
          <w:rFonts w:eastAsia="宋体"/>
        </w:rPr>
      </w:pPr>
      <w:r>
        <w:fldChar w:fldCharType="begin"/>
      </w:r>
      <w:r>
        <w:instrText>Hyperlink \l "_Toc220754483"</w:instrText>
      </w:r>
      <w:r>
        <w:fldChar w:fldCharType="separate"/>
      </w:r>
      <w:r>
        <w:rPr>
          <w:i/>
          <w:iCs/>
        </w:rPr>
        <w:t>3.9.5 Grey literature</w:t>
      </w:r>
      <w:r>
        <w:tab/>
      </w:r>
      <w:r>
        <w:fldChar w:fldCharType="begin"/>
      </w:r>
      <w:r>
        <w:instrText xml:space="preserve"> PAGEREF _Toc220754483 \h </w:instrText>
      </w:r>
      <w:r>
        <w:fldChar w:fldCharType="separate"/>
      </w:r>
      <w:r>
        <w:t>31</w:t>
      </w:r>
      <w:r>
        <w:fldChar w:fldCharType="end"/>
      </w:r>
      <w:r>
        <w:fldChar w:fldCharType="end"/>
      </w:r>
    </w:p>
    <w:p>
      <w:pPr>
        <w:pStyle w:val="26"/>
        <w:tabs>
          <w:tab w:val="right" w:pos="9019"/>
        </w:tabs>
        <w:spacing w:after="0"/>
        <w:rPr>
          <w:rFonts w:eastAsia="宋体"/>
        </w:rPr>
      </w:pPr>
      <w:r>
        <w:fldChar w:fldCharType="begin"/>
      </w:r>
      <w:r>
        <w:instrText>Hyperlink \l "_Toc220754484"</w:instrText>
      </w:r>
      <w:r>
        <w:fldChar w:fldCharType="separate"/>
      </w:r>
      <w:r>
        <w:rPr>
          <w:i/>
          <w:iCs/>
        </w:rPr>
        <w:t>3.9.6 Inclusion and Exclusion criteria</w:t>
      </w:r>
      <w:r>
        <w:tab/>
      </w:r>
      <w:r>
        <w:fldChar w:fldCharType="begin"/>
      </w:r>
      <w:r>
        <w:instrText xml:space="preserve"> PAGEREF _Toc220754484 \h </w:instrText>
      </w:r>
      <w:r>
        <w:fldChar w:fldCharType="separate"/>
      </w:r>
      <w:r>
        <w:t>31</w:t>
      </w:r>
      <w:r>
        <w:fldChar w:fldCharType="end"/>
      </w:r>
      <w:r>
        <w:fldChar w:fldCharType="end"/>
      </w:r>
    </w:p>
    <w:p>
      <w:pPr>
        <w:pStyle w:val="25"/>
        <w:tabs>
          <w:tab w:val="right" w:pos="9019"/>
        </w:tabs>
        <w:spacing w:after="0"/>
        <w:rPr>
          <w:rFonts w:eastAsia="宋体"/>
        </w:rPr>
      </w:pPr>
      <w:r>
        <w:fldChar w:fldCharType="begin"/>
      </w:r>
      <w:r>
        <w:instrText>Hyperlink \l "_Toc220754485"</w:instrText>
      </w:r>
      <w:r>
        <w:fldChar w:fldCharType="separate"/>
      </w:r>
      <w:r>
        <w:t>3.10 Screening results</w:t>
        <w:tab/>
      </w:r>
      <w:r>
        <w:fldChar w:fldCharType="begin"/>
      </w:r>
      <w:r>
        <w:instrText xml:space="preserve"> PAGEREF _Toc220754485 \h </w:instrText>
      </w:r>
      <w:r>
        <w:fldChar w:fldCharType="separate"/>
      </w:r>
      <w:r>
        <w:t>32</w:t>
      </w:r>
      <w:r>
        <w:fldChar w:fldCharType="end"/>
      </w:r>
      <w:r>
        <w:fldChar w:fldCharType="end"/>
      </w:r>
    </w:p>
    <w:p>
      <w:pPr>
        <w:pStyle w:val="25"/>
        <w:tabs>
          <w:tab w:val="right" w:pos="9019"/>
        </w:tabs>
        <w:spacing w:after="0"/>
        <w:rPr>
          <w:rFonts w:eastAsia="宋体"/>
        </w:rPr>
      </w:pPr>
      <w:r>
        <w:fldChar w:fldCharType="begin"/>
      </w:r>
      <w:r>
        <w:instrText>Hyperlink \l "_Toc220754486"</w:instrText>
      </w:r>
      <w:r>
        <w:fldChar w:fldCharType="separate"/>
      </w:r>
      <w:r>
        <w:t>3.11 Study selection</w:t>
        <w:tab/>
      </w:r>
      <w:r>
        <w:fldChar w:fldCharType="begin"/>
      </w:r>
      <w:r>
        <w:instrText xml:space="preserve"> PAGEREF _Toc220754486 \h </w:instrText>
      </w:r>
      <w:r>
        <w:fldChar w:fldCharType="separate"/>
      </w:r>
      <w:r>
        <w:t>32</w:t>
      </w:r>
      <w:r>
        <w:fldChar w:fldCharType="end"/>
      </w:r>
      <w:r>
        <w:fldChar w:fldCharType="end"/>
      </w:r>
    </w:p>
    <w:p>
      <w:pPr>
        <w:pStyle w:val="25"/>
        <w:tabs>
          <w:tab w:val="right" w:pos="9019"/>
        </w:tabs>
        <w:spacing w:after="0"/>
        <w:rPr>
          <w:rFonts w:eastAsia="宋体"/>
        </w:rPr>
      </w:pPr>
      <w:r>
        <w:fldChar w:fldCharType="begin"/>
      </w:r>
      <w:r>
        <w:instrText>Hyperlink \l "_Toc220754487"</w:instrText>
      </w:r>
      <w:r>
        <w:fldChar w:fldCharType="separate"/>
      </w:r>
      <w:r>
        <w:t>3.12 Left articles form whole process</w:t>
        <w:tab/>
      </w:r>
      <w:r>
        <w:fldChar w:fldCharType="begin"/>
      </w:r>
      <w:r>
        <w:instrText xml:space="preserve"> PAGEREF _Toc220754487 \h </w:instrText>
      </w:r>
      <w:r>
        <w:fldChar w:fldCharType="separate"/>
      </w:r>
      <w:r>
        <w:t>32</w:t>
      </w:r>
      <w:r>
        <w:fldChar w:fldCharType="end"/>
      </w:r>
      <w:r>
        <w:fldChar w:fldCharType="end"/>
      </w:r>
    </w:p>
    <w:p>
      <w:pPr>
        <w:pStyle w:val="25"/>
        <w:tabs>
          <w:tab w:val="right" w:pos="9019"/>
        </w:tabs>
        <w:spacing w:after="0"/>
        <w:rPr>
          <w:rFonts w:eastAsia="宋体"/>
        </w:rPr>
      </w:pPr>
      <w:r>
        <w:fldChar w:fldCharType="begin"/>
      </w:r>
      <w:r>
        <w:instrText>Hyperlink \l "_Toc220754488"</w:instrText>
      </w:r>
      <w:r>
        <w:fldChar w:fldCharType="separate"/>
      </w:r>
      <w:r>
        <w:t>3.13 PRISMA chart</w:t>
        <w:tab/>
      </w:r>
      <w:r>
        <w:fldChar w:fldCharType="begin"/>
      </w:r>
      <w:r>
        <w:instrText xml:space="preserve"> PAGEREF _Toc220754488 \h </w:instrText>
      </w:r>
      <w:r>
        <w:fldChar w:fldCharType="separate"/>
      </w:r>
      <w:r>
        <w:t>33</w:t>
      </w:r>
      <w:r>
        <w:fldChar w:fldCharType="end"/>
      </w:r>
      <w:r>
        <w:fldChar w:fldCharType="end"/>
      </w:r>
    </w:p>
    <w:p>
      <w:pPr>
        <w:pStyle w:val="25"/>
        <w:tabs>
          <w:tab w:val="right" w:pos="9019"/>
        </w:tabs>
        <w:spacing w:after="0"/>
        <w:rPr>
          <w:rFonts w:eastAsia="宋体"/>
        </w:rPr>
      </w:pPr>
      <w:r>
        <w:fldChar w:fldCharType="begin"/>
      </w:r>
      <w:r>
        <w:instrText>Hyperlink \l "_Toc220754489"</w:instrText>
      </w:r>
      <w:r>
        <w:fldChar w:fldCharType="separate"/>
      </w:r>
      <w:r>
        <w:t>3.14 Quality assessment (QA)</w:t>
        <w:tab/>
      </w:r>
      <w:r>
        <w:fldChar w:fldCharType="begin"/>
      </w:r>
      <w:r>
        <w:instrText xml:space="preserve"> PAGEREF _Toc220754489 \h </w:instrText>
      </w:r>
      <w:r>
        <w:fldChar w:fldCharType="separate"/>
      </w:r>
      <w:r>
        <w:t>33</w:t>
      </w:r>
      <w:r>
        <w:fldChar w:fldCharType="end"/>
      </w:r>
      <w:r>
        <w:fldChar w:fldCharType="end"/>
      </w:r>
    </w:p>
    <w:p>
      <w:pPr>
        <w:pStyle w:val="25"/>
        <w:tabs>
          <w:tab w:val="right" w:pos="9019"/>
        </w:tabs>
        <w:spacing w:after="0"/>
        <w:rPr>
          <w:rFonts w:eastAsia="宋体"/>
        </w:rPr>
      </w:pPr>
      <w:r>
        <w:fldChar w:fldCharType="begin"/>
      </w:r>
      <w:r>
        <w:instrText>Hyperlink \l "_Toc220754490"</w:instrText>
      </w:r>
      <w:r>
        <w:fldChar w:fldCharType="separate"/>
      </w:r>
      <w:r>
        <w:t>3.15 Data characteristics and data extraction</w:t>
        <w:tab/>
      </w:r>
      <w:r>
        <w:fldChar w:fldCharType="begin"/>
      </w:r>
      <w:r>
        <w:instrText xml:space="preserve"> PAGEREF _Toc220754490 \h </w:instrText>
      </w:r>
      <w:r>
        <w:fldChar w:fldCharType="separate"/>
      </w:r>
      <w:r>
        <w:t>33</w:t>
      </w:r>
      <w:r>
        <w:fldChar w:fldCharType="end"/>
      </w:r>
      <w:r>
        <w:fldChar w:fldCharType="end"/>
      </w:r>
    </w:p>
    <w:p>
      <w:pPr>
        <w:pStyle w:val="25"/>
        <w:tabs>
          <w:tab w:val="right" w:pos="9019"/>
        </w:tabs>
        <w:spacing w:after="0"/>
        <w:rPr>
          <w:rFonts w:eastAsia="宋体"/>
        </w:rPr>
      </w:pPr>
      <w:r>
        <w:fldChar w:fldCharType="begin"/>
      </w:r>
      <w:r>
        <w:instrText>Hyperlink \l "_Toc220754491"</w:instrText>
      </w:r>
      <w:r>
        <w:fldChar w:fldCharType="separate"/>
      </w:r>
      <w:r>
        <w:t>3.16 Data analysis</w:t>
        <w:tab/>
      </w:r>
      <w:r>
        <w:fldChar w:fldCharType="begin"/>
      </w:r>
      <w:r>
        <w:instrText xml:space="preserve"> PAGEREF _Toc220754491 \h </w:instrText>
      </w:r>
      <w:r>
        <w:fldChar w:fldCharType="separate"/>
      </w:r>
      <w:r>
        <w:t>33</w:t>
      </w:r>
      <w:r>
        <w:fldChar w:fldCharType="end"/>
      </w:r>
      <w:r>
        <w:fldChar w:fldCharType="end"/>
      </w:r>
    </w:p>
    <w:p>
      <w:pPr>
        <w:pStyle w:val="25"/>
        <w:tabs>
          <w:tab w:val="right" w:pos="9019"/>
        </w:tabs>
        <w:spacing w:after="0"/>
        <w:rPr>
          <w:rFonts w:eastAsia="宋体"/>
        </w:rPr>
      </w:pPr>
      <w:r>
        <w:fldChar w:fldCharType="begin"/>
      </w:r>
      <w:r>
        <w:instrText>Hyperlink \l "_Toc220754492"</w:instrText>
      </w:r>
      <w:r>
        <w:fldChar w:fldCharType="separate"/>
      </w:r>
      <w:r>
        <w:t>3.17 Limitation of the methods</w:t>
        <w:tab/>
      </w:r>
      <w:r>
        <w:fldChar w:fldCharType="begin"/>
      </w:r>
      <w:r>
        <w:instrText xml:space="preserve"> PAGEREF _Toc220754492 \h </w:instrText>
      </w:r>
      <w:r>
        <w:fldChar w:fldCharType="separate"/>
      </w:r>
      <w:r>
        <w:t>34</w:t>
      </w:r>
      <w:r>
        <w:fldChar w:fldCharType="end"/>
      </w:r>
      <w:r>
        <w:fldChar w:fldCharType="end"/>
      </w:r>
    </w:p>
    <w:p>
      <w:pPr>
        <w:pStyle w:val="25"/>
        <w:tabs>
          <w:tab w:val="right" w:pos="9019"/>
        </w:tabs>
        <w:spacing w:after="0"/>
        <w:rPr>
          <w:rFonts w:eastAsia="宋体"/>
        </w:rPr>
      </w:pPr>
      <w:r>
        <w:fldChar w:fldCharType="begin"/>
      </w:r>
      <w:r>
        <w:instrText>Hyperlink \l "_Toc220754493"</w:instrText>
      </w:r>
      <w:r>
        <w:fldChar w:fldCharType="separate"/>
      </w:r>
      <w:r>
        <w:t>3.18 Chapter summary</w:t>
        <w:tab/>
      </w:r>
      <w:r>
        <w:fldChar w:fldCharType="begin"/>
      </w:r>
      <w:r>
        <w:instrText xml:space="preserve"> PAGEREF _Toc220754493 \h </w:instrText>
      </w:r>
      <w:r>
        <w:fldChar w:fldCharType="separate"/>
      </w:r>
      <w:r>
        <w:t>34</w:t>
      </w:r>
      <w:r>
        <w:fldChar w:fldCharType="end"/>
      </w:r>
      <w:r>
        <w:fldChar w:fldCharType="end"/>
      </w:r>
    </w:p>
    <w:p>
      <w:pPr>
        <w:pStyle w:val="24"/>
        <w:tabs>
          <w:tab w:val="right" w:pos="9019"/>
        </w:tabs>
        <w:spacing w:after="0"/>
        <w:rPr>
          <w:rFonts w:eastAsia="宋体"/>
        </w:rPr>
      </w:pPr>
      <w:r>
        <w:fldChar w:fldCharType="begin"/>
      </w:r>
      <w:r>
        <w:instrText>Hyperlink \l "_Toc220754494"</w:instrText>
      </w:r>
      <w:r>
        <w:fldChar w:fldCharType="separate"/>
      </w:r>
      <w:r>
        <w:t>Chapter 4: Results and Discussion</w:t>
        <w:tab/>
      </w:r>
      <w:r>
        <w:fldChar w:fldCharType="begin"/>
      </w:r>
      <w:r>
        <w:instrText xml:space="preserve"> PAGEREF _Toc220754494 \h </w:instrText>
      </w:r>
      <w:r>
        <w:fldChar w:fldCharType="separate"/>
      </w:r>
      <w:r>
        <w:t>35</w:t>
      </w:r>
      <w:r>
        <w:fldChar w:fldCharType="end"/>
      </w:r>
      <w:r>
        <w:fldChar w:fldCharType="end"/>
      </w:r>
    </w:p>
    <w:p>
      <w:pPr>
        <w:pStyle w:val="25"/>
        <w:tabs>
          <w:tab w:val="right" w:pos="9019"/>
        </w:tabs>
        <w:spacing w:after="0"/>
        <w:rPr>
          <w:rFonts w:eastAsia="宋体"/>
        </w:rPr>
      </w:pPr>
      <w:r>
        <w:fldChar w:fldCharType="begin"/>
      </w:r>
      <w:r>
        <w:instrText>Hyperlink \l "_Toc220754495"</w:instrText>
      </w:r>
      <w:r>
        <w:fldChar w:fldCharType="separate"/>
      </w:r>
      <w:r>
        <w:t>4.1 Introduction</w:t>
        <w:tab/>
      </w:r>
      <w:r>
        <w:fldChar w:fldCharType="begin"/>
      </w:r>
      <w:r>
        <w:instrText xml:space="preserve"> PAGEREF _Toc220754495 \h </w:instrText>
      </w:r>
      <w:r>
        <w:fldChar w:fldCharType="separate"/>
      </w:r>
      <w:r>
        <w:t>35</w:t>
      </w:r>
      <w:r>
        <w:fldChar w:fldCharType="end"/>
      </w:r>
      <w:r>
        <w:fldChar w:fldCharType="end"/>
      </w:r>
    </w:p>
    <w:p>
      <w:pPr>
        <w:pStyle w:val="25"/>
        <w:tabs>
          <w:tab w:val="right" w:pos="9019"/>
        </w:tabs>
        <w:spacing w:after="0"/>
        <w:rPr>
          <w:rFonts w:eastAsia="宋体"/>
        </w:rPr>
      </w:pPr>
      <w:r>
        <w:fldChar w:fldCharType="begin"/>
      </w:r>
      <w:r>
        <w:instrText>Hyperlink \l "_Toc220754496"</w:instrText>
      </w:r>
      <w:r>
        <w:fldChar w:fldCharType="separate"/>
      </w:r>
      <w:r>
        <w:t>4.2 Systematic search databases</w:t>
        <w:tab/>
      </w:r>
      <w:r>
        <w:fldChar w:fldCharType="begin"/>
      </w:r>
      <w:r>
        <w:instrText xml:space="preserve"> PAGEREF _Toc220754496 \h </w:instrText>
      </w:r>
      <w:r>
        <w:fldChar w:fldCharType="separate"/>
      </w:r>
      <w:r>
        <w:t>35</w:t>
      </w:r>
      <w:r>
        <w:fldChar w:fldCharType="end"/>
      </w:r>
      <w:r>
        <w:fldChar w:fldCharType="end"/>
      </w:r>
    </w:p>
    <w:p>
      <w:pPr>
        <w:pStyle w:val="25"/>
        <w:tabs>
          <w:tab w:val="right" w:pos="9019"/>
        </w:tabs>
        <w:spacing w:after="0"/>
        <w:rPr>
          <w:rFonts w:eastAsia="宋体"/>
        </w:rPr>
      </w:pPr>
      <w:r>
        <w:fldChar w:fldCharType="begin"/>
      </w:r>
      <w:r>
        <w:instrText>Hyperlink \l "_Toc220754497"</w:instrText>
      </w:r>
      <w:r>
        <w:fldChar w:fldCharType="separate"/>
      </w:r>
      <w:r>
        <w:t>4.3 Prisma table</w:t>
        <w:tab/>
      </w:r>
      <w:r>
        <w:fldChar w:fldCharType="begin"/>
      </w:r>
      <w:r>
        <w:instrText xml:space="preserve"> PAGEREF _Toc220754497 \h </w:instrText>
      </w:r>
      <w:r>
        <w:fldChar w:fldCharType="separate"/>
      </w:r>
      <w:r>
        <w:t>36</w:t>
      </w:r>
      <w:r>
        <w:fldChar w:fldCharType="end"/>
      </w:r>
      <w:r>
        <w:fldChar w:fldCharType="end"/>
      </w:r>
    </w:p>
    <w:p>
      <w:pPr>
        <w:pStyle w:val="25"/>
        <w:tabs>
          <w:tab w:val="right" w:pos="9019"/>
        </w:tabs>
        <w:spacing w:after="0"/>
        <w:rPr>
          <w:rFonts w:eastAsia="宋体"/>
        </w:rPr>
      </w:pPr>
      <w:r>
        <w:fldChar w:fldCharType="begin"/>
      </w:r>
      <w:r>
        <w:instrText>Hyperlink \l "_Toc220754498"</w:instrText>
      </w:r>
      <w:r>
        <w:fldChar w:fldCharType="separate"/>
      </w:r>
      <w:r>
        <w:t>4.4 characteristics of all tables</w:t>
        <w:tab/>
      </w:r>
      <w:r>
        <w:fldChar w:fldCharType="begin"/>
      </w:r>
      <w:r>
        <w:instrText xml:space="preserve"> PAGEREF _Toc220754498 \h </w:instrText>
      </w:r>
      <w:r>
        <w:fldChar w:fldCharType="separate"/>
      </w:r>
      <w:r>
        <w:t>37</w:t>
      </w:r>
      <w:r>
        <w:fldChar w:fldCharType="end"/>
      </w:r>
      <w:r>
        <w:fldChar w:fldCharType="end"/>
      </w:r>
    </w:p>
    <w:p>
      <w:pPr>
        <w:pStyle w:val="25"/>
        <w:tabs>
          <w:tab w:val="right" w:pos="9019"/>
        </w:tabs>
        <w:spacing w:after="0"/>
        <w:rPr>
          <w:rFonts w:eastAsia="宋体"/>
        </w:rPr>
      </w:pPr>
      <w:r>
        <w:fldChar w:fldCharType="begin"/>
      </w:r>
      <w:r>
        <w:instrText>Hyperlink \l "_Toc220754499"</w:instrText>
      </w:r>
      <w:r>
        <w:fldChar w:fldCharType="separate"/>
      </w:r>
      <w:r>
        <w:t>4.5 Data synthesis</w:t>
        <w:tab/>
      </w:r>
      <w:r>
        <w:fldChar w:fldCharType="begin"/>
      </w:r>
      <w:r>
        <w:instrText xml:space="preserve"> PAGEREF _Toc220754499 \h </w:instrText>
      </w:r>
      <w:r>
        <w:fldChar w:fldCharType="separate"/>
      </w:r>
      <w:r>
        <w:t>37</w:t>
      </w:r>
      <w:r>
        <w:fldChar w:fldCharType="end"/>
      </w:r>
      <w:r>
        <w:fldChar w:fldCharType="end"/>
      </w:r>
    </w:p>
    <w:p>
      <w:pPr>
        <w:pStyle w:val="25"/>
        <w:tabs>
          <w:tab w:val="right" w:pos="9019"/>
        </w:tabs>
        <w:spacing w:after="0"/>
        <w:rPr>
          <w:rFonts w:eastAsia="宋体"/>
        </w:rPr>
      </w:pPr>
      <w:r>
        <w:fldChar w:fldCharType="begin"/>
      </w:r>
      <w:r>
        <w:instrText>Hyperlink \l "_Toc220754500"</w:instrText>
      </w:r>
      <w:r>
        <w:fldChar w:fldCharType="separate"/>
      </w:r>
      <w:r>
        <w:t>4.6 Discussion</w:t>
        <w:tab/>
      </w:r>
      <w:r>
        <w:fldChar w:fldCharType="begin"/>
      </w:r>
      <w:r>
        <w:instrText xml:space="preserve"> PAGEREF _Toc220754500 \h </w:instrText>
      </w:r>
      <w:r>
        <w:fldChar w:fldCharType="separate"/>
      </w:r>
      <w:r>
        <w:t>43</w:t>
      </w:r>
      <w:r>
        <w:fldChar w:fldCharType="end"/>
      </w:r>
      <w:r>
        <w:fldChar w:fldCharType="end"/>
      </w:r>
    </w:p>
    <w:p>
      <w:pPr>
        <w:pStyle w:val="25"/>
        <w:tabs>
          <w:tab w:val="right" w:pos="9019"/>
        </w:tabs>
        <w:spacing w:after="0"/>
        <w:rPr>
          <w:rFonts w:eastAsia="宋体"/>
        </w:rPr>
      </w:pPr>
      <w:r>
        <w:fldChar w:fldCharType="begin"/>
      </w:r>
      <w:r>
        <w:instrText>Hyperlink \l "_Toc220754501"</w:instrText>
      </w:r>
      <w:r>
        <w:fldChar w:fldCharType="separate"/>
      </w:r>
      <w:r>
        <w:t>4.7 A critical evaluation of findings</w:t>
        <w:tab/>
      </w:r>
      <w:r>
        <w:fldChar w:fldCharType="begin"/>
      </w:r>
      <w:r>
        <w:instrText xml:space="preserve"> PAGEREF _Toc220754501 \h </w:instrText>
      </w:r>
      <w:r>
        <w:fldChar w:fldCharType="separate"/>
      </w:r>
      <w:r>
        <w:t>43</w:t>
      </w:r>
      <w:r>
        <w:fldChar w:fldCharType="end"/>
      </w:r>
      <w:r>
        <w:fldChar w:fldCharType="end"/>
      </w:r>
    </w:p>
    <w:p>
      <w:pPr>
        <w:pStyle w:val="25"/>
        <w:tabs>
          <w:tab w:val="right" w:pos="9019"/>
        </w:tabs>
        <w:spacing w:after="0"/>
        <w:rPr>
          <w:rFonts w:eastAsia="宋体"/>
        </w:rPr>
      </w:pPr>
      <w:r>
        <w:fldChar w:fldCharType="begin"/>
      </w:r>
      <w:r>
        <w:instrText>Hyperlink \l "_Toc220754502"</w:instrText>
      </w:r>
      <w:r>
        <w:fldChar w:fldCharType="separate"/>
      </w:r>
      <w:r>
        <w:t>4.8 Critical discussion</w:t>
        <w:tab/>
      </w:r>
      <w:r>
        <w:fldChar w:fldCharType="begin"/>
      </w:r>
      <w:r>
        <w:instrText xml:space="preserve"> PAGEREF _Toc220754502 \h </w:instrText>
      </w:r>
      <w:r>
        <w:fldChar w:fldCharType="separate"/>
      </w:r>
      <w:r>
        <w:t>43</w:t>
      </w:r>
      <w:r>
        <w:fldChar w:fldCharType="end"/>
      </w:r>
      <w:r>
        <w:fldChar w:fldCharType="end"/>
      </w:r>
    </w:p>
    <w:p>
      <w:pPr>
        <w:pStyle w:val="25"/>
        <w:tabs>
          <w:tab w:val="right" w:pos="9019"/>
        </w:tabs>
        <w:spacing w:after="0"/>
        <w:rPr>
          <w:rFonts w:eastAsia="宋体"/>
        </w:rPr>
      </w:pPr>
      <w:r>
        <w:fldChar w:fldCharType="begin"/>
      </w:r>
      <w:r>
        <w:instrText>Hyperlink \l "_Toc220754503"</w:instrText>
      </w:r>
      <w:r>
        <w:fldChar w:fldCharType="separate"/>
      </w:r>
      <w:r>
        <w:t>4.9 Implication of future research</w:t>
        <w:tab/>
      </w:r>
      <w:r>
        <w:fldChar w:fldCharType="begin"/>
      </w:r>
      <w:r>
        <w:instrText xml:space="preserve"> PAGEREF _Toc220754503 \h </w:instrText>
      </w:r>
      <w:r>
        <w:fldChar w:fldCharType="separate"/>
      </w:r>
      <w:r>
        <w:t>45</w:t>
      </w:r>
      <w:r>
        <w:fldChar w:fldCharType="end"/>
      </w:r>
      <w:r>
        <w:fldChar w:fldCharType="end"/>
      </w:r>
    </w:p>
    <w:p>
      <w:pPr>
        <w:pStyle w:val="25"/>
        <w:tabs>
          <w:tab w:val="right" w:pos="9019"/>
        </w:tabs>
        <w:spacing w:after="0"/>
        <w:rPr>
          <w:rFonts w:eastAsia="宋体"/>
        </w:rPr>
      </w:pPr>
      <w:r>
        <w:fldChar w:fldCharType="begin"/>
      </w:r>
      <w:r>
        <w:instrText>Hyperlink \l "_Toc220754504"</w:instrText>
      </w:r>
      <w:r>
        <w:fldChar w:fldCharType="separate"/>
      </w:r>
      <w:r>
        <w:t>4.10 Strength and limitation</w:t>
        <w:tab/>
      </w:r>
      <w:r>
        <w:fldChar w:fldCharType="begin"/>
      </w:r>
      <w:r>
        <w:instrText xml:space="preserve"> PAGEREF _Toc220754504 \h </w:instrText>
      </w:r>
      <w:r>
        <w:fldChar w:fldCharType="separate"/>
      </w:r>
      <w:r>
        <w:t>45</w:t>
      </w:r>
      <w:r>
        <w:fldChar w:fldCharType="end"/>
      </w:r>
      <w:r>
        <w:fldChar w:fldCharType="end"/>
      </w:r>
    </w:p>
    <w:p>
      <w:pPr>
        <w:pStyle w:val="25"/>
        <w:tabs>
          <w:tab w:val="right" w:pos="9019"/>
        </w:tabs>
        <w:spacing w:after="0"/>
        <w:rPr>
          <w:rFonts w:eastAsia="宋体"/>
        </w:rPr>
      </w:pPr>
      <w:r>
        <w:fldChar w:fldCharType="begin"/>
      </w:r>
      <w:r>
        <w:instrText>Hyperlink \l "_Toc220754505"</w:instrText>
      </w:r>
      <w:r>
        <w:fldChar w:fldCharType="separate"/>
      </w:r>
      <w:r>
        <w:t>4.11 Summary</w:t>
        <w:tab/>
      </w:r>
      <w:r>
        <w:fldChar w:fldCharType="begin"/>
      </w:r>
      <w:r>
        <w:instrText xml:space="preserve"> PAGEREF _Toc220754505 \h </w:instrText>
      </w:r>
      <w:r>
        <w:fldChar w:fldCharType="separate"/>
      </w:r>
      <w:r>
        <w:t>46</w:t>
      </w:r>
      <w:r>
        <w:fldChar w:fldCharType="end"/>
      </w:r>
      <w:r>
        <w:fldChar w:fldCharType="end"/>
      </w:r>
    </w:p>
    <w:p>
      <w:pPr>
        <w:pStyle w:val="24"/>
        <w:tabs>
          <w:tab w:val="right" w:pos="9019"/>
        </w:tabs>
        <w:spacing w:after="0"/>
        <w:rPr>
          <w:rFonts w:eastAsia="宋体"/>
        </w:rPr>
      </w:pPr>
      <w:r>
        <w:fldChar w:fldCharType="begin"/>
      </w:r>
      <w:r>
        <w:instrText>Hyperlink \l "_Toc220754506"</w:instrText>
      </w:r>
      <w:r>
        <w:fldChar w:fldCharType="separate"/>
      </w:r>
      <w:r>
        <w:t>Chapter 5: Conclusion and recommendation</w:t>
        <w:tab/>
      </w:r>
      <w:r>
        <w:fldChar w:fldCharType="begin"/>
      </w:r>
      <w:r>
        <w:instrText xml:space="preserve"> PAGEREF _Toc220754506 \h </w:instrText>
      </w:r>
      <w:r>
        <w:fldChar w:fldCharType="separate"/>
      </w:r>
      <w:r>
        <w:t>47</w:t>
      </w:r>
      <w:r>
        <w:fldChar w:fldCharType="end"/>
      </w:r>
      <w:r>
        <w:fldChar w:fldCharType="end"/>
      </w:r>
    </w:p>
    <w:p>
      <w:pPr>
        <w:pStyle w:val="25"/>
        <w:tabs>
          <w:tab w:val="right" w:pos="9019"/>
        </w:tabs>
        <w:spacing w:after="0"/>
        <w:rPr>
          <w:rFonts w:eastAsia="宋体"/>
        </w:rPr>
      </w:pPr>
      <w:r>
        <w:fldChar w:fldCharType="begin"/>
      </w:r>
      <w:r>
        <w:instrText>Hyperlink \l "_Toc220754507"</w:instrText>
      </w:r>
      <w:r>
        <w:fldChar w:fldCharType="separate"/>
      </w:r>
      <w:r>
        <w:t>5.1 Conclusion</w:t>
        <w:tab/>
      </w:r>
      <w:r>
        <w:fldChar w:fldCharType="begin"/>
      </w:r>
      <w:r>
        <w:instrText xml:space="preserve"> PAGEREF _Toc220754507 \h </w:instrText>
      </w:r>
      <w:r>
        <w:fldChar w:fldCharType="separate"/>
      </w:r>
      <w:r>
        <w:t>47</w:t>
      </w:r>
      <w:r>
        <w:fldChar w:fldCharType="end"/>
      </w:r>
      <w:r>
        <w:fldChar w:fldCharType="end"/>
      </w:r>
    </w:p>
    <w:p>
      <w:pPr>
        <w:pStyle w:val="25"/>
        <w:tabs>
          <w:tab w:val="right" w:pos="9019"/>
        </w:tabs>
        <w:spacing w:after="0"/>
        <w:rPr>
          <w:rFonts w:eastAsia="宋体"/>
        </w:rPr>
      </w:pPr>
      <w:r>
        <w:fldChar w:fldCharType="begin"/>
      </w:r>
      <w:r>
        <w:instrText>Hyperlink \l "_Toc220754508"</w:instrText>
      </w:r>
      <w:r>
        <w:fldChar w:fldCharType="separate"/>
      </w:r>
      <w:r>
        <w:t>5.2 Recommendations</w:t>
        <w:tab/>
      </w:r>
      <w:r>
        <w:fldChar w:fldCharType="begin"/>
      </w:r>
      <w:r>
        <w:instrText xml:space="preserve"> PAGEREF _Toc220754508 \h </w:instrText>
      </w:r>
      <w:r>
        <w:fldChar w:fldCharType="separate"/>
      </w:r>
      <w:r>
        <w:t>49</w:t>
      </w:r>
      <w:r>
        <w:fldChar w:fldCharType="end"/>
      </w:r>
      <w:r>
        <w:fldChar w:fldCharType="end"/>
      </w:r>
    </w:p>
    <w:p>
      <w:pPr>
        <w:pStyle w:val="25"/>
        <w:tabs>
          <w:tab w:val="right" w:pos="9019"/>
        </w:tabs>
        <w:spacing w:after="0"/>
        <w:rPr>
          <w:rFonts w:eastAsia="宋体"/>
        </w:rPr>
      </w:pPr>
      <w:r>
        <w:fldChar w:fldCharType="begin"/>
      </w:r>
      <w:r>
        <w:instrText>Hyperlink \l "_Toc220754509"</w:instrText>
      </w:r>
      <w:r>
        <w:fldChar w:fldCharType="separate"/>
      </w:r>
      <w:r>
        <w:t>5.3 Research-limitations</w:t>
        <w:tab/>
      </w:r>
      <w:r>
        <w:fldChar w:fldCharType="begin"/>
      </w:r>
      <w:r>
        <w:instrText xml:space="preserve"> PAGEREF _Toc220754509 \h </w:instrText>
      </w:r>
      <w:r>
        <w:fldChar w:fldCharType="separate"/>
      </w:r>
      <w:r>
        <w:t>50</w:t>
      </w:r>
      <w:r>
        <w:fldChar w:fldCharType="end"/>
      </w:r>
      <w:r>
        <w:fldChar w:fldCharType="end"/>
      </w:r>
    </w:p>
    <w:p>
      <w:pPr>
        <w:pStyle w:val="25"/>
        <w:tabs>
          <w:tab w:val="right" w:pos="9019"/>
        </w:tabs>
        <w:spacing w:after="0"/>
        <w:rPr>
          <w:rFonts w:eastAsia="宋体"/>
        </w:rPr>
      </w:pPr>
      <w:r>
        <w:fldChar w:fldCharType="begin"/>
      </w:r>
      <w:r>
        <w:instrText>Hyperlink \l "_Toc220754510"</w:instrText>
      </w:r>
      <w:r>
        <w:fldChar w:fldCharType="separate"/>
      </w:r>
      <w:r>
        <w:t>5.4 Future implications of the study</w:t>
        <w:tab/>
      </w:r>
      <w:r>
        <w:fldChar w:fldCharType="begin"/>
      </w:r>
      <w:r>
        <w:instrText xml:space="preserve"> PAGEREF _Toc220754510 \h </w:instrText>
      </w:r>
      <w:r>
        <w:fldChar w:fldCharType="separate"/>
      </w:r>
      <w:r>
        <w:t>50</w:t>
      </w:r>
      <w:r>
        <w:fldChar w:fldCharType="end"/>
      </w:r>
      <w:r>
        <w:fldChar w:fldCharType="end"/>
      </w:r>
    </w:p>
    <w:p>
      <w:pPr>
        <w:pStyle w:val="24"/>
        <w:tabs>
          <w:tab w:val="right" w:pos="9019"/>
        </w:tabs>
        <w:spacing w:after="0"/>
        <w:rPr>
          <w:rFonts w:eastAsia="宋体"/>
        </w:rPr>
      </w:pPr>
      <w:r>
        <w:fldChar w:fldCharType="begin"/>
      </w:r>
      <w:r>
        <w:instrText>Hyperlink \l "_Toc220754511"</w:instrText>
      </w:r>
      <w:r>
        <w:fldChar w:fldCharType="separate"/>
      </w:r>
      <w:r>
        <w:t>References</w:t>
        <w:tab/>
      </w:r>
      <w:r>
        <w:fldChar w:fldCharType="begin"/>
      </w:r>
      <w:r>
        <w:instrText xml:space="preserve"> PAGEREF _Toc220754511 \h </w:instrText>
      </w:r>
      <w:r>
        <w:fldChar w:fldCharType="separate"/>
      </w:r>
      <w:r>
        <w:t>51</w:t>
      </w:r>
      <w:r>
        <w:fldChar w:fldCharType="end"/>
      </w:r>
      <w:r>
        <w:fldChar w:fldCharType="end"/>
      </w:r>
    </w:p>
    <w:p>
      <w:pPr>
        <w:pStyle w:val="24"/>
        <w:tabs>
          <w:tab w:val="right" w:pos="9019"/>
        </w:tabs>
        <w:spacing w:after="0"/>
        <w:rPr>
          <w:rFonts w:eastAsia="宋体"/>
        </w:rPr>
      </w:pPr>
      <w:r>
        <w:fldChar w:fldCharType="begin"/>
      </w:r>
      <w:r>
        <w:instrText>Hyperlink \l "_Toc220754512"</w:instrText>
      </w:r>
      <w:r>
        <w:fldChar w:fldCharType="separate"/>
      </w:r>
      <w:r>
        <w:t>Appendix</w:t>
        <w:tab/>
      </w:r>
      <w:r>
        <w:fldChar w:fldCharType="begin"/>
      </w:r>
      <w:r>
        <w:instrText xml:space="preserve"> PAGEREF _Toc220754512 \h </w:instrText>
      </w:r>
      <w:r>
        <w:fldChar w:fldCharType="separate"/>
      </w:r>
      <w:r>
        <w:t>61</w:t>
      </w:r>
      <w:r>
        <w:fldChar w:fldCharType="end"/>
      </w:r>
      <w:r>
        <w:fldChar w:fldCharType="end"/>
      </w:r>
    </w:p>
    <w:p>
      <w:pPr>
        <w:pStyle w:val="25"/>
        <w:tabs>
          <w:tab w:val="right" w:pos="9019"/>
        </w:tabs>
        <w:spacing w:after="0"/>
        <w:rPr>
          <w:rFonts w:eastAsia="宋体"/>
        </w:rPr>
      </w:pPr>
      <w:r>
        <w:fldChar w:fldCharType="begin"/>
      </w:r>
      <w:r>
        <w:instrText>Hyperlink \l "_Toc220754513"</w:instrText>
      </w:r>
      <w:r>
        <w:fldChar w:fldCharType="separate"/>
      </w:r>
      <w:r>
        <w:t>Appendix 1: CASP tool in Appraisal</w:t>
        <w:tab/>
      </w:r>
      <w:r>
        <w:fldChar w:fldCharType="begin"/>
      </w:r>
      <w:r>
        <w:instrText xml:space="preserve"> PAGEREF _Toc220754513 \h </w:instrText>
      </w:r>
      <w:r>
        <w:fldChar w:fldCharType="separate"/>
      </w:r>
      <w:r>
        <w:t>61</w:t>
      </w:r>
      <w:r>
        <w:fldChar w:fldCharType="end"/>
      </w:r>
      <w:r>
        <w:fldChar w:fldCharType="end"/>
      </w:r>
    </w:p>
    <w:p>
      <w:pPr>
        <w:pStyle w:val="25"/>
        <w:tabs>
          <w:tab w:val="right" w:pos="9019"/>
        </w:tabs>
        <w:spacing w:after="0"/>
        <w:rPr>
          <w:rFonts w:eastAsia="宋体"/>
        </w:rPr>
      </w:pPr>
      <w:r>
        <w:fldChar w:fldCharType="begin"/>
      </w:r>
      <w:r>
        <w:instrText>Hyperlink \l "_Toc220754514"</w:instrText>
      </w:r>
      <w:r>
        <w:fldChar w:fldCharType="separate"/>
      </w:r>
      <w:r>
        <w:t>Appendix 2: Findings outcomes</w:t>
        <w:tab/>
      </w:r>
      <w:r>
        <w:fldChar w:fldCharType="begin"/>
      </w:r>
      <w:r>
        <w:instrText xml:space="preserve"> PAGEREF _Toc220754514 \h </w:instrText>
      </w:r>
      <w:r>
        <w:fldChar w:fldCharType="separate"/>
      </w:r>
      <w:r>
        <w:t>62</w:t>
      </w:r>
      <w:r>
        <w:fldChar w:fldCharType="end"/>
      </w:r>
      <w:r>
        <w:fldChar w:fldCharType="end"/>
      </w:r>
    </w:p>
    <w:p>
      <w:pPr>
        <w:pStyle w:val="25"/>
        <w:tabs>
          <w:tab w:val="right" w:pos="9019"/>
        </w:tabs>
        <w:spacing w:after="0"/>
        <w:rPr>
          <w:rFonts w:eastAsia="宋体"/>
        </w:rPr>
      </w:pPr>
      <w:r>
        <w:fldChar w:fldCharType="begin"/>
      </w:r>
      <w:r>
        <w:instrText>Hyperlink \l "_Toc220754515"</w:instrText>
      </w:r>
      <w:r>
        <w:fldChar w:fldCharType="separate"/>
      </w:r>
      <w:r>
        <w:t>Appendix 3: CASP Table</w:t>
        <w:tab/>
      </w:r>
      <w:r>
        <w:fldChar w:fldCharType="begin"/>
      </w:r>
      <w:r>
        <w:instrText xml:space="preserve"> PAGEREF _Toc220754515 \h </w:instrText>
      </w:r>
      <w:r>
        <w:fldChar w:fldCharType="separate"/>
      </w:r>
      <w:r>
        <w:t>80</w:t>
      </w:r>
      <w:r>
        <w:fldChar w:fldCharType="end"/>
      </w:r>
      <w:r>
        <w:fldChar w:fldCharType="end"/>
      </w:r>
    </w:p>
    <w:p>
      <w:pPr>
        <w:pStyle w:val="25"/>
        <w:tabs>
          <w:tab w:val="right" w:pos="9019"/>
        </w:tabs>
        <w:spacing w:after="0"/>
        <w:rPr>
          <w:rFonts w:eastAsia="宋体"/>
        </w:rPr>
      </w:pPr>
      <w:r>
        <w:fldChar w:fldCharType="begin"/>
      </w:r>
      <w:r>
        <w:instrText>Hyperlink \l "_Toc220754516"</w:instrText>
      </w:r>
      <w:r>
        <w:fldChar w:fldCharType="separate"/>
      </w:r>
      <w:r>
        <w:t>Appendix 4:  Qualitative generic data extraction</w:t>
        <w:tab/>
      </w:r>
      <w:r>
        <w:fldChar w:fldCharType="begin"/>
      </w:r>
      <w:r>
        <w:instrText xml:space="preserve"> PAGEREF _Toc220754516 \h </w:instrText>
      </w:r>
      <w:r>
        <w:fldChar w:fldCharType="separate"/>
      </w:r>
      <w:r>
        <w:t>83</w:t>
      </w:r>
      <w:r>
        <w:fldChar w:fldCharType="end"/>
      </w:r>
      <w:r>
        <w:fldChar w:fldCharType="end"/>
      </w:r>
    </w:p>
    <w:p>
      <w:pPr>
        <w:widowControl w:val="0"/>
        <w:tabs>
          <w:tab w:val="right" w:pos="12000"/>
        </w:tabs>
        <w:spacing w:before="60"/>
        <w:ind w:left="720"/>
        <w:rPr>
          <w:color w:val="000000"/>
        </w:rPr>
      </w:pPr>
      <w:r>
        <w:fldChar w:fldCharType="end"/>
      </w:r>
    </w:p>
    <w:p>
      <w:r>
        <w:br w:type="page"/>
      </w:r>
    </w:p>
    <w:p>
      <w:pPr>
        <w:pBdr>
          <w:top w:val="none" w:sz="0" w:space="0" w:color="auto"/>
          <w:left w:val="none" w:sz="0" w:space="0" w:color="auto"/>
          <w:bottom w:val="none" w:sz="0" w:space="0" w:color="auto"/>
          <w:right w:val="none" w:sz="0" w:space="0" w:color="auto"/>
          <w:between w:val="none" w:sz="0" w:space="0" w:color="auto"/>
        </w:pBdr>
        <w:tabs>
          <w:tab w:val="right" w:pos="9350"/>
        </w:tabs>
        <w:jc w:val="center"/>
        <w:rPr>
          <w:b/>
          <w:bCs/>
        </w:rPr>
      </w:pPr>
      <w:r>
        <w:rPr>
          <w:b/>
          <w:bCs/>
        </w:rPr>
        <w:t>List of figures</w:t>
      </w:r>
    </w:p>
    <w:p>
      <w:pPr>
        <w:pStyle w:val="34"/>
        <w:tabs>
          <w:tab w:val="right" w:leader="dot" w:pos="9019"/>
        </w:tabs>
        <w:rPr>
          <w:rFonts w:ascii="Cambria" w:eastAsia="宋体" w:cs="Arial" w:hAnsi="Cambria"/>
          <w:lang w:eastAsia="en-GB"/>
        </w:rPr>
      </w:pPr>
      <w:r>
        <w:fldChar w:fldCharType="begin"/>
      </w:r>
      <w:r>
        <w:instrText xml:space="preserve"> TOC \h \z \t "Heading 4" \c </w:instrText>
      </w:r>
      <w:r>
        <w:fldChar w:fldCharType="separate"/>
      </w:r>
      <w:r>
        <w:fldChar w:fldCharType="begin"/>
      </w:r>
      <w:r>
        <w:instrText>Hyperlink \l "_Toc220756979"</w:instrText>
      </w:r>
      <w:r>
        <w:fldChar w:fldCharType="separate"/>
      </w:r>
      <w:r>
        <w:t>Figure 1.1: Prevalence of cardiovascular diseases in the UK as of 2025</w:t>
        <w:tab/>
      </w:r>
      <w:r>
        <w:fldChar w:fldCharType="begin"/>
      </w:r>
      <w:r>
        <w:instrText xml:space="preserve"> PAGEREF _Toc220756979 \h </w:instrText>
      </w:r>
      <w:r>
        <w:fldChar w:fldCharType="separate"/>
      </w:r>
      <w:r>
        <w:t>7</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"_Toc220756980"</w:instrText>
      </w:r>
      <w:r>
        <w:fldChar w:fldCharType="separate"/>
      </w:r>
      <w:r>
        <w:t>Figure 1.2: Application of Personalised Care Planning Approach to Stroke Prevention</w:t>
        <w:tab/>
      </w:r>
      <w:r>
        <w:fldChar w:fldCharType="begin"/>
      </w:r>
      <w:r>
        <w:instrText xml:space="preserve"> PAGEREF _Toc220756980 \h </w:instrText>
      </w:r>
      <w:r>
        <w:fldChar w:fldCharType="separate"/>
      </w:r>
      <w:r>
        <w:t>9</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"_Toc220756981"</w:instrText>
      </w:r>
      <w:r>
        <w:fldChar w:fldCharType="separate"/>
      </w:r>
      <w:r>
        <w:t>Figure 1.3 Key Features of Personalised Care Planning</w:t>
        <w:tab/>
      </w:r>
      <w:r>
        <w:fldChar w:fldCharType="begin"/>
      </w:r>
      <w:r>
        <w:instrText xml:space="preserve"> PAGEREF _Toc220756981 \h </w:instrText>
      </w:r>
      <w:r>
        <w:fldChar w:fldCharType="separate"/>
      </w:r>
      <w:r>
        <w:t>10</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"_Toc220756982"</w:instrText>
      </w:r>
      <w:r>
        <w:fldChar w:fldCharType="separate"/>
      </w:r>
      <w:r>
        <w:t>Figure 1.4 Research Structure</w:t>
        <w:tab/>
      </w:r>
      <w:r>
        <w:fldChar w:fldCharType="begin"/>
      </w:r>
      <w:r>
        <w:instrText xml:space="preserve"> PAGEREF _Toc220756982 \h </w:instrText>
      </w:r>
      <w:r>
        <w:fldChar w:fldCharType="separate"/>
      </w:r>
      <w:r>
        <w:t>12</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"_Toc220756983"</w:instrText>
      </w:r>
      <w:r>
        <w:fldChar w:fldCharType="separate"/>
      </w:r>
      <w:r>
        <w:t>Figure 2.1 A Mentor-hub Stroke-rehabilitation Framework</w:t>
        <w:tab/>
      </w:r>
      <w:r>
        <w:fldChar w:fldCharType="begin"/>
      </w:r>
      <w:r>
        <w:instrText xml:space="preserve"> PAGEREF _Toc220756983 \h </w:instrText>
      </w:r>
      <w:r>
        <w:fldChar w:fldCharType="separate"/>
      </w:r>
      <w:r>
        <w:t>15</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"_Toc220756984"</w:instrText>
      </w:r>
      <w:r>
        <w:fldChar w:fldCharType="separate"/>
      </w:r>
      <w:r>
        <w:t>Figure 2.2 Technological Acceptance Model and respective Components</w:t>
        <w:tab/>
      </w:r>
      <w:r>
        <w:fldChar w:fldCharType="begin"/>
      </w:r>
      <w:r>
        <w:instrText xml:space="preserve"> PAGEREF _Toc220756984 \h </w:instrText>
      </w:r>
      <w:r>
        <w:fldChar w:fldCharType="separate"/>
      </w:r>
      <w:r>
        <w:t>22</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"_Toc220756985"</w:instrText>
      </w:r>
      <w:r>
        <w:fldChar w:fldCharType="separate"/>
      </w:r>
      <w:r>
        <w:t>Figure 2.3: Herzberg’s Two Factor Theory</w:t>
        <w:tab/>
      </w:r>
      <w:r>
        <w:fldChar w:fldCharType="begin"/>
      </w:r>
      <w:r>
        <w:instrText xml:space="preserve"> PAGEREF _Toc220756985 \h </w:instrText>
      </w:r>
      <w:r>
        <w:fldChar w:fldCharType="separate"/>
      </w:r>
      <w:r>
        <w:t>24</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"_Toc220756986"</w:instrText>
      </w:r>
      <w:r>
        <w:fldChar w:fldCharType="separate"/>
      </w:r>
      <w:r>
        <w:t>Figure 2.4: Conceptual framework</w:t>
        <w:tab/>
      </w:r>
      <w:r>
        <w:fldChar w:fldCharType="begin"/>
      </w:r>
      <w:r>
        <w:instrText xml:space="preserve"> PAGEREF _Toc220756986 \h </w:instrText>
      </w:r>
      <w:r>
        <w:fldChar w:fldCharType="separate"/>
      </w:r>
      <w:r>
        <w:t>25</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"_Toc220756987"</w:instrText>
      </w:r>
      <w:r>
        <w:fldChar w:fldCharType="separate"/>
      </w:r>
      <w:r>
        <w:t>Figure 4.1: PRISMA framework</w:t>
        <w:tab/>
      </w:r>
      <w:r>
        <w:fldChar w:fldCharType="begin"/>
      </w:r>
      <w:r>
        <w:instrText xml:space="preserve"> PAGEREF _Toc220756987 \h </w:instrText>
      </w:r>
      <w:r>
        <w:fldChar w:fldCharType="separate"/>
      </w:r>
      <w:r>
        <w:t>36</w:t>
      </w:r>
      <w:r>
        <w:fldChar w:fldCharType="end"/>
      </w:r>
      <w:r>
        <w:fldChar w:fldCharType="end"/>
      </w:r>
    </w:p>
    <w:p>
      <w:r>
        <w:fldChar w:fldCharType="end"/>
      </w:r>
      <w:r>
        <w:br w:type="page"/>
      </w:r>
    </w:p>
    <w:p>
      <w:pPr>
        <w:pBdr>
          <w:top w:val="none" w:sz="0" w:space="0" w:color="auto"/>
          <w:left w:val="none" w:sz="0" w:space="0" w:color="auto"/>
          <w:bottom w:val="none" w:sz="0" w:space="0" w:color="auto"/>
          <w:right w:val="none" w:sz="0" w:space="0" w:color="auto"/>
          <w:between w:val="none" w:sz="0" w:space="0" w:color="auto"/>
        </w:pBdr>
        <w:tabs>
          <w:tab w:val="right" w:pos="9350"/>
        </w:tabs>
        <w:jc w:val="center"/>
        <w:rPr>
          <w:b/>
          <w:bCs/>
        </w:rPr>
      </w:pPr>
      <w:r>
        <w:rPr>
          <w:b/>
          <w:bCs/>
        </w:rPr>
        <w:t>List of tables</w:t>
      </w:r>
    </w:p>
    <w:p>
      <w:pPr>
        <w:pStyle w:val="34"/>
        <w:tabs>
          <w:tab w:val="right" w:leader="dot" w:pos="9019"/>
        </w:tabs>
        <w:rPr>
          <w:rFonts w:ascii="Cambria" w:eastAsia="宋体" w:cs="Arial" w:hAnsi="Cambria"/>
          <w:lang w:eastAsia="en-GB"/>
        </w:rPr>
      </w:pPr>
      <w:bookmarkStart w:id="0" w:name="_Toc220754444"/>
      <w:r>
        <w:fldChar w:fldCharType="begin"/>
      </w:r>
      <w:r>
        <w:instrText xml:space="preserve"> TOC \h \z \t "Heading 5" \c </w:instrText>
      </w:r>
      <w:r>
        <w:fldChar w:fldCharType="separate"/>
      </w:r>
      <w:r>
        <w:fldChar w:fldCharType="begin"/>
      </w:r>
      <w:r>
        <w:instrText>Hyperlink \l "_Toc220757003"</w:instrText>
      </w:r>
      <w:r>
        <w:fldChar w:fldCharType="separate"/>
      </w:r>
      <w:r>
        <w:t>Table 3.1: PICO search terms</w:t>
        <w:tab/>
      </w:r>
      <w:r>
        <w:fldChar w:fldCharType="begin"/>
      </w:r>
      <w:r>
        <w:instrText xml:space="preserve"> PAGEREF _Toc220757003 \h </w:instrText>
      </w:r>
      <w:r>
        <w:fldChar w:fldCharType="separate"/>
      </w:r>
      <w:r>
        <w:t>30</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"_Toc220757004"</w:instrText>
      </w:r>
      <w:r>
        <w:fldChar w:fldCharType="separate"/>
      </w:r>
      <w:r>
        <w:t>Table 3.2: Inclusion and Exclusion criteria</w:t>
        <w:tab/>
      </w:r>
      <w:r>
        <w:fldChar w:fldCharType="begin"/>
      </w:r>
      <w:r>
        <w:instrText xml:space="preserve"> PAGEREF _Toc220757004 \h </w:instrText>
      </w:r>
      <w:r>
        <w:fldChar w:fldCharType="separate"/>
      </w:r>
      <w:r>
        <w:t>31</w:t>
      </w:r>
      <w:r>
        <w:fldChar w:fldCharType="end"/>
      </w:r>
      <w:r>
        <w:fldChar w:fldCharType="end"/>
      </w:r>
    </w:p>
    <w:p>
      <w:pPr>
        <w:pStyle w:val="34"/>
        <w:tabs>
          <w:tab w:val="right" w:leader="dot" w:pos="9019"/>
        </w:tabs>
        <w:rPr>
          <w:rFonts w:ascii="Cambria" w:eastAsia="宋体" w:cs="Arial" w:hAnsi="Cambria"/>
          <w:lang w:eastAsia="en-GB"/>
        </w:rPr>
      </w:pPr>
      <w:r>
        <w:fldChar w:fldCharType="begin"/>
      </w:r>
      <w:r>
        <w:instrText>Hyperlink \l "_Toc220757005"</w:instrText>
      </w:r>
      <w:r>
        <w:fldChar w:fldCharType="separate"/>
      </w:r>
      <w:r>
        <w:t>Table 3.3: Screening result</w:t>
        <w:tab/>
      </w:r>
      <w:r>
        <w:fldChar w:fldCharType="begin"/>
      </w:r>
      <w:r>
        <w:instrText xml:space="preserve"> PAGEREF _Toc220757005 \h </w:instrText>
      </w:r>
      <w:r>
        <w:fldChar w:fldCharType="separate"/>
      </w:r>
      <w:r>
        <w:t>32</w:t>
      </w:r>
      <w:r>
        <w:fldChar w:fldCharType="end"/>
      </w:r>
      <w:r>
        <w:fldChar w:fldCharType="end"/>
      </w:r>
    </w:p>
    <w:p>
      <w:pPr>
        <w:rPr>
          <w:b/>
          <w:bCs/>
          <w:color w:val="000000"/>
        </w:rPr>
      </w:pPr>
      <w:r>
        <w:fldChar w:fldCharType="end"/>
      </w:r>
      <w:r>
        <w:br w:type="page"/>
      </w:r>
    </w:p>
    <w:p>
      <w:pPr>
        <w:pStyle w:val="1"/>
        <w:rPr>
          <w:b w:val="0"/>
          <w:bCs w:val="0"/>
        </w:rPr>
      </w:pPr>
      <w:r>
        <w:t>Chapter 1: Introduction</w:t>
      </w:r>
      <w:bookmarkEnd w:id="0"/>
    </w:p>
    <w:p>
      <w:pPr>
        <w:pStyle w:val="2"/>
      </w:pPr>
      <w:bookmarkStart w:id="1" w:name="_Toc220754445"/>
      <w:r>
        <w:t>1.1 Background/Context</w:t>
      </w:r>
      <w:bookmarkEnd w:id="1"/>
    </w:p>
    <w:p>
      <w:pPr>
        <w:pBdr>
          <w:top w:val="none" w:sz="0" w:space="0" w:color="auto"/>
          <w:left w:val="none" w:sz="0" w:space="0" w:color="auto"/>
          <w:bottom w:val="none" w:sz="0" w:space="0" w:color="auto"/>
          <w:right w:val="none" w:sz="0" w:space="0" w:color="auto"/>
          <w:between w:val="none" w:sz="0" w:space="0" w:color="auto"/>
        </w:pBdr>
      </w:pPr>
      <w:r>
        <w:t xml:space="preserve">Stroke is called a cerebrovascular accident while an individual can survive in multiple healthcare issues such as loss of vision, being speech less, confusion and paralysis. Additionally, Ischemic strokes (caused by blood clots) and Haemorrhagic strokes (caused by ruptured or broken blood vessels of the brain) are two different types of strokes (Cleveland Clinic, 2025). Worldwide, 15 million people are currently suffering from stroke (WHO, 2025). Globally, stroke has become a national and regional burden with multiple risk factors. As per Feigin </w:t>
      </w:r>
      <w:r>
        <w:rPr>
          <w:i/>
          <w:iCs/>
        </w:rPr>
        <w:t xml:space="preserve">et al. </w:t>
      </w:r>
      <w:r>
        <w:t xml:space="preserve">(2024), the risk factors of stroke are air pollution, environmental risks, metabolic risks, tobacco smoking, behavioural and dietary. Hence, stroke is a global health condition that needs immediate actions. </w:t>
      </w:r>
    </w:p>
    <w:p>
      <w:pPr>
        <w:pBdr>
          <w:top w:val="none" w:sz="0" w:space="0" w:color="auto"/>
          <w:left w:val="none" w:sz="0" w:space="0" w:color="auto"/>
          <w:bottom w:val="none" w:sz="0" w:space="0" w:color="auto"/>
          <w:right w:val="none" w:sz="0" w:space="0" w:color="auto"/>
          <w:between w:val="none" w:sz="0" w:space="0" w:color="auto"/>
        </w:pBdr>
      </w:pPr>
      <w:r>
        <w:t xml:space="preserve">Stroke is a growing concern among the adult people aged from 45 to 60 in the UK, which can be resolved through the implementation of an effective personalised care planning approach. According to a recent governmental report, 75% of deaths in the UK account for leading causes of stroke such as cerebrovascular diseases (Stroke, 2025). This evidence supports growing concern of the UK government for the reduction of stroke rate, especially among the old-aged people between 45 and 60. As per the views of Bonkhoff and Grefkes (2022), the use of personalised-level care plan and outcomes prediction is beneficial for the people with stroke due to the efficiency of individualised stroke predictions. Therefore, the application of a personalised healthcare plan will be effective especially for old people with stroke where personal-diagnosis and outcome prediction is possible. </w:t>
      </w:r>
    </w:p>
    <w:p>
      <w:pPr>
        <w:pBdr>
          <w:top w:val="none" w:sz="0" w:space="0" w:color="auto"/>
          <w:left w:val="none" w:sz="0" w:space="0" w:color="auto"/>
          <w:bottom w:val="none" w:sz="0" w:space="0" w:color="auto"/>
          <w:right w:val="none" w:sz="0" w:space="0" w:color="auto"/>
          <w:between w:val="none" w:sz="0" w:space="0" w:color="auto"/>
        </w:pBdr>
        <w:jc w:val="center"/>
      </w:pPr>
      <w:r>
        <w:rPr>
          <w:lang w:eastAsia="en-GB"/>
        </w:rPr>
        <w:drawing>
          <wp:inline distT="114300" distB="114300" distL="114300" distR="114300">
            <wp:extent cx="4171950" cy="2962275"/>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4171950" cy="2962275"/>
                    </a:xfrm>
                    <a:prstGeom prst="rect"/>
                    <a:noFill/>
                    <a:ln w="12700" cmpd="sng" cap="flat">
                      <a:solidFill>
                        <a:srgbClr val="000000"/>
                      </a:solidFill>
                      <a:prstDash val="solid"/>
                      <a:round/>
                    </a:ln>
                  </pic:spPr>
                </pic:pic>
              </a:graphicData>
            </a:graphic>
          </wp:inline>
        </w:drawing>
      </w:r>
    </w:p>
    <w:p>
      <w:pPr>
        <w:pStyle w:val="4"/>
      </w:pPr>
      <w:bookmarkStart w:id="2" w:name="_heading=h.gjyi4m36jlx7"/>
      <w:bookmarkStart w:id="3" w:name="_Toc220756979"/>
      <w:bookmarkEnd w:id="2"/>
      <w:r>
        <w:t>Figure 1.1: Prevalence of cardiovascular diseases in the UK as of 2025</w:t>
      </w:r>
      <w:bookmarkEnd w:id="3"/>
    </w:p>
    <w:p>
      <w:pPr>
        <w:pBdr>
          <w:top w:val="none" w:sz="0" w:space="0" w:color="auto"/>
          <w:left w:val="none" w:sz="0" w:space="0" w:color="auto"/>
          <w:bottom w:val="none" w:sz="0" w:space="0" w:color="auto"/>
          <w:right w:val="none" w:sz="0" w:space="0" w:color="auto"/>
          <w:between w:val="none" w:sz="0" w:space="0" w:color="auto"/>
        </w:pBdr>
        <w:spacing w:before="240"/>
        <w:jc w:val="center"/>
      </w:pPr>
      <w:r>
        <w:t>(Source: British Heart Foundation, 2025)</w:t>
      </w:r>
    </w:p>
    <w:p>
      <w:pPr>
        <w:pBdr>
          <w:top w:val="none" w:sz="0" w:space="0" w:color="auto"/>
          <w:left w:val="none" w:sz="0" w:space="0" w:color="auto"/>
          <w:bottom w:val="none" w:sz="0" w:space="0" w:color="auto"/>
          <w:right w:val="none" w:sz="0" w:space="0" w:color="auto"/>
          <w:between w:val="none" w:sz="0" w:space="0" w:color="auto"/>
        </w:pBdr>
      </w:pPr>
      <w:r>
        <w:t xml:space="preserve">The above figure showcases the current prevalence of leading stroke-related healthcare issues such as cerebrovascular and cardiovascular diseases across the UK, which increases the demand for personalised care planning to reduce health risk. According to the above figure, more than 7.6 million UK populations are living with cardiovascular diseases (British Heart Foundation, 2025). In addition to this, cardiovascular diseases for stroke cause almost a quarter of all death records in the UK. As of 2025, almost 49,000 UK people under 75 die from stroke-related diseases such as cardiovascular disease every year (British Heart Foundation, 2025). On the other hand, NHS or National Health Services-based reports showcase an increasing rate of stroke among the adult people in the UK due to lack of healthcare plan follow-up. According to an NHS report, stroke admission numbers have increased by 111,137 people in England between 2004/05 and 2023/24 (NHS, 2024). However, excessive time with risk of limited clarification and patient privacy can be a risk factor for the implementation of personalised care planning approach. Considering this aspect, this research is going to present the effectiveness of personalised care planning approach to reduce this growing healthcare concern across the UK. </w:t>
      </w:r>
    </w:p>
    <w:p>
      <w:pPr>
        <w:pStyle w:val="2"/>
      </w:pPr>
      <w:bookmarkStart w:id="4" w:name="_Toc220754446"/>
      <w:r>
        <w:t>1.2 Literature based background</w:t>
      </w:r>
      <w:bookmarkEnd w:id="4"/>
    </w:p>
    <w:p>
      <w:pPr>
        <w:pBdr>
          <w:top w:val="none" w:sz="0" w:space="0" w:color="auto"/>
          <w:left w:val="none" w:sz="0" w:space="0" w:color="auto"/>
          <w:bottom w:val="none" w:sz="0" w:space="0" w:color="auto"/>
          <w:right w:val="none" w:sz="0" w:space="0" w:color="auto"/>
          <w:between w:val="none" w:sz="0" w:space="0" w:color="auto"/>
        </w:pBdr>
      </w:pPr>
      <w:r>
        <w:t xml:space="preserve">Stroke increases the risk of blockage in blood vessels, which lead to death. As per the views of Aurelius </w:t>
      </w:r>
      <w:r>
        <w:rPr>
          <w:i/>
          <w:iCs/>
        </w:rPr>
        <w:t>et al.</w:t>
      </w:r>
      <w:r>
        <w:t xml:space="preserve"> (2023), the risk of ischemic stroke is forecasted to affect 3.3% of total UK population. On the other hand, Martín-Sanz </w:t>
      </w:r>
      <w:r>
        <w:rPr>
          <w:i/>
          <w:iCs/>
        </w:rPr>
        <w:t xml:space="preserve">et al. </w:t>
      </w:r>
      <w:r>
        <w:t xml:space="preserve">(2022) highlighted the importance and effectiveness of personalised care plans to support stroke patients due to support of emotional management with distress in the personal-level intervention process. This implies that the implementation of a personalised care plan for adult stroke survivors of the UK involves personal-level emotional support, which can decrease stroke leading health diseases. According to the discussion by Namaganda </w:t>
      </w:r>
      <w:r>
        <w:rPr>
          <w:i/>
          <w:iCs/>
        </w:rPr>
        <w:t xml:space="preserve">et al. </w:t>
      </w:r>
      <w:r>
        <w:t xml:space="preserve">(2022), stroke is one of the leading causes of death especially for the adult between the age of 15 to 60 and above which requires effective prevention strategies. Supporting this argument, Bonkhoff and Grefkes (2022) stated that personalized approach in the healthcare process has a high demand in terms of preventing causes of stroke. Therefore, the implementation of a personalised prevention care plan for the adult stroke survivors is an effective approach to enhance healthcare outcomes. </w:t>
      </w:r>
    </w:p>
    <w:p>
      <w:pPr>
        <w:pBdr>
          <w:top w:val="none" w:sz="0" w:space="0" w:color="auto"/>
          <w:left w:val="none" w:sz="0" w:space="0" w:color="auto"/>
          <w:bottom w:val="none" w:sz="0" w:space="0" w:color="auto"/>
          <w:right w:val="none" w:sz="0" w:space="0" w:color="auto"/>
          <w:between w:val="none" w:sz="0" w:space="0" w:color="auto"/>
        </w:pBdr>
        <w:jc w:val="center"/>
      </w:pPr>
      <w:r>
        <w:rPr>
          <w:lang w:eastAsia="en-GB"/>
        </w:rPr>
        <w:drawing>
          <wp:inline distT="114300" distB="114300" distL="114300" distR="114300">
            <wp:extent cx="5943600" cy="1714500"/>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5943600" cy="1714500"/>
                    </a:xfrm>
                    <a:prstGeom prst="rect"/>
                    <a:noFill/>
                    <a:ln w="12700" cmpd="sng" cap="flat">
                      <a:solidFill>
                        <a:srgbClr val="000000"/>
                      </a:solidFill>
                      <a:prstDash val="solid"/>
                      <a:round/>
                    </a:ln>
                  </pic:spPr>
                </pic:pic>
              </a:graphicData>
            </a:graphic>
          </wp:inline>
        </w:drawing>
      </w:r>
    </w:p>
    <w:p>
      <w:pPr>
        <w:pStyle w:val="4"/>
      </w:pPr>
      <w:bookmarkStart w:id="5" w:name="_heading=h.3soqtwoet54y"/>
      <w:bookmarkStart w:id="6" w:name="_Toc220756980"/>
      <w:bookmarkEnd w:id="5"/>
      <w:r>
        <w:t>Figure 1.2: Application of Personalised Care Planning Approach to Stroke Prevention</w:t>
      </w:r>
      <w:bookmarkEnd w:id="6"/>
      <w:r>
        <w:t xml:space="preserve"> </w:t>
      </w:r>
    </w:p>
    <w:p>
      <w:pPr>
        <w:pBdr>
          <w:top w:val="none" w:sz="0" w:space="0" w:color="auto"/>
          <w:left w:val="none" w:sz="0" w:space="0" w:color="auto"/>
          <w:bottom w:val="none" w:sz="0" w:space="0" w:color="auto"/>
          <w:right w:val="none" w:sz="0" w:space="0" w:color="auto"/>
          <w:between w:val="none" w:sz="0" w:space="0" w:color="auto"/>
        </w:pBdr>
        <w:jc w:val="center"/>
      </w:pPr>
      <w:r>
        <w:t xml:space="preserve">(Source: Ortega-Martorell </w:t>
      </w:r>
      <w:r>
        <w:rPr>
          <w:i/>
          <w:iCs/>
        </w:rPr>
        <w:t xml:space="preserve">et al. </w:t>
      </w:r>
      <w:r>
        <w:t>2025)</w:t>
      </w:r>
    </w:p>
    <w:p>
      <w:pPr>
        <w:pBdr>
          <w:top w:val="none" w:sz="0" w:space="0" w:color="auto"/>
          <w:left w:val="none" w:sz="0" w:space="0" w:color="auto"/>
          <w:bottom w:val="none" w:sz="0" w:space="0" w:color="auto"/>
          <w:right w:val="none" w:sz="0" w:space="0" w:color="auto"/>
          <w:between w:val="none" w:sz="0" w:space="0" w:color="auto"/>
        </w:pBdr>
      </w:pPr>
      <w:r>
        <w:t xml:space="preserve">The UK government can prioritise the use of a personalised approach in the treatment process of adult stroke survivors as it supports individual-based emotional support and care. Supporting this argument, Ortega-Martorell </w:t>
      </w:r>
      <w:r>
        <w:rPr>
          <w:i/>
          <w:iCs/>
        </w:rPr>
        <w:t xml:space="preserve">et al. </w:t>
      </w:r>
      <w:r>
        <w:t xml:space="preserve">(2025) highlighted the effectiveness of personalised approaches in the stroke management process. Additionally, personalised care plan improves efficiency for risk prediction and respective treatment with advanced emerging technology-based solutions such as AI or Artificial Intelligence and ML or Machine Learning. According to a governmental report, 70% of individuals with a long-term condition acknowledged the improvement of the health outcomes with implementation of personalised care planning (GOV, 2025). Additionally, a personalised care plan involves recording a patient’s personal experience with stroke for treatment by considering the key features (NHS, 2025). During this stage, a patient's current struggle with stroke can be recorded to implement a further treatment process with a suitable supportive plan. Hence, as a concluding remark, it can be said that a personalised care plan supports advancement in healthcare practice to prevent and control stroke leading diseases in an effective way. </w:t>
      </w:r>
    </w:p>
    <w:p>
      <w:pPr>
        <w:pBdr>
          <w:top w:val="none" w:sz="0" w:space="0" w:color="auto"/>
          <w:left w:val="none" w:sz="0" w:space="0" w:color="auto"/>
          <w:bottom w:val="none" w:sz="0" w:space="0" w:color="auto"/>
          <w:right w:val="none" w:sz="0" w:space="0" w:color="auto"/>
          <w:between w:val="none" w:sz="0" w:space="0" w:color="auto"/>
        </w:pBdr>
        <w:jc w:val="center"/>
      </w:pPr>
      <w:r>
        <w:rPr>
          <w:lang w:eastAsia="en-GB"/>
        </w:rPr>
        <w:drawing>
          <wp:inline distT="114300" distB="114300" distL="114300" distR="114300">
            <wp:extent cx="5124450" cy="3038474"/>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6"/>
                    <a:stretch>
                      <a:fillRect/>
                    </a:stretch>
                  </pic:blipFill>
                  <pic:spPr>
                    <a:xfrm rot="0">
                      <a:off x="0" y="0"/>
                      <a:ext cx="5124450" cy="3038474"/>
                    </a:xfrm>
                    <a:prstGeom prst="rect"/>
                    <a:noFill/>
                    <a:ln w="12700" cmpd="sng" cap="flat">
                      <a:solidFill>
                        <a:srgbClr val="000000"/>
                      </a:solidFill>
                      <a:prstDash val="solid"/>
                      <a:round/>
                    </a:ln>
                  </pic:spPr>
                </pic:pic>
              </a:graphicData>
            </a:graphic>
          </wp:inline>
        </w:drawing>
      </w:r>
    </w:p>
    <w:p>
      <w:pPr>
        <w:pStyle w:val="4"/>
      </w:pPr>
      <w:bookmarkStart w:id="7" w:name="_heading=h.rm89l5mgaejz"/>
      <w:bookmarkStart w:id="8" w:name="_Toc220756981"/>
      <w:bookmarkEnd w:id="7"/>
      <w:r>
        <w:t>Figure 1.3 Key Features of Personalised Care Planning</w:t>
      </w:r>
      <w:bookmarkEnd w:id="8"/>
      <w:r>
        <w:t xml:space="preserve"> </w:t>
      </w:r>
    </w:p>
    <w:p>
      <w:pPr>
        <w:pBdr>
          <w:top w:val="none" w:sz="0" w:space="0" w:color="auto"/>
          <w:left w:val="none" w:sz="0" w:space="0" w:color="auto"/>
          <w:bottom w:val="none" w:sz="0" w:space="0" w:color="auto"/>
          <w:right w:val="none" w:sz="0" w:space="0" w:color="auto"/>
          <w:between w:val="none" w:sz="0" w:space="0" w:color="auto"/>
        </w:pBdr>
        <w:jc w:val="center"/>
      </w:pPr>
      <w:r>
        <w:t>(Source: Inspired by NHS, 2025)</w:t>
      </w:r>
    </w:p>
    <w:p>
      <w:pPr>
        <w:pStyle w:val="2"/>
      </w:pPr>
      <w:bookmarkStart w:id="9" w:name="_Toc220754447"/>
      <w:r>
        <w:t>1.3 Aim and objectives</w:t>
      </w:r>
      <w:bookmarkEnd w:id="9"/>
    </w:p>
    <w:p>
      <w:pPr>
        <w:pStyle w:val="3"/>
      </w:pPr>
      <w:bookmarkStart w:id="10" w:name="_Toc220754448"/>
      <w:r>
        <w:t>1.3.1 Aim</w:t>
      </w:r>
      <w:bookmarkEnd w:id="10"/>
    </w:p>
    <w:p>
      <w:pPr>
        <w:pBdr>
          <w:top w:val="none" w:sz="0" w:space="0" w:color="auto"/>
          <w:left w:val="none" w:sz="0" w:space="0" w:color="auto"/>
          <w:bottom w:val="none" w:sz="0" w:space="0" w:color="auto"/>
          <w:right w:val="none" w:sz="0" w:space="0" w:color="auto"/>
          <w:between w:val="none" w:sz="0" w:space="0" w:color="auto"/>
        </w:pBdr>
      </w:pPr>
      <w:r>
        <w:t>The aim of this research is to evaluate the effectiveness of personalised healthcare planning in improving the quality of life of stroke survivors aged 45–60 in the UK.</w:t>
      </w:r>
    </w:p>
    <w:p>
      <w:pPr>
        <w:pStyle w:val="3"/>
      </w:pPr>
      <w:bookmarkStart w:id="11" w:name="_Toc220754449"/>
      <w:r>
        <w:t>1.3.2 Objectives</w:t>
      </w:r>
      <w:bookmarkEnd w:id="11"/>
    </w:p>
    <w:p>
      <w:pPr>
        <w:numPr>
          <w:ilvl w:val="0"/>
          <w:numId w:val="1"/>
        </w:numPr>
        <w:pBdr>
          <w:top w:val="none" w:sz="0" w:space="0" w:color="auto"/>
          <w:left w:val="none" w:sz="0" w:space="0" w:color="auto"/>
          <w:bottom w:val="none" w:sz="0" w:space="0" w:color="auto"/>
          <w:right w:val="none" w:sz="0" w:space="0" w:color="auto"/>
          <w:between w:val="none" w:sz="0" w:space="0" w:color="auto"/>
        </w:pBdr>
      </w:pPr>
      <w:r>
        <w:t>To examine how personalized healthcare planning has been implemented for stroke survivors aged 45–60 in the UK, including key components and delivery approaches</w:t>
      </w:r>
    </w:p>
    <w:p>
      <w:pPr>
        <w:numPr>
          <w:ilvl w:val="0"/>
          <w:numId w:val="1"/>
        </w:numPr>
        <w:pBdr>
          <w:top w:val="none" w:sz="0" w:space="0" w:color="auto"/>
          <w:left w:val="none" w:sz="0" w:space="0" w:color="auto"/>
          <w:bottom w:val="none" w:sz="0" w:space="0" w:color="auto"/>
          <w:right w:val="none" w:sz="0" w:space="0" w:color="auto"/>
          <w:between w:val="none" w:sz="0" w:space="0" w:color="auto"/>
        </w:pBdr>
      </w:pPr>
      <w:r>
        <w:t>To explore the effects of personalized healthcare planning on quality-of-life outcomes among stroke survivors aged 45–60</w:t>
      </w:r>
    </w:p>
    <w:p>
      <w:pPr>
        <w:numPr>
          <w:ilvl w:val="0"/>
          <w:numId w:val="1"/>
        </w:numPr>
        <w:pBdr>
          <w:top w:val="none" w:sz="0" w:space="0" w:color="auto"/>
          <w:left w:val="none" w:sz="0" w:space="0" w:color="auto"/>
          <w:bottom w:val="none" w:sz="0" w:space="0" w:color="auto"/>
          <w:right w:val="none" w:sz="0" w:space="0" w:color="auto"/>
          <w:between w:val="none" w:sz="0" w:space="0" w:color="auto"/>
        </w:pBdr>
      </w:pPr>
      <w:r>
        <w:t>To critically discuss the barriers and enablers influencing the effectiveness of personalized healthcare planning for this population, such as service models, patient needs, and contextual determinants</w:t>
      </w:r>
    </w:p>
    <w:p>
      <w:pPr>
        <w:numPr>
          <w:ilvl w:val="0"/>
          <w:numId w:val="1"/>
        </w:numPr>
        <w:pBdr>
          <w:top w:val="none" w:sz="0" w:space="0" w:color="auto"/>
          <w:left w:val="none" w:sz="0" w:space="0" w:color="auto"/>
          <w:bottom w:val="none" w:sz="0" w:space="0" w:color="auto"/>
          <w:right w:val="none" w:sz="0" w:space="0" w:color="auto"/>
          <w:between w:val="none" w:sz="0" w:space="0" w:color="auto"/>
        </w:pBdr>
      </w:pPr>
      <w:r>
        <w:t>To propose evidence-informed recommendations to enhance personalised healthcare planning and identify areas requiring further investigation</w:t>
      </w:r>
    </w:p>
    <w:p>
      <w:pPr>
        <w:pStyle w:val="2"/>
      </w:pPr>
      <w:bookmarkStart w:id="12" w:name="_Toc220754450"/>
      <w:r>
        <w:t>1.4 Research question</w:t>
      </w:r>
      <w:bookmarkEnd w:id="12"/>
    </w:p>
    <w:p>
      <w:pPr>
        <w:pBdr>
          <w:top w:val="none" w:sz="0" w:space="0" w:color="auto"/>
          <w:left w:val="none" w:sz="0" w:space="0" w:color="auto"/>
          <w:bottom w:val="none" w:sz="0" w:space="0" w:color="auto"/>
          <w:right w:val="none" w:sz="0" w:space="0" w:color="auto"/>
          <w:between w:val="none" w:sz="0" w:space="0" w:color="auto"/>
        </w:pBdr>
      </w:pPr>
      <w:r>
        <w:t>How effective is personalised healthcare planning in improving the quality of life of stroke survivors aged 45–60 in the UK?</w:t>
      </w:r>
    </w:p>
    <w:p>
      <w:pPr>
        <w:pStyle w:val="2"/>
      </w:pPr>
      <w:bookmarkStart w:id="13" w:name="_Toc220754451"/>
      <w:r>
        <w:t>1.5 Problem statement</w:t>
      </w:r>
      <w:bookmarkEnd w:id="13"/>
    </w:p>
    <w:p>
      <w:pPr>
        <w:pBdr>
          <w:top w:val="none" w:sz="0" w:space="0" w:color="auto"/>
          <w:left w:val="none" w:sz="0" w:space="0" w:color="auto"/>
          <w:bottom w:val="none" w:sz="0" w:space="0" w:color="auto"/>
          <w:right w:val="none" w:sz="0" w:space="0" w:color="auto"/>
          <w:between w:val="none" w:sz="0" w:space="0" w:color="auto"/>
        </w:pBdr>
      </w:pPr>
      <w:r>
        <w:t xml:space="preserve">Lack of awareness of personalised care planning to prevent stroke leading diseases among the UK population between age group 45 to 60 is the main problem with risk of patient data privacy and limited clarification. </w:t>
      </w:r>
    </w:p>
    <w:p>
      <w:pPr>
        <w:pStyle w:val="2"/>
      </w:pPr>
      <w:bookmarkStart w:id="14" w:name="_Toc220754452"/>
      <w:r>
        <w:t>1.6 Rationale of the research</w:t>
      </w:r>
      <w:bookmarkEnd w:id="14"/>
    </w:p>
    <w:p>
      <w:pPr>
        <w:pBdr>
          <w:top w:val="none" w:sz="0" w:space="0" w:color="auto"/>
          <w:left w:val="none" w:sz="0" w:space="0" w:color="auto"/>
          <w:bottom w:val="none" w:sz="0" w:space="0" w:color="auto"/>
          <w:right w:val="none" w:sz="0" w:space="0" w:color="auto"/>
          <w:between w:val="none" w:sz="0" w:space="0" w:color="auto"/>
        </w:pBdr>
      </w:pPr>
      <w:r>
        <w:t xml:space="preserve">Personalised care planning is an effective approach to ensure appropriate treatment plan with individual-level care according to changing needs of the adult stroke survivors. According to the governmental report, personalised care planning approaches encourage adults to make informed decisions based on their personal perspectives towards the healthcare experience (NHS, 2025). Supporting this argument, Vallée (2023) highlighted the use of digital twins and other advanced technological solutions to personalised care planning-based treatment processes as it offers real-time data of patients. However, there are some risks with the application of personalised healthcare among the UK-based adult stroke survivors including limited public awareness, excess time, risk of data confidentiality and poor clarification. As per Jawad (2024), security and privacy risks are common with digital-based healthcare approaches due to the reveal of patient’s personal data without their consent. Due to these kinds of risks with limited public awareness is restricting the successful implementation of personalised care planning approach on the UK-based adult stroke survivors. However, the prevalence of stroke leading disease among the UK-based adults is growing day by day, which is a serious concern. Considering these key aspects, this research is going to analyse the effectiveness of personalised care planning with required strategic interventions. </w:t>
      </w:r>
    </w:p>
    <w:p>
      <w:pPr>
        <w:pStyle w:val="2"/>
      </w:pPr>
      <w:bookmarkStart w:id="15" w:name="_Toc220754453"/>
      <w:r>
        <w:t>1.7 Significance of the research</w:t>
      </w:r>
      <w:bookmarkEnd w:id="15"/>
    </w:p>
    <w:p>
      <w:pPr>
        <w:pBdr>
          <w:top w:val="none" w:sz="0" w:space="0" w:color="auto"/>
          <w:left w:val="none" w:sz="0" w:space="0" w:color="auto"/>
          <w:bottom w:val="none" w:sz="0" w:space="0" w:color="auto"/>
          <w:right w:val="none" w:sz="0" w:space="0" w:color="auto"/>
          <w:between w:val="none" w:sz="0" w:space="0" w:color="auto"/>
        </w:pBdr>
      </w:pPr>
      <w:r>
        <w:t xml:space="preserve">Successful implementation of personalised care planning on the adult stroke survivors requires strategic actions, which are going to be elaborated in this research study. As opined by Rajput </w:t>
      </w:r>
      <w:r>
        <w:rPr>
          <w:i/>
          <w:iCs/>
        </w:rPr>
        <w:t xml:space="preserve">et al. </w:t>
      </w:r>
      <w:r>
        <w:t xml:space="preserve">(2025), patient data security is a growing concern for the UK-based primary healthcare setting due to the high risk of facing cyber threats. During this stage, third parties without concern misuse patient’s data. However, this research study is efficient to develop theoretical knowledge of personalised care planning approaches with evidence-based understanding to control the prevalence of stroke among the UK-based adult population. According to the discussion by Shepherd </w:t>
      </w:r>
      <w:r>
        <w:rPr>
          <w:i/>
          <w:iCs/>
        </w:rPr>
        <w:t xml:space="preserve">et al. </w:t>
      </w:r>
      <w:r>
        <w:t xml:space="preserve">(2022), implementation of personalised care planning supports a shared decision-making approach where individuals can make informed decisions in their healthcare progress. Therefore, it can be stated that the significance of this research study is high, especially for the UK-based healthcare setting and adult stroke survivors. </w:t>
      </w:r>
    </w:p>
    <w:p>
      <w:pPr>
        <w:pStyle w:val="2"/>
      </w:pPr>
      <w:bookmarkStart w:id="16" w:name="_Toc220754454"/>
      <w:r>
        <w:t>1.8 Structure of the research</w:t>
      </w:r>
      <w:bookmarkEnd w:id="16"/>
    </w:p>
    <w:p>
      <w:pPr>
        <w:pBdr>
          <w:top w:val="none" w:sz="0" w:space="0" w:color="auto"/>
          <w:left w:val="none" w:sz="0" w:space="0" w:color="auto"/>
          <w:bottom w:val="none" w:sz="0" w:space="0" w:color="auto"/>
          <w:right w:val="none" w:sz="0" w:space="0" w:color="auto"/>
          <w:between w:val="none" w:sz="0" w:space="0" w:color="auto"/>
        </w:pBdr>
        <w:jc w:val="center"/>
      </w:pPr>
      <w:r>
        <w:rPr>
          <w:lang w:eastAsia="en-GB"/>
        </w:rPr>
        <w:drawing>
          <wp:inline distT="0" distB="0" distL="0" distR="0">
            <wp:extent cx="5648325" cy="3219450"/>
            <wp:effectExtent l="0" t="0" r="0" b="0"/>
            <wp:docPr id="13" name="图片 13"/>
            <wp:cNvGraphicFramePr>
              <a:graphicFrameLocks noChangeAspect="0"/>
            </wp:cNvGraphicFramePr>
            <a:graphic>
              <a:graphicData uri="http://schemas.openxmlformats.org/drawingml/2006/picture">
                <pic:pic>
                  <pic:nvPicPr>
                    <pic:cNvPr id="15" name="图片 15"/>
                    <pic:cNvPicPr/>
                  </pic:nvPicPr>
                  <pic:blipFill>
                    <a:blip r:embed="rId7"/>
                    <a:stretch>
                      <a:fillRect/>
                    </a:stretch>
                  </pic:blipFill>
                  <pic:spPr>
                    <a:xfrm rot="0">
                      <a:off x="0" y="0"/>
                      <a:ext cx="5648325" cy="3219450"/>
                    </a:xfrm>
                    <a:prstGeom prst="rect"/>
                    <a:noFill/>
                    <a:ln w="38100" cmpd="sng" cap="flat">
                      <a:solidFill>
                        <a:srgbClr val="000000"/>
                      </a:solidFill>
                      <a:prstDash val="solid"/>
                      <a:round/>
                    </a:ln>
                  </pic:spPr>
                </pic:pic>
              </a:graphicData>
            </a:graphic>
          </wp:inline>
        </w:drawing>
      </w:r>
    </w:p>
    <w:p>
      <w:pPr>
        <w:pStyle w:val="4"/>
      </w:pPr>
      <w:bookmarkStart w:id="17" w:name="_heading=h.684zsofi5asq"/>
      <w:bookmarkStart w:id="18" w:name="_Toc220756982"/>
      <w:bookmarkEnd w:id="17"/>
      <w:r>
        <w:t>Figure 1.4 Research Structure</w:t>
      </w:r>
      <w:bookmarkEnd w:id="18"/>
      <w:r>
        <w:t xml:space="preserve"> </w:t>
      </w:r>
    </w:p>
    <w:p>
      <w:pPr>
        <w:pBdr>
          <w:top w:val="none" w:sz="0" w:space="0" w:color="auto"/>
          <w:left w:val="none" w:sz="0" w:space="0" w:color="auto"/>
          <w:bottom w:val="none" w:sz="0" w:space="0" w:color="auto"/>
          <w:right w:val="none" w:sz="0" w:space="0" w:color="auto"/>
          <w:between w:val="none" w:sz="0" w:space="0" w:color="auto"/>
        </w:pBdr>
        <w:jc w:val="center"/>
      </w:pPr>
      <w:r>
        <w:t>(Source: Self-Developed)</w:t>
      </w:r>
    </w:p>
    <w:p>
      <w:pPr>
        <w:pStyle w:val="2"/>
      </w:pPr>
      <w:bookmarkStart w:id="19" w:name="_Toc220754455"/>
      <w:r>
        <w:t>1.9 Summary of the chapter</w:t>
      </w:r>
      <w:bookmarkEnd w:id="19"/>
    </w:p>
    <w:p>
      <w:pPr>
        <w:pBdr>
          <w:top w:val="none" w:sz="0" w:space="0" w:color="auto"/>
          <w:left w:val="none" w:sz="0" w:space="0" w:color="auto"/>
          <w:bottom w:val="none" w:sz="0" w:space="0" w:color="auto"/>
          <w:right w:val="none" w:sz="0" w:space="0" w:color="auto"/>
          <w:between w:val="none" w:sz="0" w:space="0" w:color="auto"/>
        </w:pBdr>
      </w:pPr>
      <w:r>
        <w:t xml:space="preserve">The overall chapter has highlighted the background-based information and rationale for this research study with literature-based background. The aim, objectives and question of this research have been discussed in this chapter along with a discussion on the significance and structure of this research study. According to the above evidence-based discussion, stroke is a growing concern due to the high risk of death among UK-based adult stroke survivors. Moreover, it can be said that the chapter has logically discussed the significance of this study, especially for the UK-based healthcare setting and adult stroke survivors. </w:t>
        <w:br w:type="page"/>
      </w:r>
    </w:p>
    <w:p>
      <w:pPr>
        <w:pStyle w:val="1"/>
      </w:pPr>
      <w:bookmarkStart w:id="20" w:name="_Toc220754456"/>
      <w:r>
        <w:t>Chapter 2: Literature review</w:t>
      </w:r>
      <w:bookmarkEnd w:id="20"/>
    </w:p>
    <w:p>
      <w:pPr>
        <w:pStyle w:val="2"/>
      </w:pPr>
      <w:bookmarkStart w:id="21" w:name="_Toc220754457"/>
      <w:r>
        <w:t>2.1 Introduction</w:t>
      </w:r>
      <w:bookmarkEnd w:id="21"/>
    </w:p>
    <w:p>
      <w:pPr>
        <w:pBdr>
          <w:top w:val="none" w:sz="0" w:space="0" w:color="auto"/>
          <w:left w:val="none" w:sz="0" w:space="0" w:color="auto"/>
          <w:bottom w:val="none" w:sz="0" w:space="0" w:color="auto"/>
          <w:right w:val="none" w:sz="0" w:space="0" w:color="auto"/>
          <w:between w:val="none" w:sz="0" w:space="0" w:color="auto"/>
        </w:pBdr>
        <w:spacing w:before="240" w:after="240"/>
      </w:pPr>
      <w:r>
        <w:t>The main purpose of developing this literature review will examine the previous literary sources related to research topics. In this chapter, literary sources on personalised care planning are going to examine in order to identify its role in patient care. In addition, the literary sources that provide data on adult stroke survivors, mainly considering the adult age group will be explored in this chapter. Peculiarities of the personalised care planning and the needs of establishing the factors such as independence, emotional wellbeing, use of health services on personalised care planning for stroke survivors will also be illustrated through the previous literary sources.</w:t>
      </w:r>
    </w:p>
    <w:p>
      <w:pPr>
        <w:pStyle w:val="2"/>
      </w:pPr>
      <w:bookmarkStart w:id="22" w:name="_Toc220754458"/>
      <w:r>
        <w:t>2.2 Literature review</w:t>
      </w:r>
      <w:bookmarkEnd w:id="22"/>
    </w:p>
    <w:p>
      <w:pPr>
        <w:pStyle w:val="3"/>
      </w:pPr>
      <w:bookmarkStart w:id="23" w:name="_Toc220754459"/>
      <w:r>
        <w:t>2.2.1 Discussing the uniqueness of the personalised care planning to support stroke survivor</w:t>
      </w:r>
      <w:bookmarkEnd w:id="23"/>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It has been recognised that the uniqueness of the personalised care system for stroke survivors indicates a variable and complex nature to defining the stroke recovery. As such, the personalised care plan for stroke mainly depends on flexibility, person-centred, and long-term approach (Hancock </w:t>
      </w:r>
      <w:r>
        <w:rPr>
          <w:i/>
          <w:iCs/>
        </w:rPr>
        <w:t xml:space="preserve">et al. </w:t>
      </w:r>
      <w:r>
        <w:t xml:space="preserve">2023). Based on the views of Li </w:t>
      </w:r>
      <w:r>
        <w:rPr>
          <w:i/>
          <w:iCs/>
        </w:rPr>
        <w:t xml:space="preserve">et al. </w:t>
      </w:r>
      <w:r>
        <w:t xml:space="preserve">(2024), personalised rehabilitation care for stroke survivors integrates medical, mental, physical, and social support. The clinical assessment for stroke survivors has also included the screening for the risk of hypertension and diabetes which have been managed through daily monitoring and caring (Boehme </w:t>
      </w:r>
      <w:r>
        <w:rPr>
          <w:i/>
          <w:iCs/>
        </w:rPr>
        <w:t xml:space="preserve">et al. </w:t>
      </w:r>
      <w:r>
        <w:t>2021).</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flexibility and coordination are the key factors of personalised care planning for stroke survivors and reduce the further risk of chronic diseases. On the other hand, Ortega-Martorell </w:t>
      </w:r>
      <w:r>
        <w:rPr>
          <w:i/>
          <w:iCs/>
        </w:rPr>
        <w:t xml:space="preserve">et al. </w:t>
      </w:r>
      <w:r>
        <w:t>(2025) have stated the key features of personalised care plans for stroke survivors that are patient focused instead of diseases. It has been recognised that path physiological disorders is one of the common neurological disorders recognised among adult stroke survivors. This has created financial, economic and human burdens. The personalised care plan focuses on the patient's values, lifestyle, cultural background, personal goals and family situation as well as managing the treatment options. Therefore, the holistic approach used in personalised care plans, which support mental recovery of adult stroke survivors.</w:t>
      </w:r>
    </w:p>
    <w:p>
      <w:pPr>
        <w:pBdr>
          <w:top w:val="none" w:sz="0" w:space="0" w:color="auto"/>
          <w:left w:val="none" w:sz="0" w:space="0" w:color="auto"/>
          <w:bottom w:val="none" w:sz="0" w:space="0" w:color="auto"/>
          <w:right w:val="none" w:sz="0" w:space="0" w:color="auto"/>
          <w:between w:val="none" w:sz="0" w:space="0" w:color="auto"/>
        </w:pBdr>
        <w:spacing w:before="240" w:after="240"/>
      </w:pP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stroke surviving aspect is highly variable as well as dealing with unpredictable recovery. Li </w:t>
      </w:r>
      <w:r>
        <w:rPr>
          <w:i/>
          <w:iCs/>
        </w:rPr>
        <w:t xml:space="preserve">et al. </w:t>
      </w:r>
      <w:r>
        <w:t xml:space="preserve">(2023) have stated the stroke recovery is a difficult situation and potential impairments are estimated for physical and emotional wellbeing of stroke survivors.  A practical perspective towards treatment and chances of recovery are required to address stroke survival impairments. Functional recovery such as walking improvement and maintaining the abnormal pattern of thinking has promoted the surviving rates (Li </w:t>
      </w:r>
      <w:r>
        <w:rPr>
          <w:i/>
          <w:iCs/>
        </w:rPr>
        <w:t xml:space="preserve">et al. </w:t>
      </w:r>
      <w:r>
        <w:t xml:space="preserve">2022). As per the views of Li </w:t>
      </w:r>
      <w:r>
        <w:rPr>
          <w:i/>
          <w:iCs/>
        </w:rPr>
        <w:t>et al.</w:t>
      </w:r>
      <w:r>
        <w:t xml:space="preserve"> (2023), personalised rehabilitation plan provides an in-detail information regarding the stages of recovery for adult stroke survivors. The care team for the adult stroke survivors designs the assessment regarding treatment plan and reporting including all the ways of further recovery. It builds the confidence level of the patient as well as the family members.</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It has been recognised that the stroke patients who are going through the recovery stages are facing huge mental health issues because of the treatment stress that impacts the social identity negatively (Song </w:t>
      </w:r>
      <w:r>
        <w:rPr>
          <w:i/>
          <w:iCs/>
        </w:rPr>
        <w:t xml:space="preserve">et al. </w:t>
      </w:r>
      <w:r>
        <w:t xml:space="preserve">2025). The particularities of personalised care used to support the stroke survivor’s coordination of the healthcare professionals such as physiotherapists, and occupational therapists (Martín-Sanz </w:t>
      </w:r>
      <w:r>
        <w:rPr>
          <w:i/>
          <w:iCs/>
        </w:rPr>
        <w:t>et al.</w:t>
      </w:r>
      <w:r>
        <w:t xml:space="preserve"> 2022). Patient’s psychological wellbeing has been promoted through the coordination of mental health professionals that conducted under personalised care. On the other hand, Tziaka </w:t>
      </w:r>
      <w:r>
        <w:rPr>
          <w:i/>
          <w:iCs/>
        </w:rPr>
        <w:t xml:space="preserve">et al. </w:t>
      </w:r>
      <w:r>
        <w:t>(2024) have stated the critical role of personalised care giver to the adult stroke survivors that also leads family members to prevent the treatment plan. This signifies that a complex dynamic can arise where the intense demands, emotional strain, and differing opinions on the survivor's capabilities or prognosis may inadvertently cause family members to hinder or resist parts of the recommended treatment plan. Therefore, with the support of the family unit, the care plan after stroke recovery has been conducted in an effective manner.</w:t>
      </w:r>
    </w:p>
    <w:p>
      <w:pPr>
        <w:pBdr>
          <w:top w:val="none" w:sz="0" w:space="0" w:color="auto"/>
          <w:left w:val="none" w:sz="0" w:space="0" w:color="auto"/>
          <w:bottom w:val="none" w:sz="0" w:space="0" w:color="auto"/>
          <w:right w:val="none" w:sz="0" w:space="0" w:color="auto"/>
          <w:between w:val="none" w:sz="0" w:space="0" w:color="auto"/>
        </w:pBdr>
      </w:pPr>
      <w:r>
        <w:t>Tarihoran</w:t>
      </w:r>
      <w:r>
        <w:rPr>
          <w:i/>
          <w:iCs/>
        </w:rPr>
        <w:t xml:space="preserve"> et al. </w:t>
      </w:r>
      <w:r>
        <w:t>(2025) in this regard has spoken about stroke-survivors’ ongoing-requirements for addressing mental and physical well-being. However, it was highlighted how the cultural, socio-economic or lack of education might interfere with the care-outcomes. Hence, only personalising care solutions is not going to resolve patients’ issues, formulating a robust supportive-framework is a mandatory.</w:t>
      </w:r>
    </w:p>
    <w:p>
      <w:pPr>
        <w:pBdr>
          <w:top w:val="none" w:sz="0" w:space="0" w:color="auto"/>
          <w:left w:val="none" w:sz="0" w:space="0" w:color="auto"/>
          <w:bottom w:val="none" w:sz="0" w:space="0" w:color="auto"/>
          <w:right w:val="none" w:sz="0" w:space="0" w:color="auto"/>
          <w:between w:val="none" w:sz="0" w:space="0" w:color="auto"/>
        </w:pBdr>
      </w:pPr>
    </w:p>
    <w:p>
      <w:pPr>
        <w:pBdr>
          <w:top w:val="none" w:sz="0" w:space="0" w:color="auto"/>
          <w:left w:val="none" w:sz="0" w:space="0" w:color="auto"/>
          <w:bottom w:val="none" w:sz="0" w:space="0" w:color="auto"/>
          <w:right w:val="none" w:sz="0" w:space="0" w:color="auto"/>
          <w:between w:val="none" w:sz="0" w:space="0" w:color="auto"/>
        </w:pBdr>
        <w:jc w:val="center"/>
      </w:pPr>
      <w:r>
        <w:rPr>
          <w:lang w:eastAsia="en-GB"/>
        </w:rPr>
        <w:drawing>
          <wp:inline distT="0" distB="0" distL="0" distR="0">
            <wp:extent cx="4429125" cy="4181475"/>
            <wp:effectExtent l="0" t="0" r="0" b="0"/>
            <wp:docPr id="16" name="图片 16"/>
            <wp:cNvGraphicFramePr>
              <a:graphicFrameLocks noChangeAspect="0"/>
            </wp:cNvGraphicFramePr>
            <a:graphic>
              <a:graphicData uri="http://schemas.openxmlformats.org/drawingml/2006/picture">
                <pic:pic>
                  <pic:nvPicPr>
                    <pic:cNvPr id="18" name="图片 18"/>
                    <pic:cNvPicPr/>
                  </pic:nvPicPr>
                  <pic:blipFill>
                    <a:blip r:embed="rId8"/>
                    <a:stretch>
                      <a:fillRect/>
                    </a:stretch>
                  </pic:blipFill>
                  <pic:spPr>
                    <a:xfrm rot="0">
                      <a:off x="0" y="0"/>
                      <a:ext cx="4429125" cy="4181475"/>
                    </a:xfrm>
                    <a:prstGeom prst="rect"/>
                    <a:noFill/>
                    <a:ln w="38100" cmpd="sng" cap="flat">
                      <a:solidFill>
                        <a:srgbClr val="000000"/>
                      </a:solidFill>
                      <a:prstDash val="solid"/>
                      <a:round/>
                    </a:ln>
                  </pic:spPr>
                </pic:pic>
              </a:graphicData>
            </a:graphic>
          </wp:inline>
        </w:drawing>
      </w:r>
    </w:p>
    <w:p>
      <w:pPr>
        <w:pStyle w:val="4"/>
      </w:pPr>
      <w:bookmarkStart w:id="24" w:name="_heading=h.nizhjd2s8e44"/>
      <w:bookmarkStart w:id="25" w:name="_Toc220756983"/>
      <w:bookmarkEnd w:id="24"/>
      <w:r>
        <w:t>Figure 2.1 A Mentor-hub Stroke-rehabilitation Framework</w:t>
      </w:r>
      <w:bookmarkEnd w:id="25"/>
    </w:p>
    <w:p>
      <w:pPr>
        <w:pBdr>
          <w:top w:val="none" w:sz="0" w:space="0" w:color="auto"/>
          <w:left w:val="none" w:sz="0" w:space="0" w:color="auto"/>
          <w:bottom w:val="none" w:sz="0" w:space="0" w:color="auto"/>
          <w:right w:val="none" w:sz="0" w:space="0" w:color="auto"/>
          <w:between w:val="none" w:sz="0" w:space="0" w:color="auto"/>
        </w:pBdr>
        <w:jc w:val="center"/>
      </w:pPr>
      <w:r>
        <w:t>(Source: Tarihoran</w:t>
      </w:r>
      <w:r>
        <w:rPr>
          <w:i/>
          <w:iCs/>
        </w:rPr>
        <w:t xml:space="preserve"> et al. </w:t>
      </w:r>
      <w:r>
        <w:t>2025)</w:t>
      </w:r>
    </w:p>
    <w:p>
      <w:pPr>
        <w:pBdr>
          <w:top w:val="none" w:sz="0" w:space="0" w:color="auto"/>
          <w:left w:val="none" w:sz="0" w:space="0" w:color="auto"/>
          <w:bottom w:val="none" w:sz="0" w:space="0" w:color="auto"/>
          <w:right w:val="none" w:sz="0" w:space="0" w:color="auto"/>
          <w:between w:val="none" w:sz="0" w:space="0" w:color="auto"/>
        </w:pBdr>
      </w:pPr>
      <w:r>
        <w:t xml:space="preserve">According to the above picture-mentioned framework, stroke-rehabilitation centres must prioritise recovery programs, ongoing support; integrate tools, navigating interdisciplinary-teams through training and monitoring patients’ risks. This framework is created to provide a well-organised care-support plan for the stroke patients with quick-recovery. However, Bally </w:t>
      </w:r>
      <w:r>
        <w:rPr>
          <w:i/>
          <w:iCs/>
        </w:rPr>
        <w:t>et al. (</w:t>
      </w:r>
      <w:r>
        <w:t>2023) mentioned that there is still an immense need in digital literacy of patients which is hindering them from getting an improved-stroke care-support. This raises the concern for stroke-survivors to get rehabilitation-support online and thus they need to be provided proper guidance. Thus, framing a digital-literacy program for the patients can become the biggest boon for vulnerable aged society suffering from cardiovascular issues and post-stroke symptoms.  </w:t>
      </w:r>
    </w:p>
    <w:p>
      <w:pPr>
        <w:pBdr>
          <w:top w:val="none" w:sz="0" w:space="0" w:color="auto"/>
          <w:left w:val="none" w:sz="0" w:space="0" w:color="auto"/>
          <w:bottom w:val="none" w:sz="0" w:space="0" w:color="auto"/>
          <w:right w:val="none" w:sz="0" w:space="0" w:color="auto"/>
          <w:between w:val="none" w:sz="0" w:space="0" w:color="auto"/>
        </w:pBdr>
        <w:spacing w:before="240" w:after="240"/>
      </w:pPr>
    </w:p>
    <w:p>
      <w:pPr>
        <w:pStyle w:val="3"/>
      </w:pPr>
      <w:bookmarkStart w:id="26" w:name="_Toc220754460"/>
      <w:r>
        <w:t>2.2.2 Determining the stroke survivors’ views on personalised care considering the functions daily and well-being</w:t>
      </w:r>
      <w:bookmarkEnd w:id="26"/>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approach of personalised care is highly valued by stroke survivors as it focuses on daily functions as well as wellbeing. Based on the views of Bally </w:t>
      </w:r>
      <w:r>
        <w:rPr>
          <w:i/>
          <w:iCs/>
        </w:rPr>
        <w:t xml:space="preserve">et al. </w:t>
      </w:r>
      <w:r>
        <w:t xml:space="preserve">(2023), the desires of patients regarding the lifestyle and daily activities after surviving the stroke incident have been recognised under the personalised care plan. The treatment or care plans become meaningful activities for the stroke survivors when the aspect of personalised care follows. This approach has made the patients involve into the care activities and promote the effectiveness of treatment. On the contrary, Sun </w:t>
      </w:r>
      <w:r>
        <w:rPr>
          <w:i/>
          <w:iCs/>
        </w:rPr>
        <w:t xml:space="preserve">et al. </w:t>
      </w:r>
      <w:r>
        <w:t xml:space="preserve">(2025) have reflected the survivors view regarding optimised treatment plan and contribution towards physical needs. In personalised care, personal stories with the case number are focused for designing a tailored treatment plan. The aspect of using names of patients while providing treatment and listening to their stories is one of the significant ways to meet the desire of patients, mainly the stroke survivors. Meeting the daily functions, lifestyle includes hobbies, dressing, and eating, the personalised care plan is recognised to focus on a personalised care plan. Based on the views of Guillaumier </w:t>
      </w:r>
      <w:r>
        <w:rPr>
          <w:i/>
          <w:iCs/>
        </w:rPr>
        <w:t xml:space="preserve">et al. </w:t>
      </w:r>
      <w:r>
        <w:t>(2022), investing in the quality life of stroke survivors assists to promote their mental wellbeing. Survivor's views also include the needs of self-care and management from the treatment approach. Thus, the aspect of value-based therapy in personalised care plans provides the structure of managing physical and mental condition of stroke survivors at home.</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Involvement in decision making is another important factor recognised from stroke survivors’ views. As per the views of Dawson </w:t>
      </w:r>
      <w:r>
        <w:rPr>
          <w:i/>
          <w:iCs/>
        </w:rPr>
        <w:t xml:space="preserve">et al. </w:t>
      </w:r>
      <w:r>
        <w:t xml:space="preserve">(2022), strict protocols are required to be followed by the healthcare practitioners to reduce the further chronic risk to stroke survivors. Strict diet plans, physical activities, movements, social gathering restrictions and others have created unnecessary stress among stroke survivors. Stroke survivors’ views include involvement in decision making which lowers this stress level in an effective way. However, Bonifacio </w:t>
      </w:r>
      <w:r>
        <w:rPr>
          <w:i/>
          <w:iCs/>
        </w:rPr>
        <w:t xml:space="preserve">et al. </w:t>
      </w:r>
      <w:r>
        <w:t xml:space="preserve">(2022), have stated the stroke patient recovery stage includes maintaining strict protocols without considering specific situations or individual needs. Involving a patient's needs or desires have lowered the effectiveness of treatment. This frustration can impact the mental wellbeing of stroke survivors and create a distance from the care givers. As opined by Prick </w:t>
      </w:r>
      <w:r>
        <w:rPr>
          <w:i/>
          <w:iCs/>
        </w:rPr>
        <w:t xml:space="preserve">et al. </w:t>
      </w:r>
      <w:r>
        <w:t xml:space="preserve">(2022), personalised care plans in stroke survivors actively include the patient's desire as well as designing the daily care planning following the emotions. This access to care inspires the stroke survivor to contribute in their own self-efficiency and follow the treatment protocol or health improvement.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It has been recognised that a lack of patient coordination in the stroke recovery stage supported delay of treatment delivery. Shewangizaw </w:t>
      </w:r>
      <w:r>
        <w:rPr>
          <w:i/>
          <w:iCs/>
        </w:rPr>
        <w:t xml:space="preserve">et al. </w:t>
      </w:r>
      <w:r>
        <w:t xml:space="preserve">(2023) have reflected on the incident in which stroke survivors abandoned the treatment plan due to stress and frustration. The requirements of stroke survivors regarding their involvement and control towards treatment care have only been conducted under personalised care plans. In addition, Fowler </w:t>
      </w:r>
      <w:r>
        <w:rPr>
          <w:i/>
          <w:iCs/>
        </w:rPr>
        <w:t xml:space="preserve">et al. </w:t>
      </w:r>
      <w:r>
        <w:t>(2024) have stated the evolving needs of making their own life decisions to the stroke patients with the family unit for treatment continuity. In other words, the family members of stroke survivors commonly face the economic burden and lower the continuity of treatment. The strict protocols of treatment do not create a situation of sharing background information related to the continuity of care. Unnecessary stress has arisen among stroke survivors due to the lack of a tailored approach. In this case, a personalized care plan works as a suitable system in the stroke serving segment that values the family's financial background before implementing any long-term treatment plan. Thus, the stroke survivors from the adult age group collect a major level of importance from care governed in a personalised plan that ensures treatment continent and an active involvement of patients.</w:t>
      </w:r>
    </w:p>
    <w:p>
      <w:pPr>
        <w:pBdr>
          <w:top w:val="none" w:sz="0" w:space="0" w:color="auto"/>
          <w:left w:val="none" w:sz="0" w:space="0" w:color="auto"/>
          <w:bottom w:val="none" w:sz="0" w:space="0" w:color="auto"/>
          <w:right w:val="none" w:sz="0" w:space="0" w:color="auto"/>
          <w:between w:val="none" w:sz="0" w:space="0" w:color="auto"/>
        </w:pBdr>
      </w:pPr>
      <w:r>
        <w:t>Rehabilitation for stroke-patients also needs to consider their mental-health conditions. As per Matos</w:t>
      </w:r>
      <w:r>
        <w:rPr>
          <w:i/>
          <w:iCs/>
        </w:rPr>
        <w:t xml:space="preserve"> et al.</w:t>
      </w:r>
      <w:r>
        <w:t xml:space="preserve"> (2024), motivating stroke-survivor patients can boost their mental health by restoring their self-confidence and esteem through care-support programs and community-support. Mind and physical-health are intricately connected with each other, thus, integrating vocation-programs in care-plans can significantly act as a placebo effect to encourage stroke-patients to improve their quality-of-life. Patients with boosted morale are ready to take on life’s challenges with courage and their will-power can support a quick-recovery of their health after having strokes. </w:t>
      </w:r>
    </w:p>
    <w:p>
      <w:pPr>
        <w:pStyle w:val="3"/>
      </w:pPr>
      <w:bookmarkStart w:id="27" w:name="_Toc220754461"/>
      <w:r>
        <w:t>2.2.3 Determining the role of the factors’ independence, emotional wellbeing, use of health services with personalised care planning</w:t>
      </w:r>
      <w:bookmarkEnd w:id="27"/>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Personalised care plan has been considered as essential for stroke survivors as this healthcare approach provides the facilities of recognised the individual need of patients. As per the views of Ortega-Martorell </w:t>
      </w:r>
      <w:r>
        <w:rPr>
          <w:i/>
          <w:iCs/>
        </w:rPr>
        <w:t xml:space="preserve">et al. </w:t>
      </w:r>
      <w:r>
        <w:t xml:space="preserve">(2025), healthcare outcome has been promoted for stroke survivors when the personalised care planning is followed. It has been recognised that personalised care plans facilitate decision making of stroke survivors and it makes them feel empowered in the care system. The independence of stroke survivors has been ensured when care givers use the approach of personalisation in long term treatment. Recognising the individual needs of stroke survivors, the long-term treatment plans have been conducted that motivate patients to stick with the treatment in an effective manner. On the other hand, Menear </w:t>
      </w:r>
      <w:r>
        <w:rPr>
          <w:i/>
          <w:iCs/>
        </w:rPr>
        <w:t xml:space="preserve">et al. </w:t>
      </w:r>
      <w:r>
        <w:t xml:space="preserve">(2022) have stated that a personalized care plan allows the care givers to share the consequences of the treatment plan to the risk survivors. It has promoted the functional outcome of treatment and indicates the path of ensuring cognitive, physical and emotional benefits to stroke survivors.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It has been recognised that stroke survivors are suffering from different mental disorders or chronic issues based on their health. The traditional or general care giving plans are not sufficient for addressing the mental health issues of stroke survivors. Tziaka </w:t>
      </w:r>
      <w:r>
        <w:rPr>
          <w:i/>
          <w:iCs/>
        </w:rPr>
        <w:t xml:space="preserve">et al. </w:t>
      </w:r>
      <w:r>
        <w:t xml:space="preserve">(2024) have stated the effectiveness of personalised care plans for adult stroke survivors that promote emotional wellbeing through separate counselling therapies. Mental health issues of stroke survivors such as anxiety, depression and frustration have been solved in an effective way under personalised care plans through talk therapy. The risk of isolation among stroke survivors has been lowered under the approach of a personalized care plan. Lobo </w:t>
      </w:r>
      <w:r>
        <w:rPr>
          <w:i/>
          <w:iCs/>
        </w:rPr>
        <w:t xml:space="preserve">et al. </w:t>
      </w:r>
      <w:r>
        <w:t xml:space="preserve">(2023) have stated that personalisation care plan allows care givers to provide support and education about the current critical condition to the family members of stroke survivors. The contribution for stroke survivors in the care plan has ensured emotional wellbeing of patients as well as promoted the recovery.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use of health services in personalised care planning considering the case of stroke survivors includes effective interactions, care coordination, and preventing secondary complications. Based on the viewpoints of Crow </w:t>
      </w:r>
      <w:r>
        <w:rPr>
          <w:i/>
          <w:iCs/>
        </w:rPr>
        <w:t xml:space="preserve">et al. </w:t>
      </w:r>
      <w:r>
        <w:t xml:space="preserve">(2025), personalized plans ensure that stroke survivors get the right rehabilitation and follow-up medical care. This specific care plan also has community support services which enhance the confidence of stroke survivors. On the contrary, the secondary complications include proactive health management and create barriers in preventing risk factors to stroke survivor’s high blood pressure and diabetes as well as proper nutrition (Azhari </w:t>
      </w:r>
      <w:r>
        <w:rPr>
          <w:i/>
          <w:iCs/>
        </w:rPr>
        <w:t>et al.</w:t>
      </w:r>
      <w:r>
        <w:t xml:space="preserve"> 2025). It has been recognised that body structure, and ability of surviving differs among stroke survivors. A personal care plan indicates the specific needs of patients regarding their eating habits, and specific heart conditions such as diabetic or others (Kassem </w:t>
      </w:r>
      <w:r>
        <w:rPr>
          <w:i/>
          <w:iCs/>
        </w:rPr>
        <w:t>et al.</w:t>
      </w:r>
      <w:r>
        <w:t xml:space="preserve"> 2025). Care givers in the personalised plan designed the treatment planning in an effective manner to prevent the secondary complication with the risk of stroke.</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core role of personalised care plan for the stroke survivors includes the benefits such as trailed treatment, integrating support and ensuring continuity with the adherence of empowerment, effective communication and community support. However, complication in patient’s family interaction, fragmented support as well as emotional impairments is the main changes, which create barriers in personalised care plan implementation. As power the views of Last </w:t>
      </w:r>
      <w:r>
        <w:rPr>
          <w:i/>
          <w:iCs/>
        </w:rPr>
        <w:t xml:space="preserve">et al. </w:t>
      </w:r>
      <w:r>
        <w:t xml:space="preserve">(2022), insufficient information delivered by the family of adult stroke survivors has impacted the personalised care playing negatively. The fragmented support from the family members of patients not only delays the personalised care planning implementation but also creates the risk to the survivors in future. In addition, Li </w:t>
      </w:r>
      <w:r>
        <w:rPr>
          <w:i/>
          <w:iCs/>
        </w:rPr>
        <w:t xml:space="preserve">et al. </w:t>
      </w:r>
      <w:r>
        <w:t>(2024) have stated that balancing the personal desires of stroke survivors in a personalized care plan as well as following the strict medical guidelines are difficult. This limitation creates a wide range of impairments to stroke survivors in personalised care planning.</w:t>
      </w:r>
    </w:p>
    <w:p>
      <w:pPr>
        <w:pBdr>
          <w:top w:val="none" w:sz="0" w:space="0" w:color="auto"/>
          <w:left w:val="none" w:sz="0" w:space="0" w:color="auto"/>
          <w:bottom w:val="none" w:sz="0" w:space="0" w:color="auto"/>
          <w:right w:val="none" w:sz="0" w:space="0" w:color="auto"/>
          <w:between w:val="none" w:sz="0" w:space="0" w:color="auto"/>
        </w:pBdr>
      </w:pPr>
      <w:r>
        <w:t>Motivation plays a pivotal role in elevating emotional-state of stroke patients, aiding them to recover faster. Fernandes</w:t>
      </w:r>
      <w:r>
        <w:rPr>
          <w:i/>
          <w:iCs/>
        </w:rPr>
        <w:t xml:space="preserve"> et al. </w:t>
      </w:r>
      <w:r>
        <w:t>(2024), in this regard has stated that despite the dire health conditions of the stroke patients, motivating them during rehabilitation only can achieve positive outcomes. Providing stroke-patients with emotional-support and continuous encouragement established with medical-treatments makes post-stroke rehabilitation more effective than before. Sometimes, the external boost of confidence can transfer into patients’ minds and nudge their will to live more by staying healthy. This mindset is extremely important to recover from health-issues like cardiac diseases at a later age. Most of the aged stroke-surviving patients start feeling lonely and lose their confidence (Kam and Choo, 2024). Hence, community supports for restoring stroke-survivors ‘lost-confidence is equally important, just like motivating them.</w:t>
      </w:r>
    </w:p>
    <w:p>
      <w:pPr>
        <w:pStyle w:val="2"/>
      </w:pPr>
      <w:bookmarkStart w:id="28" w:name="_Toc220754462"/>
      <w:r>
        <w:t>2.2.4 Illustrating unique strategies for improving personalised care plan and support stroke survivors</w:t>
      </w:r>
      <w:bookmarkEnd w:id="28"/>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strategies that are used in personalised care plans in order to support the stroke survivors in an effective manner are efficient interaction as well as a shared decision-making process. Bajenaru </w:t>
      </w:r>
      <w:r>
        <w:rPr>
          <w:i/>
          <w:iCs/>
        </w:rPr>
        <w:t xml:space="preserve">et al. </w:t>
      </w:r>
      <w:r>
        <w:t xml:space="preserve">(2023) have stated the needs of shared decision making between the health care planners and stroke survivors includes shared decision making. Application of this approach in personalised care plans has included specifying the long-term goal of treatment as well as sharing the effectiveness of the plan to the family members of survivors. Discussing the problems as well as goals of stroke surviving treatment based on the condition, the family members of patients support the treatment plan. Based on the views of Menear </w:t>
      </w:r>
      <w:r>
        <w:rPr>
          <w:i/>
          <w:iCs/>
        </w:rPr>
        <w:t xml:space="preserve">et al. </w:t>
      </w:r>
      <w:r>
        <w:t xml:space="preserve">(2022), personalised treatment plans are easy to implement with the support of the patients of the patient's family and community members.  It has effects on the daily life of stroke survivors in an effective manner that leads by effective communication and shared decision making in an effective manner. On the other hand, prioritising realistic objectives on treatment plans make the stroke survivors confident about the effectiveness of treatment (Schnabel </w:t>
      </w:r>
      <w:r>
        <w:rPr>
          <w:i/>
          <w:iCs/>
        </w:rPr>
        <w:t>et al.</w:t>
      </w:r>
      <w:r>
        <w:t xml:space="preserve"> 2023). Therefore, the strategy of setting realistic treatment goals to the stroke survivors has been helpful to make the patient confident and empowered.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Integrating the multidisciplinary aspect, the personalised care plan for adult stroke survivors have been handled in a systematic way.  Based on the views of Shahid </w:t>
      </w:r>
      <w:r>
        <w:rPr>
          <w:i/>
          <w:iCs/>
        </w:rPr>
        <w:t xml:space="preserve">et al. </w:t>
      </w:r>
      <w:r>
        <w:t xml:space="preserve">(2023), combining physical therapy and nutritional counselling directly to patients of stroke survivors have ensured involvement in long term care plans. It has been recognised that stroke survivors in between 45 and 60 age groups face the complexity of mental downfall in this critical health condition. Cognitive behavioural therapies such as talk therapy and others play an important role in promoting the mental health problem in an effective manner.  On the other hand, Canais and Nunes (2024) have reflected the strategy of implementing the personalised care plan in the living environment. Stroke survivors gain confidence in involvement in treatment procedures at the home environment under the guidance of the healthcare team. Documenting and updating the personalised care plan regularly for adult stroke survivors has been an effective strategy to ensure the treatment effectiveness. Based on the views of Mishra and Singh (2023), regularly updating the care plan has helped patients and the family members to be aware about the current condition. The risk factors, progress, symptoms along the strategy of future care have been handled at the initial stage through the regular upgradation.  Therefore, the potential side effects of the current personalised treatment for stroke survivors have been handled that indicates the areas of improvement.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Interprofessional collaboration (IPC) improves personalized care plans for stroke survivors through ensuring holistic needs assessment, promoting effective communication among specialists as well as enabling the development of comprehensive, individualized strategies. As per the opinion of De Coninck </w:t>
      </w:r>
      <w:r>
        <w:rPr>
          <w:i/>
          <w:iCs/>
        </w:rPr>
        <w:t xml:space="preserve">et al. </w:t>
      </w:r>
      <w:r>
        <w:t xml:space="preserve">(2023), IPC facilitates the creation of a single, evidence-based care plan that integrates different treatment methods such as medical, physiotherapeutic as well as psychological. It has been recognised that Regular team meetings and systematic information exchange ensure seamless transitions between care settings, which are essential for addressing miscommunication. On the other hand, Drenth </w:t>
      </w:r>
      <w:r>
        <w:rPr>
          <w:i/>
          <w:iCs/>
        </w:rPr>
        <w:t xml:space="preserve">et al. </w:t>
      </w:r>
      <w:r>
        <w:t>(2023) have contradicted that IPC emphasizes educating and supporting the patient and their family, providing them with the necessary information and self-care skills to actively participate in the rehabilitation process. This signifies that IPC involvement fosters a sense of control as well as self-efficacy, which is considered to be a crucial aspect for long-term recovery and adaptation. Thus, the evidence suggests that a specialized, interprofessional team approach leads to greater improvements in physical function and quality of life for stroke survivors compared to usual care.</w:t>
      </w:r>
    </w:p>
    <w:p>
      <w:pPr>
        <w:pBdr>
          <w:top w:val="none" w:sz="0" w:space="0" w:color="auto"/>
          <w:left w:val="none" w:sz="0" w:space="0" w:color="auto"/>
          <w:bottom w:val="none" w:sz="0" w:space="0" w:color="auto"/>
          <w:right w:val="none" w:sz="0" w:space="0" w:color="auto"/>
          <w:between w:val="none" w:sz="0" w:space="0" w:color="auto"/>
        </w:pBdr>
      </w:pPr>
      <w:r>
        <w:t xml:space="preserve">Community support is highly suggested for recovering stroke survivor patients who are middle-aged to a much older generation. Loneliness and depression become the constant companions for aged-stroke patients (Yang </w:t>
      </w:r>
      <w:r>
        <w:rPr>
          <w:i/>
          <w:iCs/>
        </w:rPr>
        <w:t>et al.</w:t>
      </w:r>
      <w:r>
        <w:t xml:space="preserve"> 2022). Hence, availing them with local-community support through activity-based programs like group-physiotherapy, light therapeutic-yoga classes or other recreational games based activities can help engage the patients. The more these patients will divert their mind from suffering and negativity, the happier they can be and this will positively impact their health-outcomes. Getting engaged in recreational activities can boost stroke-patients’ morale and reduce frustration (Kenah </w:t>
      </w:r>
      <w:r>
        <w:rPr>
          <w:i/>
          <w:iCs/>
        </w:rPr>
        <w:t xml:space="preserve">et al. </w:t>
      </w:r>
      <w:r>
        <w:t>2024). The whole protective engagement can act like placebo to bring their physical-actitives to normal and enjoy their lives longer. Getting encouraged with people of similar age in community-driven actions can make patients’ lives more enjoyable and encourage them to adopt a healthy lifestyle to support their recovery. </w:t>
      </w:r>
    </w:p>
    <w:p>
      <w:pPr>
        <w:pStyle w:val="2"/>
      </w:pPr>
      <w:bookmarkStart w:id="29" w:name="_Toc220754463"/>
      <w:r>
        <w:t>2.3 Gaps in literature</w:t>
      </w:r>
      <w:bookmarkEnd w:id="29"/>
    </w:p>
    <w:p>
      <w:pPr>
        <w:pBdr>
          <w:top w:val="none" w:sz="0" w:space="0" w:color="auto"/>
          <w:left w:val="none" w:sz="0" w:space="0" w:color="auto"/>
          <w:bottom w:val="none" w:sz="0" w:space="0" w:color="auto"/>
          <w:right w:val="none" w:sz="0" w:space="0" w:color="auto"/>
          <w:between w:val="none" w:sz="0" w:space="0" w:color="auto"/>
        </w:pBdr>
        <w:spacing w:before="240" w:after="240"/>
      </w:pPr>
      <w:r>
        <w:t>A lack of high-quality evidence specific to this working-age demographic, the fragmentation of care pathways between hospital and community settings, and a limited focus on the specific long-term needs has been identified as the literature gap within the existing literature. Additionally, the existing stroke research and care models focus on older adults that are considered to be outdated, however influenced by various medical practitioners in recent times. On the other hand, there is a significant lack of research specifically evaluating the effectiveness of personalized care planning for the unique needs and life circumstances of "working-age" survivors aged 45-60 in the UK. It has been recognised that a major and frequently cited gap is the lack of systematic, long-term follow-up and rehabilitation after the initial hospital discharge. The existing literature highlights that current post-stroke care tends to focus more on physical recovery, but research indicates a less focus on memory as well as cognitive difficulties, mood disturbances, and fatigue, which are significant challenges for survivors. Thus, the identified literature gaps within this chapter can be fulfilled within the thesis findings, which can help in making the research findings more valuable and relevant to the context.</w:t>
      </w:r>
    </w:p>
    <w:p>
      <w:pPr>
        <w:pStyle w:val="2"/>
      </w:pPr>
      <w:bookmarkStart w:id="30" w:name="_Toc220754464"/>
      <w:r>
        <w:t>2.4 Theoretical Framework</w:t>
      </w:r>
      <w:bookmarkEnd w:id="30"/>
    </w:p>
    <w:p>
      <w:pPr>
        <w:pStyle w:val="3"/>
      </w:pPr>
      <w:bookmarkStart w:id="31" w:name="_Toc220754465"/>
      <w:r>
        <w:t>2.4.1 TAM Model for adapting technological advancement in healthcare planning</w:t>
      </w:r>
      <w:bookmarkEnd w:id="31"/>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TAM or Technological acceptance Model is a theoretical guidance, which is applicable in terms of increasing adaptability of individuals or organisations towards technological advancements such as personalised care plan. As per the views of Musa </w:t>
      </w:r>
      <w:r>
        <w:rPr>
          <w:i/>
          <w:iCs/>
        </w:rPr>
        <w:t xml:space="preserve">et al. </w:t>
      </w:r>
      <w:r>
        <w:t>(2024), TAM or Technological Acceptance Model has prioritised the behavioural approach of consumers or people towards the application of technological advancement. Additionally, this theoretical aspect suggests understanding the relation among perceived usefulness and perceivers ease of use that influence behavioural intention to use of technological advancements. Supporting this argument, Harris and Rogers (2023) highlighted the application of TAM in terms of developing healthcare planning and its effectiveness for older adults. This implies that TAM is applicable in application of personalised care planning with technological advancement for older adults to enhance their personal-level healthcare outcomes.</w:t>
      </w:r>
    </w:p>
    <w:p>
      <w:pPr>
        <w:pBdr>
          <w:top w:val="none" w:sz="0" w:space="0" w:color="auto"/>
          <w:left w:val="none" w:sz="0" w:space="0" w:color="auto"/>
          <w:bottom w:val="none" w:sz="0" w:space="0" w:color="auto"/>
          <w:right w:val="none" w:sz="0" w:space="0" w:color="auto"/>
          <w:between w:val="none" w:sz="0" w:space="0" w:color="auto"/>
        </w:pBdr>
        <w:spacing w:before="240" w:after="240"/>
        <w:jc w:val="center"/>
      </w:pPr>
      <w:r>
        <w:rPr>
          <w:lang w:eastAsia="en-GB"/>
        </w:rPr>
        <w:drawing>
          <wp:inline distT="114300" distB="114300" distL="114300" distR="114300">
            <wp:extent cx="5943600" cy="2044700"/>
            <wp:effectExtent l="0" t="0" r="0" b="0"/>
            <wp:docPr id="19" name="图片 19"/>
            <wp:cNvGraphicFramePr>
              <a:graphicFrameLocks noChangeAspect="0"/>
            </wp:cNvGraphicFramePr>
            <a:graphic>
              <a:graphicData uri="http://schemas.openxmlformats.org/drawingml/2006/picture">
                <pic:pic>
                  <pic:nvPicPr>
                    <pic:cNvPr id="21" name="图片 21"/>
                    <pic:cNvPicPr/>
                  </pic:nvPicPr>
                  <pic:blipFill>
                    <a:blip r:embed="rId9"/>
                    <a:stretch>
                      <a:fillRect/>
                    </a:stretch>
                  </pic:blipFill>
                  <pic:spPr>
                    <a:xfrm rot="0">
                      <a:off x="0" y="0"/>
                      <a:ext cx="5943600" cy="2044700"/>
                    </a:xfrm>
                    <a:prstGeom prst="rect"/>
                    <a:noFill/>
                    <a:ln w="12700" cmpd="sng" cap="flat">
                      <a:solidFill>
                        <a:srgbClr val="000000"/>
                      </a:solidFill>
                      <a:prstDash val="solid"/>
                      <a:round/>
                    </a:ln>
                  </pic:spPr>
                </pic:pic>
              </a:graphicData>
            </a:graphic>
          </wp:inline>
        </w:drawing>
      </w:r>
    </w:p>
    <w:p>
      <w:pPr>
        <w:pStyle w:val="4"/>
      </w:pPr>
      <w:bookmarkStart w:id="32" w:name="_heading=h.6x5jckncrk4f"/>
      <w:bookmarkStart w:id="33" w:name="_Toc220756984"/>
      <w:bookmarkEnd w:id="32"/>
      <w:r>
        <w:t>Figure 2.2 Technological Acceptance Model and respective Components</w:t>
      </w:r>
      <w:bookmarkEnd w:id="33"/>
    </w:p>
    <w:p>
      <w:pPr>
        <w:pBdr>
          <w:top w:val="none" w:sz="0" w:space="0" w:color="auto"/>
          <w:left w:val="none" w:sz="0" w:space="0" w:color="auto"/>
          <w:bottom w:val="none" w:sz="0" w:space="0" w:color="auto"/>
          <w:right w:val="none" w:sz="0" w:space="0" w:color="auto"/>
          <w:between w:val="none" w:sz="0" w:space="0" w:color="auto"/>
        </w:pBdr>
        <w:spacing w:before="240" w:after="240"/>
        <w:jc w:val="center"/>
      </w:pPr>
      <w:r>
        <w:t xml:space="preserve">(Source: Musa </w:t>
      </w:r>
      <w:r>
        <w:rPr>
          <w:i/>
          <w:iCs/>
        </w:rPr>
        <w:t>et al.</w:t>
      </w:r>
      <w:r>
        <w:t xml:space="preserve"> 2024)</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above figure showcases the interrelationships of external factors such as perceived usefulness and perceived ease of use with behavioural intention to use or apply advanced technological solutions. According to the views of Mikkola </w:t>
      </w:r>
      <w:r>
        <w:rPr>
          <w:i/>
          <w:iCs/>
        </w:rPr>
        <w:t xml:space="preserve">et al. </w:t>
      </w:r>
      <w:r>
        <w:t>(2022), personalised care planning requires an efficient monitoring approach with effective controlling clinical outcomes to enhance overall health care outcomes of patients with chronic disease. Similarly, the personalised care planning for older adults above 45 requires effective monitoring and controlling system, which is possible with the implementation of theoretical knowledge of TAM. Considering the theoretical aspect of TAM, improving ease of use and perceived usefulness of mobile-based and other advanced personalised care planning approaches is helpful. This improvement can help the UK-based healthcare system to enhance behavioural intentions of older people towards advanced healthcare solutions. On the other hand, improvement of behavioural intention of UK’s older people can reduce the risk of stroke due to the implementation of advanced supervising approach at the personal-level. Hence, it can be stated that the application of the TAM-based theoretical knowledge in the practical healthcare field is beneficial for both healthcare providers and patients at the same time.</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TAM model supports the improvement of healthcare outcomes of older patients with an improved technology-based supervision system. Supporting this argument, Alsyouf </w:t>
      </w:r>
      <w:r>
        <w:rPr>
          <w:i/>
          <w:iCs/>
        </w:rPr>
        <w:t xml:space="preserve">et al. </w:t>
      </w:r>
      <w:r>
        <w:t xml:space="preserve">(2023) highlighted the use of TAM on personal health record systems for improving healthcare outcomes by ensuring individual-level healthcare accessibility and control. On the other hand, Khalajzadeh </w:t>
      </w:r>
      <w:r>
        <w:rPr>
          <w:i/>
          <w:iCs/>
        </w:rPr>
        <w:t>et al.</w:t>
      </w:r>
      <w:r>
        <w:t xml:space="preserve"> (2022) stated the usefulness of personalised care plan-based mobile apps for better user flexibility or ease of use in the healthcare system. This supports the benefits of applying theoretical aspects in personalised care planning approach with improvement of perceived ease of use and behavioural intention to use. In addition to this, healthcare outcomes of older adults between 45 and 60 with advanced personalised care systems can be enhanced for efficient controlling systems. As a concluding remark, the UK's healthcare system can improve personalised care plans for the older population to reduce the risk of stroke with an advanced controlling approach.</w:t>
      </w:r>
    </w:p>
    <w:p>
      <w:pPr>
        <w:pStyle w:val="3"/>
      </w:pPr>
      <w:bookmarkStart w:id="34" w:name="_Toc220754466"/>
      <w:r>
        <w:t>2.4.2 Herzberg's Two Factor Theory for encouraging old people to get personalised care</w:t>
      </w:r>
      <w:bookmarkEnd w:id="34"/>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Herzberg’s two factor theory is a motivational theoretical framework, which is applicable in encouraging older people to be involved with UK-based personalised healthcare practices. According to the discussion by Abdulkhamidova (2021), Herzberg’s two factor theory highlights the key aspects of motivational and hygiene factors in society and organisations. Additionally, this theoretical model of motivation and hygiene prioritised different types of individual-level needs to motivate accordingly. The consideration towards the hygiene factors of Herzberg’s two factor model is helpful for encouraging the UK-based older population to access personalised healthcare planning and ensure positive healthcare outcomes. On the other hand, Bonneux </w:t>
      </w:r>
      <w:r>
        <w:rPr>
          <w:i/>
          <w:iCs/>
        </w:rPr>
        <w:t>et al.</w:t>
      </w:r>
      <w:r>
        <w:t xml:space="preserve"> (2022) highlighted the relation between patient’s motivation and personalised healthcare in terms of changing patient’s behavioural perception. Additionally, the behavioural aspect of the UK's older people is highly required to be changed to motivate them about personalised care planning for better healthcare outcomes. However, the lack of people’s interest and motivation towards personalised care planning approach can resist the progress of stroke supervising for the UK-based older population ranging from 45 to 60 years old.</w:t>
      </w:r>
    </w:p>
    <w:p>
      <w:pPr>
        <w:pBdr>
          <w:top w:val="none" w:sz="0" w:space="0" w:color="auto"/>
          <w:left w:val="none" w:sz="0" w:space="0" w:color="auto"/>
          <w:bottom w:val="none" w:sz="0" w:space="0" w:color="auto"/>
          <w:right w:val="none" w:sz="0" w:space="0" w:color="auto"/>
          <w:between w:val="none" w:sz="0" w:space="0" w:color="auto"/>
        </w:pBdr>
        <w:spacing w:before="240" w:after="240"/>
      </w:pPr>
      <w:r>
        <w:rPr>
          <w:lang w:eastAsia="en-GB"/>
        </w:rPr>
        <w:drawing>
          <wp:inline distT="114300" distB="114300" distL="114300" distR="114300">
            <wp:extent cx="5943600" cy="3822700"/>
            <wp:effectExtent l="0" t="0" r="0" b="0"/>
            <wp:docPr id="22" name="图片 22"/>
            <wp:cNvGraphicFramePr>
              <a:graphicFrameLocks noChangeAspect="0"/>
            </wp:cNvGraphicFramePr>
            <a:graphic>
              <a:graphicData uri="http://schemas.openxmlformats.org/drawingml/2006/picture">
                <pic:pic>
                  <pic:nvPicPr>
                    <pic:cNvPr id="24" name="图片 24"/>
                    <pic:cNvPicPr/>
                  </pic:nvPicPr>
                  <pic:blipFill>
                    <a:blip r:embed="rId10"/>
                    <a:stretch>
                      <a:fillRect/>
                    </a:stretch>
                  </pic:blipFill>
                  <pic:spPr>
                    <a:xfrm rot="0">
                      <a:off x="0" y="0"/>
                      <a:ext cx="5943600" cy="3822700"/>
                    </a:xfrm>
                    <a:prstGeom prst="rect"/>
                    <a:noFill/>
                    <a:ln w="12700" cmpd="sng" cap="flat">
                      <a:solidFill>
                        <a:srgbClr val="000000"/>
                      </a:solidFill>
                      <a:prstDash val="solid"/>
                      <a:round/>
                    </a:ln>
                  </pic:spPr>
                </pic:pic>
              </a:graphicData>
            </a:graphic>
          </wp:inline>
        </w:drawing>
      </w:r>
    </w:p>
    <w:p>
      <w:pPr>
        <w:pStyle w:val="4"/>
      </w:pPr>
      <w:bookmarkStart w:id="35" w:name="_heading=h.2eq4624f4rlq"/>
      <w:bookmarkStart w:id="36" w:name="_Toc220756985"/>
      <w:bookmarkEnd w:id="35"/>
      <w:r>
        <w:t>Figure 2.3: Herzberg’s Two Factor Theory</w:t>
      </w:r>
      <w:bookmarkEnd w:id="36"/>
    </w:p>
    <w:p>
      <w:pPr>
        <w:pBdr>
          <w:top w:val="none" w:sz="0" w:space="0" w:color="auto"/>
          <w:left w:val="none" w:sz="0" w:space="0" w:color="auto"/>
          <w:bottom w:val="none" w:sz="0" w:space="0" w:color="auto"/>
          <w:right w:val="none" w:sz="0" w:space="0" w:color="auto"/>
          <w:between w:val="none" w:sz="0" w:space="0" w:color="auto"/>
        </w:pBdr>
        <w:spacing w:before="240" w:after="240"/>
        <w:jc w:val="center"/>
      </w:pPr>
      <w:r>
        <w:t>(Source: Influenced by Abdulkhamidova, 2021)</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above figure represents the motivational factors and hygiene factors of Herzberg’s two factor theory to address multiple needs of individuals. According to the discussion by Peramatzis and Galanakis (2022), psychological needs play a vital role in motivating individuals towards any change or practices. This implies the effectiveness of understanding the psychological needs of older people along with their physical needs before making personalised healthcare planning to ensure their maximum cooperation and contribution. However, the lack of understanding of psychological needs of UK-based older patients towards the personalised care plan can reduce its effectiveness in improving stroke supervision performance. On the other hand, Acquah </w:t>
      </w:r>
      <w:r>
        <w:rPr>
          <w:i/>
          <w:iCs/>
        </w:rPr>
        <w:t xml:space="preserve">et al. </w:t>
      </w:r>
      <w:r>
        <w:t>(2021) highlighted the main focus on motivational factors to convince people to complete their tasks accordingly apart from the hygiene factors. This explains the priority of hygiene and motivational needs of individuals or patients towards the changes such as implementation of personalised healthcare planning with advanced technological solutions.</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Moreover, it has been observed that the implementation of the personalised care planning requires positive behaviour and attitude of UK’s older people to ensure appropriate results in healthcare outcomes. As opined by Heaven </w:t>
      </w:r>
      <w:r>
        <w:rPr>
          <w:i/>
          <w:iCs/>
        </w:rPr>
        <w:t xml:space="preserve">et al. </w:t>
      </w:r>
      <w:r>
        <w:t>(2025), personalised care planning requires shared decision-making approach and supporting planning approach. Thus, the implementation of the theoretical aspect of Herzberg's two factor models is helpful for successful implementation of personalised care planning for the elderly. As a concluding remark, it can be stated that the consideration towards the hygiene and motivational needs of UK’s older people can help in successfully implementing the personalised care planning.</w:t>
      </w:r>
    </w:p>
    <w:p>
      <w:pPr>
        <w:pStyle w:val="2"/>
      </w:pPr>
      <w:bookmarkStart w:id="37" w:name="_Toc220754467"/>
      <w:r>
        <w:t>2.5 Conceptual framework</w:t>
      </w:r>
      <w:bookmarkEnd w:id="37"/>
    </w:p>
    <w:p>
      <w:pPr>
        <w:pBdr>
          <w:top w:val="none" w:sz="0" w:space="0" w:color="auto"/>
          <w:left w:val="none" w:sz="0" w:space="0" w:color="auto"/>
          <w:bottom w:val="none" w:sz="0" w:space="0" w:color="auto"/>
          <w:right w:val="none" w:sz="0" w:space="0" w:color="auto"/>
          <w:between w:val="none" w:sz="0" w:space="0" w:color="auto"/>
        </w:pBdr>
        <w:spacing w:before="240" w:after="240"/>
        <w:jc w:val="center"/>
        <w:rPr>
          <w:b/>
          <w:bCs/>
        </w:rPr>
      </w:pPr>
      <w:r>
        <w:rPr>
          <w:b/>
          <w:bCs/>
          <w:lang w:eastAsia="en-GB"/>
        </w:rPr>
        <w:drawing>
          <wp:inline distT="114300" distB="114300" distL="114300" distR="114300">
            <wp:extent cx="5943600" cy="5854700"/>
            <wp:effectExtent l="0" t="0" r="0" b="0"/>
            <wp:docPr id="25" name="图片 25"/>
            <wp:cNvGraphicFramePr>
              <a:graphicFrameLocks noChangeAspect="0"/>
            </wp:cNvGraphicFramePr>
            <a:graphic>
              <a:graphicData uri="http://schemas.openxmlformats.org/drawingml/2006/picture">
                <pic:pic>
                  <pic:nvPicPr>
                    <pic:cNvPr id="27" name="图片 27"/>
                    <pic:cNvPicPr/>
                  </pic:nvPicPr>
                  <pic:blipFill>
                    <a:blip r:embed="rId11"/>
                    <a:stretch>
                      <a:fillRect/>
                    </a:stretch>
                  </pic:blipFill>
                  <pic:spPr>
                    <a:xfrm rot="0">
                      <a:off x="0" y="0"/>
                      <a:ext cx="5943600" cy="5854700"/>
                    </a:xfrm>
                    <a:prstGeom prst="rect"/>
                    <a:noFill/>
                    <a:ln w="12700" cmpd="sng" cap="flat">
                      <a:solidFill>
                        <a:srgbClr val="000000"/>
                      </a:solidFill>
                      <a:prstDash val="solid"/>
                      <a:round/>
                    </a:ln>
                  </pic:spPr>
                </pic:pic>
              </a:graphicData>
            </a:graphic>
          </wp:inline>
        </w:drawing>
      </w:r>
    </w:p>
    <w:p>
      <w:pPr>
        <w:pStyle w:val="4"/>
      </w:pPr>
      <w:bookmarkStart w:id="38" w:name="_heading=h.9v00gjdqt4kl"/>
      <w:bookmarkStart w:id="39" w:name="_Toc220756986"/>
      <w:bookmarkEnd w:id="38"/>
      <w:r>
        <w:t>Figure 2.4: Conceptual framework</w:t>
      </w:r>
      <w:bookmarkEnd w:id="39"/>
    </w:p>
    <w:p>
      <w:pPr>
        <w:pBdr>
          <w:top w:val="none" w:sz="0" w:space="0" w:color="auto"/>
          <w:left w:val="none" w:sz="0" w:space="0" w:color="auto"/>
          <w:bottom w:val="none" w:sz="0" w:space="0" w:color="auto"/>
          <w:right w:val="none" w:sz="0" w:space="0" w:color="auto"/>
          <w:between w:val="none" w:sz="0" w:space="0" w:color="auto"/>
        </w:pBdr>
        <w:spacing w:before="240" w:after="240"/>
        <w:jc w:val="center"/>
      </w:pPr>
      <w:r>
        <w:t>(Source: Self-developed)</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above-mentioned figure highlights the theoretical framework which represents the approach in which the selected theories are related to the thesis variables. As per the opinion of Salawu </w:t>
      </w:r>
      <w:r>
        <w:rPr>
          <w:i/>
          <w:iCs/>
        </w:rPr>
        <w:t xml:space="preserve">et al. </w:t>
      </w:r>
      <w:r>
        <w:t>(2023), a conceptual framework is considered to be important as it provides a roadmap for a research study, ensuring focus, clarity as well as structure by defining key variables and their relationships. Thus, the framework illustrates how the variables are expected to relate to each other, including any potential causal links, which is crucial for developing hypotheses and choosing the right methods.</w:t>
      </w:r>
    </w:p>
    <w:p>
      <w:pPr>
        <w:pStyle w:val="2"/>
      </w:pPr>
      <w:bookmarkStart w:id="40" w:name="_Toc220754468"/>
      <w:r>
        <w:t>2.6 Chapter Summary</w:t>
      </w:r>
      <w:bookmarkEnd w:id="40"/>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The above-mentioned chapter has concluded that the personalised care plan for stroke mainly depends on flexibility, person-centred as well as long-term approach. It has been recognised that the peculiarities of the personalized care system regarding stroke survivors indicates a variable and complex nature to defining the stroke recovery. Apart from this, the strike patients who are going through the recovery stages are facing huge mental health issues because of the treatment stress that impacts the social identity negatively. Moreover, the treatment or care plans become meaningful activities for the stroke survivors when the aspect of personalised care follows. This frustration can impact the mental wellbeing of stroke survivors and create a distance from the care givers. </w:t>
      </w:r>
    </w:p>
    <w:p>
      <w:pPr>
        <w:pBdr>
          <w:top w:val="none" w:sz="0" w:space="0" w:color="auto"/>
          <w:left w:val="none" w:sz="0" w:space="0" w:color="auto"/>
          <w:bottom w:val="none" w:sz="0" w:space="0" w:color="auto"/>
          <w:right w:val="none" w:sz="0" w:space="0" w:color="auto"/>
          <w:between w:val="none" w:sz="0" w:space="0" w:color="auto"/>
        </w:pBdr>
      </w:pPr>
    </w:p>
    <w:p>
      <w:pPr>
        <w:pBdr>
          <w:top w:val="none" w:sz="0" w:space="0" w:color="auto"/>
          <w:left w:val="none" w:sz="0" w:space="0" w:color="auto"/>
          <w:bottom w:val="none" w:sz="0" w:space="0" w:color="auto"/>
          <w:right w:val="none" w:sz="0" w:space="0" w:color="auto"/>
          <w:between w:val="none" w:sz="0" w:space="0" w:color="auto"/>
        </w:pBdr>
      </w:pPr>
      <w:r>
        <w:br w:type="page"/>
      </w:r>
    </w:p>
    <w:p>
      <w:pPr>
        <w:pStyle w:val="1"/>
      </w:pPr>
      <w:bookmarkStart w:id="41" w:name="_Toc220754469"/>
      <w:r>
        <w:t>Chapter 3: Methodology</w:t>
      </w:r>
      <w:bookmarkEnd w:id="41"/>
    </w:p>
    <w:p>
      <w:pPr>
        <w:pStyle w:val="2"/>
      </w:pPr>
      <w:bookmarkStart w:id="42" w:name="_Toc220754470"/>
      <w:r>
        <w:t>3.1 Methods and methodology</w:t>
      </w:r>
      <w:bookmarkEnd w:id="42"/>
    </w:p>
    <w:p>
      <w:pPr>
        <w:pBdr>
          <w:top w:val="none" w:sz="0" w:space="0" w:color="auto"/>
          <w:left w:val="none" w:sz="0" w:space="0" w:color="auto"/>
          <w:bottom w:val="none" w:sz="0" w:space="0" w:color="auto"/>
          <w:right w:val="none" w:sz="0" w:space="0" w:color="auto"/>
          <w:between w:val="none" w:sz="0" w:space="0" w:color="auto"/>
        </w:pBdr>
      </w:pPr>
      <w:r>
        <w:t xml:space="preserve">The methodology chapter of this research consists of interpretivism physiological approach by considering the aspect of personalised care plan for stroke survivors in between 45 and 60 years old. This research will combine systemic review including descriptive research along with secondary quality data collection method for planning the overall research in an effective way.   </w:t>
      </w:r>
    </w:p>
    <w:p>
      <w:pPr>
        <w:pStyle w:val="2"/>
      </w:pPr>
      <w:bookmarkStart w:id="43" w:name="_Toc220754471"/>
      <w:r>
        <w:t>3.2 Introduction</w:t>
      </w:r>
      <w:bookmarkEnd w:id="43"/>
    </w:p>
    <w:p>
      <w:pPr>
        <w:pBdr>
          <w:top w:val="none" w:sz="0" w:space="0" w:color="auto"/>
          <w:left w:val="none" w:sz="0" w:space="0" w:color="auto"/>
          <w:bottom w:val="none" w:sz="0" w:space="0" w:color="auto"/>
          <w:right w:val="none" w:sz="0" w:space="0" w:color="auto"/>
          <w:between w:val="none" w:sz="0" w:space="0" w:color="auto"/>
        </w:pBdr>
        <w:rPr>
          <w:b/>
          <w:bCs/>
        </w:rPr>
      </w:pPr>
      <w:r>
        <w:t xml:space="preserve">The methodology chapter will cover the adopted methodological choices to collect and analyse the research data to understand the effectiveness of personalised care planning among UK-based adult stroke survivors. This chapter is going to critically discuss the application of suitable research philosophy, design, approach and methods with ethical concentrations. </w:t>
      </w:r>
    </w:p>
    <w:p>
      <w:pPr>
        <w:pStyle w:val="2"/>
      </w:pPr>
      <w:bookmarkStart w:id="44" w:name="_Toc220754472"/>
      <w:r>
        <w:t>3.3 Research philosophy</w:t>
      </w:r>
      <w:bookmarkEnd w:id="44"/>
    </w:p>
    <w:p>
      <w:pPr>
        <w:pBdr>
          <w:top w:val="none" w:sz="0" w:space="0" w:color="auto"/>
          <w:left w:val="none" w:sz="0" w:space="0" w:color="auto"/>
          <w:bottom w:val="none" w:sz="0" w:space="0" w:color="auto"/>
          <w:right w:val="none" w:sz="0" w:space="0" w:color="auto"/>
          <w:between w:val="none" w:sz="0" w:space="0" w:color="auto"/>
        </w:pBdr>
        <w:rPr>
          <w:b/>
          <w:bCs/>
        </w:rPr>
      </w:pPr>
      <w:r>
        <w:t xml:space="preserve">The researchers while conducting any research all about the beliefs and assumptions convey research philosophy. As per the views of Junjie and Yingxin (2022), positivism, realism and interpretivism are different types of research philosophies, which are primarily conveyed by the researchers during conducting any research. On the other hand, Kamau (2022) highlighted the application of pragmatism philosophy as an alternative option in research philosophy. The application of </w:t>
      </w:r>
      <w:r>
        <w:rPr>
          <w:b/>
          <w:bCs/>
          <w:i/>
          <w:iCs/>
        </w:rPr>
        <w:t xml:space="preserve">interpretivism philosophy </w:t>
      </w:r>
      <w:r>
        <w:t xml:space="preserve">has been considered in this research due to its suitability in qualitative research strategy. According to the discussion by Mahadevan (2024), interpretivism philosophy relies on the subjective approach of reality whereas positivism philosophy is focused on the objective approach of reality that makes differences in research outcomes.  </w:t>
      </w:r>
    </w:p>
    <w:p>
      <w:pPr>
        <w:pStyle w:val="2"/>
      </w:pPr>
      <w:bookmarkStart w:id="45" w:name="_Toc220754473"/>
      <w:r>
        <w:t>3.4 Ethical consideration</w:t>
      </w:r>
      <w:bookmarkEnd w:id="45"/>
    </w:p>
    <w:p>
      <w:pPr>
        <w:pBdr>
          <w:top w:val="none" w:sz="0" w:space="0" w:color="auto"/>
          <w:left w:val="none" w:sz="0" w:space="0" w:color="auto"/>
          <w:bottom w:val="none" w:sz="0" w:space="0" w:color="auto"/>
          <w:right w:val="none" w:sz="0" w:space="0" w:color="auto"/>
          <w:between w:val="none" w:sz="0" w:space="0" w:color="auto"/>
        </w:pBdr>
        <w:rPr>
          <w:b/>
          <w:bCs/>
        </w:rPr>
      </w:pPr>
      <w:r>
        <w:t xml:space="preserve">The overall methodological approach has been conducted within an ethical manner in terms of making the findings valuable as well as developing strong insight of the topic. As per the opinion of Erdmann and Potthoff (2023), maintaining ethical practice while conducting research leads to enhancing credibility of the thesis. This research has been conducted by adhering to a strong set of morale as well as academic standards. For standard, the data collection approach within this research has been followed by the university guidelines. In this respect, the research has also followed the Copy Right Act 1988 in terms of avoiding the practice of copy practising while conducting the thesis. As per of Gupta </w:t>
      </w:r>
      <w:r>
        <w:rPr>
          <w:i/>
          <w:iCs/>
        </w:rPr>
        <w:t xml:space="preserve">et al. </w:t>
      </w:r>
      <w:r>
        <w:t xml:space="preserve">(2024) avoiding the practice of copy pasting within a thesis enhances academic integrity as well as avoids plagiarism issues. In essence, the Copy Right Act 1988 has influenced the practice of copy pasting and plagiarism. The research has also maintained honesty as well as transparency while citing overall sources appropriately. Thus, the above-mentioned procedures have been beneficial in maintaining the ethical standard of the research to great extent. </w:t>
      </w:r>
    </w:p>
    <w:p>
      <w:pPr>
        <w:pStyle w:val="2"/>
      </w:pPr>
      <w:bookmarkStart w:id="46" w:name="_Toc220754474"/>
      <w:r>
        <w:t>3.5 Why SR needed</w:t>
      </w:r>
      <w:bookmarkEnd w:id="46"/>
    </w:p>
    <w:p>
      <w:pPr>
        <w:pBdr>
          <w:top w:val="none" w:sz="0" w:space="0" w:color="auto"/>
          <w:left w:val="none" w:sz="0" w:space="0" w:color="auto"/>
          <w:bottom w:val="none" w:sz="0" w:space="0" w:color="auto"/>
          <w:right w:val="none" w:sz="0" w:space="0" w:color="auto"/>
          <w:between w:val="none" w:sz="0" w:space="0" w:color="auto"/>
        </w:pBdr>
      </w:pPr>
      <w:r>
        <w:t xml:space="preserve">The systemic literature review has been selected for conducting this research as it provides the chance to ensure inclusivity in the data collection. Using the systemic review process, this research has included data resources maintaining all the ethics and regulations. Therefore, meeting the ethical standard, the impact of personalised care plans for adult stroke survivors have been conducted in a systematic way.   </w:t>
      </w:r>
    </w:p>
    <w:p>
      <w:pPr>
        <w:pStyle w:val="2"/>
      </w:pPr>
      <w:bookmarkStart w:id="47" w:name="_Toc220754475"/>
      <w:r>
        <w:t>3.6 Research approach</w:t>
      </w:r>
      <w:bookmarkEnd w:id="47"/>
    </w:p>
    <w:p>
      <w:pPr>
        <w:pBdr>
          <w:top w:val="none" w:sz="0" w:space="0" w:color="auto"/>
          <w:left w:val="none" w:sz="0" w:space="0" w:color="auto"/>
          <w:bottom w:val="none" w:sz="0" w:space="0" w:color="auto"/>
          <w:right w:val="none" w:sz="0" w:space="0" w:color="auto"/>
          <w:between w:val="none" w:sz="0" w:space="0" w:color="auto"/>
        </w:pBdr>
        <w:rPr>
          <w:b/>
          <w:bCs/>
        </w:rPr>
      </w:pPr>
      <w:r>
        <w:t xml:space="preserve">Deductive approach has been utilised within this research in terms of aligning the secondary information within existing theoretical perspectives. As per the opinion of Fife and Gossner (2024) deductive approach in systematic review starts with an existing theory to test that helps research to move from generic to specific. This methodological approach has evaluated different healthcare related theories in terms of analysing the effectiveness of personalised care planning in treating patients with stroke incidents. As per the argument of Hall </w:t>
      </w:r>
      <w:r>
        <w:rPr>
          <w:i/>
          <w:iCs/>
        </w:rPr>
        <w:t xml:space="preserve">et al. </w:t>
      </w:r>
      <w:r>
        <w:t xml:space="preserve">(2023) lack of flexibility to respond to new insight as well as not useful in discovering new information are the potential limitations of deductive approach in systematic review. Thus, the influence of such a methodological paradigm has been beneficial in evaluating the necessity of personalised care planning for enhancing the well-being of patients having stroke incidents in the UK. </w:t>
      </w:r>
    </w:p>
    <w:p>
      <w:pPr>
        <w:pStyle w:val="2"/>
      </w:pPr>
      <w:bookmarkStart w:id="48" w:name="_Toc220754476"/>
      <w:r>
        <w:t>3.7 Research strategy</w:t>
      </w:r>
      <w:bookmarkEnd w:id="48"/>
    </w:p>
    <w:p>
      <w:pPr>
        <w:pBdr>
          <w:top w:val="none" w:sz="0" w:space="0" w:color="auto"/>
          <w:left w:val="none" w:sz="0" w:space="0" w:color="auto"/>
          <w:bottom w:val="none" w:sz="0" w:space="0" w:color="auto"/>
          <w:right w:val="none" w:sz="0" w:space="0" w:color="auto"/>
          <w:between w:val="none" w:sz="0" w:space="0" w:color="auto"/>
        </w:pBdr>
      </w:pPr>
      <w:r>
        <w:t xml:space="preserve">Research strategy plays an important role in this systematic review related to personalised care planning in making the research transparent as well as replicating the findings with a reviewed database. Based on the views of Page </w:t>
      </w:r>
      <w:r>
        <w:rPr>
          <w:i/>
          <w:iCs/>
        </w:rPr>
        <w:t xml:space="preserve">et al. </w:t>
      </w:r>
      <w:r>
        <w:t xml:space="preserve">(2021), an effective research strategy in a systematic review helps in minimising bias and leads to best research outcome. Furthermore, key words, and databases have been specifically selected through the research strategy for finding the actual effectiveness of personalised care plans for adult stroke survivors in the UK. </w:t>
      </w:r>
    </w:p>
    <w:p>
      <w:pPr>
        <w:pBdr>
          <w:top w:val="none" w:sz="0" w:space="0" w:color="auto"/>
          <w:left w:val="none" w:sz="0" w:space="0" w:color="auto"/>
          <w:bottom w:val="none" w:sz="0" w:space="0" w:color="auto"/>
          <w:right w:val="none" w:sz="0" w:space="0" w:color="auto"/>
          <w:between w:val="none" w:sz="0" w:space="0" w:color="auto"/>
        </w:pBdr>
        <w:rPr>
          <w:b/>
          <w:bCs/>
        </w:rPr>
      </w:pPr>
      <w:r>
        <w:t xml:space="preserve">Specifying the range of the systemic review as well as synthesising the outcome of the healthcare research on the UK adult stroke survivor, keywords strategy plays a significant role. As per the views of Gusenbauer and Gauster (2025), specific keywords boost the searching process in a systemic review as well as support in answering the research questions. The key terms that have been used in this systemic research on the UK adult stroke survivor for selecting the peer review journal article includes “adult stroke survivors”, "personalised health services”, “personalized care planning”, and "adult physical well-being”. “45 to 60 age group stroke survivors” and “personalised care in the UK” are some other important keywords used in the research strategy.    </w:t>
      </w:r>
    </w:p>
    <w:p>
      <w:pPr>
        <w:pStyle w:val="2"/>
      </w:pPr>
      <w:bookmarkStart w:id="49" w:name="_Toc220754477"/>
      <w:r>
        <w:t>3.8 Study design-systematic review</w:t>
      </w:r>
      <w:bookmarkEnd w:id="49"/>
    </w:p>
    <w:p>
      <w:pPr>
        <w:pBdr>
          <w:top w:val="none" w:sz="0" w:space="0" w:color="auto"/>
          <w:left w:val="none" w:sz="0" w:space="0" w:color="auto"/>
          <w:bottom w:val="none" w:sz="0" w:space="0" w:color="auto"/>
          <w:right w:val="none" w:sz="0" w:space="0" w:color="auto"/>
          <w:between w:val="none" w:sz="0" w:space="0" w:color="auto"/>
        </w:pBdr>
      </w:pPr>
      <w:r>
        <w:t xml:space="preserve">A systemic review consisting of systemic review design has been applied for this healthcare research for adult stroke survivors. A systematic review is considered to be a research design that uses a rigorous and transparent process to identify, select, and appraise all available evidence on a specific research question (Sataloff </w:t>
      </w:r>
      <w:r>
        <w:rPr>
          <w:i/>
          <w:iCs/>
        </w:rPr>
        <w:t xml:space="preserve">et al. </w:t>
      </w:r>
      <w:r>
        <w:t xml:space="preserve">2021). The influence of such design can be beneficial in evaluating a clear question, creating a protocol, conducting a comprehensive literature search, screening studies, assessing their quality, extracting data, as well as synthesizing the results, sometimes with a meta-analysis. Thus, systematic design has been effective for analysing the effectiveness of personalised care planning in treating stroke survivors.  </w:t>
      </w:r>
    </w:p>
    <w:p>
      <w:pPr>
        <w:pStyle w:val="2"/>
      </w:pPr>
      <w:bookmarkStart w:id="50" w:name="_Toc220754478"/>
      <w:r>
        <w:t>3.9 Method of data collection</w:t>
      </w:r>
      <w:bookmarkEnd w:id="50"/>
    </w:p>
    <w:p>
      <w:pPr>
        <w:pStyle w:val="3"/>
        <w:spacing w:before="0"/>
        <w:rPr>
          <w:i/>
          <w:iCs/>
        </w:rPr>
      </w:pPr>
      <w:bookmarkStart w:id="51" w:name="_Toc220754479"/>
      <w:r>
        <w:rPr>
          <w:i/>
          <w:iCs/>
        </w:rPr>
        <w:t>3.9.1 Search strategy</w:t>
      </w:r>
      <w:bookmarkEnd w:id="51"/>
    </w:p>
    <w:p>
      <w:pPr>
        <w:pBdr>
          <w:top w:val="none" w:sz="0" w:space="0" w:color="auto"/>
          <w:left w:val="none" w:sz="0" w:space="0" w:color="auto"/>
          <w:bottom w:val="none" w:sz="0" w:space="0" w:color="auto"/>
          <w:right w:val="none" w:sz="0" w:space="0" w:color="auto"/>
          <w:between w:val="none" w:sz="0" w:space="0" w:color="auto"/>
        </w:pBdr>
      </w:pPr>
      <w:r>
        <w:t xml:space="preserve">A systematic review search strategy is considered a comprehensive plan to identify all relevant studies, using a combination of keywords, Boolean operators, and database searches to capture all literature on a topic. Additionally, keywords searching has been used within this research followed by an inclusion as well as exclusion criteria. The search strategy has been beneficial in evaluating the key variables of the thesis that has helped to accumulate relevant information. Apart from this PICO framework has been used within the research in terms of enhancing the searching potential. </w:t>
      </w:r>
    </w:p>
    <w:p>
      <w:pPr>
        <w:pStyle w:val="3"/>
        <w:spacing w:before="0"/>
        <w:rPr>
          <w:i/>
          <w:iCs/>
        </w:rPr>
      </w:pPr>
      <w:bookmarkStart w:id="52" w:name="_Toc220754480"/>
      <w:r>
        <w:rPr>
          <w:i/>
          <w:iCs/>
        </w:rPr>
        <w:t>3.9.2 Framing research question: PICO</w:t>
      </w:r>
      <w:bookmarkEnd w:id="52"/>
    </w:p>
    <w:tbl>
      <w:tblPr>
        <w:jc w:val="left"/>
        <w:tblInd w:w="-120" w:type="dxa"/>
        <w:tblW w:w="86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2925"/>
        <w:gridCol w:w="5760"/>
      </w:tblGrid>
      <w:tr>
        <w:trPr>
          <w:cantSplit/>
          <w:trHeight w:val="275"/>
          <w:tblHeader/>
        </w:trPr>
        <w:tc>
          <w:tcPr>
            <w:tcW w:w="2925" w:type="dxa"/>
          </w:tcPr>
          <w:p>
            <w:pPr>
              <w:pBdr>
                <w:top w:val="none" w:sz="0" w:space="0" w:color="auto"/>
                <w:left w:val="none" w:sz="0" w:space="0" w:color="auto"/>
                <w:bottom w:val="none" w:sz="0" w:space="0" w:color="auto"/>
                <w:right w:val="none" w:sz="0" w:space="0" w:color="auto"/>
                <w:between w:val="none" w:sz="0" w:space="0" w:color="auto"/>
              </w:pBdr>
              <w:jc w:val="center"/>
              <w:rPr>
                <w:b/>
                <w:bCs/>
              </w:rPr>
            </w:pPr>
            <w:r>
              <w:rPr>
                <w:b/>
                <w:bCs/>
              </w:rPr>
              <w:t>PICO</w:t>
            </w:r>
          </w:p>
        </w:tc>
        <w:tc>
          <w:tcPr>
            <w:tcW w:w="5760" w:type="dxa"/>
          </w:tcPr>
          <w:p>
            <w:pPr>
              <w:pBdr>
                <w:top w:val="none" w:sz="0" w:space="0" w:color="auto"/>
                <w:left w:val="none" w:sz="0" w:space="0" w:color="auto"/>
                <w:bottom w:val="none" w:sz="0" w:space="0" w:color="auto"/>
                <w:right w:val="none" w:sz="0" w:space="0" w:color="auto"/>
                <w:between w:val="none" w:sz="0" w:space="0" w:color="auto"/>
              </w:pBdr>
              <w:jc w:val="center"/>
              <w:rPr>
                <w:b/>
                <w:bCs/>
              </w:rPr>
            </w:pPr>
            <w:r>
              <w:rPr>
                <w:b/>
                <w:bCs/>
              </w:rPr>
              <w:t>Search Terms</w:t>
            </w:r>
          </w:p>
        </w:tc>
      </w:tr>
      <w:tr>
        <w:trPr>
          <w:cantSplit/>
          <w:trHeight w:val="827"/>
          <w:tblHeader/>
        </w:trPr>
        <w:tc>
          <w:tcPr>
            <w:tcW w:w="2925" w:type="dxa"/>
          </w:tcPr>
          <w:p>
            <w:pPr>
              <w:pBdr>
                <w:top w:val="none" w:sz="0" w:space="0" w:color="auto"/>
                <w:left w:val="none" w:sz="0" w:space="0" w:color="auto"/>
                <w:bottom w:val="none" w:sz="0" w:space="0" w:color="auto"/>
                <w:right w:val="none" w:sz="0" w:space="0" w:color="auto"/>
                <w:between w:val="none" w:sz="0" w:space="0" w:color="auto"/>
              </w:pBdr>
              <w:jc w:val="center"/>
              <w:rPr>
                <w:b/>
                <w:bCs/>
              </w:rPr>
            </w:pPr>
            <w:r>
              <w:rPr>
                <w:b/>
                <w:bCs/>
              </w:rPr>
              <w:t>Population</w:t>
            </w:r>
          </w:p>
        </w:tc>
        <w:tc>
          <w:tcPr>
            <w:tcW w:w="5760" w:type="dxa"/>
          </w:tcPr>
          <w:p>
            <w:pPr>
              <w:pBdr>
                <w:top w:val="none" w:sz="0" w:space="0" w:color="auto"/>
                <w:left w:val="none" w:sz="0" w:space="0" w:color="auto"/>
                <w:bottom w:val="none" w:sz="0" w:space="0" w:color="auto"/>
                <w:right w:val="none" w:sz="0" w:space="0" w:color="auto"/>
                <w:between w:val="none" w:sz="0" w:space="0" w:color="auto"/>
              </w:pBdr>
              <w:jc w:val="left"/>
            </w:pPr>
            <w:r>
              <w:t xml:space="preserve"> Adults in the UK aged in between 45 and 60 who survive stroke </w:t>
            </w:r>
          </w:p>
        </w:tc>
      </w:tr>
      <w:tr>
        <w:trPr>
          <w:cantSplit/>
          <w:trHeight w:val="551"/>
          <w:tblHeader/>
        </w:trPr>
        <w:tc>
          <w:tcPr>
            <w:tcW w:w="2925" w:type="dxa"/>
          </w:tcPr>
          <w:p>
            <w:pPr>
              <w:pBdr>
                <w:top w:val="none" w:sz="0" w:space="0" w:color="auto"/>
                <w:left w:val="none" w:sz="0" w:space="0" w:color="auto"/>
                <w:bottom w:val="none" w:sz="0" w:space="0" w:color="auto"/>
                <w:right w:val="none" w:sz="0" w:space="0" w:color="auto"/>
                <w:between w:val="none" w:sz="0" w:space="0" w:color="auto"/>
              </w:pBdr>
              <w:jc w:val="center"/>
              <w:rPr>
                <w:b/>
                <w:bCs/>
              </w:rPr>
            </w:pPr>
            <w:r>
              <w:rPr>
                <w:b/>
                <w:bCs/>
              </w:rPr>
              <w:t>Intervention</w:t>
            </w:r>
          </w:p>
        </w:tc>
        <w:tc>
          <w:tcPr>
            <w:tcW w:w="5760" w:type="dxa"/>
          </w:tcPr>
          <w:p>
            <w:pPr>
              <w:pBdr>
                <w:top w:val="none" w:sz="0" w:space="0" w:color="auto"/>
                <w:left w:val="none" w:sz="0" w:space="0" w:color="auto"/>
                <w:bottom w:val="none" w:sz="0" w:space="0" w:color="auto"/>
                <w:right w:val="none" w:sz="0" w:space="0" w:color="auto"/>
                <w:between w:val="none" w:sz="0" w:space="0" w:color="auto"/>
              </w:pBdr>
              <w:jc w:val="left"/>
            </w:pPr>
            <w:r>
              <w:t xml:space="preserve"> Personalised care plan application for physical and mental wellbeing</w:t>
            </w:r>
          </w:p>
        </w:tc>
      </w:tr>
      <w:tr>
        <w:trPr>
          <w:cantSplit/>
          <w:trHeight w:val="275"/>
          <w:tblHeader/>
        </w:trPr>
        <w:tc>
          <w:tcPr>
            <w:tcW w:w="2925" w:type="dxa"/>
          </w:tcPr>
          <w:p>
            <w:pPr>
              <w:pBdr>
                <w:top w:val="none" w:sz="0" w:space="0" w:color="auto"/>
                <w:left w:val="none" w:sz="0" w:space="0" w:color="auto"/>
                <w:bottom w:val="none" w:sz="0" w:space="0" w:color="auto"/>
                <w:right w:val="none" w:sz="0" w:space="0" w:color="auto"/>
                <w:between w:val="none" w:sz="0" w:space="0" w:color="auto"/>
              </w:pBdr>
              <w:jc w:val="center"/>
              <w:rPr>
                <w:b/>
                <w:bCs/>
              </w:rPr>
            </w:pPr>
            <w:r>
              <w:rPr>
                <w:b/>
                <w:bCs/>
              </w:rPr>
              <w:t>Comparison</w:t>
            </w:r>
          </w:p>
        </w:tc>
        <w:tc>
          <w:tcPr>
            <w:tcW w:w="5760" w:type="dxa"/>
          </w:tcPr>
          <w:p>
            <w:pPr>
              <w:pBdr>
                <w:top w:val="none" w:sz="0" w:space="0" w:color="auto"/>
                <w:left w:val="none" w:sz="0" w:space="0" w:color="auto"/>
                <w:bottom w:val="none" w:sz="0" w:space="0" w:color="auto"/>
                <w:right w:val="none" w:sz="0" w:space="0" w:color="auto"/>
                <w:between w:val="none" w:sz="0" w:space="0" w:color="auto"/>
              </w:pBdr>
              <w:jc w:val="left"/>
            </w:pPr>
            <w:r>
              <w:t xml:space="preserve">“One-size-fits-all” approach which is used for all the patients </w:t>
            </w:r>
          </w:p>
        </w:tc>
      </w:tr>
      <w:tr>
        <w:trPr>
          <w:cantSplit/>
          <w:trHeight w:val="827"/>
          <w:tblHeader/>
        </w:trPr>
        <w:tc>
          <w:tcPr>
            <w:tcW w:w="2925" w:type="dxa"/>
          </w:tcPr>
          <w:p>
            <w:pPr>
              <w:pBdr>
                <w:top w:val="none" w:sz="0" w:space="0" w:color="auto"/>
                <w:left w:val="none" w:sz="0" w:space="0" w:color="auto"/>
                <w:bottom w:val="none" w:sz="0" w:space="0" w:color="auto"/>
                <w:right w:val="none" w:sz="0" w:space="0" w:color="auto"/>
                <w:between w:val="none" w:sz="0" w:space="0" w:color="auto"/>
              </w:pBdr>
              <w:jc w:val="center"/>
              <w:rPr>
                <w:b/>
                <w:bCs/>
              </w:rPr>
            </w:pPr>
            <w:r>
              <w:rPr>
                <w:b/>
                <w:bCs/>
              </w:rPr>
              <w:t>Outcome</w:t>
            </w:r>
          </w:p>
        </w:tc>
        <w:tc>
          <w:tcPr>
            <w:tcW w:w="5760" w:type="dxa"/>
          </w:tcPr>
          <w:p>
            <w:pPr>
              <w:pBdr>
                <w:top w:val="none" w:sz="0" w:space="0" w:color="auto"/>
                <w:left w:val="none" w:sz="0" w:space="0" w:color="auto"/>
                <w:bottom w:val="none" w:sz="0" w:space="0" w:color="auto"/>
                <w:right w:val="none" w:sz="0" w:space="0" w:color="auto"/>
                <w:between w:val="none" w:sz="0" w:space="0" w:color="auto"/>
              </w:pBdr>
              <w:jc w:val="left"/>
            </w:pPr>
            <w:r>
              <w:t xml:space="preserve"> Adult stroke survivors ensure their physical and mental wellbeing collecting the effectiveness of personalised care plan  </w:t>
            </w:r>
          </w:p>
        </w:tc>
      </w:tr>
      <w:tr>
        <w:trPr>
          <w:cantSplit/>
          <w:trHeight w:val="827"/>
          <w:tblHeader/>
        </w:trPr>
        <w:tc>
          <w:tcPr>
            <w:tcW w:w="2925" w:type="dxa"/>
          </w:tcPr>
          <w:p>
            <w:pPr>
              <w:pBdr>
                <w:top w:val="none" w:sz="0" w:space="0" w:color="auto"/>
                <w:left w:val="none" w:sz="0" w:space="0" w:color="auto"/>
                <w:bottom w:val="none" w:sz="0" w:space="0" w:color="auto"/>
                <w:right w:val="none" w:sz="0" w:space="0" w:color="auto"/>
                <w:between w:val="none" w:sz="0" w:space="0" w:color="auto"/>
              </w:pBdr>
              <w:jc w:val="center"/>
              <w:rPr>
                <w:b/>
                <w:bCs/>
              </w:rPr>
            </w:pPr>
            <w:r>
              <w:rPr>
                <w:b/>
                <w:bCs/>
              </w:rPr>
              <w:t xml:space="preserve">SETTING </w:t>
            </w:r>
          </w:p>
        </w:tc>
        <w:tc>
          <w:tcPr>
            <w:tcW w:w="5760" w:type="dxa"/>
          </w:tcPr>
          <w:p>
            <w:pPr>
              <w:pBdr>
                <w:top w:val="none" w:sz="0" w:space="0" w:color="auto"/>
                <w:left w:val="none" w:sz="0" w:space="0" w:color="auto"/>
                <w:bottom w:val="none" w:sz="0" w:space="0" w:color="auto"/>
                <w:right w:val="none" w:sz="0" w:space="0" w:color="auto"/>
                <w:between w:val="none" w:sz="0" w:space="0" w:color="auto"/>
              </w:pBdr>
              <w:jc w:val="left"/>
            </w:pPr>
            <w:r>
              <w:t xml:space="preserve">UK healthcare context has been considered following advanced care plan settings  </w:t>
            </w:r>
          </w:p>
        </w:tc>
      </w:tr>
    </w:tbl>
    <w:p>
      <w:pPr>
        <w:pStyle w:val="5"/>
        <w:rPr>
          <w:b w:val="0"/>
          <w:bCs w:val="0"/>
        </w:rPr>
      </w:pPr>
      <w:bookmarkStart w:id="53" w:name="_heading=h.2tsmgxymr9js"/>
      <w:bookmarkStart w:id="54" w:name="_Toc220757003"/>
      <w:bookmarkEnd w:id="53"/>
      <w:r>
        <w:t>Table 3.1: PICO search terms</w:t>
      </w:r>
      <w:bookmarkEnd w:id="54"/>
    </w:p>
    <w:p>
      <w:pPr>
        <w:pBdr>
          <w:top w:val="none" w:sz="0" w:space="0" w:color="auto"/>
          <w:left w:val="none" w:sz="0" w:space="0" w:color="auto"/>
          <w:bottom w:val="none" w:sz="0" w:space="0" w:color="auto"/>
          <w:right w:val="none" w:sz="0" w:space="0" w:color="auto"/>
          <w:between w:val="none" w:sz="0" w:space="0" w:color="auto"/>
        </w:pBdr>
        <w:spacing w:before="200" w:after="200"/>
        <w:jc w:val="center"/>
      </w:pPr>
      <w:r>
        <w:t>(Source: Self-made)</w:t>
      </w:r>
    </w:p>
    <w:p>
      <w:pPr>
        <w:pStyle w:val="3"/>
        <w:spacing w:before="0"/>
        <w:rPr>
          <w:i/>
          <w:iCs/>
        </w:rPr>
      </w:pPr>
      <w:bookmarkStart w:id="55" w:name="_Toc220754481"/>
      <w:r>
        <w:rPr>
          <w:i/>
          <w:iCs/>
        </w:rPr>
        <w:t>3.9.3 Database search procedure</w:t>
      </w:r>
      <w:bookmarkEnd w:id="55"/>
    </w:p>
    <w:p>
      <w:pPr>
        <w:pBdr>
          <w:top w:val="none" w:sz="0" w:space="0" w:color="auto"/>
          <w:left w:val="none" w:sz="0" w:space="0" w:color="auto"/>
          <w:bottom w:val="none" w:sz="0" w:space="0" w:color="auto"/>
          <w:right w:val="none" w:sz="0" w:space="0" w:color="auto"/>
          <w:between w:val="none" w:sz="0" w:space="0" w:color="auto"/>
        </w:pBdr>
      </w:pPr>
      <w:r>
        <w:t xml:space="preserve">The commonly used BOOLEAN operator includes AND and OR that have been used for constructing keywords related to research topics and finding the relevant peer reviewed journal articles for answering research questions (Scells </w:t>
      </w:r>
      <w:r>
        <w:rPr>
          <w:i/>
          <w:iCs/>
        </w:rPr>
        <w:t>et al.</w:t>
      </w:r>
      <w:r>
        <w:t>, 2021). The BOOLEAN operator AND has been used for combining the distinct concepts such as Persolised care plan and the UK adult stroke survivors (45 to 60 years old). On the other hand, variations of single concepts such as personalised care plan and the UK healthcare have been recognised through this research using the BOOLEAN operator “OR”.</w:t>
      </w:r>
    </w:p>
    <w:p>
      <w:pPr>
        <w:pBdr>
          <w:top w:val="none" w:sz="0" w:space="0" w:color="auto"/>
          <w:left w:val="none" w:sz="0" w:space="0" w:color="auto"/>
          <w:bottom w:val="none" w:sz="0" w:space="0" w:color="auto"/>
          <w:right w:val="none" w:sz="0" w:space="0" w:color="auto"/>
          <w:between w:val="none" w:sz="0" w:space="0" w:color="auto"/>
        </w:pBdr>
      </w:pPr>
      <w:r>
        <w:t xml:space="preserve">Frontiers, Cochrane, PubMed and ScienceDirect are the databases used in this healthcare research to find journal articles on personalised care planning and stroke survivors in the UK. As per Wohlin </w:t>
      </w:r>
      <w:r>
        <w:rPr>
          <w:i/>
          <w:iCs/>
        </w:rPr>
        <w:t xml:space="preserve">et al. </w:t>
      </w:r>
      <w:r>
        <w:t xml:space="preserve">(2022), locating effective as well as crucial primary research studies as comprehensive evidence within a research database can be worked as a main resource. Furthermore, databases that provide healthcare related content are identified in this research. Thus, accumulation of information from such data sources has been effective in achieving topic oriented as well as peer reviewed articles. </w:t>
      </w:r>
    </w:p>
    <w:p>
      <w:pPr>
        <w:pStyle w:val="3"/>
        <w:spacing w:before="0"/>
        <w:jc w:val="left"/>
        <w:rPr>
          <w:i/>
          <w:iCs/>
        </w:rPr>
      </w:pPr>
      <w:bookmarkStart w:id="56" w:name="_Toc220754482"/>
      <w:r>
        <w:rPr>
          <w:i/>
          <w:iCs/>
        </w:rPr>
        <w:t>3.9.4 HAND search</w:t>
      </w:r>
      <w:bookmarkEnd w:id="56"/>
    </w:p>
    <w:p>
      <w:pPr>
        <w:pBdr>
          <w:top w:val="none" w:sz="0" w:space="0" w:color="auto"/>
          <w:left w:val="none" w:sz="0" w:space="0" w:color="auto"/>
          <w:bottom w:val="none" w:sz="0" w:space="0" w:color="auto"/>
          <w:right w:val="none" w:sz="0" w:space="0" w:color="auto"/>
          <w:between w:val="none" w:sz="0" w:space="0" w:color="auto"/>
        </w:pBdr>
      </w:pPr>
      <w:r>
        <w:t>Hand searching is a manual process in a systematic review design where researchers manually browse specific journals, conference proceedings, or other sources to find studies that may have been missed by electronic database searches. This technique has involved checking the reference lists of identified articles and using a team member with subject matter expertise.</w:t>
      </w:r>
    </w:p>
    <w:p>
      <w:pPr>
        <w:pStyle w:val="3"/>
        <w:spacing w:before="0"/>
        <w:rPr>
          <w:i/>
          <w:iCs/>
        </w:rPr>
      </w:pPr>
      <w:bookmarkStart w:id="57" w:name="_Toc220754483"/>
      <w:r>
        <w:rPr>
          <w:i/>
          <w:iCs/>
        </w:rPr>
        <w:t>3.9.5 Grey literature</w:t>
      </w:r>
      <w:bookmarkEnd w:id="57"/>
    </w:p>
    <w:p>
      <w:pPr>
        <w:pBdr>
          <w:top w:val="none" w:sz="0" w:space="0" w:color="auto"/>
          <w:left w:val="none" w:sz="0" w:space="0" w:color="auto"/>
          <w:bottom w:val="none" w:sz="0" w:space="0" w:color="auto"/>
          <w:right w:val="none" w:sz="0" w:space="0" w:color="auto"/>
          <w:between w:val="none" w:sz="0" w:space="0" w:color="auto"/>
        </w:pBdr>
      </w:pPr>
      <w:r>
        <w:t>The inclusion of grey literature has helped to mitigate publication bias, because it includes sources like government reports, conference proceedings, and unpublished theses that are often excluded from traditional databases. Additionally, it has helped to cover a broader range of data sources that includes unpublished trials, reports from governments and organizations, and theses that are not available in peer-reviewed journals.</w:t>
      </w:r>
    </w:p>
    <w:p>
      <w:pPr>
        <w:pStyle w:val="3"/>
        <w:spacing w:before="0"/>
      </w:pPr>
      <w:bookmarkStart w:id="58" w:name="_Toc220754484"/>
      <w:r>
        <w:rPr>
          <w:i/>
          <w:iCs/>
        </w:rPr>
        <w:t>3.9.6 Inclusion and Exclusion criteria</w:t>
      </w:r>
      <w:bookmarkEnd w:id="58"/>
    </w:p>
    <w:tbl>
      <w:tblPr>
        <w:jc w:val="left"/>
        <w:tblInd w:w="-215" w:type="dx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15" w:type="dxa"/>
          <w:bottom w:w="0" w:type="dxa"/>
          <w:right w:w="115" w:type="dxa"/>
        </w:tblCellMar>
      </w:tblPr>
      <w:tblGrid>
        <w:gridCol w:w="1590"/>
        <w:gridCol w:w="3885"/>
        <w:gridCol w:w="3885"/>
      </w:tblGrid>
      <w:tr>
        <w:trPr>
          <w:cantSplit/>
          <w:tblHeader/>
        </w:trPr>
        <w:tc>
          <w:tcPr>
            <w:tcW w:w="159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center"/>
              <w:rPr>
                <w:b/>
                <w:bCs/>
              </w:rPr>
            </w:pPr>
            <w:r>
              <w:rPr>
                <w:b/>
                <w:bCs/>
              </w:rPr>
              <w:t>Criteria</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center"/>
              <w:rPr>
                <w:b/>
                <w:bCs/>
              </w:rPr>
            </w:pPr>
            <w:r>
              <w:rPr>
                <w:b/>
                <w:bCs/>
              </w:rPr>
              <w:t>Inclusion</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center"/>
              <w:rPr>
                <w:b/>
                <w:bCs/>
              </w:rPr>
            </w:pPr>
            <w:r>
              <w:rPr>
                <w:b/>
                <w:bCs/>
              </w:rPr>
              <w:t>Exclusion</w:t>
            </w:r>
          </w:p>
        </w:tc>
      </w:tr>
      <w:tr>
        <w:trPr>
          <w:cantSplit/>
          <w:trHeight w:val="1640"/>
          <w:tblHeader/>
        </w:trPr>
        <w:tc>
          <w:tcPr>
            <w:tcW w:w="159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center"/>
              <w:rPr>
                <w:b/>
                <w:bCs/>
                <w:i/>
                <w:iCs/>
              </w:rPr>
            </w:pPr>
            <w:r>
              <w:rPr>
                <w:b/>
                <w:bCs/>
                <w:i/>
                <w:iCs/>
              </w:rPr>
              <w:t>Publication type</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pPr>
            <w:r>
              <w:t>Only Peer-reviewed journals and official healthcare reports have been used in this research for data collection.</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pPr>
            <w:r>
              <w:t>Blogs and non-peer-reviewed articles have been excluded from the data collection of this systemic review.</w:t>
            </w:r>
          </w:p>
        </w:tc>
      </w:tr>
      <w:tr>
        <w:trPr>
          <w:cantSplit/>
          <w:tblHeader/>
        </w:trPr>
        <w:tc>
          <w:tcPr>
            <w:tcW w:w="159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center"/>
              <w:rPr>
                <w:b/>
                <w:bCs/>
                <w:i/>
                <w:iCs/>
              </w:rPr>
            </w:pPr>
            <w:r>
              <w:rPr>
                <w:b/>
                <w:bCs/>
                <w:i/>
                <w:iCs/>
              </w:rPr>
              <w:t>Relevance</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pPr>
            <w:r>
              <w:t xml:space="preserve">Only those peer-reviewed journals and official reports have been selected for the findings section that provides contents related to personalised healthcare planning and the adult stroke survivors. </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pPr>
            <w:r>
              <w:t xml:space="preserve">Journal articles that have general care planning discussion and children healthcare issues have been excluded from the research. </w:t>
            </w:r>
          </w:p>
        </w:tc>
      </w:tr>
      <w:tr>
        <w:trPr>
          <w:cantSplit/>
          <w:tblHeader/>
        </w:trPr>
        <w:tc>
          <w:tcPr>
            <w:tcW w:w="159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center"/>
              <w:rPr>
                <w:b/>
                <w:bCs/>
                <w:i/>
                <w:iCs/>
              </w:rPr>
            </w:pPr>
            <w:r>
              <w:rPr>
                <w:b/>
                <w:bCs/>
                <w:i/>
                <w:iCs/>
              </w:rPr>
              <w:t>Timeframe</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pPr>
            <w:r>
              <w:t xml:space="preserve">Peer-reviewed healthcare journals published between 2021 and 2025 are only selected for the findings section. </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pPr>
            <w:r>
              <w:t xml:space="preserve">Peer-reviewed journals articulated before 2021 are excluded from the findings section. </w:t>
            </w:r>
          </w:p>
        </w:tc>
      </w:tr>
      <w:tr>
        <w:trPr>
          <w:cantSplit/>
          <w:tblHeader/>
        </w:trPr>
        <w:tc>
          <w:tcPr>
            <w:tcW w:w="159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center"/>
              <w:rPr>
                <w:b/>
                <w:bCs/>
                <w:i/>
                <w:iCs/>
              </w:rPr>
            </w:pPr>
            <w:r>
              <w:rPr>
                <w:b/>
                <w:bCs/>
                <w:i/>
                <w:iCs/>
              </w:rPr>
              <w:t>Language</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pPr>
            <w:r>
              <w:t xml:space="preserve"> Those peer-reviewed journals and official reports that are available in the English language are selected for the secondary data findings section. </w:t>
            </w:r>
          </w:p>
        </w:tc>
        <w:tc>
          <w:tcPr>
            <w:tcW w:w="388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pPr>
            <w:r>
              <w:t xml:space="preserve"> Those peer-reviewed journals and official reports that are in other languages than English are excluded from the secondary data findings section. </w:t>
            </w:r>
          </w:p>
        </w:tc>
      </w:tr>
    </w:tbl>
    <w:p>
      <w:pPr>
        <w:pStyle w:val="5"/>
      </w:pPr>
      <w:bookmarkStart w:id="59" w:name="_heading=h.nnjr4nc86crg"/>
      <w:bookmarkStart w:id="60" w:name="_Toc220757004"/>
      <w:bookmarkEnd w:id="59"/>
      <w:r>
        <w:t>Table 3.2: Inclusion and Exclusion criteria</w:t>
      </w:r>
      <w:bookmarkEnd w:id="60"/>
    </w:p>
    <w:p>
      <w:pPr>
        <w:pBdr>
          <w:top w:val="none" w:sz="0" w:space="0" w:color="auto"/>
          <w:left w:val="none" w:sz="0" w:space="0" w:color="auto"/>
          <w:bottom w:val="none" w:sz="0" w:space="0" w:color="auto"/>
          <w:right w:val="none" w:sz="0" w:space="0" w:color="auto"/>
          <w:between w:val="none" w:sz="0" w:space="0" w:color="auto"/>
        </w:pBdr>
        <w:jc w:val="center"/>
      </w:pPr>
      <w:bookmarkStart w:id="61" w:name="_heading=h.e5voh13pb36x"/>
      <w:bookmarkEnd w:id="61"/>
      <w:r>
        <w:t>(Source: Self-developed)</w:t>
      </w:r>
    </w:p>
    <w:p>
      <w:pPr>
        <w:pStyle w:val="2"/>
      </w:pPr>
      <w:bookmarkStart w:id="62" w:name="_heading=h.py556qsqgayw"/>
      <w:bookmarkStart w:id="63" w:name="_heading=h.y5wngtz0gzlt"/>
      <w:bookmarkStart w:id="64" w:name="_Toc220754485"/>
      <w:bookmarkEnd w:id="62"/>
      <w:bookmarkEnd w:id="63"/>
      <w:r>
        <w:t>3.10 Screening results</w:t>
      </w:r>
      <w:bookmarkEnd w:id="64"/>
    </w:p>
    <w:tbl>
      <w:tblPr>
        <w:jc w:val="center"/>
        <w:tblW w:w="807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1711"/>
        <w:gridCol w:w="1331"/>
        <w:gridCol w:w="1225"/>
        <w:gridCol w:w="1544"/>
        <w:gridCol w:w="1174"/>
        <w:gridCol w:w="1088"/>
      </w:tblGrid>
      <w:tr>
        <w:trPr>
          <w:cantSplit/>
          <w:trHeight w:val="810"/>
          <w:tblHeader/>
        </w:trPr>
        <w:tc>
          <w:tcPr>
            <w:tcW w:w="171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Database</w:t>
            </w:r>
          </w:p>
        </w:tc>
        <w:tc>
          <w:tcPr>
            <w:tcW w:w="133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Search Dates</w:t>
            </w:r>
          </w:p>
        </w:tc>
        <w:tc>
          <w:tcPr>
            <w:tcW w:w="1225"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Inclusion Year</w:t>
            </w:r>
          </w:p>
        </w:tc>
        <w:tc>
          <w:tcPr>
            <w:tcW w:w="1544"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Search Results</w:t>
            </w:r>
          </w:p>
        </w:tc>
        <w:tc>
          <w:tcPr>
            <w:tcW w:w="1174"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Excluded</w:t>
            </w:r>
          </w:p>
        </w:tc>
        <w:tc>
          <w:tcPr>
            <w:tcW w:w="1088"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Included</w:t>
            </w:r>
          </w:p>
        </w:tc>
      </w:tr>
      <w:tr>
        <w:trPr>
          <w:cantSplit/>
          <w:trHeight w:val="275"/>
          <w:tblHeader/>
        </w:trPr>
        <w:tc>
          <w:tcPr>
            <w:tcW w:w="171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EMBASE</w:t>
            </w:r>
          </w:p>
        </w:tc>
        <w:tc>
          <w:tcPr>
            <w:tcW w:w="1331" w:type="dxa"/>
          </w:tcPr>
          <w:p>
            <w:pPr>
              <w:widowControl w:val="0"/>
              <w:pBdr>
                <w:top w:val="none" w:sz="0" w:space="0" w:color="auto"/>
                <w:left w:val="none" w:sz="0" w:space="0" w:color="auto"/>
                <w:bottom w:val="none" w:sz="0" w:space="0" w:color="auto"/>
                <w:right w:val="none" w:sz="0" w:space="0" w:color="auto"/>
                <w:between w:val="none" w:sz="0" w:space="0" w:color="auto"/>
              </w:pBdr>
              <w:ind w:right="88"/>
            </w:pPr>
            <w:r>
              <w:t>1</w:t>
            </w:r>
          </w:p>
        </w:tc>
        <w:tc>
          <w:tcPr>
            <w:tcW w:w="1225" w:type="dxa"/>
          </w:tcPr>
          <w:p>
            <w:pPr>
              <w:widowControl w:val="0"/>
              <w:pBdr>
                <w:top w:val="none" w:sz="0" w:space="0" w:color="auto"/>
                <w:left w:val="none" w:sz="0" w:space="0" w:color="auto"/>
                <w:bottom w:val="none" w:sz="0" w:space="0" w:color="auto"/>
                <w:right w:val="none" w:sz="0" w:space="0" w:color="auto"/>
                <w:between w:val="none" w:sz="0" w:space="0" w:color="auto"/>
              </w:pBdr>
              <w:ind w:left="108"/>
            </w:pPr>
            <w:r>
              <w:t>2021-2025</w:t>
            </w:r>
          </w:p>
        </w:tc>
        <w:tc>
          <w:tcPr>
            <w:tcW w:w="1544" w:type="dxa"/>
          </w:tcPr>
          <w:p>
            <w:pPr>
              <w:widowControl w:val="0"/>
              <w:pBdr>
                <w:top w:val="none" w:sz="0" w:space="0" w:color="auto"/>
                <w:left w:val="none" w:sz="0" w:space="0" w:color="auto"/>
                <w:bottom w:val="none" w:sz="0" w:space="0" w:color="auto"/>
                <w:right w:val="none" w:sz="0" w:space="0" w:color="auto"/>
                <w:between w:val="none" w:sz="0" w:space="0" w:color="auto"/>
              </w:pBdr>
            </w:pPr>
            <w:r>
              <w:t>14782</w:t>
            </w:r>
          </w:p>
        </w:tc>
        <w:tc>
          <w:tcPr>
            <w:tcW w:w="117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14781</w:t>
            </w:r>
          </w:p>
        </w:tc>
        <w:tc>
          <w:tcPr>
            <w:tcW w:w="1088" w:type="dxa"/>
          </w:tcPr>
          <w:p>
            <w:pPr>
              <w:widowControl w:val="0"/>
              <w:pBdr>
                <w:top w:val="none" w:sz="0" w:space="0" w:color="auto"/>
                <w:left w:val="none" w:sz="0" w:space="0" w:color="auto"/>
                <w:bottom w:val="none" w:sz="0" w:space="0" w:color="auto"/>
                <w:right w:val="none" w:sz="0" w:space="0" w:color="auto"/>
                <w:between w:val="none" w:sz="0" w:space="0" w:color="auto"/>
              </w:pBdr>
            </w:pPr>
            <w:r>
              <w:t>4</w:t>
            </w:r>
          </w:p>
        </w:tc>
      </w:tr>
      <w:tr>
        <w:trPr>
          <w:cantSplit/>
          <w:trHeight w:val="275"/>
          <w:tblHeader/>
        </w:trPr>
        <w:tc>
          <w:tcPr>
            <w:tcW w:w="171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CINHAL</w:t>
            </w:r>
          </w:p>
        </w:tc>
        <w:tc>
          <w:tcPr>
            <w:tcW w:w="1331" w:type="dxa"/>
          </w:tcPr>
          <w:p>
            <w:pPr>
              <w:widowControl w:val="0"/>
              <w:pBdr>
                <w:top w:val="none" w:sz="0" w:space="0" w:color="auto"/>
                <w:left w:val="none" w:sz="0" w:space="0" w:color="auto"/>
                <w:bottom w:val="none" w:sz="0" w:space="0" w:color="auto"/>
                <w:right w:val="none" w:sz="0" w:space="0" w:color="auto"/>
                <w:between w:val="none" w:sz="0" w:space="0" w:color="auto"/>
              </w:pBdr>
              <w:ind w:left="97" w:right="88"/>
            </w:pPr>
            <w:r>
              <w:t>3</w:t>
            </w:r>
          </w:p>
        </w:tc>
        <w:tc>
          <w:tcPr>
            <w:tcW w:w="1225" w:type="dxa"/>
          </w:tcPr>
          <w:p>
            <w:pPr>
              <w:widowControl w:val="0"/>
              <w:pBdr>
                <w:top w:val="none" w:sz="0" w:space="0" w:color="auto"/>
                <w:left w:val="none" w:sz="0" w:space="0" w:color="auto"/>
                <w:bottom w:val="none" w:sz="0" w:space="0" w:color="auto"/>
                <w:right w:val="none" w:sz="0" w:space="0" w:color="auto"/>
                <w:between w:val="none" w:sz="0" w:space="0" w:color="auto"/>
              </w:pBdr>
              <w:ind w:left="108"/>
            </w:pPr>
            <w:r>
              <w:t>2021-2025</w:t>
            </w:r>
          </w:p>
        </w:tc>
        <w:tc>
          <w:tcPr>
            <w:tcW w:w="154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12003</w:t>
            </w:r>
          </w:p>
        </w:tc>
        <w:tc>
          <w:tcPr>
            <w:tcW w:w="117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12000</w:t>
            </w:r>
          </w:p>
        </w:tc>
        <w:tc>
          <w:tcPr>
            <w:tcW w:w="1088"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3</w:t>
            </w:r>
          </w:p>
        </w:tc>
      </w:tr>
      <w:tr>
        <w:trPr>
          <w:cantSplit/>
          <w:trHeight w:val="275"/>
          <w:tblHeader/>
        </w:trPr>
        <w:tc>
          <w:tcPr>
            <w:tcW w:w="171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PubMed</w:t>
            </w:r>
          </w:p>
        </w:tc>
        <w:tc>
          <w:tcPr>
            <w:tcW w:w="1331" w:type="dxa"/>
          </w:tcPr>
          <w:p>
            <w:pPr>
              <w:widowControl w:val="0"/>
              <w:pBdr>
                <w:top w:val="none" w:sz="0" w:space="0" w:color="auto"/>
                <w:left w:val="none" w:sz="0" w:space="0" w:color="auto"/>
                <w:bottom w:val="none" w:sz="0" w:space="0" w:color="auto"/>
                <w:right w:val="none" w:sz="0" w:space="0" w:color="auto"/>
                <w:between w:val="none" w:sz="0" w:space="0" w:color="auto"/>
              </w:pBdr>
              <w:ind w:right="88"/>
            </w:pPr>
            <w:r>
              <w:t>3</w:t>
            </w:r>
          </w:p>
        </w:tc>
        <w:tc>
          <w:tcPr>
            <w:tcW w:w="1225" w:type="dxa"/>
          </w:tcPr>
          <w:p>
            <w:pPr>
              <w:widowControl w:val="0"/>
              <w:pBdr>
                <w:top w:val="none" w:sz="0" w:space="0" w:color="auto"/>
                <w:left w:val="none" w:sz="0" w:space="0" w:color="auto"/>
                <w:bottom w:val="none" w:sz="0" w:space="0" w:color="auto"/>
                <w:right w:val="none" w:sz="0" w:space="0" w:color="auto"/>
                <w:between w:val="none" w:sz="0" w:space="0" w:color="auto"/>
              </w:pBdr>
              <w:ind w:left="108"/>
            </w:pPr>
            <w:r>
              <w:t>2021-2025</w:t>
            </w:r>
          </w:p>
        </w:tc>
        <w:tc>
          <w:tcPr>
            <w:tcW w:w="154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15003</w:t>
            </w:r>
          </w:p>
        </w:tc>
        <w:tc>
          <w:tcPr>
            <w:tcW w:w="117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15000</w:t>
            </w:r>
          </w:p>
        </w:tc>
        <w:tc>
          <w:tcPr>
            <w:tcW w:w="1088"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3</w:t>
            </w:r>
          </w:p>
        </w:tc>
      </w:tr>
      <w:tr>
        <w:trPr>
          <w:cantSplit/>
          <w:trHeight w:val="551"/>
          <w:tblHeader/>
        </w:trPr>
        <w:tc>
          <w:tcPr>
            <w:tcW w:w="171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PubMed Central</w:t>
            </w:r>
          </w:p>
        </w:tc>
        <w:tc>
          <w:tcPr>
            <w:tcW w:w="1331" w:type="dxa"/>
          </w:tcPr>
          <w:p>
            <w:pPr>
              <w:widowControl w:val="0"/>
              <w:pBdr>
                <w:top w:val="none" w:sz="0" w:space="0" w:color="auto"/>
                <w:left w:val="none" w:sz="0" w:space="0" w:color="auto"/>
                <w:bottom w:val="none" w:sz="0" w:space="0" w:color="auto"/>
                <w:right w:val="none" w:sz="0" w:space="0" w:color="auto"/>
                <w:between w:val="none" w:sz="0" w:space="0" w:color="auto"/>
              </w:pBdr>
              <w:ind w:left="97" w:right="88"/>
            </w:pPr>
            <w:r>
              <w:t>2</w:t>
            </w:r>
          </w:p>
        </w:tc>
        <w:tc>
          <w:tcPr>
            <w:tcW w:w="1225" w:type="dxa"/>
          </w:tcPr>
          <w:p>
            <w:pPr>
              <w:widowControl w:val="0"/>
              <w:pBdr>
                <w:top w:val="none" w:sz="0" w:space="0" w:color="auto"/>
                <w:left w:val="none" w:sz="0" w:space="0" w:color="auto"/>
                <w:bottom w:val="none" w:sz="0" w:space="0" w:color="auto"/>
                <w:right w:val="none" w:sz="0" w:space="0" w:color="auto"/>
                <w:between w:val="none" w:sz="0" w:space="0" w:color="auto"/>
              </w:pBdr>
              <w:ind w:left="108"/>
            </w:pPr>
            <w:r>
              <w:t>2021-2025</w:t>
            </w:r>
          </w:p>
        </w:tc>
        <w:tc>
          <w:tcPr>
            <w:tcW w:w="154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1403</w:t>
            </w:r>
          </w:p>
        </w:tc>
        <w:tc>
          <w:tcPr>
            <w:tcW w:w="117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1401</w:t>
            </w:r>
          </w:p>
        </w:tc>
        <w:tc>
          <w:tcPr>
            <w:tcW w:w="1088"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2</w:t>
            </w:r>
          </w:p>
        </w:tc>
      </w:tr>
      <w:tr>
        <w:trPr>
          <w:cantSplit/>
          <w:trHeight w:val="551"/>
          <w:tblHeader/>
        </w:trPr>
        <w:tc>
          <w:tcPr>
            <w:tcW w:w="171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Google Scholar</w:t>
            </w:r>
          </w:p>
        </w:tc>
        <w:tc>
          <w:tcPr>
            <w:tcW w:w="1331" w:type="dxa"/>
          </w:tcPr>
          <w:p>
            <w:pPr>
              <w:widowControl w:val="0"/>
              <w:pBdr>
                <w:top w:val="none" w:sz="0" w:space="0" w:color="auto"/>
                <w:left w:val="none" w:sz="0" w:space="0" w:color="auto"/>
                <w:bottom w:val="none" w:sz="0" w:space="0" w:color="auto"/>
                <w:right w:val="none" w:sz="0" w:space="0" w:color="auto"/>
                <w:between w:val="none" w:sz="0" w:space="0" w:color="auto"/>
              </w:pBdr>
              <w:ind w:left="97" w:right="88"/>
            </w:pPr>
            <w:r>
              <w:t>6</w:t>
            </w:r>
          </w:p>
        </w:tc>
        <w:tc>
          <w:tcPr>
            <w:tcW w:w="1225" w:type="dxa"/>
          </w:tcPr>
          <w:p>
            <w:pPr>
              <w:widowControl w:val="0"/>
              <w:pBdr>
                <w:top w:val="none" w:sz="0" w:space="0" w:color="auto"/>
                <w:left w:val="none" w:sz="0" w:space="0" w:color="auto"/>
                <w:bottom w:val="none" w:sz="0" w:space="0" w:color="auto"/>
                <w:right w:val="none" w:sz="0" w:space="0" w:color="auto"/>
                <w:between w:val="none" w:sz="0" w:space="0" w:color="auto"/>
              </w:pBdr>
              <w:ind w:left="108"/>
            </w:pPr>
            <w:r>
              <w:t>2021-2025</w:t>
            </w:r>
          </w:p>
        </w:tc>
        <w:tc>
          <w:tcPr>
            <w:tcW w:w="154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17006</w:t>
            </w:r>
          </w:p>
        </w:tc>
        <w:tc>
          <w:tcPr>
            <w:tcW w:w="117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17000</w:t>
            </w:r>
          </w:p>
        </w:tc>
        <w:tc>
          <w:tcPr>
            <w:tcW w:w="1088"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6</w:t>
            </w:r>
          </w:p>
        </w:tc>
      </w:tr>
      <w:tr>
        <w:trPr>
          <w:cantSplit/>
          <w:trHeight w:val="551"/>
          <w:tblHeader/>
        </w:trPr>
        <w:tc>
          <w:tcPr>
            <w:tcW w:w="171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HAND SEARCH</w:t>
            </w:r>
          </w:p>
        </w:tc>
        <w:tc>
          <w:tcPr>
            <w:tcW w:w="1331" w:type="dxa"/>
          </w:tcPr>
          <w:p>
            <w:pPr>
              <w:widowControl w:val="0"/>
              <w:pBdr>
                <w:top w:val="none" w:sz="0" w:space="0" w:color="auto"/>
                <w:left w:val="none" w:sz="0" w:space="0" w:color="auto"/>
                <w:bottom w:val="none" w:sz="0" w:space="0" w:color="auto"/>
                <w:right w:val="none" w:sz="0" w:space="0" w:color="auto"/>
                <w:between w:val="none" w:sz="0" w:space="0" w:color="auto"/>
              </w:pBdr>
              <w:ind w:left="97" w:right="88"/>
            </w:pPr>
            <w:r>
              <w:t>1</w:t>
            </w:r>
          </w:p>
        </w:tc>
        <w:tc>
          <w:tcPr>
            <w:tcW w:w="1225" w:type="dxa"/>
          </w:tcPr>
          <w:p>
            <w:pPr>
              <w:widowControl w:val="0"/>
              <w:pBdr>
                <w:top w:val="none" w:sz="0" w:space="0" w:color="auto"/>
                <w:left w:val="none" w:sz="0" w:space="0" w:color="auto"/>
                <w:bottom w:val="none" w:sz="0" w:space="0" w:color="auto"/>
                <w:right w:val="none" w:sz="0" w:space="0" w:color="auto"/>
                <w:between w:val="none" w:sz="0" w:space="0" w:color="auto"/>
              </w:pBdr>
              <w:ind w:left="108"/>
            </w:pPr>
            <w:r>
              <w:t>2021-2025</w:t>
            </w:r>
          </w:p>
        </w:tc>
        <w:tc>
          <w:tcPr>
            <w:tcW w:w="154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14555</w:t>
            </w:r>
          </w:p>
        </w:tc>
        <w:tc>
          <w:tcPr>
            <w:tcW w:w="1174"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14554</w:t>
            </w:r>
          </w:p>
        </w:tc>
        <w:tc>
          <w:tcPr>
            <w:tcW w:w="1088" w:type="dxa"/>
          </w:tcPr>
          <w:p>
            <w:pPr>
              <w:widowControl w:val="0"/>
              <w:pBdr>
                <w:top w:val="none" w:sz="0" w:space="0" w:color="auto"/>
                <w:left w:val="none" w:sz="0" w:space="0" w:color="auto"/>
                <w:bottom w:val="none" w:sz="0" w:space="0" w:color="auto"/>
                <w:right w:val="none" w:sz="0" w:space="0" w:color="auto"/>
                <w:between w:val="none" w:sz="0" w:space="0" w:color="auto"/>
              </w:pBdr>
              <w:ind w:left="107"/>
            </w:pPr>
            <w:r>
              <w:t>1</w:t>
            </w:r>
          </w:p>
        </w:tc>
      </w:tr>
      <w:tr>
        <w:trPr>
          <w:cantSplit/>
          <w:trHeight w:val="275"/>
          <w:tblHeader/>
        </w:trPr>
        <w:tc>
          <w:tcPr>
            <w:tcW w:w="1711" w:type="dxa"/>
          </w:tcPr>
          <w:p>
            <w:pPr>
              <w:pBdr>
                <w:top w:val="none" w:sz="0" w:space="0" w:color="auto"/>
                <w:left w:val="none" w:sz="0" w:space="0" w:color="auto"/>
                <w:bottom w:val="none" w:sz="0" w:space="0" w:color="auto"/>
                <w:right w:val="none" w:sz="0" w:space="0" w:color="auto"/>
                <w:between w:val="none" w:sz="0" w:space="0" w:color="auto"/>
              </w:pBdr>
              <w:rPr>
                <w:b/>
                <w:bCs/>
              </w:rPr>
            </w:pPr>
            <w:r>
              <w:rPr>
                <w:b/>
                <w:bCs/>
              </w:rPr>
              <w:t>TOTAL ARTICLES</w:t>
            </w:r>
          </w:p>
        </w:tc>
        <w:tc>
          <w:tcPr>
            <w:tcW w:w="1331" w:type="dxa"/>
          </w:tcPr>
          <w:p>
            <w:pPr>
              <w:widowControl w:val="0"/>
              <w:pBdr>
                <w:top w:val="none" w:sz="0" w:space="0" w:color="auto"/>
                <w:left w:val="none" w:sz="0" w:space="0" w:color="auto"/>
                <w:bottom w:val="none" w:sz="0" w:space="0" w:color="auto"/>
                <w:right w:val="none" w:sz="0" w:space="0" w:color="auto"/>
                <w:between w:val="none" w:sz="0" w:space="0" w:color="auto"/>
              </w:pBdr>
              <w:rPr>
                <w:b/>
                <w:bCs/>
              </w:rPr>
            </w:pPr>
            <w:r>
              <w:rPr>
                <w:b/>
                <w:bCs/>
              </w:rPr>
              <w:t>16</w:t>
            </w:r>
          </w:p>
        </w:tc>
        <w:tc>
          <w:tcPr>
            <w:tcW w:w="1225" w:type="dxa"/>
          </w:tcPr>
          <w:p>
            <w:pPr>
              <w:widowControl w:val="0"/>
              <w:pBdr>
                <w:top w:val="none" w:sz="0" w:space="0" w:color="auto"/>
                <w:left w:val="none" w:sz="0" w:space="0" w:color="auto"/>
                <w:bottom w:val="none" w:sz="0" w:space="0" w:color="auto"/>
                <w:right w:val="none" w:sz="0" w:space="0" w:color="auto"/>
                <w:between w:val="none" w:sz="0" w:space="0" w:color="auto"/>
              </w:pBdr>
              <w:ind w:left="108"/>
              <w:rPr>
                <w:b/>
                <w:bCs/>
              </w:rPr>
            </w:pPr>
            <w:r>
              <w:rPr>
                <w:b/>
                <w:bCs/>
              </w:rPr>
              <w:t>2021-2025</w:t>
            </w:r>
          </w:p>
        </w:tc>
        <w:tc>
          <w:tcPr>
            <w:tcW w:w="1544" w:type="dxa"/>
          </w:tcPr>
          <w:p>
            <w:pPr>
              <w:widowControl w:val="0"/>
              <w:pBdr>
                <w:top w:val="none" w:sz="0" w:space="0" w:color="auto"/>
                <w:left w:val="none" w:sz="0" w:space="0" w:color="auto"/>
                <w:bottom w:val="none" w:sz="0" w:space="0" w:color="auto"/>
                <w:right w:val="none" w:sz="0" w:space="0" w:color="auto"/>
                <w:between w:val="none" w:sz="0" w:space="0" w:color="auto"/>
              </w:pBdr>
              <w:rPr>
                <w:b/>
                <w:bCs/>
              </w:rPr>
            </w:pPr>
            <w:r>
              <w:rPr>
                <w:b/>
                <w:bCs/>
              </w:rPr>
              <w:t>74752</w:t>
            </w:r>
          </w:p>
        </w:tc>
        <w:tc>
          <w:tcPr>
            <w:tcW w:w="1174" w:type="dxa"/>
          </w:tcPr>
          <w:p>
            <w:pPr>
              <w:widowControl w:val="0"/>
              <w:pBdr>
                <w:top w:val="none" w:sz="0" w:space="0" w:color="auto"/>
                <w:left w:val="none" w:sz="0" w:space="0" w:color="auto"/>
                <w:bottom w:val="none" w:sz="0" w:space="0" w:color="auto"/>
                <w:right w:val="none" w:sz="0" w:space="0" w:color="auto"/>
                <w:between w:val="none" w:sz="0" w:space="0" w:color="auto"/>
              </w:pBdr>
              <w:ind w:left="107"/>
              <w:rPr>
                <w:b/>
                <w:bCs/>
              </w:rPr>
            </w:pPr>
            <w:r>
              <w:rPr>
                <w:b/>
                <w:bCs/>
              </w:rPr>
              <w:t>74736</w:t>
            </w:r>
          </w:p>
        </w:tc>
        <w:tc>
          <w:tcPr>
            <w:tcW w:w="1088" w:type="dxa"/>
          </w:tcPr>
          <w:p>
            <w:pPr>
              <w:widowControl w:val="0"/>
              <w:pBdr>
                <w:top w:val="none" w:sz="0" w:space="0" w:color="auto"/>
                <w:left w:val="none" w:sz="0" w:space="0" w:color="auto"/>
                <w:bottom w:val="none" w:sz="0" w:space="0" w:color="auto"/>
                <w:right w:val="none" w:sz="0" w:space="0" w:color="auto"/>
                <w:between w:val="none" w:sz="0" w:space="0" w:color="auto"/>
              </w:pBdr>
              <w:ind w:left="107"/>
              <w:rPr>
                <w:b/>
                <w:bCs/>
              </w:rPr>
            </w:pPr>
            <w:r>
              <w:rPr>
                <w:b/>
                <w:bCs/>
              </w:rPr>
              <w:t>16</w:t>
            </w:r>
          </w:p>
        </w:tc>
      </w:tr>
    </w:tbl>
    <w:p>
      <w:pPr>
        <w:pStyle w:val="5"/>
      </w:pPr>
      <w:bookmarkStart w:id="65" w:name="_heading=h.xqtyi7tbzbet"/>
      <w:bookmarkStart w:id="66" w:name="_Toc220757005"/>
      <w:bookmarkEnd w:id="65"/>
      <w:r>
        <w:t>Table 3.3: Screening result</w:t>
      </w:r>
      <w:bookmarkEnd w:id="66"/>
      <w:r>
        <w:t xml:space="preserve"> </w:t>
      </w:r>
    </w:p>
    <w:p>
      <w:pPr>
        <w:pBdr>
          <w:top w:val="none" w:sz="0" w:space="0" w:color="auto"/>
          <w:left w:val="none" w:sz="0" w:space="0" w:color="auto"/>
          <w:bottom w:val="none" w:sz="0" w:space="0" w:color="auto"/>
          <w:right w:val="none" w:sz="0" w:space="0" w:color="auto"/>
          <w:between w:val="none" w:sz="0" w:space="0" w:color="auto"/>
        </w:pBdr>
        <w:spacing w:before="280"/>
        <w:jc w:val="center"/>
      </w:pPr>
      <w:r>
        <w:t>(Source: Self-developed)</w:t>
      </w:r>
    </w:p>
    <w:p>
      <w:pPr>
        <w:pStyle w:val="2"/>
      </w:pPr>
      <w:bookmarkStart w:id="67" w:name="_Toc220754486"/>
      <w:r>
        <w:t>3.11 Study selection</w:t>
      </w:r>
      <w:bookmarkEnd w:id="67"/>
    </w:p>
    <w:p>
      <w:pPr>
        <w:pBdr>
          <w:top w:val="none" w:sz="0" w:space="0" w:color="auto"/>
          <w:left w:val="none" w:sz="0" w:space="0" w:color="auto"/>
          <w:bottom w:val="none" w:sz="0" w:space="0" w:color="auto"/>
          <w:right w:val="none" w:sz="0" w:space="0" w:color="auto"/>
          <w:between w:val="none" w:sz="0" w:space="0" w:color="auto"/>
        </w:pBdr>
      </w:pPr>
      <w:r>
        <w:t xml:space="preserve">Research context related studies have been used in this research directly from authentic data bases such as Google Scholar, PubMed, CINAHL and EMBASE. During the study selection process, inclusion and exclusion criteria have been considered to ensure maximum relevant information from the previous literature with the effectiveness of personalised care planning. </w:t>
      </w:r>
    </w:p>
    <w:p>
      <w:pPr>
        <w:pStyle w:val="2"/>
      </w:pPr>
      <w:bookmarkStart w:id="68" w:name="_Toc220754487"/>
      <w:r>
        <w:t>3.12 Left articles form whole process</w:t>
      </w:r>
      <w:bookmarkEnd w:id="68"/>
    </w:p>
    <w:p>
      <w:pPr>
        <w:pBdr>
          <w:top w:val="none" w:sz="0" w:space="0" w:color="auto"/>
          <w:left w:val="none" w:sz="0" w:space="0" w:color="auto"/>
          <w:bottom w:val="none" w:sz="0" w:space="0" w:color="auto"/>
          <w:right w:val="none" w:sz="0" w:space="0" w:color="auto"/>
          <w:between w:val="none" w:sz="0" w:space="0" w:color="auto"/>
        </w:pBdr>
      </w:pPr>
      <w:r>
        <w:t xml:space="preserve">The total number of the left articles from the selection process is 1740 after deducting 16 studies from the total records of the databases. The reason behind the exclusion of these huge numbers of articles in this research is multiple including duplicate data, not retrievable, published before 2021 and not peer-reviewed with language differences. The purpose of excluding these articles is to ensure the use of only authentic data sources to draw accurate research outcomes. </w:t>
      </w:r>
    </w:p>
    <w:p>
      <w:pPr>
        <w:pStyle w:val="2"/>
        <w:rPr>
          <w:b w:val="0"/>
          <w:bCs w:val="0"/>
        </w:rPr>
      </w:pPr>
      <w:bookmarkStart w:id="69" w:name="_Toc220754488"/>
      <w:r>
        <w:t>3.13 PRISMA chart</w:t>
      </w:r>
      <w:bookmarkEnd w:id="69"/>
    </w:p>
    <w:p>
      <w:pPr>
        <w:pBdr>
          <w:top w:val="none" w:sz="0" w:space="0" w:color="auto"/>
          <w:left w:val="none" w:sz="0" w:space="0" w:color="auto"/>
          <w:bottom w:val="none" w:sz="0" w:space="0" w:color="auto"/>
          <w:right w:val="none" w:sz="0" w:space="0" w:color="auto"/>
          <w:between w:val="none" w:sz="0" w:space="0" w:color="auto"/>
        </w:pBdr>
      </w:pPr>
      <w:r>
        <w:t xml:space="preserve">The Prisma framework has highlighted the selection of 16 peer reviewed journals out of 1756 articles that are most relevant to the thesis topic. As per the opinion of O'Dea </w:t>
      </w:r>
      <w:r>
        <w:rPr>
          <w:i/>
          <w:iCs/>
        </w:rPr>
        <w:t>et al.</w:t>
      </w:r>
      <w:r>
        <w:t xml:space="preserve"> (2021) the influence of the Prisma framework in systematic review helps to improve transparency, completeness as well as consistency. In the initial stage of the screening process, 726 journal articles were excluded due to the presence of duplicate records and ineligible articles. Only 65 articles were selected as eligible within the screening process. However, among these 65 articles, 12 articles have been excluded due to the back date of publishing years as well as 31 articles due to different languages. Similar to the, 6 articles among 65 eligible articles were excluded due to the aspects of non-peer reviewed.   </w:t>
      </w:r>
    </w:p>
    <w:p>
      <w:pPr>
        <w:pStyle w:val="2"/>
      </w:pPr>
      <w:bookmarkStart w:id="70" w:name="_Toc220754489"/>
      <w:r>
        <w:t>3.14 Quality assessment (QA)</w:t>
      </w:r>
      <w:bookmarkEnd w:id="70"/>
    </w:p>
    <w:p>
      <w:pPr>
        <w:pBdr>
          <w:top w:val="none" w:sz="0" w:space="0" w:color="auto"/>
          <w:left w:val="none" w:sz="0" w:space="0" w:color="auto"/>
          <w:bottom w:val="none" w:sz="0" w:space="0" w:color="auto"/>
          <w:right w:val="none" w:sz="0" w:space="0" w:color="auto"/>
          <w:between w:val="none" w:sz="0" w:space="0" w:color="auto"/>
        </w:pBdr>
        <w:rPr>
          <w:b/>
          <w:bCs/>
          <w:i/>
          <w:iCs/>
          <w:color w:val="FF0000"/>
        </w:rPr>
      </w:pPr>
      <w:r>
        <w:rPr>
          <w:b/>
          <w:bCs/>
          <w:i/>
          <w:iCs/>
          <w:color w:val="FF0000"/>
        </w:rPr>
        <w:t xml:space="preserve">[Referred to the Appendix 3] </w:t>
      </w:r>
    </w:p>
    <w:p>
      <w:pPr>
        <w:pBdr>
          <w:top w:val="none" w:sz="0" w:space="0" w:color="auto"/>
          <w:left w:val="none" w:sz="0" w:space="0" w:color="auto"/>
          <w:bottom w:val="none" w:sz="0" w:space="0" w:color="auto"/>
          <w:right w:val="none" w:sz="0" w:space="0" w:color="auto"/>
          <w:between w:val="none" w:sz="0" w:space="0" w:color="auto"/>
        </w:pBdr>
        <w:rPr>
          <w:color w:val="000000"/>
        </w:rPr>
      </w:pPr>
      <w:r>
        <w:t xml:space="preserve">The key purpose of using the CASP tool is to retrieve the most authentic, reliable and topic-oriented articles (related to healthcare) and ensure the quality of the findings section. Kolaski </w:t>
      </w:r>
      <w:r>
        <w:rPr>
          <w:i/>
          <w:iCs/>
        </w:rPr>
        <w:t xml:space="preserve">et al. </w:t>
      </w:r>
      <w:r>
        <w:t>(2023) have stated that standardised data collection in systematic reviews has been supported by using CASP tool as it promoted the applicability of evidence.</w:t>
      </w:r>
      <w:r>
        <w:rPr>
          <w:color w:val="FF0000"/>
        </w:rPr>
        <w:t xml:space="preserve">  </w:t>
      </w:r>
      <w:r>
        <w:rPr>
          <w:color w:val="000000"/>
        </w:rPr>
        <w:t xml:space="preserve">The analysis from the CASP tool helps in exploring that the articles are peer-reviewed that further has been proven as beneficial for maintaining quality of the current research. Thus, the influence of such methodological tools has effectively selected the 16 peer reviewed articles in terms of answering the research quotes to great extent. </w:t>
      </w:r>
    </w:p>
    <w:p>
      <w:pPr>
        <w:pStyle w:val="2"/>
      </w:pPr>
      <w:bookmarkStart w:id="71" w:name="_Toc220754490"/>
      <w:r>
        <w:t>3.15 Data characteristics and data extraction</w:t>
      </w:r>
      <w:bookmarkEnd w:id="71"/>
    </w:p>
    <w:p>
      <w:pPr>
        <w:pBdr>
          <w:top w:val="none" w:sz="0" w:space="0" w:color="auto"/>
          <w:left w:val="none" w:sz="0" w:space="0" w:color="auto"/>
          <w:bottom w:val="none" w:sz="0" w:space="0" w:color="auto"/>
          <w:right w:val="none" w:sz="0" w:space="0" w:color="auto"/>
          <w:between w:val="none" w:sz="0" w:space="0" w:color="auto"/>
        </w:pBdr>
      </w:pPr>
      <w:r>
        <w:t xml:space="preserve">Data characteristic and data extraction are two vital tasks in the data collection process while it improves research outcomes based on the collected data quality, accuracy, validity, relevance and reliability. Secondary qualitative data collection techniques such as systematic literature review has been utilised throughout this research to include only organised data without any risk of data manipulation. </w:t>
      </w:r>
    </w:p>
    <w:p>
      <w:pPr>
        <w:pStyle w:val="2"/>
      </w:pPr>
      <w:bookmarkStart w:id="72" w:name="_Toc220754491"/>
      <w:r>
        <w:t>3.16 Data analysis</w:t>
      </w:r>
      <w:bookmarkEnd w:id="72"/>
      <w:r>
        <w:t xml:space="preserve"> </w:t>
      </w:r>
    </w:p>
    <w:p>
      <w:pPr>
        <w:pBdr>
          <w:top w:val="none" w:sz="0" w:space="0" w:color="auto"/>
          <w:left w:val="none" w:sz="0" w:space="0" w:color="auto"/>
          <w:bottom w:val="none" w:sz="0" w:space="0" w:color="auto"/>
          <w:right w:val="none" w:sz="0" w:space="0" w:color="auto"/>
          <w:between w:val="none" w:sz="0" w:space="0" w:color="auto"/>
        </w:pBdr>
        <w:rPr>
          <w:color w:val="000000"/>
        </w:rPr>
      </w:pPr>
      <w:r>
        <w:rPr>
          <w:color w:val="000000"/>
        </w:rPr>
        <w:t xml:space="preserve">The collected secondary qualitative data has been synthesised by applying thematic data analysis technique for detailed literature- driven and theoretical understanding of the research contexts including research objectives. During the data synthesis process, short and concise themes have been developed based on the research objectives to critically analyse the existing knowledge relevant to the effectiveness of personalised care planning.  </w:t>
      </w:r>
    </w:p>
    <w:p>
      <w:pPr>
        <w:pStyle w:val="2"/>
      </w:pPr>
      <w:bookmarkStart w:id="73" w:name="_Toc220754492"/>
      <w:r>
        <w:t>3.17 Limitation of the methods</w:t>
      </w:r>
      <w:bookmarkEnd w:id="73"/>
    </w:p>
    <w:p>
      <w:pPr>
        <w:pBdr>
          <w:top w:val="none" w:sz="0" w:space="0" w:color="auto"/>
          <w:left w:val="none" w:sz="0" w:space="0" w:color="auto"/>
          <w:bottom w:val="none" w:sz="0" w:space="0" w:color="auto"/>
          <w:right w:val="none" w:sz="0" w:space="0" w:color="auto"/>
          <w:between w:val="none" w:sz="0" w:space="0" w:color="auto"/>
        </w:pBdr>
      </w:pPr>
      <w:r>
        <w:t xml:space="preserve">Limitation of the research method is the avoidance of using combined data collection methods such as use of primary and secondary qualitative data. The use of primary qualitative data to verify the existing secondary qualitative data can improve the research outcomes with more data validity and reliability. In addition, it can provide deeper insights into the healthcare practices of professionals for personalised care plans. However, this research has been conducted by ignoring the use of primary sources, which can be considered as a limitation of this research method. </w:t>
      </w:r>
    </w:p>
    <w:p>
      <w:pPr>
        <w:pStyle w:val="2"/>
      </w:pPr>
      <w:bookmarkStart w:id="74" w:name="_Toc220754493"/>
      <w:r>
        <w:t>3.18 Chapter summary</w:t>
      </w:r>
      <w:bookmarkEnd w:id="74"/>
    </w:p>
    <w:p>
      <w:pPr>
        <w:pBdr>
          <w:top w:val="none" w:sz="0" w:space="0" w:color="auto"/>
          <w:left w:val="none" w:sz="0" w:space="0" w:color="auto"/>
          <w:bottom w:val="none" w:sz="0" w:space="0" w:color="auto"/>
          <w:right w:val="none" w:sz="0" w:space="0" w:color="auto"/>
          <w:between w:val="none" w:sz="0" w:space="0" w:color="auto"/>
        </w:pBdr>
      </w:pPr>
      <w:r>
        <w:t xml:space="preserve">The methodology chapter has justified the suitability of the chosen methodological choices with logical arguments. The overall discussion has implied that the application of the secondary qualitative data collection technique is supportive to address the research objectives. </w:t>
      </w:r>
    </w:p>
    <w:p>
      <w:r>
        <w:br w:type="page"/>
      </w:r>
    </w:p>
    <w:p>
      <w:pPr>
        <w:pStyle w:val="1"/>
      </w:pPr>
      <w:bookmarkStart w:id="75" w:name="_Toc220754494"/>
      <w:r>
        <w:t>Chapter 4: Results and Discussion</w:t>
      </w:r>
      <w:bookmarkEnd w:id="75"/>
    </w:p>
    <w:p>
      <w:pPr>
        <w:pStyle w:val="2"/>
      </w:pPr>
      <w:bookmarkStart w:id="76" w:name="_Toc220754495"/>
      <w:r>
        <w:t>4.1 Introduction</w:t>
      </w:r>
      <w:bookmarkEnd w:id="76"/>
      <w:r>
        <w:t xml:space="preserve"> </w:t>
      </w:r>
    </w:p>
    <w:p>
      <w:r>
        <w:t xml:space="preserve">The data analysis chapter aims to evaluate the interpretation of the accumulated information in terms of understanding the relevance of the information in relation to the thesis objectives. The data analysis chapter is considered to be crucial as it transforms raw data into actionable insights, proving research validity, supporting key decisions, revealing hidden patterns and trends, identifying opportunities, and improving efficiency. Additionally, the information will be further interpreted through thematic analysis. The influence of a systematic approach can be beneficial in understanding the relevance of the information to the thesis context. </w:t>
      </w:r>
    </w:p>
    <w:p>
      <w:pPr>
        <w:pStyle w:val="2"/>
      </w:pPr>
      <w:bookmarkStart w:id="77" w:name="_Toc220754496"/>
      <w:r>
        <w:t>4.2 Systematic search databases</w:t>
      </w:r>
      <w:bookmarkEnd w:id="77"/>
    </w:p>
    <w:p>
      <w:pPr>
        <w:rPr>
          <w:color w:val="000000"/>
        </w:rPr>
      </w:pPr>
      <w:r>
        <w:rPr>
          <w:color w:val="000000"/>
        </w:rPr>
        <w:t>The systematic database searching has identified 74,752 records between 2021-2025. EMBASE, CINAHL, PubMed Central, Google Scholar and hand searching have been used (See Table 3.3). After the screening process, 74,736 records have been excluded in which total 16 articles have met inclusion criteria showing strong selection across multiple databases and comprehensive search strategies following predefined eligibility criteria and transparent review methodology process.</w:t>
      </w:r>
    </w:p>
    <w:p>
      <w:pPr>
        <w:pStyle w:val="2"/>
      </w:pPr>
      <w:bookmarkStart w:id="78" w:name="_Toc220754497"/>
      <w:r>
        <w:t>4.3 Prisma table</w:t>
      </w:r>
      <w:bookmarkEnd w:id="78"/>
    </w:p>
    <w:p>
      <w:pPr>
        <w:jc w:val="center"/>
        <w:rPr>
          <w:b/>
          <w:bCs/>
        </w:rPr>
      </w:pPr>
      <w:r>
        <w:rPr>
          <w:b/>
          <w:bCs/>
          <w:lang w:eastAsia="en-GB"/>
        </w:rPr>
        <w:drawing>
          <wp:inline distT="114300" distB="114300" distL="114300" distR="114300">
            <wp:extent cx="5095874" cy="5086350"/>
            <wp:effectExtent l="0" t="0" r="0" b="0"/>
            <wp:docPr id="28" name="图片 28"/>
            <wp:cNvGraphicFramePr>
              <a:graphicFrameLocks noChangeAspect="0"/>
            </wp:cNvGraphicFramePr>
            <a:graphic>
              <a:graphicData uri="http://schemas.openxmlformats.org/drawingml/2006/picture">
                <pic:pic>
                  <pic:nvPicPr>
                    <pic:cNvPr id="30" name="图片 30"/>
                    <pic:cNvPicPr/>
                  </pic:nvPicPr>
                  <pic:blipFill>
                    <a:blip r:embed="rId12"/>
                    <a:stretch>
                      <a:fillRect/>
                    </a:stretch>
                  </pic:blipFill>
                  <pic:spPr>
                    <a:xfrm rot="0">
                      <a:off x="0" y="0"/>
                      <a:ext cx="5095874" cy="5086350"/>
                    </a:xfrm>
                    <a:prstGeom prst="rect"/>
                    <a:noFill/>
                    <a:ln w="12700" cmpd="sng" cap="flat">
                      <a:solidFill>
                        <a:srgbClr val="000000"/>
                      </a:solidFill>
                      <a:prstDash val="solid"/>
                      <a:round/>
                    </a:ln>
                  </pic:spPr>
                </pic:pic>
              </a:graphicData>
            </a:graphic>
          </wp:inline>
        </w:drawing>
      </w:r>
    </w:p>
    <w:p>
      <w:pPr>
        <w:pStyle w:val="4"/>
      </w:pPr>
      <w:bookmarkStart w:id="79" w:name="_Toc220756987"/>
      <w:r>
        <w:t>Figure 4.1: PRISMA framework</w:t>
      </w:r>
      <w:bookmarkEnd w:id="79"/>
      <w:r>
        <w:t xml:space="preserve"> </w:t>
      </w:r>
    </w:p>
    <w:p>
      <w:pPr>
        <w:jc w:val="center"/>
        <w:sectPr>
          <w:footerReference w:type="default" r:id="rId2"/>
          <w:pgSz w:w="11909" w:h="16834"/>
          <w:pgMar w:top="1440" w:right="1440" w:bottom="1440" w:left="1440" w:header="720" w:footer="720" w:gutter="0"/>
          <w:pgNumType w:start="0"/>
          <w:docGrid w:linePitch="312" w:charSpace="0"/>
        </w:sectPr>
      </w:pPr>
      <w:r>
        <w:t>(Source: Self-developed)</w:t>
      </w:r>
    </w:p>
    <w:p>
      <w:pPr>
        <w:pStyle w:val="2"/>
      </w:pPr>
      <w:bookmarkStart w:id="80" w:name="_Toc220754498"/>
      <w:r>
        <w:t>4.4 characteristics of all tables</w:t>
      </w:r>
      <w:bookmarkEnd w:id="80"/>
    </w:p>
    <w:p>
      <w:pPr>
        <w:rPr>
          <w:color w:val="FF0000"/>
        </w:rPr>
      </w:pPr>
      <w:r>
        <w:rPr>
          <w:color w:val="FF0000"/>
        </w:rPr>
        <w:t>(See Appendix 2 Result table)</w:t>
      </w:r>
    </w:p>
    <w:p>
      <w:pPr>
        <w:pStyle w:val="2"/>
      </w:pPr>
      <w:bookmarkStart w:id="81" w:name="_Toc220754499"/>
      <w:r>
        <w:t>4.5 Data synthesis</w:t>
      </w:r>
      <w:bookmarkEnd w:id="81"/>
    </w:p>
    <w:p>
      <w:pPr>
        <w:rPr>
          <w:b/>
          <w:bCs/>
          <w:i/>
          <w:iCs/>
        </w:rPr>
      </w:pPr>
      <w:r>
        <w:rPr>
          <w:b/>
          <w:bCs/>
          <w:i/>
          <w:iCs/>
        </w:rPr>
        <w:t>Theme 1: Integrating digital-health technologies in personalised care-planning for stroke survivors</w:t>
      </w:r>
    </w:p>
    <w:p>
      <w:r>
        <w:t xml:space="preserve">According to the research findings, integrating digital health technologies such as AI and ML are effective for stroke survivors as it improves the personal-level care system that increases patient engagement. The review's studies describe that the digital-health technologies play a significant role in enhancing strengths of personalised care-planning for stroke survivors to improve monitoring. Decision-making, engagement and continuity of care. The stroke recovery is highly individualised, requiring adaptive and data-driven approaches over the standardized rehabilitation models from the above tabular analysis.  Ortega-Martorell et al. (2025) focus on the transformative role of AI, ML in personalizing stroke care across the continuum from prevention of rehabilitation particularly for patients with atrial fibrillation </w:t>
      </w:r>
      <w:r>
        <w:rPr>
          <w:i/>
          <w:iCs/>
        </w:rPr>
        <w:t>[refer to Appendix 2]</w:t>
      </w:r>
      <w:r>
        <w:t xml:space="preserve">. Their qualitative system which shows the way predictive analysis and risk-stratification models enable earlier detection of stroke risks and support tailored interventions strategies. AI-driven systems facilitated strong decision-making, however the absence of real-time primary data limits empirical validation by leveraging large-scale healthcare datasets. As per this research findings highlighted the significance of digital integration in managing the multifactorial nature of stroke recovery and prevention with better patient engagement. </w:t>
      </w:r>
    </w:p>
    <w:p/>
    <w:p>
      <w:r>
        <w:t xml:space="preserve">The digital tools enable continuous monitoring and commendation supported clinicians in tailoring care pathways to reinforce the value of data-driven limitations suggesting the requirement for broader implementation studies. Mikkola </w:t>
      </w:r>
      <w:r>
        <w:rPr>
          <w:i/>
          <w:iCs/>
        </w:rPr>
        <w:t>et al.</w:t>
      </w:r>
      <w:r>
        <w:t xml:space="preserve"> (2022) provide quantitative evidence supporting personalised care-planning through the digital monitoring and structured treatment follow-ups across primary care settings. Their large-scale study described that patients enrolled in personalized care programs exhibited higher adherence to treatment plans by enhancing awareness of their health conditions especially among those with multimorbidity. On the other hand, Oster </w:t>
      </w:r>
      <w:r>
        <w:rPr>
          <w:i/>
          <w:iCs/>
        </w:rPr>
        <w:t xml:space="preserve">et al. </w:t>
      </w:r>
      <w:r>
        <w:t>(2024) highlighted different aspects of the patient and healthcare staff regarding digital and interpersonal support in personal care environments. Thus, the service-delivery perspective on primary care-support in healthcare centres. According to the findings of this research, personalised care with integrated technologies can meet the changing expectations of the patients through personalised healthcare interactions. However, healthcare physicians acknowledge the presence of key challenges in meeting long-term expectations without digital integration. However, this misalignment shows the necessity of integrating digital-health platforms which support sustained communication, follow-up and shared decision-making. The digital solutions when implemented across the personalized car frameworks may bridge expectations gaps to enhance continuity and responsiveness of care for stroke survivors.</w:t>
      </w:r>
    </w:p>
    <w:p/>
    <w:p>
      <w:r>
        <w:t xml:space="preserve">Furthermore, Spacey </w:t>
      </w:r>
      <w:r>
        <w:rPr>
          <w:i/>
          <w:iCs/>
        </w:rPr>
        <w:t>et al.</w:t>
      </w:r>
      <w:r>
        <w:t xml:space="preserve"> (2025) investigated the effectiveness of advanced care-planning training across the UK hospitals and care homes describing that the digitally supported education improves caregiver confidence and knowledge. However, the findings are transferable to stroke care contexts, where digital training platforms and decision-support systems strengthen workforce capabilities. The participants reported improved preparedness to deliver personalized care reinforcing the significance of technology-enabled learning in sustaining higher-quality care-planning practices. According to these research findings, integrating digital-health technologies are efficient in the field of personalised care-planning. It provides scope for enhancing predictive capacity and patient engagement with professional competition and continuity of care for stroke survivors. However, the challenges related to real-time data integration, digital literacy and contextual variability could create resistance. Hence, the evidence consistently supports digital-health integration as a foundational enabler of effective personalized stroke care.</w:t>
      </w:r>
    </w:p>
    <w:p/>
    <w:p>
      <w:pPr>
        <w:rPr>
          <w:b/>
          <w:bCs/>
          <w:i/>
          <w:iCs/>
        </w:rPr>
      </w:pPr>
      <w:r>
        <w:rPr>
          <w:b/>
          <w:bCs/>
          <w:i/>
          <w:iCs/>
        </w:rPr>
        <w:t>Theme 2: Impact of multidisciplinary collaboration for advanced personalised care-planning</w:t>
      </w:r>
    </w:p>
    <w:p>
      <w:r>
        <w:t xml:space="preserve">According to the findings of this research, multidisciplinary collaboration can enhance personalised care-planning for stroke survivors by increasing collaborative engagement of healthcare workers and patients at the same time. As per the views of Chang (2022) highlighted the way recent scientific advancements have minimised mortality but failed to adequately address long-term disability to reinforce the requirement for personalized digital evaluation tools which understood functional variability across the patients. The digital technologies enable proper assessment of neurological function and recovery trajectories to support tailored rehabilitation strategies </w:t>
      </w:r>
      <w:r>
        <w:rPr>
          <w:i/>
          <w:iCs/>
          <w:color w:val="000000"/>
        </w:rPr>
        <w:t>[refer to Appendix 2 result table]</w:t>
      </w:r>
      <w:r>
        <w:rPr>
          <w:color w:val="000000"/>
        </w:rPr>
        <w:t xml:space="preserve">. Hence, this reinforces the necessity of multidisciplinary engagement to address the diverse </w:t>
      </w:r>
      <w:r>
        <w:t xml:space="preserve">and evolving needs of stroke survivors. Hancock </w:t>
      </w:r>
      <w:r>
        <w:rPr>
          <w:i/>
          <w:iCs/>
        </w:rPr>
        <w:t>et al</w:t>
      </w:r>
      <w:r>
        <w:t xml:space="preserve">. (2023) provide the strong empirical support for this theme through their evaluation of the bridges supported self-management program implemented across 24 UK NHS stroke and neurorehabilitation services, their findings describe that the multidisciplinary training enabled practitioners form different professional backgrounds to adopt shared language, restructure patient interaction and combinedly implement supported self-management across the routine care. Significantly, the collaboration enhanced beyond the individual practice to organizational procedures such as induction and team learning, indicating which multidisciplinary working improves sustainability of personalized care models. </w:t>
      </w:r>
    </w:p>
    <w:p>
      <w:r>
        <w:t xml:space="preserve">The research findings also identified the significance of collaborative approach to enhance cross-disciplinary alignment, which is effective in enhancing patient care appropriately with better patient satisfaction on time. Ma </w:t>
      </w:r>
      <w:r>
        <w:rPr>
          <w:i/>
          <w:iCs/>
        </w:rPr>
        <w:t>et al</w:t>
      </w:r>
      <w:r>
        <w:t>. (2024) revealed this theme by demonstrating the way multidisciplinary collaboration is shown through digital innovation. Their deep-learning-based model for assessing Activities of Daily Living (ADL) supported care-home staff by enhancing detection accuracy and reducing workloads. This technological integration enabled care teams to make collective, data-driven decisions regarding personalised care planning. The model has strengthened interdisciplinary coordination and improved efficiency showing the way digital tools can act as catalyst for collaborative practice over the replacements for professional decision-making to support nurses, therapists and car coordination.</w:t>
      </w:r>
    </w:p>
    <w:p/>
    <w:p>
      <w:r>
        <w:t xml:space="preserve">Furthermore, Sedini </w:t>
      </w:r>
      <w:r>
        <w:rPr>
          <w:i/>
          <w:iCs/>
        </w:rPr>
        <w:t>et al.</w:t>
      </w:r>
      <w:r>
        <w:t xml:space="preserve"> (2024) undermine the significance of multidisciplinary collaboration across the advance care planning (ACP), especially for the older adults with multimorbidity and frailty. Their qualitative analysis shows that the effective ACP depends on communication and cooperation between clinicians, patients and families. Face-to-face consultations and digital solutions have been identified as mechanisms, which improve shared understanding across disciplines enabling holistic and patient-centred decision-making. However, the challenges including complexity of conditions persist, collaborative approaches have been found to mitigate the fragmentation in care delivery. Therefore, these insights show that multidisciplinary collaboration improves the effectiveness for personalised care planning by integrating diverse expertise aligning with the professional values and supporting coordinated decision-making. The collaborative practice strengthens responsiveness to patient needs by improving care quality whether through shared self-management frameworks, digital decision-support systems or structured care-planning procedures. Therefore, the research findings support the effectiveness of collaborative approach among the patients and healthcare staff to provide personal-level care. </w:t>
      </w:r>
    </w:p>
    <w:p>
      <w:pPr>
        <w:rPr>
          <w:b/>
          <w:bCs/>
          <w:i/>
          <w:iCs/>
        </w:rPr>
      </w:pPr>
      <w:r>
        <w:rPr>
          <w:b/>
          <w:bCs/>
          <w:i/>
          <w:iCs/>
        </w:rPr>
        <w:t>Theme 3: Key barriers and enablers influencing the effectiveness of personalised healthcare planning for the population</w:t>
      </w:r>
    </w:p>
    <w:p>
      <w:r>
        <w:t>Hinckley and Jayes (2023) has stated that the personalized healthcare planning for stroke survivors is strongly influenced by both communication-related barriers and enabling design strategies as highlighted in the strategies data. The major barrier has been identified is communication impairment especially aphasia which majorly limits the shared decision-making and patient engagement in rehabilitation planning. The authors also identified on the conventional healthcare communication challenges, leading to reduced autonomy, misunderstandings and exclusion from meaningful care decisions. The limited practitioner training, time pressures and insufficient access to communication-support tools further compound these challenges weakening the effectiveness of personalized planning.</w:t>
      </w:r>
    </w:p>
    <w:p>
      <w:r>
        <w:t>On the other hand, Hinckley and Jayes (2023) has stated that the enabling factors have been identified in which the utilisation of tailored communication tools, visual aids, supported conversation techniques and collaborative strategies can improve patient engagement and shared decision-making.  They provided data on the critical enabled role of speech and language therapists as consultants across the multidisciplinary teams supporting practitioners to adapt communication by promoting person-centred interactions.</w:t>
      </w:r>
    </w:p>
    <w:p/>
    <w:p>
      <w:pPr>
        <w:rPr>
          <w:b/>
          <w:bCs/>
          <w:i/>
          <w:iCs/>
        </w:rPr>
      </w:pPr>
      <w:r>
        <w:t xml:space="preserve">Likewise, Marwaa </w:t>
      </w:r>
      <w:r>
        <w:rPr>
          <w:i/>
        </w:rPr>
        <w:t>et al.</w:t>
      </w:r>
      <w:r>
        <w:t xml:space="preserve"> (2023) further identify structural and contextual enablers through experience-based co-design. Involving stroke survivors, caregivers, clinicians and developers directly in service design helps address unmet needs, improve usability and enhance ownership. Marwaa </w:t>
      </w:r>
      <w:r>
        <w:rPr>
          <w:i/>
          <w:iCs/>
        </w:rPr>
        <w:t>et al.</w:t>
      </w:r>
      <w:r>
        <w:t xml:space="preserve"> (2023) also recognised the digital applications providing evidence-based guidance, personalized exercises and smooth communication have been found to support empowerment and continuity of care. However, the author's response on the barriers are small through context-specific samples and digital literacy gaps may limit the generality. The effective personalized healthcare planning is enabled by inclusive communication practices, stakeholder co-design and multidisciplinary collaboration, while barriers largely enhance from communication deficits, limited practitioner skills and inadequate system-levels support to structures.</w:t>
      </w:r>
    </w:p>
    <w:p>
      <w:r>
        <w:t>As per the key findings of Lievesley</w:t>
      </w:r>
      <w:r>
        <w:rPr>
          <w:i/>
          <w:iCs/>
        </w:rPr>
        <w:t xml:space="preserve"> et al.</w:t>
      </w:r>
      <w:r>
        <w:t xml:space="preserve"> (2022), high costs of new technologies significantly impact personalised healthcare planning by creating economic barriers to access, increasing initial implementation burdens for healthcare systems as well as potentially exacerbating existing health disparities. High costs of new technologies as well as lack of insurance coverage are considered to be the key barriers that affect personalised healthcare planning for the population. The author also recognised that a high price point can limit access to these advanced treatments for a large portion of the population, particularly those with low incomes, the uninsured, or those in rural areas.</w:t>
      </w:r>
    </w:p>
    <w:p>
      <w:pPr>
        <w:rPr>
          <w:b/>
          <w:bCs/>
        </w:rPr>
      </w:pPr>
      <w:r>
        <w:t xml:space="preserve">. As argued by Jiang </w:t>
      </w:r>
      <w:r>
        <w:rPr>
          <w:i/>
          <w:iCs/>
        </w:rPr>
        <w:t>et al.</w:t>
      </w:r>
      <w:r>
        <w:t xml:space="preserve"> (2023), effective leadership provides a clear, top-down mandate for transitioning from traditional, one-size-fits-all medicine to a personalised approach. Strong leadership and robust policy support are fundamental drivers for integrating personalised healthcare planning into standard medical practice. The author has been acknowledged that strong leaders foster an environment that encourages research, development, and the adoption of new technologies crucial for personalised healthcare, such as genomics, big data analytics as well as artificial intelligence. Additionally, new personalised treatments as well as data practices require clear ethical guidelines and regulatory oversight. Based on this aspect, policy support ensures that these innovations are introduced responsibly, protecting patient privacy. </w:t>
      </w:r>
    </w:p>
    <w:p>
      <w:pPr>
        <w:rPr>
          <w:b/>
          <w:bCs/>
        </w:rPr>
      </w:pPr>
      <w:r>
        <w:rPr>
          <w:b/>
          <w:bCs/>
        </w:rPr>
        <w:t>Theme 4:</w:t>
      </w:r>
      <w:r>
        <w:rPr>
          <w:b/>
          <w:bCs/>
          <w:i/>
          <w:iCs/>
        </w:rPr>
        <w:t xml:space="preserve"> Recommendations enhancing personalised healthcare planning and identifying areas requiring further investigation</w:t>
      </w:r>
      <w:r>
        <w:t xml:space="preserve"> </w:t>
      </w:r>
    </w:p>
    <w:p>
      <w:r>
        <w:t xml:space="preserve">As per the analysis of Johnson </w:t>
      </w:r>
      <w:r>
        <w:rPr>
          <w:i/>
          <w:iCs/>
        </w:rPr>
        <w:t>et al.</w:t>
      </w:r>
      <w:r>
        <w:t xml:space="preserve"> (2023), healthcare systems are required to ensure that patients are active participants in creating their health plans. Shared decision-making enhances personalised healthcare planning by improving patient understanding and engagement, and aids in identifying areas for further investigation by highlighting knowledge gaps and aligning care with individual values and needs. This involves discussing their personal values, beliefs, preferences as well as lifestyle in terms of establishing realistic as well as meaningful health goals that align with their life's purpose. The author signifies that shared decision-making promotes open dialogue, ensuring patients fully understand their health conditions, treatment options, and potential outcomes.</w:t>
      </w:r>
    </w:p>
    <w:p>
      <w:r>
        <w:t xml:space="preserve">As argued by Sun </w:t>
      </w:r>
      <w:r>
        <w:rPr>
          <w:i/>
          <w:iCs/>
        </w:rPr>
        <w:t>et al.</w:t>
      </w:r>
      <w:r>
        <w:t xml:space="preserve"> (2025), leveraging data and technology significantly enhances personalised healthcare planning by integrating various data sources to provide a holistic view of a patient's health. Healthcare systems are required to adopt modern technologies in terms of enhancing personalised healthcare planning. The author also recognised that combining genomic profiles, clinical data from electronic health records as well as patient-generated data from wearable devices, provides a holistic view of the patient's health. Additionally, machine learning algorithms analyse vast datasets in terms of predicting disease risk as well as progression. This enables the identification of individuals at high risk for specific conditions before symptoms appear, allowing for early, targeted preventative interventions. </w:t>
      </w:r>
    </w:p>
    <w:p>
      <w:r>
        <w:t xml:space="preserve">Krieger </w:t>
      </w:r>
      <w:r>
        <w:rPr>
          <w:i/>
          <w:iCs/>
        </w:rPr>
        <w:t>et al.</w:t>
      </w:r>
      <w:r>
        <w:t xml:space="preserve"> (2021) have highlighted that Wearable devices as well as at-home monitoring tools, collect vital signs constantly that help in offering a complete picture of a patient's health status outside of a clinical setting. The healthcare systems are required to integrate remote monitoring as well as continuous feedback processed in terms of enhancing the healthcare system’s planning stages. The author recognised that continuous feedback loops help identify patterns related to lifestyle, diet and medication adherence. It has been recognised that continuous feedback loops help identify patterns related to lifestyle, diet as well as medication adherence. </w:t>
      </w:r>
    </w:p>
    <w:p>
      <w:r>
        <w:t xml:space="preserve">Guo </w:t>
      </w:r>
      <w:r>
        <w:rPr>
          <w:i/>
          <w:iCs/>
        </w:rPr>
        <w:t>et al.</w:t>
      </w:r>
      <w:r>
        <w:t xml:space="preserve"> (2021) have argued that implementing team-based care and care coordination enhances personalised healthcare planning by fostering a holistic view of the patient, integrating diverse expertise, and establishing continuous. As per the findings of this author healthcare organisations implement team-based care and care coordination in terms of improving healthcare planning interventions.  The team approach ensures that all aspects of a patient’s well-being, such as medical, social, psychological, and environmental, are considered. </w:t>
      </w:r>
    </w:p>
    <w:p>
      <w:r>
        <w:t>The above-mentioned chapter has highlighted that enhancing personalised healthcare planning as well as identifying areas requiring further investigation, relies heavily on a multi-faceted approach involving advanced technology, data analytics, and patient engagement. The authors has stated the usage of sophisticated data analytics tools in terms of synthesising information from various sources helps in building comprehensive patient profiles and predicting future health needs. It has been recognised that care coordination has been a crucial aspect for identifying areas that need further attention or investigation. On the other hand, Regular, team-based reviews help in identifying potential risks before they become major issues. The team may determine that a patient with a specific chronic condition is at high risk for a related complication, prompting a targeted investigation or referral to a new specialist.</w:t>
      </w:r>
    </w:p>
    <w:p>
      <w:pPr>
        <w:pStyle w:val="2"/>
      </w:pPr>
      <w:r>
        <w:br w:type="page"/>
      </w:r>
      <w:bookmarkStart w:id="82" w:name="_Toc220754500"/>
      <w:r>
        <w:t>4.6 Discussion</w:t>
      </w:r>
      <w:bookmarkEnd w:id="82"/>
    </w:p>
    <w:p>
      <w:r>
        <w:t xml:space="preserve">The fifth chapter of the dissertation is focused on the discussion of the available literature and collected data with a critical evaluation of the themes. This chapter includes a study evaluation table to identify the purpose, methodological approach and findings of the chosen articles. The chapter will critically analyse the key aspects of the themes to address the research questions accordingly. Moreover, this chapter will present a theme-based table where outcomes of the themes will be presented accordingly for a better understanding with maximum transparency. </w:t>
      </w:r>
    </w:p>
    <w:p>
      <w:pPr>
        <w:pStyle w:val="2"/>
      </w:pPr>
      <w:bookmarkStart w:id="83" w:name="_Toc220754501"/>
      <w:r>
        <w:t>4.7 A critical evaluation of findings</w:t>
      </w:r>
      <w:bookmarkEnd w:id="83"/>
    </w:p>
    <w:p>
      <w:r>
        <w:t xml:space="preserve">According to the thematic analysis, personalised healthcare planning is a patient-centred strategy using individual data in terms of creating tailored wellness and treatment plans. The review studies describe that the digital-health technologies play a significant role in enhancing the strengths of personalized care-planning for stroke survivors to improve monitoring. Decision-making, engagement and continuity of care. As per the opinion of Ortega-Martorell </w:t>
      </w:r>
      <w:r>
        <w:rPr>
          <w:i/>
          <w:iCs/>
        </w:rPr>
        <w:t>et al.</w:t>
      </w:r>
      <w:r>
        <w:t xml:space="preserve"> (2025), the transformative role of AI and ML in personalising stroke care across the continuum from prevention to rehabilitation, particularly for patients with atrial fibrillation. It has been recognised that patients become active partners in their care, leading to more confidence, better self-management as well as greater commitment to treatment plans. On the other hand, Mikkola </w:t>
      </w:r>
      <w:r>
        <w:rPr>
          <w:i/>
          <w:iCs/>
        </w:rPr>
        <w:t>et al.</w:t>
      </w:r>
      <w:r>
        <w:t xml:space="preserve"> (2022) provide quantitative evidence supporting personalized care-planning through digital monitoring and structured treatment follow-ups across primary care settings. As per the service-delivery perspective on primary care-support in healthcare centres, Oster </w:t>
      </w:r>
      <w:r>
        <w:rPr>
          <w:i/>
          <w:iCs/>
        </w:rPr>
        <w:t>et al.</w:t>
      </w:r>
      <w:r>
        <w:t xml:space="preserve"> (2024) explore the patient and healthcare staff aspects of digital and interpersonal support in primary care environments. Personalised care planning for adult stroke patients is considered to be effective, leading to significant improvements in functional status, self-care ability as well as psychological well-being. Multidisciplinary, personalised rehabilitation programs have been shown to significantly improve a patient's ability to perform activities of daily living and reduce disability levels. The multidisciplinary collaboration supports collaborative practices in the healthcare process that support a shared-decision-making approach for the personal-level healthcare technique. Moreover, the above discussion supports the relations between the research findings and the existing literature review.</w:t>
      </w:r>
    </w:p>
    <w:p/>
    <w:p>
      <w:pPr>
        <w:pStyle w:val="2"/>
      </w:pPr>
      <w:bookmarkStart w:id="84" w:name="_Toc220754502"/>
      <w:r>
        <w:t>4.8 Critical discussion</w:t>
      </w:r>
      <w:bookmarkEnd w:id="84"/>
    </w:p>
    <w:p>
      <w:pPr>
        <w:rPr>
          <w:b/>
          <w:bCs/>
          <w:i/>
          <w:iCs/>
        </w:rPr>
      </w:pPr>
      <w:r>
        <w:rPr>
          <w:b/>
          <w:bCs/>
          <w:i/>
          <w:iCs/>
        </w:rPr>
        <w:t>Theme 1: Integrating digital-health technologies in personalised care planning for stroke survivors</w:t>
      </w:r>
    </w:p>
    <w:p>
      <w:r>
        <w:t xml:space="preserve">Integrating digital-based healthcare technologies is supportive in providing personalised care for people with stroke. As per the views of Chang (2022), AI or Artificial Intelligence, robotics, and virtual reality are the emerging technologies which are applicable in developing personalised efficiency of the healthcare tools. On the other hand, according to the discussion by Hinckley and Jayes (2023), shared decision-making is applicable as a fundamental approach in person-centred healthcare practices. However, the lack of use of digital-based technologies can reduce the efficiency of the healthcare practices to meet the needs of patients with stroke at the personal level. Apart from these, it has been observed that the use of digital-based technologies in the healthcare setting improves the monitoring performance with maximum accuracy and efficiency. </w:t>
      </w:r>
    </w:p>
    <w:p>
      <w:pPr>
        <w:rPr>
          <w:b/>
          <w:bCs/>
          <w:i/>
          <w:iCs/>
        </w:rPr>
      </w:pPr>
      <w:r>
        <w:rPr>
          <w:b/>
          <w:bCs/>
          <w:i/>
          <w:iCs/>
        </w:rPr>
        <w:t>Theme 2: Impact of multidisciplinary collaboration for advanced personalised care planning</w:t>
      </w:r>
    </w:p>
    <w:p>
      <w:r>
        <w:t xml:space="preserve">The multidisciplinary collaboration supports collaborative practices in the healthcare process that support a shared-decision-making approach for the personal-level healthcare technique. As per the perspectives of Hancock </w:t>
      </w:r>
      <w:r>
        <w:rPr>
          <w:i/>
          <w:iCs/>
        </w:rPr>
        <w:t xml:space="preserve">et al. </w:t>
      </w:r>
      <w:r>
        <w:t xml:space="preserve">(2023), people struggling with health complications such as stroke and neurological conditions create obstacles in personal-level care to meet the actual needs with long-term conditions. This implies that the limited personal-level care practices is quite harmful for people with stroke conditions due to a lack of in-depth understanding of the patient’s needs. However, the application of multidisciplinary collaboration can improve the healthcare approach positively by analysing their actual issues with long-term health conditions. As argued by Marwaa </w:t>
      </w:r>
      <w:r>
        <w:rPr>
          <w:i/>
          <w:iCs/>
        </w:rPr>
        <w:t xml:space="preserve">et al. </w:t>
      </w:r>
      <w:r>
        <w:t xml:space="preserve">(2023), collaboration between healthcare professionals and stroke survivors provides ultimate support to the patients with continuous support. Hence, the implementation of the multidisciplinary approach is supportive for people with long-term health conditions such as stroke to achieve personal-level healthcare. </w:t>
      </w:r>
    </w:p>
    <w:p>
      <w:pPr>
        <w:rPr>
          <w:b/>
          <w:bCs/>
          <w:i/>
          <w:iCs/>
        </w:rPr>
      </w:pPr>
      <w:r>
        <w:rPr>
          <w:b/>
          <w:bCs/>
          <w:i/>
          <w:iCs/>
        </w:rPr>
        <w:t>Theme 3: Key barriers and enablers influencing the effectiveness of personalised healthcare planning for the population</w:t>
      </w:r>
    </w:p>
    <w:p>
      <w:r>
        <w:t xml:space="preserve">As per the description by Chang (2022), the use of robotic and artificial intelligence has been considered in the field of stroke treatment. The purpose of using the digital-based personalised approach improve the personal-level treatment practice to reduce manual error. According to the discussion by Hinckley and Jayes (2023), Person-centred care offers better healthcare outcomes than random treatment practices. This implies the positive aspects of the digital-based healthcare practices at the personal level for people with health complications such as stroke. Thus, the use of technology-based person-centred care practices can improve the healthcare outcomes of people with stroke. However, Lievesley </w:t>
      </w:r>
      <w:r>
        <w:rPr>
          <w:i/>
          <w:iCs/>
        </w:rPr>
        <w:t xml:space="preserve">et al </w:t>
      </w:r>
      <w:r>
        <w:t xml:space="preserve">(2022) highlighted behavioural factors in healthcare practices. In addition, the limited adaptability of patients and healthcare professionals can slow down the healthcare process and outcomes. </w:t>
      </w:r>
    </w:p>
    <w:p>
      <w:pPr>
        <w:rPr>
          <w:b/>
          <w:bCs/>
          <w:i/>
          <w:iCs/>
        </w:rPr>
      </w:pPr>
      <w:r>
        <w:rPr>
          <w:b/>
          <w:bCs/>
          <w:i/>
          <w:iCs/>
        </w:rPr>
        <w:t>Theme 4: Recommendations enhancing personalised healthcare planning and identifying areas requiring further investigation</w:t>
      </w:r>
    </w:p>
    <w:p>
      <w:pPr>
        <w:spacing w:before="240"/>
      </w:pPr>
      <w:r>
        <w:t xml:space="preserve">Positive behaviour and adaptability with improved public awareness are supportive of solving the possible key barriers. As per the views of Jiang </w:t>
      </w:r>
      <w:r>
        <w:rPr>
          <w:i/>
          <w:iCs/>
        </w:rPr>
        <w:t>et al.</w:t>
      </w:r>
      <w:r>
        <w:t xml:space="preserve"> (2023), an individualised problem–solution library of self-management is effective to overcome the existing barriers in healthcare practices at the personal level. On the other hand, Lievesley </w:t>
      </w:r>
      <w:r>
        <w:rPr>
          <w:i/>
          <w:iCs/>
        </w:rPr>
        <w:t xml:space="preserve">et al </w:t>
      </w:r>
      <w:r>
        <w:t>(2022) described the possibility of facing behavioural issues in healthcare practices. In this context, the healthcare professionals have to be trained to enhance their efficiency to positively convince the patients to enhance their healthcare practices and outcomes accordingly. Apart from these, the improvement of the healthcare infrastructure to implement the emerging technologies with maximum efficiency and safety will be supported to ensure a lower risk of technical errors while using the personal data of patients with stroke and other health complexities. Moreover, the above discussion supports the relations between the research findings and the existing literature review.</w:t>
      </w:r>
    </w:p>
    <w:p>
      <w:pPr>
        <w:pStyle w:val="2"/>
      </w:pPr>
      <w:bookmarkStart w:id="85" w:name="_Toc220754503"/>
      <w:r>
        <w:t>4.9 Implication of future research</w:t>
      </w:r>
      <w:bookmarkEnd w:id="85"/>
    </w:p>
    <w:p>
      <w:r>
        <w:t xml:space="preserve">The implication of the research can be beneficial for evaluating the different strategies that will be used for enhancing personalised healthcare planning. It has been recognised that Personalised healthcare planning is a patient-centred strategy using individual data to create tailored wellness and treatment plans, moving from reactive to proactive care for better outcomes. Based on this aspect, the evaluation of this thesis can help practitioners to enhance personalised planning within the healthcare system, and the thesis can also help medical practitioners to improve the quality of service.  </w:t>
      </w:r>
    </w:p>
    <w:p>
      <w:pPr>
        <w:pStyle w:val="2"/>
      </w:pPr>
      <w:bookmarkStart w:id="86" w:name="_Toc220754504"/>
      <w:r>
        <w:t>4.10 Strength and limitation</w:t>
      </w:r>
      <w:bookmarkEnd w:id="86"/>
    </w:p>
    <w:p>
      <w:r>
        <w:t>The research has focused on utilising qualitative data within its findings in terms of meeting the research aims and objectives. The use of qualitative data has helped in supporting the accumulated information by integrating theoretical perspectives. However, the lack of empirical data has created a gap in the research findings. The lack of research findings has developed a gap regarding the relationship between the key variables of the research. Apart from this, the lack of empirical data has also hindered critical analysis of the research variables to a great extent. Thus, integrating quantitative information in the coming themes can help in making the research findings more valuable.</w:t>
      </w:r>
    </w:p>
    <w:p>
      <w:pPr>
        <w:pStyle w:val="2"/>
      </w:pPr>
      <w:bookmarkStart w:id="87" w:name="_Toc220754505"/>
      <w:r>
        <w:t>4.11 Summary</w:t>
      </w:r>
      <w:bookmarkEnd w:id="87"/>
      <w:r>
        <w:t xml:space="preserve"> </w:t>
      </w:r>
    </w:p>
    <w:p>
      <w:r>
        <w:t>The chapter mentioned above highlights those High costs of new technologies as well as a lack of insurance coverage, are considered to be the key barriers that affect personalised healthcare planning for the population. It has been recognised that a high price point can limit access to these advanced treatments for a large portion of the population, particularly those with low incomes, the uninsured, or those in rural areas. This signifies that shared decision-making promotes open dialogue, ensuring patients fully understand their health conditions, treatment options, and potential outcomes.</w:t>
      </w:r>
    </w:p>
    <w:p>
      <w:pPr>
        <w:rPr>
          <w:b/>
          <w:bCs/>
        </w:rPr>
      </w:pPr>
      <w:r>
        <w:br w:type="page"/>
      </w:r>
    </w:p>
    <w:p>
      <w:pPr>
        <w:pStyle w:val="1"/>
      </w:pPr>
      <w:bookmarkStart w:id="88" w:name="_Toc220754506"/>
      <w:r>
        <w:t>Chapter 5: Conclusion and recommendation</w:t>
      </w:r>
      <w:bookmarkEnd w:id="88"/>
    </w:p>
    <w:p>
      <w:pPr>
        <w:pStyle w:val="2"/>
      </w:pPr>
      <w:bookmarkStart w:id="89" w:name="_Toc220754507"/>
      <w:r>
        <w:t>5.1 Conclusion</w:t>
      </w:r>
      <w:bookmarkEnd w:id="89"/>
      <w:r>
        <w:t xml:space="preserve"> </w:t>
      </w:r>
    </w:p>
    <w:p>
      <w:r>
        <w:t xml:space="preserve">On a concluding note, the above result and discussion revealed that stroke remains as a leading cause for various physical issues and disabilities. The prevalence of the massive number of survivors in the UK demarcates long-term physiological risks among the patients aged between 45 and 60 years. Furthermore, a massive number of death-cases in the UK have also been found to be because of strokes due to cardiovascular diseases. Investigation has found smoking, dietary imbalances and digestive issues as some of the major issues causing the stroke-attacks. As this is raising a growing-concern among the UK-citizens and its government, the need for strong-measures to resolve this issue through treatments and positive medical outcomes have been mentioned. </w:t>
      </w:r>
    </w:p>
    <w:p>
      <w:r>
        <w:t xml:space="preserve">Personalised-approaches through effective individual-stroke management with care-support-plan thus have been found as one of the effective measures in this regard. This stroke-related challenge has been further discussed by meeting all the objectives of this research. It has been found that the personalised support-plan for the middle-aged stroke survivors is quite unique in nature and largely depends on the patients’ perspectives. Henceforth, flexibility and adaptability have been found to be one of key factors to tailor the care-approaches for these stroke-survivors. Treating stroke-survivors is quite complex due to the recovery-rate of the patients vary due to physiological abnormalities among the survivors.  Henceforth, to consider improving their daily functionalities, boosting the mental-confidence of the stroke-survivors have been discussed as an excellent-solution. </w:t>
      </w:r>
    </w:p>
    <w:p>
      <w:r>
        <w:t xml:space="preserve">These key-components in the care-approaches have been followed by exploring the impacts of personalised care-planning among the stroke-survivors aged between 45 and 60 years. This discussion deciphered how optimising support-plan through integrating healthy-changes in lifestyle, regular-activities, diet-habits and grooming can bring a positive difference among the stroke-survivors. Investment in enhancing the quality of life has been found as a valuable therapeutic solution to keep these patients mentally and physically healthy. However, these patients have been found to be kept under strong-surveillance under the healthcare-guidance to keep the progress in check. If necessary, the caregivers need to modify their support-plans according to the changing emotions or mood of the patients. </w:t>
      </w:r>
    </w:p>
    <w:p>
      <w:r>
        <w:t xml:space="preserve">The literary argument has gradually explained how developing mental-wellbeing and independence of the patients can improve the recovery process for the stroke-survivor patients. Strokes usually have greater chances of recurrence due to the deteriorated cardiovascular-conditions. Survivors around the age of 45 to 60 are more susceptible to depression or anxiety. Hence, creating a care-support plan helps to ensure a holistic well-being of the patients with proper-rehabilitation with Medicare-follow-ups found to be effective. Strategies regarding personalising care-plans including both the short-term and long-term targets thus have been provided for a faster-recovery. Moreover, integrating cognitive-behavioural-therapies (CBT) and Interprofessional-collaboration (IPC) through communications and assessing requirements was found to bring greater-development in patient-care outcomes. </w:t>
      </w:r>
    </w:p>
    <w:p>
      <w:pPr>
        <w:rPr>
          <w:color w:val="000000"/>
        </w:rPr>
      </w:pPr>
      <w:r>
        <w:t xml:space="preserve">The stroke-survivors within the age-bracket of 45 and 60 yrs. already bear myriads of physiological and psychological challenges and complicated medical-needs. Henceforth, formulating a </w:t>
      </w:r>
      <w:r>
        <w:rPr>
          <w:color w:val="000000"/>
        </w:rPr>
        <w:t xml:space="preserve">personal care-planning that is optimised to their unique requirements is extremely critical. This objective has been met in chapter introduction, study-background, rationale, literature-review, results and discussion. Adults of around 45 to 60 years of age-bracket have been found to be extremely vulnerable towards strokes and its symptoms, accompanied by other diseases. Standardised rehabilitation may overlook these complexities. However, creating individualised plans can help address emotional-wellbeing and vocational-integration, ensuring long-term independence and functional recovery with greater patient-satisfaction. Therefore, a personalised care-planning for them by integrating flexible-approaches to optimise patient outcomes, government-support, changing dietary-habits and boosting moral-support have been found effective throughout the vast-discussion. Additionally, it was also mentioned how the digital-solutions for healthcare can help the stroke-survivors to get accessible treatments.  </w:t>
      </w:r>
    </w:p>
    <w:p>
      <w:pPr>
        <w:rPr>
          <w:color w:val="000000"/>
        </w:rPr>
      </w:pPr>
      <w:r>
        <w:rPr>
          <w:color w:val="000000"/>
        </w:rPr>
        <w:t xml:space="preserve">The second research objective had explore the potential-impacts of personalised healthcare planning on the quality of stroke-survivors’ lives. Survivors’ review thus has been taken into consideration to assess the real-time health-outcomes experienced by the patients. This discussion commenced in the literature-review section, results and discussion, which mentioned how tailoring care-plans personalised by fostering patients’ hobbies, healthy-diets and improving regular-functions uplifted their emotions and mental-conditions. Thus, </w:t>
      </w:r>
      <w:r>
        <w:t xml:space="preserve">integrating patient-centric care plans by adjoining a guided-medication and cognitive-therapy has been proven to be quite-effective to support the stroke-survivors with faster-recovery. Even though lacking cooperation from the patients was found to be challenging, forming viable-decisions for abiding by guided-treatment-protocols have been found essential to </w:t>
      </w:r>
      <w:r>
        <w:rPr>
          <w:color w:val="000000"/>
        </w:rPr>
        <w:t xml:space="preserve">enhance positive health-outcomes. </w:t>
      </w:r>
    </w:p>
    <w:p>
      <w:pPr>
        <w:rPr>
          <w:color w:val="000000"/>
        </w:rPr>
      </w:pPr>
      <w:r>
        <w:rPr>
          <w:color w:val="000000"/>
        </w:rPr>
        <w:t xml:space="preserve">The research third objective had discussed both the obstructions and enablers affecting the personal-healthcare planning’s functionalities for the selected mid-aged adult populations. This objective was met in the background of introductory chapter, rationale, literary-discussion, results and discussion. The barriers were found to be multimorbidity issues of the stroke survivors living with poor-mental health and different complex health-issues. Digital-healthcare support through digital-twins has been suggested; however, patients’ privacy-risks regarding patient-data-breaches have also been found to break the confidentiality between patients and healthcare-support. Moreover, patients themselves sometimes act non-cooperatively or lacking tailored-support-plans hinder an effective-care-outcome. </w:t>
      </w:r>
    </w:p>
    <w:p>
      <w:pPr>
        <w:rPr>
          <w:color w:val="000000"/>
        </w:rPr>
      </w:pPr>
      <w:r>
        <w:rPr>
          <w:color w:val="000000"/>
        </w:rPr>
        <w:t xml:space="preserve">The discussion was made in the introductory section very briefly; however, there is a dedicated-elaboration about this objective in literary-perspectives, results and discussion. Firstly, a requirement for tailoring the care-support plan, taking patients’ perspectives into account for the risk-survivors, has been suggested. Secondly, integrating digital-twins for building a digital-infrastructure for healthcare-support has been promulgated. Thirdly, the importance of shared-decision-making was also found as a viable strategy to take patients’ consents before implementing care-plans to avoid complications later. Fourthly, integrating multidisciplinary care-plans for patients has been recommended being supported by patients’ family-members and community for quicker-recovery. Finally, the interplay of CBT and IPC have been put-forth for supporting survivors’ holistic-improvement needs.  </w:t>
      </w:r>
    </w:p>
    <w:p>
      <w:pPr>
        <w:pStyle w:val="2"/>
      </w:pPr>
      <w:bookmarkStart w:id="90" w:name="_Toc220754508"/>
      <w:r>
        <w:t>5.2 Recommendations</w:t>
      </w:r>
      <w:bookmarkEnd w:id="90"/>
    </w:p>
    <w:p>
      <w:pPr>
        <w:rPr>
          <w:b/>
          <w:bCs/>
          <w:color w:val="000000"/>
        </w:rPr>
      </w:pPr>
      <w:r>
        <w:rPr>
          <w:b/>
          <w:bCs/>
          <w:color w:val="000000"/>
        </w:rPr>
        <w:t xml:space="preserve">Recommendation 1: Developing strong-infrastructure to boost digital-confidence and self-efficacy in stroke-rehabilitation </w:t>
      </w:r>
    </w:p>
    <w:p>
      <w:r>
        <w:rPr>
          <w:color w:val="000000"/>
        </w:rPr>
        <w:t>The stroke survivors struggle with trusting healthcare staff helps to personalise their care plan due to a lack of coordination. Stroke patients within 45 to 60 yrs. of age limit are already fighting with multiple physical-issues such as cardiovascular-diseases, diabetes, high-blood-pressure and multiple other issues. The older adults often find it difficult to</w:t>
      </w:r>
      <w:r>
        <w:t xml:space="preserve"> discuss these issues to the caregivers and thus this may create a barrier in deploying a tailored care approach. Personalised-plans in rehabs or community-support-programs must emphasise developing a rapport with patients through motivational-interviews to conduct sensitive communications, which will bring out the core-issues these adults are facing. Furthermore, training care-support staff with digital-literacy training can ensure a seamless integration of digital tools in patient-care (Vandersman and Tieman, 2024). Such initiatives will enhance digital healthcare infrastructure for stroke-survivors with humane-considerations confidently.  </w:t>
      </w:r>
    </w:p>
    <w:p>
      <w:pPr>
        <w:rPr>
          <w:b/>
          <w:bCs/>
        </w:rPr>
      </w:pPr>
      <w:r>
        <w:rPr>
          <w:b/>
          <w:bCs/>
        </w:rPr>
        <w:t>Recommendation 2: Bridging the gap between government policy and care-support for stroke-survivors with transforming policies</w:t>
      </w:r>
    </w:p>
    <w:p>
      <w:r>
        <w:t xml:space="preserve">National health policies play a great role in prioritising integrated stroke-care facilities through policy-implementations. However, in this regard, the UK government has already implemented a National Stroke Programme that is a conjoined effort between NHS and Stroke Association in the UK (NHS, 2025). This framework helps patients with stroke-risks with post-hospital rehabilitations, thrombectomy to remove plaque or clots in blood vessels and providing them with independent-lives. Apart from this, there may be lack of skills among caregivers or support from hospital-authorities in backward regions, which may jeopardise patient-outcomes. Thereby, the UK-government must deploy a proactive stroke-care investigation-committee to analyse real-time scenarios and cases in suburbs and rural-areas to ensure stroke-survivors are getting the care they deserve. Finally, government policies to boost awareness about strokes and related issues can reduce the stigma and promote healthy-lifestyles, assuring long-term health-improvements. </w:t>
        <w:tab/>
      </w:r>
    </w:p>
    <w:p>
      <w:pPr>
        <w:pStyle w:val="2"/>
      </w:pPr>
      <w:bookmarkStart w:id="91" w:name="_Toc220754509"/>
      <w:r>
        <w:t>5.3 Research-limitations</w:t>
      </w:r>
      <w:bookmarkEnd w:id="91"/>
    </w:p>
    <w:p>
      <w:r>
        <w:t xml:space="preserve">This study that is based on the impact of personalised-care plans among the mid-aged adults of ages 45 to 60 yrs. in the UK faces a few limitations. One of them is that this study has been conducted entirely through a qualitative strategy that has allowed collecting secondary-data from journal articles. This reliance on qualitative-approaches only considered peer-reviewed data; however, hindered the opportunity to deeply investigate the truth of the matter by performing primary research through interviews or surveys. Due to time-constraints, primary research or a mixed approach has been avoided, which creates a gap in including real-time information. Furthermore, the stroke-severity greatly varies because of associated comorbidities, which makes it difficult to measure sustained benefits over-time, which also was not discussed in this study, creating a major gap in research. </w:t>
      </w:r>
    </w:p>
    <w:p>
      <w:pPr>
        <w:pStyle w:val="2"/>
      </w:pPr>
      <w:bookmarkStart w:id="92" w:name="_Toc220754510"/>
      <w:r>
        <w:t>5.4 Future implications of the study</w:t>
      </w:r>
      <w:bookmarkEnd w:id="92"/>
      <w:r>
        <w:t xml:space="preserve"> </w:t>
      </w:r>
    </w:p>
    <w:p>
      <w:pPr>
        <w:sectPr>
          <w:pgSz w:w="11909" w:h="16834"/>
          <w:pgMar w:top="1440" w:right="1440" w:bottom="1440" w:left="1440" w:header="720" w:footer="720" w:gutter="0"/>
          <w:pgNumType w:start="37"/>
          <w:docGrid w:linePitch="299" w:charSpace="0"/>
        </w:sectPr>
      </w:pPr>
      <w:r>
        <w:t>This research on personalised care planning for the stroke-patients aged around 45-60 years has highlighted significant implications for future proceedings. Integration of digital-health tools with individualised rehabilitation can enhance engagement of the stroke-survivors and reduce their non-cooperative behaviours. Moreover, expanding community-based programs will solidify social-support with elevated morale of the patients and policy-reforms focusing on holistic-care for multimorbid stroke-patients is essential. Ultimately, these implications can guide healthcare systems towards more inclusive, patient-centred strategies for effective-outcomes. The research-discussion creates a scope for further studies to mitigate the research gaps and find out how the variables related to morbidity affects stroke-patients.</w:t>
      </w:r>
    </w:p>
    <w:p/>
    <w:p>
      <w:pPr>
        <w:pBdr>
          <w:top w:val="none" w:sz="0" w:space="0" w:color="auto"/>
          <w:left w:val="none" w:sz="0" w:space="0" w:color="auto"/>
          <w:bottom w:val="none" w:sz="0" w:space="0" w:color="auto"/>
          <w:right w:val="none" w:sz="0" w:space="0" w:color="auto"/>
          <w:between w:val="none" w:sz="0" w:space="0" w:color="auto"/>
        </w:pBdr>
      </w:pPr>
    </w:p>
    <w:p>
      <w:pPr>
        <w:pBdr>
          <w:top w:val="none" w:sz="0" w:space="0" w:color="auto"/>
          <w:left w:val="none" w:sz="0" w:space="0" w:color="auto"/>
          <w:bottom w:val="none" w:sz="0" w:space="0" w:color="auto"/>
          <w:right w:val="none" w:sz="0" w:space="0" w:color="auto"/>
          <w:between w:val="none" w:sz="0" w:space="0" w:color="auto"/>
        </w:pBdr>
      </w:pPr>
      <w:r>
        <w:br w:type="page"/>
      </w:r>
    </w:p>
    <w:p>
      <w:pPr>
        <w:pStyle w:val="1"/>
      </w:pPr>
      <w:bookmarkStart w:id="93" w:name="_Toc220754511"/>
      <w:r>
        <w:t>References</w:t>
      </w:r>
      <w:bookmarkEnd w:id="93"/>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Abdulkhamidova, F., (2021). ‘Herzberg’s Two-Factor Theory’. </w:t>
      </w:r>
      <w:r>
        <w:rPr>
          <w:i/>
          <w:iCs/>
          <w:highlight w:val="white"/>
        </w:rPr>
        <w:t>American University in the Emirates (AUE)</w:t>
      </w:r>
      <w:r>
        <w:rPr>
          <w:highlight w:val="white"/>
        </w:rPr>
        <w:t xml:space="preserve">.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Acquah, A., Nsiah, T.K., Antie, E.N.A. and Otoo, B., (2021). ‘Literature review on theories of motivation’. </w:t>
      </w:r>
      <w:r>
        <w:rPr>
          <w:i/>
          <w:iCs/>
          <w:highlight w:val="white"/>
        </w:rPr>
        <w:t>EPRA International Journal of Economic and Business Review</w:t>
      </w:r>
      <w:r>
        <w:rPr>
          <w:highlight w:val="white"/>
        </w:rPr>
        <w:t xml:space="preserve">, </w:t>
      </w:r>
      <w:r>
        <w:rPr>
          <w:i/>
          <w:iCs/>
          <w:highlight w:val="white"/>
        </w:rPr>
        <w:t>9</w:t>
      </w:r>
      <w:r>
        <w:rPr>
          <w:highlight w:val="white"/>
        </w:rPr>
        <w:t xml:space="preserve">(5), pp.25-29.  </w:t>
      </w:r>
    </w:p>
    <w:p>
      <w:pPr>
        <w:pBdr>
          <w:top w:val="none" w:sz="0" w:space="0" w:color="auto"/>
          <w:left w:val="none" w:sz="0" w:space="0" w:color="auto"/>
          <w:bottom w:val="none" w:sz="0" w:space="0" w:color="auto"/>
          <w:right w:val="none" w:sz="0" w:space="0" w:color="auto"/>
          <w:between w:val="none" w:sz="0" w:space="0" w:color="auto"/>
        </w:pBdr>
        <w:spacing w:before="240" w:after="240"/>
      </w:pPr>
      <w:r>
        <w:t>Ahmed, S.K., (2024). ‘The pillars of trustworthiness in qualitative research’. </w:t>
      </w:r>
      <w:r>
        <w:rPr>
          <w:i/>
          <w:iCs/>
        </w:rPr>
        <w:t>Journal of Medicine, Surgery, and Public Health</w:t>
      </w:r>
      <w:r>
        <w:t>, </w:t>
      </w:r>
      <w:r>
        <w:rPr>
          <w:i/>
          <w:iCs/>
        </w:rPr>
        <w:t>2</w:t>
      </w:r>
      <w:r>
        <w:t xml:space="preserve">, p.100051.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Alordiah, C.O., (2023). ‘Mind the gap: exploring effective strategies for conducting gap analysis in educational studies’. </w:t>
      </w:r>
      <w:r>
        <w:rPr>
          <w:i/>
          <w:iCs/>
        </w:rPr>
        <w:t>Journal of Contemporary Issues in Education</w:t>
      </w:r>
      <w:r>
        <w:t xml:space="preserve">, </w:t>
      </w:r>
      <w:r>
        <w:rPr>
          <w:i/>
          <w:iCs/>
        </w:rPr>
        <w:t>7</w:t>
      </w:r>
      <w:r>
        <w:t>(1), pp.1-14.</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Alsyouf, A., Lutfi, A., Alsubahi, N., Alhazmi, F.N., Al-Mugheed, K., Anshasi, R.J., Alharbi, N.I. and Albugami, M., (2023). ‘The use of a technology acceptance model (TAM) to predict patients’ usage of a personal health record system: the role of security, privacy, and usability’. </w:t>
      </w:r>
      <w:r>
        <w:rPr>
          <w:i/>
          <w:iCs/>
          <w:highlight w:val="white"/>
        </w:rPr>
        <w:t>International journal of environmental research and public health</w:t>
      </w:r>
      <w:r>
        <w:rPr>
          <w:highlight w:val="white"/>
        </w:rPr>
        <w:t xml:space="preserve">, </w:t>
      </w:r>
      <w:r>
        <w:rPr>
          <w:i/>
          <w:iCs/>
          <w:highlight w:val="white"/>
        </w:rPr>
        <w:t>20</w:t>
      </w:r>
      <w:r>
        <w:rPr>
          <w:highlight w:val="white"/>
        </w:rPr>
        <w:t xml:space="preserve">(2), p.1347.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Aurelius, T., Ken-Dror, G., Sharma, S.D., Amlani, S., Gunathilagan, G., Cohen, D.L., Rajkumar, C., Maguire, S., Ispoglou, S., Balogun, I. and Parry, A., (2023) ‘Atrial fibrillation in UK South Asian hospitalized ischemic stroke patients: The BRAINS study’. </w:t>
      </w:r>
      <w:r>
        <w:rPr>
          <w:i/>
          <w:iCs/>
        </w:rPr>
        <w:t>Plos one</w:t>
      </w:r>
      <w:r>
        <w:t xml:space="preserve">, </w:t>
      </w:r>
      <w:r>
        <w:rPr>
          <w:i/>
          <w:iCs/>
        </w:rPr>
        <w:t>18</w:t>
      </w:r>
      <w:r>
        <w:t xml:space="preserve">(2), p.e0281014.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Azhari, H.F., Hewitt, J., O'Neill, M., Smith, A., Quinn, T. and Dawson, J., (2025). ‘From fragmented to integrated healthcare managing hypertension post-stroke: a qualitative study’. </w:t>
      </w:r>
      <w:r>
        <w:rPr>
          <w:i/>
          <w:iCs/>
          <w:highlight w:val="white"/>
        </w:rPr>
        <w:t>Frontiers in Stroke</w:t>
      </w:r>
      <w:r>
        <w:rPr>
          <w:highlight w:val="white"/>
        </w:rPr>
        <w:t xml:space="preserve">, </w:t>
      </w:r>
      <w:r>
        <w:rPr>
          <w:i/>
          <w:iCs/>
          <w:highlight w:val="white"/>
        </w:rPr>
        <w:t>4</w:t>
      </w:r>
      <w:r>
        <w:rPr>
          <w:highlight w:val="white"/>
        </w:rPr>
        <w:t>, p.1453087.</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Bajenaru, L., Sorici, A., Mocanu, I.G., Florea, A.M., Antochi, F.A. and Ribigan, A.C., (2023), June. ‘Shared decision-making to improve health-related outcomes for adults with stroke disease’. In </w:t>
      </w:r>
      <w:r>
        <w:rPr>
          <w:i/>
          <w:iCs/>
          <w:highlight w:val="white"/>
        </w:rPr>
        <w:t>Healthcare</w:t>
      </w:r>
      <w:r>
        <w:rPr>
          <w:highlight w:val="white"/>
        </w:rPr>
        <w:t xml:space="preserve"> (Vol. 11, No. 12, p. 1803). MDPI.</w:t>
      </w:r>
    </w:p>
    <w:p>
      <w:pPr>
        <w:spacing w:before="240"/>
      </w:pPr>
      <w:r>
        <w:t>Bally, E.L., Cheng, D., van Grieken, A., Ferri Sanz, M., Zanutto, O., Carroll, A., Darley, A., Roozenbeek, B., Dippel, D.W. and Raat, H., (2023). Patients’ perspectives regarding digital health technology to support self-management and improve integrated stroke care: qualitative interview study</w:t>
      </w:r>
      <w:r>
        <w:rPr>
          <w:i/>
          <w:iCs/>
        </w:rPr>
        <w:t>. Journal of medical Internet research</w:t>
      </w:r>
      <w:r>
        <w:t>, 25, p.e42556.</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Bally, E.L., Cheng, D., van Grieken, A., van Dam-Nolen, D.H., Macchione, S., Sanz, M.F., Carroll, Á., Roozenbeek, B., Dippel, D.W. and Raat, H., (2023). ‘A qualitative study of the values, needs, and preferences of patients regarding stroke care: the ValueCare study’. </w:t>
      </w:r>
      <w:r>
        <w:rPr>
          <w:i/>
          <w:iCs/>
          <w:highlight w:val="white"/>
        </w:rPr>
        <w:t>International Journal of Integrated Care</w:t>
      </w:r>
      <w:r>
        <w:rPr>
          <w:highlight w:val="white"/>
        </w:rPr>
        <w:t xml:space="preserve">, </w:t>
      </w:r>
      <w:r>
        <w:rPr>
          <w:i/>
          <w:iCs/>
          <w:highlight w:val="white"/>
        </w:rPr>
        <w:t>23</w:t>
      </w:r>
      <w:r>
        <w:rPr>
          <w:highlight w:val="white"/>
        </w:rPr>
        <w:t>(3), p.2.</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Bonifacio, G.B., Ward, N.S., Emsley, H.C., Cooper, J. and Bernhardt, J., (2022). ‘Optimising rehabilitation and recovery after a stroke’. </w:t>
      </w:r>
      <w:r>
        <w:rPr>
          <w:i/>
          <w:iCs/>
          <w:highlight w:val="white"/>
        </w:rPr>
        <w:t>Practical neurology, 22</w:t>
      </w:r>
      <w:r>
        <w:rPr>
          <w:highlight w:val="white"/>
        </w:rPr>
        <w:t>(6), pp.478-485.</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Bonkhoff, A.K. and Grefkes, C., (2022). ‘Precision medicine in stroke: towards personalized outcome predictions using artificial intelligence’. </w:t>
      </w:r>
      <w:r>
        <w:rPr>
          <w:i/>
          <w:iCs/>
        </w:rPr>
        <w:t>Brain</w:t>
      </w:r>
      <w:r>
        <w:t xml:space="preserve">, </w:t>
      </w:r>
      <w:r>
        <w:rPr>
          <w:i/>
          <w:iCs/>
        </w:rPr>
        <w:t>145</w:t>
      </w:r>
      <w:r>
        <w:t xml:space="preserve">(2), pp.457-475.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Bonneux, C., Dendale, P. and Coninx, K., (2022), June. ‘Investigating Motivations and Patient Profiles for Personalization of Health Applications for Behaviour Change’. In </w:t>
      </w:r>
      <w:r>
        <w:rPr>
          <w:i/>
          <w:iCs/>
          <w:highlight w:val="white"/>
        </w:rPr>
        <w:t>Proceedings of the 15th International Conference on PErvasive Technologies Related to Assistive Environments</w:t>
      </w:r>
      <w:r>
        <w:rPr>
          <w:highlight w:val="white"/>
        </w:rPr>
        <w:t xml:space="preserve"> (pp. 146-154). </w:t>
      </w:r>
    </w:p>
    <w:p>
      <w:pPr>
        <w:pBdr>
          <w:top w:val="none" w:sz="0" w:space="0" w:color="auto"/>
          <w:left w:val="none" w:sz="0" w:space="0" w:color="auto"/>
          <w:bottom w:val="none" w:sz="0" w:space="0" w:color="auto"/>
          <w:right w:val="none" w:sz="0" w:space="0" w:color="auto"/>
          <w:between w:val="none" w:sz="0" w:space="0" w:color="auto"/>
        </w:pBdr>
        <w:spacing w:before="240" w:after="240"/>
      </w:pPr>
      <w:r>
        <w:t>British Heart Foundation, (2025)</w:t>
      </w:r>
      <w:r>
        <w:rPr>
          <w:i/>
          <w:iCs/>
        </w:rPr>
        <w:t xml:space="preserve"> ‘UK Cardiovascular Disease Factsheet’. </w:t>
      </w:r>
      <w:r>
        <w:t xml:space="preserve">Available at: </w:t>
      </w:r>
      <w:r>
        <w:rPr>
          <w:u w:val="single"/>
        </w:rPr>
        <w:fldChar w:fldCharType="begin"/>
      </w:r>
      <w:r>
        <w:instrText>HYPERLINK "https://www.bhf.org.uk/-/media/files/for-professionals/research/heart-statistics/bhf-cvd-statistics-uk-factsheet.pdf"</w:instrText>
      </w:r>
      <w:r>
        <w:rPr>
          <w:u w:val="single"/>
        </w:rPr>
        <w:fldChar w:fldCharType="separate"/>
      </w:r>
      <w:r>
        <w:rPr>
          <w:u w:val="single"/>
        </w:rPr>
        <w:t>https://www.bhf.org.uk/-/media/files/for-professionals/research/heart-statistics/bhf-cvd-statistics-uk-factsheet.pdf</w:t>
      </w:r>
      <w:r>
        <w:rPr>
          <w:u w:val="single"/>
        </w:rPr>
        <w:fldChar w:fldCharType="end"/>
      </w:r>
      <w:r>
        <w:t xml:space="preserve"> (Accessed: 07 October 2025)</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Canais, E. and Nunes, L., (2024). ‘People with multiple long-term health problems: personalized care planning’. </w:t>
      </w:r>
      <w:r>
        <w:rPr>
          <w:i/>
          <w:iCs/>
          <w:highlight w:val="white"/>
        </w:rPr>
        <w:t>Portuguese Journal of Public Health</w:t>
      </w:r>
      <w:r>
        <w:rPr>
          <w:highlight w:val="white"/>
        </w:rPr>
        <w:t xml:space="preserve">, </w:t>
      </w:r>
      <w:r>
        <w:rPr>
          <w:i/>
          <w:iCs/>
          <w:highlight w:val="white"/>
        </w:rPr>
        <w:t>42</w:t>
      </w:r>
      <w:r>
        <w:rPr>
          <w:highlight w:val="white"/>
        </w:rPr>
        <w:t>(1), pp.63-73.</w:t>
      </w:r>
    </w:p>
    <w:p>
      <w:pPr>
        <w:pBdr>
          <w:top w:val="none" w:sz="0" w:space="0" w:color="auto"/>
          <w:left w:val="none" w:sz="0" w:space="0" w:color="auto"/>
          <w:bottom w:val="none" w:sz="0" w:space="0" w:color="auto"/>
          <w:right w:val="none" w:sz="0" w:space="0" w:color="auto"/>
          <w:between w:val="none" w:sz="0" w:space="0" w:color="auto"/>
        </w:pBdr>
        <w:spacing w:before="240" w:after="240"/>
      </w:pPr>
      <w:r>
        <w:t>Chang, W.H., (2022). ‘Personalized approaches to stroke: one step forward for functional recovery of stroke patients’. </w:t>
      </w:r>
      <w:r>
        <w:rPr>
          <w:i/>
          <w:iCs/>
        </w:rPr>
        <w:t>Journal of Personalized Medicine</w:t>
      </w:r>
      <w:r>
        <w:t>, </w:t>
      </w:r>
      <w:r>
        <w:rPr>
          <w:i/>
          <w:iCs/>
        </w:rPr>
        <w:t>12</w:t>
      </w:r>
      <w:r>
        <w:t xml:space="preserve">(5), p.822. </w:t>
      </w:r>
    </w:p>
    <w:p>
      <w:pPr>
        <w:pBdr>
          <w:top w:val="none" w:sz="0" w:space="0" w:color="auto"/>
          <w:left w:val="none" w:sz="0" w:space="0" w:color="auto"/>
          <w:bottom w:val="none" w:sz="0" w:space="0" w:color="auto"/>
          <w:right w:val="none" w:sz="0" w:space="0" w:color="auto"/>
          <w:between w:val="none" w:sz="0" w:space="0" w:color="auto"/>
        </w:pBdr>
      </w:pPr>
      <w:r>
        <w:t>Cleveland Clinic, (2025)</w:t>
      </w:r>
      <w:r>
        <w:rPr>
          <w:i/>
          <w:iCs/>
        </w:rPr>
        <w:t xml:space="preserve"> ‘Stroke’.</w:t>
      </w:r>
      <w:r>
        <w:t xml:space="preserve"> Available at: </w:t>
      </w:r>
      <w:r>
        <w:rPr>
          <w:u w:val="single"/>
        </w:rPr>
        <w:fldChar w:fldCharType="begin"/>
      </w:r>
      <w:r>
        <w:instrText>HYPERLINK "https://my.clevelandclinic.org/health/diseases/5601-stroke"</w:instrText>
      </w:r>
      <w:r>
        <w:rPr>
          <w:u w:val="single"/>
        </w:rPr>
        <w:fldChar w:fldCharType="separate"/>
      </w:r>
      <w:r>
        <w:rPr>
          <w:u w:val="single"/>
        </w:rPr>
        <w:t>https://my.clevelandclinic.org/health/diseases/5601-stroke</w:t>
      </w:r>
      <w:r>
        <w:rPr>
          <w:u w:val="single"/>
        </w:rPr>
        <w:fldChar w:fldCharType="end"/>
      </w:r>
      <w:r>
        <w:t xml:space="preserve"> (Accessed: 1 December 2025)</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Crow, J., Watt, H., Wells, M. and Malhotra, P., (2025). ‘Improving follow-up care for people after minor stroke using early personalised care: A protocol for a randomised, mixed-methods, feasibility study’. </w:t>
      </w:r>
      <w:r>
        <w:rPr>
          <w:i/>
          <w:iCs/>
          <w:highlight w:val="white"/>
        </w:rPr>
        <w:t>NIHR Open Research</w:t>
      </w:r>
      <w:r>
        <w:rPr>
          <w:highlight w:val="white"/>
        </w:rPr>
        <w:t xml:space="preserve">, </w:t>
      </w:r>
      <w:r>
        <w:rPr>
          <w:i/>
          <w:iCs/>
          <w:highlight w:val="white"/>
        </w:rPr>
        <w:t>4</w:t>
      </w:r>
      <w:r>
        <w:rPr>
          <w:highlight w:val="white"/>
        </w:rPr>
        <w:t>, p.44.</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Dawson, J., Bejot, Y., Christensen, L.M., De Marchis, G.M., Dichgans, M., Hagberg, G., Heldner, M.R., Milionis, H., Li, L., Pezzella, F.R. and Taylor Rowan, M., (2022). ‘European Stroke Organisation (ESO) guideline on pharmacological interventions for long-term secondary prevention after ischaemic stroke or transient ischaemic attack’. </w:t>
      </w:r>
      <w:r>
        <w:rPr>
          <w:i/>
          <w:iCs/>
          <w:highlight w:val="white"/>
        </w:rPr>
        <w:t>European stroke journal</w:t>
      </w:r>
      <w:r>
        <w:rPr>
          <w:highlight w:val="white"/>
        </w:rPr>
        <w:t xml:space="preserve">, </w:t>
      </w:r>
      <w:r>
        <w:rPr>
          <w:i/>
          <w:iCs/>
          <w:highlight w:val="white"/>
        </w:rPr>
        <w:t>7</w:t>
      </w:r>
      <w:r>
        <w:rPr>
          <w:highlight w:val="white"/>
        </w:rPr>
        <w:t>(3), pp.I-XLI.</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De Coninck, L., Declercq, A., Bouckaert, L., Döpp, C., Graff, M.J. and Aertgeerts, B., (2023). ‘The willingness and barriers to collaborate in the care of frail older adults: perspectives of primary care professionals’. </w:t>
      </w:r>
      <w:r>
        <w:rPr>
          <w:i/>
          <w:iCs/>
        </w:rPr>
        <w:t>BMC geriatrics</w:t>
      </w:r>
      <w:r>
        <w:t xml:space="preserve">, </w:t>
      </w:r>
      <w:r>
        <w:rPr>
          <w:i/>
          <w:iCs/>
        </w:rPr>
        <w:t>23</w:t>
      </w:r>
      <w:r>
        <w:t>(1), p.488.</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Drenth, H., Krijnen, W., van der Weerd, L., Reinders, J.J. and Hobbelen, H., (2023). ‘Nursing home, geriatric rehabilitation care and interprofessional collaboration; a practice-based study’. </w:t>
      </w:r>
      <w:r>
        <w:rPr>
          <w:i/>
          <w:iCs/>
        </w:rPr>
        <w:t>BMC geriatrics</w:t>
      </w:r>
      <w:r>
        <w:t xml:space="preserve">, </w:t>
      </w:r>
      <w:r>
        <w:rPr>
          <w:i/>
          <w:iCs/>
        </w:rPr>
        <w:t>23</w:t>
      </w:r>
      <w:r>
        <w:t>(1), p.539.</w:t>
      </w:r>
    </w:p>
    <w:p>
      <w:pPr>
        <w:pBdr>
          <w:top w:val="none" w:sz="0" w:space="0" w:color="auto"/>
          <w:left w:val="none" w:sz="0" w:space="0" w:color="auto"/>
          <w:bottom w:val="none" w:sz="0" w:space="0" w:color="auto"/>
          <w:right w:val="none" w:sz="0" w:space="0" w:color="auto"/>
          <w:between w:val="none" w:sz="0" w:space="0" w:color="auto"/>
        </w:pBdr>
        <w:spacing w:before="240" w:after="240"/>
      </w:pPr>
      <w:r>
        <w:t>Erdmann, A. and Potthoff, S., (2023). ‘Decision criteria for the ethically reflected choice of a member check method in qualitative research: A proposal for discussion.’ </w:t>
      </w:r>
      <w:r>
        <w:rPr>
          <w:i/>
          <w:iCs/>
        </w:rPr>
        <w:t>International Journal of Qualitative Methods</w:t>
      </w:r>
      <w:r>
        <w:t>, </w:t>
      </w:r>
      <w:r>
        <w:rPr>
          <w:i/>
          <w:iCs/>
        </w:rPr>
        <w:t>22</w:t>
      </w:r>
      <w:r>
        <w:t xml:space="preserve">, p.16094069231177664. </w:t>
      </w:r>
    </w:p>
    <w:p>
      <w:pPr>
        <w:pBdr>
          <w:top w:val="none" w:sz="0" w:space="0" w:color="auto"/>
          <w:left w:val="none" w:sz="0" w:space="0" w:color="auto"/>
          <w:bottom w:val="none" w:sz="0" w:space="0" w:color="auto"/>
          <w:right w:val="none" w:sz="0" w:space="0" w:color="auto"/>
          <w:between w:val="none" w:sz="0" w:space="0" w:color="auto"/>
        </w:pBdr>
      </w:pPr>
      <w:r>
        <w:rPr>
          <w:highlight w:val="white"/>
        </w:rPr>
        <w:t xml:space="preserve">Feigin, V.L., Abate, M.D., Abate, Y.H., Abd ElHafeez, S., Abd-Allah, F., Abdelalim, A., Abdelkader, A., Abdelmasseh, M., Abd-Elsalam, S., Abdi, P. and Abdollahi, A., (2024). Global, regional, and national burden of stroke and its risk factors, 1990–2021: a systematic analysis for the Global Burden of Disease Study 2021. </w:t>
      </w:r>
      <w:r>
        <w:rPr>
          <w:i/>
          <w:iCs/>
          <w:highlight w:val="white"/>
        </w:rPr>
        <w:t>The Lancet Neurology</w:t>
      </w:r>
      <w:r>
        <w:rPr>
          <w:highlight w:val="white"/>
        </w:rPr>
        <w:t xml:space="preserve">, </w:t>
      </w:r>
      <w:r>
        <w:rPr>
          <w:i/>
          <w:iCs/>
          <w:highlight w:val="white"/>
        </w:rPr>
        <w:t>23</w:t>
      </w:r>
      <w:r>
        <w:rPr>
          <w:highlight w:val="white"/>
        </w:rPr>
        <w:t>(10), pp.973-1003.</w:t>
      </w:r>
    </w:p>
    <w:p>
      <w:pPr>
        <w:spacing w:before="240"/>
      </w:pPr>
      <w:r>
        <w:t xml:space="preserve">Fernandes, J.B., Fernandes, S., Domingos, J., Castro, C., Romão, A., Graúdo, S., Rosa, G., Franco, T., Ferreira, A.P., Chambino, C. and Ferreira, B., (2024). Motivational strategies used by health care professionals in stroke survivors in rehabilitation: a scoping review of experimental studies. </w:t>
      </w:r>
      <w:r>
        <w:rPr>
          <w:i/>
          <w:iCs/>
        </w:rPr>
        <w:t xml:space="preserve">Frontiers in Medicine, </w:t>
      </w:r>
      <w:r>
        <w:t>11, p.1384414.</w:t>
      </w:r>
    </w:p>
    <w:p>
      <w:pPr>
        <w:pBdr>
          <w:top w:val="none" w:sz="0" w:space="0" w:color="auto"/>
          <w:left w:val="none" w:sz="0" w:space="0" w:color="auto"/>
          <w:bottom w:val="none" w:sz="0" w:space="0" w:color="auto"/>
          <w:right w:val="none" w:sz="0" w:space="0" w:color="auto"/>
          <w:between w:val="none" w:sz="0" w:space="0" w:color="auto"/>
        </w:pBdr>
        <w:spacing w:before="240" w:after="240"/>
      </w:pPr>
      <w:r>
        <w:t>Fife, S.T. and Gossner, J.D., (2024). ‘Deductive qualitative analysis: Evaluating, expanding, and refining theory’. </w:t>
      </w:r>
      <w:r>
        <w:rPr>
          <w:i/>
          <w:iCs/>
        </w:rPr>
        <w:t>International Journal of Qualitative Methods</w:t>
      </w:r>
      <w:r>
        <w:t>, </w:t>
      </w:r>
      <w:r>
        <w:rPr>
          <w:i/>
          <w:iCs/>
        </w:rPr>
        <w:t>23</w:t>
      </w:r>
      <w:r>
        <w:t xml:space="preserve">, p.16094069241244856.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Fowler, K., Mayock, P., Byrne, E., Bennett, K. and Sexton, E., (2024). “Coming home was a disaster, I didn’t know what was going to happen”: a qualitative study of survivors’ and family members’ experiences of navigating care post-stroke. </w:t>
      </w:r>
      <w:r>
        <w:rPr>
          <w:i/>
          <w:iCs/>
          <w:highlight w:val="white"/>
        </w:rPr>
        <w:t>Disability and rehabilitation</w:t>
      </w:r>
      <w:r>
        <w:rPr>
          <w:highlight w:val="white"/>
        </w:rPr>
        <w:t xml:space="preserve">, </w:t>
      </w:r>
      <w:r>
        <w:rPr>
          <w:i/>
          <w:iCs/>
          <w:highlight w:val="white"/>
        </w:rPr>
        <w:t>46</w:t>
      </w:r>
      <w:r>
        <w:rPr>
          <w:highlight w:val="white"/>
        </w:rPr>
        <w:t>(22), pp.5291-5303.</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Guillaumier, A., Spratt, N.J., Pollack, M., Baker, A., Magin, P., Turner, A., Oldmeadow, C., Collins, C., Callister, R., Levi, C. and Searles, A., (2022). ‘Evaluation of an online intervention for improving stroke survivors’ health-related quality of life: a randomised controlled trial’. </w:t>
      </w:r>
      <w:r>
        <w:rPr>
          <w:i/>
          <w:iCs/>
          <w:highlight w:val="white"/>
        </w:rPr>
        <w:t>PLoS Medicine</w:t>
      </w:r>
      <w:r>
        <w:rPr>
          <w:highlight w:val="white"/>
        </w:rPr>
        <w:t xml:space="preserve">, </w:t>
      </w:r>
      <w:r>
        <w:rPr>
          <w:i/>
          <w:iCs/>
          <w:highlight w:val="white"/>
        </w:rPr>
        <w:t>19</w:t>
      </w:r>
      <w:r>
        <w:rPr>
          <w:highlight w:val="white"/>
        </w:rPr>
        <w:t>(4), p.e1003966.</w:t>
      </w:r>
    </w:p>
    <w:p>
      <w:pPr>
        <w:pBdr>
          <w:top w:val="none" w:sz="0" w:space="0" w:color="auto"/>
          <w:left w:val="none" w:sz="0" w:space="0" w:color="auto"/>
          <w:bottom w:val="none" w:sz="0" w:space="0" w:color="auto"/>
          <w:right w:val="none" w:sz="0" w:space="0" w:color="auto"/>
          <w:between w:val="none" w:sz="0" w:space="0" w:color="auto"/>
        </w:pBdr>
        <w:spacing w:before="240" w:after="240"/>
      </w:pPr>
      <w:r>
        <w:t>Guo, Y., Zhang, Z., Lin, B., Mei, Y., Liu, Q., Zhang, L., Wang, W., Li, Y. and Fu, Z., (2021). ‘The unmet needs of community-dwelling stroke survivors: a systematic review of qualitative studies’. </w:t>
      </w:r>
      <w:r>
        <w:rPr>
          <w:i/>
          <w:iCs/>
        </w:rPr>
        <w:t>International journal of environmental research and public health</w:t>
      </w:r>
      <w:r>
        <w:t>, </w:t>
      </w:r>
      <w:r>
        <w:rPr>
          <w:i/>
          <w:iCs/>
        </w:rPr>
        <w:t>18</w:t>
      </w:r>
      <w:r>
        <w:t xml:space="preserve">(4), p.2140. </w:t>
      </w:r>
    </w:p>
    <w:p>
      <w:pPr>
        <w:pBdr>
          <w:top w:val="none" w:sz="0" w:space="0" w:color="auto"/>
          <w:left w:val="none" w:sz="0" w:space="0" w:color="auto"/>
          <w:bottom w:val="none" w:sz="0" w:space="0" w:color="auto"/>
          <w:right w:val="none" w:sz="0" w:space="0" w:color="auto"/>
          <w:between w:val="none" w:sz="0" w:space="0" w:color="auto"/>
        </w:pBdr>
        <w:spacing w:before="240" w:after="240"/>
      </w:pPr>
      <w:r>
        <w:t>Gupta, D.P., Bhamboo, D.U. and Khandal, A., (2024). 'Upholding Ethics in Academic Research: Challenges and Solutions to Plagiarism'. </w:t>
      </w:r>
      <w:r>
        <w:rPr>
          <w:i/>
          <w:iCs/>
        </w:rPr>
        <w:t>Available at SSRN 4990457</w:t>
      </w:r>
      <w:r>
        <w:t xml:space="preserve">.  </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 xml:space="preserve">Gusenbauer, M. and Gauster, S.P., (2025). ‘How to search for literature in systematic reviews and meta-analyses: A comprehensive step-by-step guide. </w:t>
      </w:r>
      <w:r>
        <w:rPr>
          <w:i/>
          <w:iCs/>
          <w:highlight w:val="white"/>
        </w:rPr>
        <w:t>Technological Forecasting and Social Change</w:t>
      </w:r>
      <w:r>
        <w:rPr>
          <w:highlight w:val="white"/>
        </w:rPr>
        <w:t xml:space="preserve">, </w:t>
      </w:r>
      <w:r>
        <w:rPr>
          <w:i/>
          <w:iCs/>
          <w:highlight w:val="white"/>
        </w:rPr>
        <w:t>212</w:t>
      </w:r>
      <w:r>
        <w:rPr>
          <w:highlight w:val="white"/>
        </w:rPr>
        <w:t xml:space="preserve">, p.123833’.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t>Hall, J.R., Savas-Hall, S. and Shaw, E.H., (2023). ‘A deductive approach to a systematic review of entrepreneurship literature’. </w:t>
      </w:r>
      <w:r>
        <w:rPr>
          <w:i/>
          <w:iCs/>
        </w:rPr>
        <w:t>Management Review Quarterly</w:t>
      </w:r>
      <w:r>
        <w:t>, </w:t>
      </w:r>
      <w:r>
        <w:rPr>
          <w:i/>
          <w:iCs/>
        </w:rPr>
        <w:t>73</w:t>
      </w:r>
      <w:r>
        <w:t xml:space="preserve">(3), pp.987-1016. </w:t>
      </w:r>
    </w:p>
    <w:p>
      <w:pPr>
        <w:pBdr>
          <w:top w:val="none" w:sz="0" w:space="0" w:color="auto"/>
          <w:left w:val="none" w:sz="0" w:space="0" w:color="auto"/>
          <w:bottom w:val="none" w:sz="0" w:space="0" w:color="auto"/>
          <w:right w:val="none" w:sz="0" w:space="0" w:color="auto"/>
          <w:between w:val="none" w:sz="0" w:space="0" w:color="auto"/>
        </w:pBdr>
        <w:spacing w:before="240" w:after="240"/>
      </w:pPr>
      <w:r>
        <w:t>Hancock, N.J., Houghton, J. and Jones, F., (2023). ‘Integrating an approach to personalised self-management support in stroke and neurorehabilitation service contexts: People1st–a quality improvement initiative’. </w:t>
      </w:r>
      <w:r>
        <w:rPr>
          <w:i/>
          <w:iCs/>
        </w:rPr>
        <w:t>Disability and Rehabilitation</w:t>
      </w:r>
      <w:r>
        <w:t>, </w:t>
      </w:r>
      <w:r>
        <w:rPr>
          <w:i/>
          <w:iCs/>
        </w:rPr>
        <w:t>45</w:t>
      </w:r>
      <w:r>
        <w:t xml:space="preserve">(19), pp.3034-3045.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Harris, M.T. and Rogers, W.A., (2023). ‘Developing a healthcare technology acceptance model (H-TAM) for older adults with hypertension’. </w:t>
      </w:r>
      <w:r>
        <w:rPr>
          <w:i/>
          <w:iCs/>
          <w:highlight w:val="white"/>
        </w:rPr>
        <w:t>Ageing &amp; Society</w:t>
      </w:r>
      <w:r>
        <w:rPr>
          <w:highlight w:val="white"/>
        </w:rPr>
        <w:t xml:space="preserve">, </w:t>
      </w:r>
      <w:r>
        <w:rPr>
          <w:i/>
          <w:iCs/>
          <w:highlight w:val="white"/>
        </w:rPr>
        <w:t>43</w:t>
      </w:r>
      <w:r>
        <w:rPr>
          <w:highlight w:val="white"/>
        </w:rPr>
        <w:t xml:space="preserve">(4), pp.814-834.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Heaven, A., Foster, M., Foy, R., Hawkins, R., Hulme, C., Humphrey, S., Smith, J. and Clegg, A.P., (2025). ‘Personalised care planning for older people with frailty: a review of factors influencing implementation’. </w:t>
      </w:r>
      <w:r>
        <w:rPr>
          <w:i/>
          <w:iCs/>
          <w:highlight w:val="white"/>
        </w:rPr>
        <w:t>BJGP open</w:t>
      </w:r>
      <w:r>
        <w:rPr>
          <w:highlight w:val="white"/>
        </w:rPr>
        <w:t xml:space="preserve">, </w:t>
      </w:r>
      <w:r>
        <w:rPr>
          <w:i/>
          <w:iCs/>
          <w:highlight w:val="white"/>
        </w:rPr>
        <w:t>9</w:t>
      </w:r>
      <w:r>
        <w:rPr>
          <w:highlight w:val="white"/>
        </w:rPr>
        <w:t xml:space="preserve">(1). </w:t>
      </w:r>
    </w:p>
    <w:p>
      <w:pPr>
        <w:pBdr>
          <w:top w:val="none" w:sz="0" w:space="0" w:color="auto"/>
          <w:left w:val="none" w:sz="0" w:space="0" w:color="auto"/>
          <w:bottom w:val="none" w:sz="0" w:space="0" w:color="auto"/>
          <w:right w:val="none" w:sz="0" w:space="0" w:color="auto"/>
          <w:between w:val="none" w:sz="0" w:space="0" w:color="auto"/>
        </w:pBdr>
        <w:spacing w:before="240" w:after="240"/>
      </w:pPr>
      <w:r>
        <w:t>Hinckley, J. and Jayes, M., (2023). ‘Person-centered care for people with aphasia: tools for shared decision-making’. </w:t>
      </w:r>
      <w:r>
        <w:rPr>
          <w:i/>
          <w:iCs/>
        </w:rPr>
        <w:t>Frontiers in rehabilitation sciences</w:t>
      </w:r>
      <w:r>
        <w:t>, </w:t>
      </w:r>
      <w:r>
        <w:rPr>
          <w:i/>
          <w:iCs/>
        </w:rPr>
        <w:t>4</w:t>
      </w:r>
      <w:r>
        <w:t xml:space="preserve">, p.1236534.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Ikram, M. and Kenayathulla, H.B., (2022). ‘Out of touch: comparing and contrasting positivism and interpretivism in social science’. </w:t>
      </w:r>
      <w:r>
        <w:rPr>
          <w:i/>
          <w:iCs/>
        </w:rPr>
        <w:t>Asian Journal of Research in Education and Social Sciences</w:t>
      </w:r>
      <w:r>
        <w:t xml:space="preserve">, </w:t>
      </w:r>
      <w:r>
        <w:rPr>
          <w:i/>
          <w:iCs/>
        </w:rPr>
        <w:t>4</w:t>
      </w:r>
      <w:r>
        <w:t xml:space="preserve">(2), pp.39-49.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Jawad, L.A., (2024). ‘Security and privacy in digital healthcare systems: challenges and mitigation strategies’. </w:t>
      </w:r>
      <w:r>
        <w:rPr>
          <w:i/>
          <w:iCs/>
        </w:rPr>
        <w:t>Abhigyan</w:t>
      </w:r>
      <w:r>
        <w:t xml:space="preserve">, </w:t>
      </w:r>
      <w:r>
        <w:rPr>
          <w:i/>
          <w:iCs/>
        </w:rPr>
        <w:t>42</w:t>
      </w:r>
      <w:r>
        <w:t xml:space="preserve">(1), pp.23-31. </w:t>
      </w:r>
    </w:p>
    <w:p>
      <w:pPr>
        <w:pBdr>
          <w:top w:val="none" w:sz="0" w:space="0" w:color="auto"/>
          <w:left w:val="none" w:sz="0" w:space="0" w:color="auto"/>
          <w:bottom w:val="none" w:sz="0" w:space="0" w:color="auto"/>
          <w:right w:val="none" w:sz="0" w:space="0" w:color="auto"/>
          <w:between w:val="none" w:sz="0" w:space="0" w:color="auto"/>
        </w:pBdr>
        <w:spacing w:before="240" w:after="240"/>
      </w:pPr>
      <w:r>
        <w:t>Jiang, N., Xv, Y., Sun, X., Feng, L., Wang, Y.B. and Jiang, X.L., (2023). ‘Study on self-management of real-time and individualized support in stroke patients based on resilience: a protocol for a randomized controlled trial’. </w:t>
      </w:r>
      <w:r>
        <w:rPr>
          <w:i/>
          <w:iCs/>
        </w:rPr>
        <w:t>Trials</w:t>
      </w:r>
      <w:r>
        <w:t>, </w:t>
      </w:r>
      <w:r>
        <w:rPr>
          <w:i/>
          <w:iCs/>
        </w:rPr>
        <w:t>24</w:t>
      </w:r>
      <w:r>
        <w:t xml:space="preserve">(1), p.493. Available at: </w:t>
      </w:r>
    </w:p>
    <w:p>
      <w:pPr>
        <w:pBdr>
          <w:top w:val="none" w:sz="0" w:space="0" w:color="auto"/>
          <w:left w:val="none" w:sz="0" w:space="0" w:color="auto"/>
          <w:bottom w:val="none" w:sz="0" w:space="0" w:color="auto"/>
          <w:right w:val="none" w:sz="0" w:space="0" w:color="auto"/>
          <w:between w:val="none" w:sz="0" w:space="0" w:color="auto"/>
        </w:pBdr>
        <w:spacing w:before="240" w:after="240"/>
        <w:rPr>
          <w:b/>
          <w:bCs/>
        </w:rPr>
      </w:pPr>
      <w:r>
        <w:t>Johnson, V.L., Apps, L., Hadjiconstantinou, M., Carey, M.E., Kreit, E., Mullis, R., Mant, J. and Davies, M.J., (2023). ‘The development of a self-management intervention for stroke survivors–my life after stroke (MLAS)’. </w:t>
      </w:r>
      <w:r>
        <w:rPr>
          <w:i/>
          <w:iCs/>
        </w:rPr>
        <w:t>Disability and rehabilitation</w:t>
      </w:r>
      <w:r>
        <w:t>, </w:t>
      </w:r>
      <w:r>
        <w:rPr>
          <w:i/>
          <w:iCs/>
        </w:rPr>
        <w:t>45</w:t>
      </w:r>
      <w:r>
        <w:t xml:space="preserve">(2), pp.226-234. Available at: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Junjie, M. and Yingxin, M., (2022). ‘The Discussions of Positivism and Interpretivism’. </w:t>
      </w:r>
      <w:r>
        <w:rPr>
          <w:i/>
          <w:iCs/>
        </w:rPr>
        <w:t>Online Submission</w:t>
      </w:r>
      <w:r>
        <w:t xml:space="preserve">, </w:t>
      </w:r>
      <w:r>
        <w:rPr>
          <w:i/>
          <w:iCs/>
        </w:rPr>
        <w:t>4</w:t>
      </w:r>
      <w:r>
        <w:t xml:space="preserve">(1), pp.10-14.  </w:t>
      </w:r>
    </w:p>
    <w:p>
      <w:pPr>
        <w:spacing w:before="240"/>
      </w:pPr>
      <w:r>
        <w:t>Kam, J.E. and Choo, P.L., (2024). Feeling lonely and dissatisfied–understanding social network functioning in stroke survivors.</w:t>
      </w:r>
      <w:r>
        <w:rPr>
          <w:i/>
          <w:iCs/>
        </w:rPr>
        <w:t xml:space="preserve"> BMC psychology,</w:t>
      </w:r>
      <w:r>
        <w:t xml:space="preserve"> 12(1), p.558.</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Kamau, G., (2022). ‘ICT4D research in developing countries: A call for pragmatism approach’. </w:t>
      </w:r>
      <w:r>
        <w:rPr>
          <w:i/>
          <w:iCs/>
        </w:rPr>
        <w:t>International Journal of Computer and Information System (Ijcis)</w:t>
      </w:r>
      <w:r>
        <w:t xml:space="preserve">. Available at: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Kassem, H., Beevi, A.A., Basheer, S., Lutfi, G., Cheikh Ismail, L. and Papandreou, D., (2025). ‘Investigation and assessment of AI’s role in nutrition—an updated narrative review of the evidence’. </w:t>
      </w:r>
      <w:r>
        <w:rPr>
          <w:i/>
          <w:iCs/>
          <w:highlight w:val="white"/>
        </w:rPr>
        <w:t>Nutrients</w:t>
      </w:r>
      <w:r>
        <w:rPr>
          <w:highlight w:val="white"/>
        </w:rPr>
        <w:t xml:space="preserve">, </w:t>
      </w:r>
      <w:r>
        <w:rPr>
          <w:i/>
          <w:iCs/>
          <w:highlight w:val="white"/>
        </w:rPr>
        <w:t>17</w:t>
      </w:r>
      <w:r>
        <w:rPr>
          <w:highlight w:val="white"/>
        </w:rPr>
        <w:t>(1), p.190.</w:t>
      </w:r>
    </w:p>
    <w:p>
      <w:pPr>
        <w:spacing w:before="240"/>
      </w:pPr>
      <w:r>
        <w:t xml:space="preserve">Kenah, K., Tavener, M., Bernhardt, J., Spratt, N.J. and Janssen, H., (2024). “Wasting time”: a qualitative study of stroke survivors’ experiences of boredom in non-therapy time during inpatient rehabilitation. </w:t>
      </w:r>
      <w:r>
        <w:rPr>
          <w:i/>
          <w:iCs/>
        </w:rPr>
        <w:t>Disability and rehabilitation</w:t>
      </w:r>
      <w:r>
        <w:t>, 46(13), pp.2799-2807.</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Khalajzadeh, H., Grundy, J. and McIntosh, J., (2022), October. ‘Vision: Developing collaborative model-driven apps for personalised care plans’. In </w:t>
      </w:r>
      <w:r>
        <w:rPr>
          <w:i/>
          <w:iCs/>
          <w:highlight w:val="white"/>
        </w:rPr>
        <w:t>Proceedings of the 25th international conference on model driven engineering languages and systems: Companion proceedings</w:t>
      </w:r>
      <w:r>
        <w:rPr>
          <w:highlight w:val="white"/>
        </w:rPr>
        <w:t xml:space="preserve"> (pp. 929-933). </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 xml:space="preserve">Kolaski, K., Romeiser Logan, L. and Ioannidis, J.P., (2023). ‘Guidance to best tools and practices for systematic reviews’. </w:t>
      </w:r>
      <w:r>
        <w:rPr>
          <w:i/>
          <w:iCs/>
          <w:highlight w:val="white"/>
        </w:rPr>
        <w:t>Journal of Pediatric Rehabilitation Medicine</w:t>
      </w:r>
      <w:r>
        <w:rPr>
          <w:highlight w:val="white"/>
        </w:rPr>
        <w:t xml:space="preserve">, </w:t>
      </w:r>
      <w:r>
        <w:rPr>
          <w:i/>
          <w:iCs/>
          <w:highlight w:val="white"/>
        </w:rPr>
        <w:t>16</w:t>
      </w:r>
      <w:r>
        <w:rPr>
          <w:highlight w:val="white"/>
        </w:rPr>
        <w:t xml:space="preserve">(2), pp.241-273. </w:t>
      </w:r>
    </w:p>
    <w:p>
      <w:pPr>
        <w:pBdr>
          <w:top w:val="none" w:sz="0" w:space="0" w:color="auto"/>
          <w:left w:val="none" w:sz="0" w:space="0" w:color="auto"/>
          <w:bottom w:val="none" w:sz="0" w:space="0" w:color="auto"/>
          <w:right w:val="none" w:sz="0" w:space="0" w:color="auto"/>
          <w:between w:val="none" w:sz="0" w:space="0" w:color="auto"/>
        </w:pBdr>
        <w:spacing w:before="240" w:after="240"/>
      </w:pPr>
      <w:r>
        <w:t>Krieger, T., Floren, M., Feron, F. and Dorant, E., (2021). ‘Optimising a complex stroke caregiver support programme in practice: a participatory action research study’. </w:t>
      </w:r>
      <w:r>
        <w:rPr>
          <w:i/>
          <w:iCs/>
        </w:rPr>
        <w:t>Educational Action Research</w:t>
      </w:r>
      <w:r>
        <w:t>, </w:t>
      </w:r>
      <w:r>
        <w:rPr>
          <w:i/>
          <w:iCs/>
        </w:rPr>
        <w:t>29</w:t>
      </w:r>
      <w:r>
        <w:t xml:space="preserve">(1), pp.37-59.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Last, N., Packham, T.L., Gewurtz, R.E., Letts, L.J. and Harris, J.E., (2022). ‘Exploring patient perspectives of barriers and facilitators to participating in hospital-based stroke rehabilitation’. </w:t>
      </w:r>
      <w:r>
        <w:rPr>
          <w:i/>
          <w:iCs/>
          <w:highlight w:val="white"/>
        </w:rPr>
        <w:t>Disability and Rehabilitation</w:t>
      </w:r>
      <w:r>
        <w:rPr>
          <w:highlight w:val="white"/>
        </w:rPr>
        <w:t xml:space="preserve">, </w:t>
      </w:r>
      <w:r>
        <w:rPr>
          <w:i/>
          <w:iCs/>
          <w:highlight w:val="white"/>
        </w:rPr>
        <w:t>44</w:t>
      </w:r>
      <w:r>
        <w:rPr>
          <w:highlight w:val="white"/>
        </w:rPr>
        <w:t>(16), pp.4201-4210.</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Li, M., Xie, H., Luo, Q., Huang, G., Xu, G., Cheng, Y. and Li, J., (2023). ‘A qualitative study on the humanistic care needs of patients with stroke and their families’. </w:t>
      </w:r>
      <w:r>
        <w:rPr>
          <w:i/>
          <w:iCs/>
          <w:highlight w:val="white"/>
        </w:rPr>
        <w:t>Journal of multidisciplinary healthcare</w:t>
      </w:r>
      <w:r>
        <w:rPr>
          <w:highlight w:val="white"/>
        </w:rPr>
        <w:t>, pp.717-730.</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Li, S., (2023). ‘Stroke recovery is a journey: prediction and potentials of motor recovery after a stroke from a practical perspective’. </w:t>
      </w:r>
      <w:r>
        <w:rPr>
          <w:i/>
          <w:iCs/>
          <w:highlight w:val="white"/>
        </w:rPr>
        <w:t>Life</w:t>
      </w:r>
      <w:r>
        <w:rPr>
          <w:highlight w:val="white"/>
        </w:rPr>
        <w:t xml:space="preserve">, </w:t>
      </w:r>
      <w:r>
        <w:rPr>
          <w:i/>
          <w:iCs/>
          <w:highlight w:val="white"/>
        </w:rPr>
        <w:t>13</w:t>
      </w:r>
      <w:r>
        <w:rPr>
          <w:highlight w:val="white"/>
        </w:rPr>
        <w:t>(10), p.2061.</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Li, X., He, Y., Wang, D. and Rezaei, M.J., (2024). ‘Stroke rehabilitation: from diagnosis to therapy’. </w:t>
      </w:r>
      <w:r>
        <w:rPr>
          <w:i/>
          <w:iCs/>
          <w:highlight w:val="white"/>
        </w:rPr>
        <w:t>Frontiers in neurology</w:t>
      </w:r>
      <w:r>
        <w:rPr>
          <w:highlight w:val="white"/>
        </w:rPr>
        <w:t xml:space="preserve">, </w:t>
      </w:r>
      <w:r>
        <w:rPr>
          <w:i/>
          <w:iCs/>
          <w:highlight w:val="white"/>
        </w:rPr>
        <w:t>15</w:t>
      </w:r>
      <w:r>
        <w:rPr>
          <w:highlight w:val="white"/>
        </w:rPr>
        <w:t>, p.1402729.</w:t>
      </w:r>
    </w:p>
    <w:p>
      <w:pPr>
        <w:pBdr>
          <w:top w:val="none" w:sz="0" w:space="0" w:color="auto"/>
          <w:left w:val="none" w:sz="0" w:space="0" w:color="auto"/>
          <w:bottom w:val="none" w:sz="0" w:space="0" w:color="auto"/>
          <w:right w:val="none" w:sz="0" w:space="0" w:color="auto"/>
          <w:between w:val="none" w:sz="0" w:space="0" w:color="auto"/>
        </w:pBdr>
        <w:spacing w:before="240" w:after="240"/>
      </w:pPr>
      <w:r>
        <w:t>Lievesley, M., Powell, R., Carey, D., Hulme, S., O’Malley, L., Westoby, W., Zadik, J., Bowen, A., Brocklehurst, P. and Smith, C.J., (2022). ‘Co-designing for behaviour change: The development of a theory-informed oral-care intervention for stroke survivors’. </w:t>
      </w:r>
      <w:r>
        <w:rPr>
          <w:i/>
          <w:iCs/>
        </w:rPr>
        <w:t>Design for Health</w:t>
      </w:r>
      <w:r>
        <w:t>, </w:t>
      </w:r>
      <w:r>
        <w:rPr>
          <w:i/>
          <w:iCs/>
        </w:rPr>
        <w:t>6</w:t>
      </w:r>
      <w:r>
        <w:t xml:space="preserve">(2), pp.221-243. </w:t>
      </w:r>
    </w:p>
    <w:p>
      <w:pPr>
        <w:pBdr>
          <w:top w:val="none" w:sz="0" w:space="0" w:color="auto"/>
          <w:left w:val="none" w:sz="0" w:space="0" w:color="auto"/>
          <w:bottom w:val="none" w:sz="0" w:space="0" w:color="auto"/>
          <w:right w:val="none" w:sz="0" w:space="0" w:color="auto"/>
          <w:between w:val="none" w:sz="0" w:space="0" w:color="auto"/>
        </w:pBdr>
        <w:spacing w:before="240" w:after="240"/>
      </w:pPr>
      <w:r>
        <w:t>Lim, W.M., (2025). What is qualitative research? ‘An overview and guidelines’. </w:t>
      </w:r>
      <w:r>
        <w:rPr>
          <w:i/>
          <w:iCs/>
        </w:rPr>
        <w:t>Australasian Marketing Journal</w:t>
      </w:r>
      <w:r>
        <w:t>, </w:t>
      </w:r>
      <w:r>
        <w:rPr>
          <w:i/>
          <w:iCs/>
        </w:rPr>
        <w:t>33</w:t>
      </w:r>
      <w:r>
        <w:t xml:space="preserve">(2), pp.199-229.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Lobo, E.H., Frølich, A., Abdelrazek, M., Rasmussen, L.J., Grundy, J., Livingston, P.M., Islam, S.M.S. and Kensing, F., (2023). ‘Information, involvement, self-care and support—The needs of caregivers of people with stroke: A grounded theory approach’. </w:t>
      </w:r>
      <w:r>
        <w:rPr>
          <w:i/>
          <w:iCs/>
          <w:highlight w:val="white"/>
        </w:rPr>
        <w:t>Plos one</w:t>
      </w:r>
      <w:r>
        <w:rPr>
          <w:highlight w:val="white"/>
        </w:rPr>
        <w:t xml:space="preserve">, </w:t>
      </w:r>
      <w:r>
        <w:rPr>
          <w:i/>
          <w:iCs/>
          <w:highlight w:val="white"/>
        </w:rPr>
        <w:t>18</w:t>
      </w:r>
      <w:r>
        <w:rPr>
          <w:highlight w:val="white"/>
        </w:rPr>
        <w:t>(1), p.e0281198.</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 xml:space="preserve">Ma, D., Jin, M., Zhou, Z., Wu, J. and Liu, Y., (2024). ‘Deep learning-based ADL assessment and personalized care planning optimization in adult day health center’. </w:t>
      </w:r>
      <w:r>
        <w:rPr>
          <w:i/>
          <w:iCs/>
          <w:highlight w:val="white"/>
        </w:rPr>
        <w:t>Authorea Preprints</w:t>
      </w:r>
      <w:r>
        <w:rPr>
          <w:highlight w:val="white"/>
        </w:rPr>
        <w:t xml:space="preserve">.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Mahadevan, J., (2024). ‘What connects positivism and interpretivism in cross-cultural management studies: Genealogy as a method for re-ordering disciplinary knowledge’. </w:t>
      </w:r>
      <w:r>
        <w:rPr>
          <w:i/>
          <w:iCs/>
        </w:rPr>
        <w:t>International Journal of Cross Cultural Management</w:t>
      </w:r>
      <w:r>
        <w:t xml:space="preserve">, </w:t>
      </w:r>
      <w:r>
        <w:rPr>
          <w:i/>
          <w:iCs/>
        </w:rPr>
        <w:t>24</w:t>
      </w:r>
      <w:r>
        <w:t xml:space="preserve">(2), pp.215-234.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Martín-Sanz, M.B., Salazar-De-La-Guerra, R.M., Cuenca-Zaldivar, J.N., Salcedo-Perez-Juana, M., Garcia-Bravo, C. and Palacios-Ceña, D., (2022). ‘Person-centred care in individuals with stroke: a qualitative study using in-depth interviews’. </w:t>
      </w:r>
      <w:r>
        <w:rPr>
          <w:i/>
          <w:iCs/>
        </w:rPr>
        <w:t>Annals of medicine</w:t>
      </w:r>
      <w:r>
        <w:t xml:space="preserve">, </w:t>
      </w:r>
      <w:r>
        <w:rPr>
          <w:i/>
          <w:iCs/>
        </w:rPr>
        <w:t>54</w:t>
      </w:r>
      <w:r>
        <w:t xml:space="preserve">(1), pp.2167-2180. </w:t>
      </w:r>
    </w:p>
    <w:p>
      <w:pPr>
        <w:pBdr>
          <w:top w:val="none" w:sz="0" w:space="0" w:color="auto"/>
          <w:left w:val="none" w:sz="0" w:space="0" w:color="auto"/>
          <w:bottom w:val="none" w:sz="0" w:space="0" w:color="auto"/>
          <w:right w:val="none" w:sz="0" w:space="0" w:color="auto"/>
          <w:between w:val="none" w:sz="0" w:space="0" w:color="auto"/>
        </w:pBdr>
        <w:spacing w:before="240" w:after="240"/>
      </w:pPr>
      <w:r>
        <w:t>Marwaa, M.N., Guidetti, S., Ytterberg, C. and Kristensen, H.K., (2023). ‘Using experience-based co-design to develop mobile/tablet applications to support a person-centred and empowering stroke rehabilitation’. </w:t>
      </w:r>
      <w:r>
        <w:rPr>
          <w:i/>
          <w:iCs/>
        </w:rPr>
        <w:t>Research Involvement and Engagement</w:t>
      </w:r>
      <w:r>
        <w:t>, </w:t>
      </w:r>
      <w:r>
        <w:rPr>
          <w:i/>
          <w:iCs/>
        </w:rPr>
        <w:t>9</w:t>
      </w:r>
      <w:r>
        <w:t xml:space="preserve">(1), p.69. </w:t>
      </w:r>
    </w:p>
    <w:p>
      <w:pPr>
        <w:spacing w:before="240"/>
      </w:pPr>
      <w:r>
        <w:t>Matos, J., Henriques, A., Moura, A. and Alves, E., (2024). Professional reintegration of stroke survivors and their mental health, quality of life and community integration</w:t>
      </w:r>
      <w:r>
        <w:rPr>
          <w:i/>
          <w:iCs/>
        </w:rPr>
        <w:t>. Quality of Life Research</w:t>
      </w:r>
      <w:r>
        <w:t>, 33(12), pp.3259-3273.</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Menear, M., Girard, A., Dugas, M., Gervais, M., Gilbert, M. and Gagnon, M.P., (2022). ‘Personalized care planning and shared decision making in collaborative care programs for depression and anxiety disorders: A systematic review’. </w:t>
      </w:r>
      <w:r>
        <w:rPr>
          <w:i/>
          <w:iCs/>
          <w:highlight w:val="white"/>
        </w:rPr>
        <w:t>PLoS One</w:t>
      </w:r>
      <w:r>
        <w:rPr>
          <w:highlight w:val="white"/>
        </w:rPr>
        <w:t xml:space="preserve">, </w:t>
      </w:r>
      <w:r>
        <w:rPr>
          <w:i/>
          <w:iCs/>
          <w:highlight w:val="white"/>
        </w:rPr>
        <w:t>17</w:t>
      </w:r>
      <w:r>
        <w:rPr>
          <w:highlight w:val="white"/>
        </w:rPr>
        <w:t>(6), p.e0268649.</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 xml:space="preserve">Mikkola, I., Morgan, S., Winell, K., Jokelainen, J., Frittitta, L., Heikkala, E. and Hagnäs, M., (2022). ‘Association of personalised care plans with monitoring and control of clinical outcomes, prescription of medication and utilisation of primary care services in patients with type 2 diabetes: an observational real-world study’. </w:t>
      </w:r>
      <w:r>
        <w:rPr>
          <w:i/>
          <w:iCs/>
          <w:highlight w:val="white"/>
        </w:rPr>
        <w:t>Scandinavian journal of primary health care</w:t>
      </w:r>
      <w:r>
        <w:rPr>
          <w:highlight w:val="white"/>
        </w:rPr>
        <w:t xml:space="preserve">, </w:t>
      </w:r>
      <w:r>
        <w:rPr>
          <w:i/>
          <w:iCs/>
          <w:highlight w:val="white"/>
        </w:rPr>
        <w:t>40</w:t>
      </w:r>
      <w:r>
        <w:rPr>
          <w:highlight w:val="white"/>
        </w:rPr>
        <w:t xml:space="preserve">(1), pp.39-47.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Mishra, P. and Singh, G., (2023). ‘Internet of medical things healthcare for sustainable smart cities: current status and future prospects’. </w:t>
      </w:r>
      <w:r>
        <w:rPr>
          <w:i/>
          <w:iCs/>
          <w:highlight w:val="white"/>
        </w:rPr>
        <w:t>Applied Sciences</w:t>
      </w:r>
      <w:r>
        <w:rPr>
          <w:highlight w:val="white"/>
        </w:rPr>
        <w:t xml:space="preserve">, </w:t>
      </w:r>
      <w:r>
        <w:rPr>
          <w:i/>
          <w:iCs/>
          <w:highlight w:val="white"/>
        </w:rPr>
        <w:t>13</w:t>
      </w:r>
      <w:r>
        <w:rPr>
          <w:highlight w:val="white"/>
        </w:rPr>
        <w:t>(15), p.8869.</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Musa, H.G., Fatmawati, I., Nuryakin, N. and Suyanto, M., (2024). ‘Marketing research trends using technology acceptance model (TAM): A comprehensive review of researches (2002–2022)’. </w:t>
      </w:r>
      <w:r>
        <w:rPr>
          <w:i/>
          <w:iCs/>
          <w:highlight w:val="white"/>
        </w:rPr>
        <w:t>Cogent business &amp; management</w:t>
      </w:r>
      <w:r>
        <w:rPr>
          <w:highlight w:val="white"/>
        </w:rPr>
        <w:t xml:space="preserve">, </w:t>
      </w:r>
      <w:r>
        <w:rPr>
          <w:i/>
          <w:iCs/>
          <w:highlight w:val="white"/>
        </w:rPr>
        <w:t>11</w:t>
      </w:r>
      <w:r>
        <w:rPr>
          <w:highlight w:val="white"/>
        </w:rPr>
        <w:t xml:space="preserve">(1), p.2329375. </w:t>
      </w:r>
    </w:p>
    <w:p>
      <w:pPr>
        <w:pBdr>
          <w:top w:val="none" w:sz="0" w:space="0" w:color="auto"/>
          <w:left w:val="none" w:sz="0" w:space="0" w:color="auto"/>
          <w:bottom w:val="none" w:sz="0" w:space="0" w:color="auto"/>
          <w:right w:val="none" w:sz="0" w:space="0" w:color="auto"/>
          <w:between w:val="none" w:sz="0" w:space="0" w:color="auto"/>
        </w:pBdr>
        <w:spacing w:before="240" w:after="240"/>
      </w:pPr>
      <w:r>
        <w:t>Naeem, M., Ozuem, W., Howell, K. and Ranfagni, S., (2023). ‘A step-by-step process of thematic analysis to develop a conceptual model in qualitative research’. </w:t>
      </w:r>
      <w:r>
        <w:rPr>
          <w:i/>
          <w:iCs/>
        </w:rPr>
        <w:t>International journal of qualitative methods</w:t>
      </w:r>
      <w:r>
        <w:t>, </w:t>
      </w:r>
      <w:r>
        <w:rPr>
          <w:i/>
          <w:iCs/>
        </w:rPr>
        <w:t>22</w:t>
      </w:r>
      <w:r>
        <w:t xml:space="preserve">, p.16094069231205789.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Namaganda, P., Nakibuuka, J., Kaddumukasa, M. and Katabira, E., (2022). ‘Stroke in young adults, stroke types and risk factors: a case control study’. </w:t>
      </w:r>
      <w:r>
        <w:rPr>
          <w:i/>
          <w:iCs/>
        </w:rPr>
        <w:t>BMC neurology</w:t>
      </w:r>
      <w:r>
        <w:t xml:space="preserve">, </w:t>
      </w:r>
      <w:r>
        <w:rPr>
          <w:i/>
          <w:iCs/>
        </w:rPr>
        <w:t>22</w:t>
      </w:r>
      <w:r>
        <w:t xml:space="preserve">(1), p.335. </w:t>
      </w:r>
    </w:p>
    <w:p>
      <w:pPr>
        <w:spacing w:before="240"/>
      </w:pPr>
      <w:r>
        <w:t>NHS (2025)</w:t>
      </w:r>
      <w:r>
        <w:rPr>
          <w:i/>
          <w:iCs/>
        </w:rPr>
        <w:t xml:space="preserve"> NHS England’s work on stroke</w:t>
      </w:r>
      <w:r>
        <w:t xml:space="preserve"> Available at: </w:t>
      </w:r>
      <w:r>
        <w:rPr>
          <w:u w:val="single"/>
        </w:rPr>
        <w:fldChar w:fldCharType="begin"/>
      </w:r>
      <w:r>
        <w:instrText>HYPERLINK "https://www.england.nhs.uk/ourwork/clinical-policy/stroke/"</w:instrText>
      </w:r>
      <w:r>
        <w:rPr>
          <w:u w:val="single"/>
        </w:rPr>
        <w:fldChar w:fldCharType="separate"/>
      </w:r>
      <w:r>
        <w:rPr>
          <w:u w:val="single"/>
        </w:rPr>
        <w:t>https://www.england.nhs.uk/ourwork/clinical-policy/stroke/</w:t>
      </w:r>
      <w:r>
        <w:rPr>
          <w:u w:val="single"/>
        </w:rPr>
        <w:fldChar w:fldCharType="end"/>
      </w:r>
    </w:p>
    <w:p>
      <w:pPr>
        <w:pBdr>
          <w:top w:val="none" w:sz="0" w:space="0" w:color="auto"/>
          <w:left w:val="none" w:sz="0" w:space="0" w:color="auto"/>
          <w:bottom w:val="none" w:sz="0" w:space="0" w:color="auto"/>
          <w:right w:val="none" w:sz="0" w:space="0" w:color="auto"/>
          <w:between w:val="none" w:sz="0" w:space="0" w:color="auto"/>
        </w:pBdr>
        <w:spacing w:before="240" w:after="240"/>
      </w:pPr>
      <w:r>
        <w:t>NHS, (2024)</w:t>
      </w:r>
      <w:r>
        <w:rPr>
          <w:i/>
          <w:iCs/>
        </w:rPr>
        <w:t xml:space="preserve"> ‘News’.</w:t>
      </w:r>
      <w:r>
        <w:t xml:space="preserve"> Available at: </w:t>
      </w:r>
      <w:r>
        <w:rPr>
          <w:u w:val="single"/>
        </w:rPr>
        <w:fldChar w:fldCharType="begin"/>
      </w:r>
      <w:r>
        <w:instrText>HYPERLINK "https://www.england.nhs.uk/2024/11/hospital-admissions-for-strokes-rise-by-28-since-2004-as-nhs-urges-the-public-to-act-fast/"</w:instrText>
      </w:r>
      <w:r>
        <w:rPr>
          <w:u w:val="single"/>
        </w:rPr>
        <w:fldChar w:fldCharType="separate"/>
      </w:r>
      <w:r>
        <w:rPr>
          <w:u w:val="single"/>
        </w:rPr>
        <w:t>https://www.england.nhs.uk/2024/11/hospital-admissions-for-strokes-rise-by-28-since-2004-as-nhs-urges-the-public-to-act-fast/</w:t>
      </w:r>
      <w:r>
        <w:rPr>
          <w:u w:val="single"/>
        </w:rPr>
        <w:fldChar w:fldCharType="end"/>
      </w:r>
      <w:r>
        <w:t xml:space="preserve"> (Accessed: 07 October 2025)</w:t>
      </w:r>
    </w:p>
    <w:p>
      <w:pPr>
        <w:pBdr>
          <w:top w:val="none" w:sz="0" w:space="0" w:color="auto"/>
          <w:left w:val="none" w:sz="0" w:space="0" w:color="auto"/>
          <w:bottom w:val="none" w:sz="0" w:space="0" w:color="auto"/>
          <w:right w:val="none" w:sz="0" w:space="0" w:color="auto"/>
          <w:between w:val="none" w:sz="0" w:space="0" w:color="auto"/>
        </w:pBdr>
        <w:spacing w:before="240" w:after="240"/>
      </w:pPr>
      <w:r>
        <w:t>NHS, (2025)</w:t>
      </w:r>
      <w:r>
        <w:rPr>
          <w:i/>
          <w:iCs/>
        </w:rPr>
        <w:t xml:space="preserve"> ‘Personalised care planning’.</w:t>
      </w:r>
      <w:r>
        <w:t xml:space="preserve"> Available at: </w:t>
      </w:r>
      <w:r>
        <w:rPr>
          <w:u w:val="single"/>
        </w:rPr>
        <w:fldChar w:fldCharType="begin"/>
      </w:r>
      <w:r>
        <w:instrText>HYPERLINK "https://assets.publishing.service.gov.uk/media/5a7cb7e340f0b6629523b621/dh_124048.pdf"</w:instrText>
      </w:r>
      <w:r>
        <w:rPr>
          <w:u w:val="single"/>
        </w:rPr>
        <w:fldChar w:fldCharType="separate"/>
      </w:r>
      <w:r>
        <w:rPr>
          <w:u w:val="single"/>
        </w:rPr>
        <w:t>https://assets.publishing.service.gov.uk/media/5a7cb7e340f0b6629523b621/dh_124048.pdf</w:t>
      </w:r>
      <w:r>
        <w:rPr>
          <w:u w:val="single"/>
        </w:rPr>
        <w:fldChar w:fldCharType="end"/>
      </w:r>
      <w:r>
        <w:t>(Accessed: 08 October 2025)</w:t>
      </w:r>
    </w:p>
    <w:p>
      <w:pPr>
        <w:pBdr>
          <w:top w:val="none" w:sz="0" w:space="0" w:color="auto"/>
          <w:left w:val="none" w:sz="0" w:space="0" w:color="auto"/>
          <w:bottom w:val="none" w:sz="0" w:space="0" w:color="auto"/>
          <w:right w:val="none" w:sz="0" w:space="0" w:color="auto"/>
          <w:between w:val="none" w:sz="0" w:space="0" w:color="auto"/>
        </w:pBdr>
        <w:spacing w:before="240" w:after="240"/>
      </w:pPr>
      <w:r>
        <w:t>O'Dea, R.E., Lagisz, M., Jennions, M.D., Koricheva, J., Noble, D.W., Parker, T.H., Gurevitch, J., Page, M.J., Stewart, G., Moher, D. and Nakagawa, S., (2021). ‘Preferred reporting items for systematic reviews and meta</w:t>
      </w:r>
      <w:r>
        <w:rPr>
          <w:rFonts w:ascii="Cambria Math" w:eastAsia="Cambria Math" w:cs="Cambria Math" w:hAnsi="Cambria Math"/>
        </w:rPr>
        <w:t>‐</w:t>
      </w:r>
      <w:r>
        <w:t>analyses in ecology and evolutionary biology: a PRISMA extension’. </w:t>
      </w:r>
      <w:r>
        <w:rPr>
          <w:i/>
          <w:iCs/>
        </w:rPr>
        <w:t>Biological Reviews</w:t>
      </w:r>
      <w:r>
        <w:t>, </w:t>
      </w:r>
      <w:r>
        <w:rPr>
          <w:i/>
          <w:iCs/>
        </w:rPr>
        <w:t>96</w:t>
      </w:r>
      <w:r>
        <w:t xml:space="preserve">(5), pp.1695-1722. </w:t>
      </w:r>
    </w:p>
    <w:p>
      <w:pPr>
        <w:pBdr>
          <w:top w:val="none" w:sz="0" w:space="0" w:color="auto"/>
          <w:left w:val="none" w:sz="0" w:space="0" w:color="auto"/>
          <w:bottom w:val="none" w:sz="0" w:space="0" w:color="auto"/>
          <w:right w:val="none" w:sz="0" w:space="0" w:color="auto"/>
          <w:between w:val="none" w:sz="0" w:space="0" w:color="auto"/>
        </w:pBdr>
        <w:spacing w:before="240" w:after="240"/>
      </w:pPr>
      <w:r>
        <w:t>Oranga, J. and Matere, A., (2025). ‘Quantitative Research: Types, Advantages, Generalizability &amp; Limitations’. </w:t>
      </w:r>
      <w:r>
        <w:rPr>
          <w:i/>
          <w:iCs/>
        </w:rPr>
        <w:t>Open Access Library Journal</w:t>
      </w:r>
      <w:r>
        <w:t>, </w:t>
      </w:r>
      <w:r>
        <w:rPr>
          <w:i/>
          <w:iCs/>
        </w:rPr>
        <w:t>12</w:t>
      </w:r>
      <w:r>
        <w:t xml:space="preserve">, p.e13694. Available at: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Ortega-Martorell, S., Olier, I., Ohlsson, M., Lip, G.Y. and TARGET Consortium, (2025). ‘Advancing personalised care in atrial fibrillation and stroke: The potential impact of AI from prevention to rehabilitation’. </w:t>
      </w:r>
      <w:r>
        <w:rPr>
          <w:i/>
          <w:iCs/>
          <w:highlight w:val="white"/>
        </w:rPr>
        <w:t>Trends in cardiovascular medicine</w:t>
      </w:r>
      <w:r>
        <w:rPr>
          <w:highlight w:val="white"/>
        </w:rPr>
        <w:t xml:space="preserve">, </w:t>
      </w:r>
      <w:r>
        <w:rPr>
          <w:i/>
          <w:iCs/>
          <w:highlight w:val="white"/>
        </w:rPr>
        <w:t>35</w:t>
      </w:r>
      <w:r>
        <w:rPr>
          <w:highlight w:val="white"/>
        </w:rPr>
        <w:t>(4), pp.205-211.</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 xml:space="preserve">Oster, A., Wiking, E., Nilsson, G.H. and Olsson, C.B., (2024). ‘Patients’ expectations of primary health care from both patients’ and physicians’ perspectives: a questionnaire study with a qualitative approach’. </w:t>
      </w:r>
      <w:r>
        <w:rPr>
          <w:i/>
          <w:iCs/>
          <w:highlight w:val="white"/>
        </w:rPr>
        <w:t>BMC Primary Care</w:t>
      </w:r>
      <w:r>
        <w:rPr>
          <w:highlight w:val="white"/>
        </w:rPr>
        <w:t xml:space="preserve">, </w:t>
      </w:r>
      <w:r>
        <w:rPr>
          <w:i/>
          <w:iCs/>
          <w:highlight w:val="white"/>
        </w:rPr>
        <w:t>25</w:t>
      </w:r>
      <w:r>
        <w:rPr>
          <w:highlight w:val="white"/>
        </w:rPr>
        <w:t xml:space="preserve">(1), p.128. Available at:  </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Page, M.J., Sterne, J.A., Higgins, J.P. and Egger, M., (2021). ‘Investigating and dealing with publication bias and other reporting biases in meta</w:t>
      </w:r>
      <w:r>
        <w:rPr>
          <w:rFonts w:ascii="Cambria Math" w:eastAsia="Cambria Math" w:cs="Cambria Math" w:hAnsi="Cambria Math"/>
          <w:highlight w:val="white"/>
        </w:rPr>
        <w:t>‐</w:t>
      </w:r>
      <w:r>
        <w:rPr>
          <w:highlight w:val="white"/>
        </w:rPr>
        <w:t xml:space="preserve">analyses of health research: A review’. </w:t>
      </w:r>
      <w:r>
        <w:rPr>
          <w:i/>
          <w:iCs/>
          <w:highlight w:val="white"/>
        </w:rPr>
        <w:t>Research synthesis methods</w:t>
      </w:r>
      <w:r>
        <w:rPr>
          <w:highlight w:val="white"/>
        </w:rPr>
        <w:t xml:space="preserve">, </w:t>
      </w:r>
      <w:r>
        <w:rPr>
          <w:i/>
          <w:iCs/>
          <w:highlight w:val="white"/>
        </w:rPr>
        <w:t>12</w:t>
      </w:r>
      <w:r>
        <w:rPr>
          <w:highlight w:val="white"/>
        </w:rPr>
        <w:t xml:space="preserve">(2), pp.248-259. </w:t>
      </w:r>
      <w:r>
        <w:t xml:space="preserve">Available at: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Peramatzis, G. and Galanakis, M., (2022). ‘Herzberg’s motivation theory in workplace’. </w:t>
      </w:r>
      <w:r>
        <w:rPr>
          <w:i/>
          <w:iCs/>
          <w:highlight w:val="white"/>
        </w:rPr>
        <w:t>Psychology</w:t>
      </w:r>
      <w:r>
        <w:rPr>
          <w:highlight w:val="white"/>
        </w:rPr>
        <w:t xml:space="preserve">, </w:t>
      </w:r>
      <w:r>
        <w:rPr>
          <w:i/>
          <w:iCs/>
          <w:highlight w:val="white"/>
        </w:rPr>
        <w:t>12</w:t>
      </w:r>
      <w:r>
        <w:rPr>
          <w:highlight w:val="white"/>
        </w:rPr>
        <w:t xml:space="preserve">(12), pp.971-978.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Prick, J.C.M., van Schaik, S.M., Deijle, I.A., Dahmen, R., Brouwers, P.J.A.M., Hilkens, P.H.E., Garvelink, M.M., Engels, N., Ankersmid, J.W., Keus, S.H.J. and The, R., (2022). ‘Development of a patient decision aid for discharge planning of hospitalized patients with stroke’. </w:t>
      </w:r>
      <w:r>
        <w:rPr>
          <w:i/>
          <w:iCs/>
          <w:highlight w:val="white"/>
        </w:rPr>
        <w:t>BMC neurology</w:t>
      </w:r>
      <w:r>
        <w:rPr>
          <w:highlight w:val="white"/>
        </w:rPr>
        <w:t xml:space="preserve">, </w:t>
      </w:r>
      <w:r>
        <w:rPr>
          <w:i/>
          <w:iCs/>
          <w:highlight w:val="white"/>
        </w:rPr>
        <w:t>22</w:t>
      </w:r>
      <w:r>
        <w:rPr>
          <w:highlight w:val="white"/>
        </w:rPr>
        <w:t>(1), p.245.</w:t>
      </w:r>
    </w:p>
    <w:p>
      <w:pPr>
        <w:pBdr>
          <w:top w:val="none" w:sz="0" w:space="0" w:color="auto"/>
          <w:left w:val="none" w:sz="0" w:space="0" w:color="auto"/>
          <w:bottom w:val="none" w:sz="0" w:space="0" w:color="auto"/>
          <w:right w:val="none" w:sz="0" w:space="0" w:color="auto"/>
          <w:between w:val="none" w:sz="0" w:space="0" w:color="auto"/>
        </w:pBdr>
        <w:spacing w:before="240" w:after="240"/>
      </w:pPr>
      <w:r>
        <w:t>Rahman, M.M., (2023). ‘Sample size determination for survey research and non-probability sampling techniques: A review and set of recommendations’. </w:t>
      </w:r>
      <w:r>
        <w:rPr>
          <w:i/>
          <w:iCs/>
        </w:rPr>
        <w:t>Journal of Entrepreneurship, Business and Economics</w:t>
      </w:r>
      <w:r>
        <w:t>, </w:t>
      </w:r>
      <w:r>
        <w:rPr>
          <w:i/>
          <w:iCs/>
        </w:rPr>
        <w:t>11</w:t>
      </w:r>
      <w:r>
        <w:t>(1), pp.42-62..</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Rajput, K., Darzi, A. and Ghafur, S., (2025). ‘Overlooked and under-reported: the impact of cyberattacks on primary care in the UK National Health Service’. </w:t>
      </w:r>
      <w:r>
        <w:rPr>
          <w:i/>
          <w:iCs/>
        </w:rPr>
        <w:t>The Lancet Digital Health</w:t>
      </w:r>
      <w:r>
        <w:t xml:space="preserve">.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Salawu, R., Shamsuddin, A., Bolatitio, S. and Masibo, S., (2023). ‘Theoretical and conceptual frameworks in research: Conceptual clarification’. </w:t>
      </w:r>
      <w:r>
        <w:rPr>
          <w:i/>
          <w:iCs/>
        </w:rPr>
        <w:t>European Chemical Bulletin</w:t>
      </w:r>
      <w:r>
        <w:t xml:space="preserve">, </w:t>
      </w:r>
      <w:r>
        <w:rPr>
          <w:i/>
          <w:iCs/>
        </w:rPr>
        <w:t>12</w:t>
      </w:r>
      <w:r>
        <w:t>(12), pp.2103-2117.</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Sataloff, R.T., Bush, M.L., Chandra, R., Chepeha, D., Rotenberg, B., Fisher, E.W., Goldenberg, D., Hanna, E.Y., Kerschner, J.E., Kraus, D.H. and Krouse, J.H., (2021). ‘Systematic and other reviews: Criteria and complexities’. </w:t>
      </w:r>
      <w:r>
        <w:rPr>
          <w:i/>
          <w:iCs/>
          <w:highlight w:val="white"/>
        </w:rPr>
        <w:t>Journal of Otolaryngology-Head &amp; Neck Surgery</w:t>
      </w:r>
      <w:r>
        <w:rPr>
          <w:highlight w:val="white"/>
        </w:rPr>
        <w:t xml:space="preserve">, </w:t>
      </w:r>
      <w:r>
        <w:rPr>
          <w:i/>
          <w:iCs/>
          <w:highlight w:val="white"/>
        </w:rPr>
        <w:t>50</w:t>
      </w:r>
      <w:r>
        <w:rPr>
          <w:highlight w:val="white"/>
        </w:rPr>
        <w:t>(1), p.41.</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Scells, H., Zuccon, G. and Koopman, B., (2021). ‘A comparison of automatic Boolean query formulation for systematic reviews’. </w:t>
      </w:r>
      <w:r>
        <w:rPr>
          <w:i/>
          <w:iCs/>
          <w:highlight w:val="white"/>
        </w:rPr>
        <w:t>Information Retrieval Journal</w:t>
      </w:r>
      <w:r>
        <w:rPr>
          <w:highlight w:val="white"/>
        </w:rPr>
        <w:t xml:space="preserve">, </w:t>
      </w:r>
      <w:r>
        <w:rPr>
          <w:i/>
          <w:iCs/>
          <w:highlight w:val="white"/>
        </w:rPr>
        <w:t>24</w:t>
      </w:r>
      <w:r>
        <w:rPr>
          <w:highlight w:val="white"/>
        </w:rPr>
        <w:t xml:space="preserve">(1), pp.3-28.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Schnabel, S., van Wijck, F. and Kidd, L., (2023). ‘Supporting stroke survivors to meet their personal rehabilitation needs in community-based arm rehabilitation: development of initial programme theories to explore what may work for whom, how and under what circumstances’. </w:t>
      </w:r>
      <w:r>
        <w:rPr>
          <w:i/>
          <w:iCs/>
          <w:highlight w:val="white"/>
        </w:rPr>
        <w:t>Frontiers in Neurology</w:t>
      </w:r>
      <w:r>
        <w:rPr>
          <w:highlight w:val="white"/>
        </w:rPr>
        <w:t xml:space="preserve">, </w:t>
      </w:r>
      <w:r>
        <w:rPr>
          <w:i/>
          <w:iCs/>
          <w:highlight w:val="white"/>
        </w:rPr>
        <w:t>14</w:t>
      </w:r>
      <w:r>
        <w:rPr>
          <w:highlight w:val="white"/>
        </w:rPr>
        <w:t>, p.1089547.</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 xml:space="preserve">Sedini, C., Biotto, M., Crespi Bel’skij, L.M., Moroni Grandini, R.E. and Cesari, M., (2022). ‘Advance care planning and advance directives: an overview of the main critical issues’. </w:t>
      </w:r>
      <w:r>
        <w:rPr>
          <w:i/>
          <w:iCs/>
          <w:highlight w:val="white"/>
        </w:rPr>
        <w:t>Aging Clinical and Experimental Research</w:t>
      </w:r>
      <w:r>
        <w:rPr>
          <w:highlight w:val="white"/>
        </w:rPr>
        <w:t xml:space="preserve">, </w:t>
      </w:r>
      <w:r>
        <w:rPr>
          <w:i/>
          <w:iCs/>
          <w:highlight w:val="white"/>
        </w:rPr>
        <w:t>34</w:t>
      </w:r>
      <w:r>
        <w:rPr>
          <w:highlight w:val="white"/>
        </w:rPr>
        <w:t xml:space="preserve">(2), pp.325-330. Available at: </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Shaheen, N., Shaheen, A., Ramadan, A., Hefnawy, M.T., Ramadan, A., Ibrahim, I.A., Hassanein, M.E., Ashour, M.E. and Flouty, O., (2023). ‘Appraising systematic reviews: a comprehensive guide to ensuring validity and reliability’. </w:t>
      </w:r>
      <w:r>
        <w:rPr>
          <w:i/>
          <w:iCs/>
        </w:rPr>
        <w:t>Frontiers in research metrics and analytics</w:t>
      </w:r>
      <w:r>
        <w:t xml:space="preserve">, </w:t>
      </w:r>
      <w:r>
        <w:rPr>
          <w:i/>
          <w:iCs/>
        </w:rPr>
        <w:t>8</w:t>
      </w:r>
      <w:r>
        <w:t>, p.1268045.</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Shahid, J., Kashif, A. and Shahid, M.K., (2023). ‘A comprehensive review of physical therapy interventions for stroke rehabilitation: impairment-based approaches and functional goals. </w:t>
      </w:r>
      <w:r>
        <w:rPr>
          <w:i/>
          <w:iCs/>
          <w:highlight w:val="white"/>
        </w:rPr>
        <w:t>Brain Sciences</w:t>
      </w:r>
      <w:r>
        <w:rPr>
          <w:highlight w:val="white"/>
        </w:rPr>
        <w:t xml:space="preserve">, </w:t>
      </w:r>
      <w:r>
        <w:rPr>
          <w:i/>
          <w:iCs/>
          <w:highlight w:val="white"/>
        </w:rPr>
        <w:t>13</w:t>
      </w:r>
      <w:r>
        <w:rPr>
          <w:highlight w:val="white"/>
        </w:rPr>
        <w:t>(5), p.717.</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Shepherd, J., Gurney, S. and Patel, H.P., (2022). ‘Shared decision making and personalised care support planning: pillars of integrated care for older people’. </w:t>
      </w:r>
      <w:r>
        <w:rPr>
          <w:i/>
          <w:iCs/>
        </w:rPr>
        <w:t>Clinics in Integrated Care</w:t>
      </w:r>
      <w:r>
        <w:t xml:space="preserve">, </w:t>
      </w:r>
      <w:r>
        <w:rPr>
          <w:i/>
          <w:iCs/>
        </w:rPr>
        <w:t>12</w:t>
      </w:r>
      <w:r>
        <w:t xml:space="preserve">, p.100097.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Shewangizaw, S., Fekadu, W., Sackley, C. and Alem, A., (2023). ‘Life after stroke: exploring social and psychological consequences of stroke survivors and their caregivers’. </w:t>
      </w:r>
      <w:r>
        <w:rPr>
          <w:i/>
          <w:iCs/>
          <w:highlight w:val="white"/>
        </w:rPr>
        <w:t>Ethiopian Medical Journal</w:t>
      </w:r>
      <w:r>
        <w:rPr>
          <w:highlight w:val="white"/>
        </w:rPr>
        <w:t xml:space="preserve">, </w:t>
      </w:r>
      <w:r>
        <w:rPr>
          <w:i/>
          <w:iCs/>
          <w:highlight w:val="white"/>
        </w:rPr>
        <w:t>61</w:t>
      </w:r>
      <w:r>
        <w:rPr>
          <w:highlight w:val="white"/>
        </w:rPr>
        <w:t>(4), pp.315-325.</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 xml:space="preserve">Spacey, A., Stamper, A., Owens, S., Szczepura, K. and Heaslip, V., (2025). ‘An exploration of advance care planning education delivered by hospice specialists to care home staff: a cross-sectional UK survey’. </w:t>
      </w:r>
      <w:r>
        <w:rPr>
          <w:i/>
          <w:iCs/>
          <w:highlight w:val="white"/>
        </w:rPr>
        <w:t>Journal of Research in Nursing</w:t>
      </w:r>
      <w:r>
        <w:rPr>
          <w:highlight w:val="white"/>
        </w:rPr>
        <w:t xml:space="preserve">, p.17449871251365027. Available at:  </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Stapley, E., O’Keeffe, S. and Midgley, N., (2022). ‘Developing typologies in qualitative research: The use of ideal-type analysis’. </w:t>
      </w:r>
      <w:r>
        <w:rPr>
          <w:i/>
          <w:iCs/>
          <w:highlight w:val="white"/>
        </w:rPr>
        <w:t>International Journal of Qualitative Methods</w:t>
      </w:r>
      <w:r>
        <w:rPr>
          <w:highlight w:val="white"/>
        </w:rPr>
        <w:t>, </w:t>
      </w:r>
      <w:r>
        <w:rPr>
          <w:i/>
          <w:iCs/>
          <w:highlight w:val="white"/>
        </w:rPr>
        <w:t>21</w:t>
      </w:r>
      <w:r>
        <w:rPr>
          <w:highlight w:val="white"/>
        </w:rPr>
        <w:t xml:space="preserve">, p.16094069221100633. </w:t>
      </w:r>
    </w:p>
    <w:p>
      <w:pPr>
        <w:pBdr>
          <w:top w:val="none" w:sz="0" w:space="0" w:color="auto"/>
          <w:left w:val="none" w:sz="0" w:space="0" w:color="auto"/>
          <w:bottom w:val="none" w:sz="0" w:space="0" w:color="auto"/>
          <w:right w:val="none" w:sz="0" w:space="0" w:color="auto"/>
          <w:between w:val="none" w:sz="0" w:space="0" w:color="auto"/>
        </w:pBdr>
        <w:spacing w:before="240" w:after="240"/>
      </w:pPr>
      <w:r>
        <w:t>Stroke, (2025)</w:t>
      </w:r>
      <w:r>
        <w:rPr>
          <w:i/>
          <w:iCs/>
        </w:rPr>
        <w:t xml:space="preserve"> ‘Stroke statistics’.</w:t>
      </w:r>
      <w:r>
        <w:t xml:space="preserve"> Available at: </w:t>
      </w:r>
      <w:r>
        <w:rPr>
          <w:u w:val="single"/>
        </w:rPr>
        <w:fldChar w:fldCharType="begin"/>
      </w:r>
      <w:r>
        <w:instrText>HYPERLINK "https://www.stroke.org.uk/stroke/statistics"</w:instrText>
      </w:r>
      <w:r>
        <w:rPr>
          <w:u w:val="single"/>
        </w:rPr>
        <w:fldChar w:fldCharType="separate"/>
      </w:r>
      <w:r>
        <w:rPr>
          <w:u w:val="single"/>
        </w:rPr>
        <w:t>https://www.stroke.org.uk/stroke/statistics</w:t>
      </w:r>
      <w:r>
        <w:rPr>
          <w:u w:val="single"/>
        </w:rPr>
        <w:fldChar w:fldCharType="end"/>
      </w:r>
      <w:r>
        <w:t xml:space="preserve"> (Accessed: 07 October 2025)</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t>Sun, X., Shi, Y., Liu, C., Wang, S., Li, D., Zhu, X., Pan, K., Wang, H. and Zhang, H., (2025). ‘Experience and needs of stroke patients in physical rehabilitation: a systematic review and meta-synthesis’. </w:t>
      </w:r>
      <w:r>
        <w:rPr>
          <w:i/>
          <w:iCs/>
        </w:rPr>
        <w:t>BMC Health Services Research</w:t>
      </w:r>
      <w:r>
        <w:t>, </w:t>
      </w:r>
      <w:r>
        <w:rPr>
          <w:i/>
          <w:iCs/>
        </w:rPr>
        <w:t>25</w:t>
      </w:r>
      <w:r>
        <w:t xml:space="preserve">(1), p.1062. </w:t>
      </w:r>
    </w:p>
    <w:p>
      <w:pPr>
        <w:spacing w:before="240"/>
      </w:pPr>
      <w:r>
        <w:t>Tarihoran, D.E.T.A.U., Honey, M. and Slark, J., (2025). Tailored stroke rehabilitation for younger women: The MENTOR HUB framework—a qualitative multi-phase study.</w:t>
      </w:r>
      <w:r>
        <w:rPr>
          <w:i/>
          <w:iCs/>
        </w:rPr>
        <w:t xml:space="preserve"> Journal of Research in Nursing,</w:t>
      </w:r>
      <w:r>
        <w:t xml:space="preserve"> 30(5-6), pp.511-526.</w:t>
      </w:r>
    </w:p>
    <w:p>
      <w:pPr>
        <w:pBdr>
          <w:top w:val="none" w:sz="0" w:space="0" w:color="auto"/>
          <w:left w:val="none" w:sz="0" w:space="0" w:color="auto"/>
          <w:bottom w:val="none" w:sz="0" w:space="0" w:color="auto"/>
          <w:right w:val="none" w:sz="0" w:space="0" w:color="auto"/>
          <w:between w:val="none" w:sz="0" w:space="0" w:color="auto"/>
        </w:pBdr>
        <w:spacing w:before="240" w:after="240"/>
        <w:rPr>
          <w:highlight w:val="white"/>
        </w:rPr>
      </w:pPr>
      <w:r>
        <w:rPr>
          <w:highlight w:val="white"/>
        </w:rPr>
        <w:t xml:space="preserve">Tziaka, E., Tsiakiri, A., Vlotinou, P., Christidi, F., Tsiptsios, D., Aggelousis, N., Vadikolias, K. and Serdari, A., (2024), ‘February. A holistic approach to expressing the burden of caregivers for stroke survivors: A systematic review’. In </w:t>
      </w:r>
      <w:r>
        <w:rPr>
          <w:i/>
          <w:iCs/>
          <w:highlight w:val="white"/>
        </w:rPr>
        <w:t>Healthcare</w:t>
      </w:r>
      <w:r>
        <w:rPr>
          <w:highlight w:val="white"/>
        </w:rPr>
        <w:t xml:space="preserve"> (Vol. 12, No. 5, p. 565). MDPI.</w:t>
      </w:r>
    </w:p>
    <w:p>
      <w:pPr>
        <w:pBdr>
          <w:top w:val="none" w:sz="0" w:space="0" w:color="auto"/>
          <w:left w:val="none" w:sz="0" w:space="0" w:color="auto"/>
          <w:bottom w:val="none" w:sz="0" w:space="0" w:color="auto"/>
          <w:right w:val="none" w:sz="0" w:space="0" w:color="auto"/>
          <w:between w:val="none" w:sz="0" w:space="0" w:color="auto"/>
        </w:pBdr>
        <w:spacing w:before="240" w:after="240"/>
      </w:pPr>
      <w:r>
        <w:t xml:space="preserve">Vallée, A., (2023) ‘Digital twin for healthcare systems’. </w:t>
      </w:r>
      <w:r>
        <w:rPr>
          <w:i/>
          <w:iCs/>
        </w:rPr>
        <w:t>Frontiers in Digital Health</w:t>
      </w:r>
      <w:r>
        <w:t xml:space="preserve">, </w:t>
      </w:r>
      <w:r>
        <w:rPr>
          <w:i/>
          <w:iCs/>
        </w:rPr>
        <w:t>5</w:t>
      </w:r>
      <w:r>
        <w:t xml:space="preserve">, p.1253050. </w:t>
      </w:r>
    </w:p>
    <w:p>
      <w:pPr>
        <w:spacing w:before="240"/>
      </w:pPr>
      <w:r>
        <w:t xml:space="preserve">Vandersman, P. and Tieman, J., (2024). ‘Technology in end-of-life care is very important’: the view of nurses regarding technology and end-of-life care. </w:t>
      </w:r>
      <w:r>
        <w:rPr>
          <w:i/>
          <w:iCs/>
        </w:rPr>
        <w:t>BMC nursing,</w:t>
      </w:r>
      <w:r>
        <w:t xml:space="preserve"> 23(1), p.809.</w:t>
      </w:r>
    </w:p>
    <w:p>
      <w:pPr>
        <w:pBdr>
          <w:top w:val="none" w:sz="0" w:space="0" w:color="auto"/>
          <w:left w:val="none" w:sz="0" w:space="0" w:color="auto"/>
          <w:bottom w:val="none" w:sz="0" w:space="0" w:color="auto"/>
          <w:right w:val="none" w:sz="0" w:space="0" w:color="auto"/>
          <w:between w:val="none" w:sz="0" w:space="0" w:color="auto"/>
        </w:pBdr>
        <w:spacing w:before="240" w:after="240"/>
      </w:pPr>
      <w:r>
        <w:t>WHO, (2025)</w:t>
      </w:r>
      <w:r>
        <w:rPr>
          <w:i/>
          <w:iCs/>
        </w:rPr>
        <w:t xml:space="preserve"> ‘Stroke, Cerebrovascular accident’.</w:t>
      </w:r>
      <w:r>
        <w:t xml:space="preserve"> Available at: </w:t>
      </w:r>
      <w:r>
        <w:rPr>
          <w:u w:val="single"/>
        </w:rPr>
        <w:fldChar w:fldCharType="begin"/>
      </w:r>
      <w:r>
        <w:instrText>HYPERLINK "https://www.emro.who.int/health-topics/stroke-cerebrovascular-accident/"</w:instrText>
      </w:r>
      <w:r>
        <w:rPr>
          <w:u w:val="single"/>
        </w:rPr>
        <w:fldChar w:fldCharType="separate"/>
      </w:r>
      <w:r>
        <w:rPr>
          <w:u w:val="single"/>
        </w:rPr>
        <w:t>https://www.emro.who.int/health-topics/stroke-cerebrovascular-accident/</w:t>
      </w:r>
      <w:r>
        <w:rPr>
          <w:u w:val="single"/>
        </w:rPr>
        <w:fldChar w:fldCharType="end"/>
      </w:r>
      <w:r>
        <w:t xml:space="preserve"> (Accessed: 07 October 2025)</w:t>
      </w:r>
    </w:p>
    <w:p>
      <w:pPr>
        <w:pBdr>
          <w:top w:val="none" w:sz="0" w:space="0" w:color="auto"/>
          <w:left w:val="none" w:sz="0" w:space="0" w:color="auto"/>
          <w:bottom w:val="none" w:sz="0" w:space="0" w:color="auto"/>
          <w:right w:val="none" w:sz="0" w:space="0" w:color="auto"/>
          <w:between w:val="none" w:sz="0" w:space="0" w:color="auto"/>
        </w:pBdr>
        <w:spacing w:before="240" w:after="240"/>
      </w:pPr>
      <w:r>
        <w:rPr>
          <w:highlight w:val="white"/>
        </w:rPr>
        <w:t xml:space="preserve">Wohlin, C., Kalinowski, M., Felizardo, K.R. and Mendes, E., (2022). ‘Successful combination of database search and snowballing for identification of primary studies in systematic literature studies’. </w:t>
      </w:r>
      <w:r>
        <w:rPr>
          <w:i/>
          <w:iCs/>
          <w:highlight w:val="white"/>
        </w:rPr>
        <w:t>Information and software technology</w:t>
      </w:r>
      <w:r>
        <w:rPr>
          <w:highlight w:val="white"/>
        </w:rPr>
        <w:t xml:space="preserve">, </w:t>
      </w:r>
      <w:r>
        <w:rPr>
          <w:i/>
          <w:iCs/>
          <w:highlight w:val="white"/>
        </w:rPr>
        <w:t>147</w:t>
      </w:r>
      <w:r>
        <w:rPr>
          <w:highlight w:val="white"/>
        </w:rPr>
        <w:t xml:space="preserve">, p.106908. </w:t>
      </w:r>
    </w:p>
    <w:p>
      <w:pPr>
        <w:spacing w:before="240"/>
      </w:pPr>
      <w:r>
        <w:t xml:space="preserve">Yang, K., Armstrong, N., Diamond, C., Lane, A.R. and Dunne, S., (2022). The meaning of loneliness to stroke survivors: A qualitative study in Northeast England. </w:t>
      </w:r>
      <w:r>
        <w:rPr>
          <w:i/>
          <w:iCs/>
        </w:rPr>
        <w:t>Journal of Health Psychology</w:t>
      </w:r>
      <w:r>
        <w:t>, 27(11), pp.2539-2548.</w:t>
      </w:r>
    </w:p>
    <w:p>
      <w:pPr>
        <w:spacing w:before="240"/>
      </w:pPr>
    </w:p>
    <w:p>
      <w:pPr>
        <w:spacing w:before="240"/>
      </w:pPr>
    </w:p>
    <w:p>
      <w:pPr>
        <w:pBdr>
          <w:top w:val="none" w:sz="0" w:space="0" w:color="auto"/>
          <w:left w:val="none" w:sz="0" w:space="0" w:color="auto"/>
          <w:bottom w:val="none" w:sz="0" w:space="0" w:color="auto"/>
          <w:right w:val="none" w:sz="0" w:space="0" w:color="auto"/>
          <w:between w:val="none" w:sz="0" w:space="0" w:color="auto"/>
        </w:pBdr>
        <w:rPr>
          <w:highlight w:val="white"/>
        </w:rPr>
      </w:pPr>
    </w:p>
    <w:p>
      <w:pPr>
        <w:rPr>
          <w:b/>
          <w:bCs/>
          <w:color w:val="000000"/>
        </w:rPr>
      </w:pPr>
      <w:bookmarkStart w:id="94" w:name="_heading=h.mdhnzgk9aruh"/>
      <w:bookmarkEnd w:id="94"/>
      <w:r>
        <w:br w:type="page"/>
      </w:r>
    </w:p>
    <w:p>
      <w:pPr>
        <w:pStyle w:val="1"/>
      </w:pPr>
      <w:bookmarkStart w:id="95" w:name="_Toc220754512"/>
      <w:r>
        <w:t>Appendix</w:t>
      </w:r>
      <w:bookmarkEnd w:id="95"/>
    </w:p>
    <w:p>
      <w:pPr>
        <w:pStyle w:val="2"/>
      </w:pPr>
      <w:bookmarkStart w:id="96" w:name="_Toc220754513"/>
      <w:r>
        <w:t>Appendix 1: CASP tool in Appraisal</w:t>
      </w:r>
      <w:bookmarkEnd w:id="96"/>
    </w:p>
    <w:p>
      <w:pPr>
        <w:pBdr>
          <w:top w:val="none" w:sz="0" w:space="0" w:color="auto"/>
          <w:left w:val="none" w:sz="0" w:space="0" w:color="auto"/>
          <w:bottom w:val="none" w:sz="0" w:space="0" w:color="auto"/>
          <w:right w:val="none" w:sz="0" w:space="0" w:color="auto"/>
          <w:between w:val="none" w:sz="0" w:space="0" w:color="auto"/>
        </w:pBdr>
        <w:spacing w:before="240" w:after="240"/>
        <w:rPr>
          <w:b/>
          <w:bCs/>
        </w:rPr>
      </w:pPr>
      <w:r>
        <w:rPr>
          <w:b/>
          <w:bCs/>
        </w:rPr>
        <w:t>Critical Appraisal Summary for Included Studies</w:t>
      </w:r>
    </w:p>
    <w:p>
      <w:pPr>
        <w:pBdr>
          <w:top w:val="none" w:sz="0" w:space="0" w:color="auto"/>
          <w:left w:val="none" w:sz="0" w:space="0" w:color="auto"/>
          <w:bottom w:val="none" w:sz="0" w:space="0" w:color="auto"/>
          <w:right w:val="none" w:sz="0" w:space="0" w:color="auto"/>
          <w:between w:val="none" w:sz="0" w:space="0" w:color="auto"/>
        </w:pBdr>
        <w:spacing w:before="240" w:after="240"/>
        <w:rPr>
          <w:b/>
          <w:bCs/>
        </w:rPr>
      </w:pPr>
      <w:r>
        <w:rPr>
          <w:b/>
          <w:bCs/>
        </w:rPr>
        <w:t>Appraisal Questions</w:t>
      </w:r>
    </w:p>
    <w:p>
      <w:pPr>
        <w:numPr>
          <w:ilvl w:val="0"/>
          <w:numId w:val="2"/>
        </w:numPr>
        <w:pBdr>
          <w:top w:val="none" w:sz="0" w:space="0" w:color="auto"/>
          <w:left w:val="none" w:sz="0" w:space="0" w:color="auto"/>
          <w:bottom w:val="none" w:sz="0" w:space="0" w:color="auto"/>
          <w:right w:val="none" w:sz="0" w:space="0" w:color="auto"/>
          <w:between w:val="none" w:sz="0" w:space="0" w:color="auto"/>
        </w:pBdr>
        <w:spacing w:before="240"/>
      </w:pPr>
      <w:r>
        <w:t>Was the question clearly focused?</w:t>
      </w:r>
    </w:p>
    <w:p>
      <w:pPr>
        <w:numPr>
          <w:ilvl w:val="0"/>
          <w:numId w:val="2"/>
        </w:numPr>
        <w:pBdr>
          <w:top w:val="none" w:sz="0" w:space="0" w:color="auto"/>
          <w:left w:val="none" w:sz="0" w:space="0" w:color="auto"/>
          <w:bottom w:val="none" w:sz="0" w:space="0" w:color="auto"/>
          <w:right w:val="none" w:sz="0" w:space="0" w:color="auto"/>
          <w:between w:val="none" w:sz="0" w:space="0" w:color="auto"/>
        </w:pBdr>
      </w:pPr>
      <w:r>
        <w:t>Did the authors look for the right type of papers?</w:t>
      </w:r>
    </w:p>
    <w:p>
      <w:pPr>
        <w:numPr>
          <w:ilvl w:val="0"/>
          <w:numId w:val="2"/>
        </w:numPr>
        <w:pBdr>
          <w:top w:val="none" w:sz="0" w:space="0" w:color="auto"/>
          <w:left w:val="none" w:sz="0" w:space="0" w:color="auto"/>
          <w:bottom w:val="none" w:sz="0" w:space="0" w:color="auto"/>
          <w:right w:val="none" w:sz="0" w:space="0" w:color="auto"/>
          <w:between w:val="none" w:sz="0" w:space="0" w:color="auto"/>
        </w:pBdr>
      </w:pPr>
      <w:r>
        <w:t>Were all relevant studies included?</w:t>
      </w:r>
    </w:p>
    <w:p>
      <w:pPr>
        <w:numPr>
          <w:ilvl w:val="0"/>
          <w:numId w:val="2"/>
        </w:numPr>
        <w:pBdr>
          <w:top w:val="none" w:sz="0" w:space="0" w:color="auto"/>
          <w:left w:val="none" w:sz="0" w:space="0" w:color="auto"/>
          <w:bottom w:val="none" w:sz="0" w:space="0" w:color="auto"/>
          <w:right w:val="none" w:sz="0" w:space="0" w:color="auto"/>
          <w:between w:val="none" w:sz="0" w:space="0" w:color="auto"/>
        </w:pBdr>
      </w:pPr>
      <w:r>
        <w:t>Was quality assessment of included studies sufficient?</w:t>
      </w:r>
    </w:p>
    <w:p>
      <w:pPr>
        <w:numPr>
          <w:ilvl w:val="0"/>
          <w:numId w:val="2"/>
        </w:numPr>
        <w:pBdr>
          <w:top w:val="none" w:sz="0" w:space="0" w:color="auto"/>
          <w:left w:val="none" w:sz="0" w:space="0" w:color="auto"/>
          <w:bottom w:val="none" w:sz="0" w:space="0" w:color="auto"/>
          <w:right w:val="none" w:sz="0" w:space="0" w:color="auto"/>
          <w:between w:val="none" w:sz="0" w:space="0" w:color="auto"/>
        </w:pBdr>
      </w:pPr>
      <w:r>
        <w:t>Was combining results reasonable?</w:t>
      </w:r>
    </w:p>
    <w:p>
      <w:pPr>
        <w:numPr>
          <w:ilvl w:val="0"/>
          <w:numId w:val="2"/>
        </w:numPr>
        <w:pBdr>
          <w:top w:val="none" w:sz="0" w:space="0" w:color="auto"/>
          <w:left w:val="none" w:sz="0" w:space="0" w:color="auto"/>
          <w:bottom w:val="none" w:sz="0" w:space="0" w:color="auto"/>
          <w:right w:val="none" w:sz="0" w:space="0" w:color="auto"/>
          <w:between w:val="none" w:sz="0" w:space="0" w:color="auto"/>
        </w:pBdr>
      </w:pPr>
      <w:r>
        <w:t>What are the overall results?</w:t>
      </w:r>
    </w:p>
    <w:p>
      <w:pPr>
        <w:numPr>
          <w:ilvl w:val="0"/>
          <w:numId w:val="2"/>
        </w:numPr>
        <w:pBdr>
          <w:top w:val="none" w:sz="0" w:space="0" w:color="auto"/>
          <w:left w:val="none" w:sz="0" w:space="0" w:color="auto"/>
          <w:bottom w:val="none" w:sz="0" w:space="0" w:color="auto"/>
          <w:right w:val="none" w:sz="0" w:space="0" w:color="auto"/>
          <w:between w:val="none" w:sz="0" w:space="0" w:color="auto"/>
        </w:pBdr>
      </w:pPr>
      <w:r>
        <w:t>How precise are the results?</w:t>
      </w:r>
    </w:p>
    <w:p>
      <w:pPr>
        <w:numPr>
          <w:ilvl w:val="0"/>
          <w:numId w:val="2"/>
        </w:numPr>
        <w:pBdr>
          <w:top w:val="none" w:sz="0" w:space="0" w:color="auto"/>
          <w:left w:val="none" w:sz="0" w:space="0" w:color="auto"/>
          <w:bottom w:val="none" w:sz="0" w:space="0" w:color="auto"/>
          <w:right w:val="none" w:sz="0" w:space="0" w:color="auto"/>
          <w:between w:val="none" w:sz="0" w:space="0" w:color="auto"/>
        </w:pBdr>
      </w:pPr>
      <w:r>
        <w:t>Can the results be applied locally?</w:t>
      </w:r>
    </w:p>
    <w:p>
      <w:pPr>
        <w:numPr>
          <w:ilvl w:val="0"/>
          <w:numId w:val="2"/>
        </w:numPr>
        <w:pBdr>
          <w:top w:val="none" w:sz="0" w:space="0" w:color="auto"/>
          <w:left w:val="none" w:sz="0" w:space="0" w:color="auto"/>
          <w:bottom w:val="none" w:sz="0" w:space="0" w:color="auto"/>
          <w:right w:val="none" w:sz="0" w:space="0" w:color="auto"/>
          <w:between w:val="none" w:sz="0" w:space="0" w:color="auto"/>
        </w:pBdr>
      </w:pPr>
      <w:r>
        <w:t>Were all important outcomes considered?</w:t>
      </w:r>
    </w:p>
    <w:p>
      <w:pPr>
        <w:numPr>
          <w:ilvl w:val="0"/>
          <w:numId w:val="2"/>
        </w:numPr>
        <w:pBdr>
          <w:top w:val="none" w:sz="0" w:space="0" w:color="auto"/>
          <w:left w:val="none" w:sz="0" w:space="0" w:color="auto"/>
          <w:bottom w:val="none" w:sz="0" w:space="0" w:color="auto"/>
          <w:right w:val="none" w:sz="0" w:space="0" w:color="auto"/>
          <w:between w:val="none" w:sz="0" w:space="0" w:color="auto"/>
        </w:pBdr>
        <w:spacing w:after="240"/>
      </w:pPr>
      <w:r>
        <w:t>Are the benefits worth the harms and costs?</w:t>
      </w:r>
    </w:p>
    <w:p>
      <w:pPr>
        <w:pBdr>
          <w:top w:val="none" w:sz="0" w:space="0" w:color="auto"/>
          <w:left w:val="none" w:sz="0" w:space="0" w:color="auto"/>
          <w:bottom w:val="none" w:sz="0" w:space="0" w:color="auto"/>
          <w:right w:val="none" w:sz="0" w:space="0" w:color="auto"/>
          <w:between w:val="none" w:sz="0" w:space="0" w:color="auto"/>
        </w:pBdr>
        <w:spacing w:after="240"/>
        <w:rPr>
          <w:b/>
          <w:bCs/>
        </w:rPr>
      </w:pPr>
      <w:r>
        <w:rPr>
          <w:b/>
          <w:bCs/>
        </w:rPr>
        <w:t>Notes</w:t>
      </w:r>
    </w:p>
    <w:p>
      <w:pPr>
        <w:numPr>
          <w:ilvl w:val="0"/>
          <w:numId w:val="3"/>
        </w:numPr>
        <w:pBdr>
          <w:top w:val="none" w:sz="0" w:space="0" w:color="auto"/>
          <w:left w:val="none" w:sz="0" w:space="0" w:color="auto"/>
          <w:bottom w:val="none" w:sz="0" w:space="0" w:color="auto"/>
          <w:right w:val="none" w:sz="0" w:space="0" w:color="auto"/>
          <w:between w:val="none" w:sz="0" w:space="0" w:color="auto"/>
        </w:pBdr>
      </w:pPr>
      <w:r>
        <w:t>N/A: Not applicable (e.g., reviews not aimed at combining results or theoretical analyses).</w:t>
      </w:r>
    </w:p>
    <w:p>
      <w:pPr>
        <w:numPr>
          <w:ilvl w:val="0"/>
          <w:numId w:val="3"/>
        </w:numPr>
        <w:pBdr>
          <w:top w:val="none" w:sz="0" w:space="0" w:color="auto"/>
          <w:left w:val="none" w:sz="0" w:space="0" w:color="auto"/>
          <w:bottom w:val="none" w:sz="0" w:space="0" w:color="auto"/>
          <w:right w:val="none" w:sz="0" w:space="0" w:color="auto"/>
          <w:between w:val="none" w:sz="0" w:space="0" w:color="auto"/>
        </w:pBdr>
      </w:pPr>
      <w:r>
        <w:t>Yes: The criterion is fully met.</w:t>
      </w:r>
    </w:p>
    <w:p>
      <w:pPr>
        <w:numPr>
          <w:ilvl w:val="0"/>
          <w:numId w:val="3"/>
        </w:numPr>
        <w:pBdr>
          <w:top w:val="none" w:sz="0" w:space="0" w:color="auto"/>
          <w:left w:val="none" w:sz="0" w:space="0" w:color="auto"/>
          <w:bottom w:val="none" w:sz="0" w:space="0" w:color="auto"/>
          <w:right w:val="none" w:sz="0" w:space="0" w:color="auto"/>
          <w:between w:val="none" w:sz="0" w:space="0" w:color="auto"/>
        </w:pBdr>
      </w:pPr>
      <w:r>
        <w:t>No: The criterion is not met.</w:t>
      </w:r>
    </w:p>
    <w:p>
      <w:pPr>
        <w:numPr>
          <w:ilvl w:val="0"/>
          <w:numId w:val="3"/>
        </w:numPr>
        <w:pBdr>
          <w:top w:val="none" w:sz="0" w:space="0" w:color="auto"/>
          <w:left w:val="none" w:sz="0" w:space="0" w:color="auto"/>
          <w:bottom w:val="none" w:sz="0" w:space="0" w:color="auto"/>
          <w:right w:val="none" w:sz="0" w:space="0" w:color="auto"/>
          <w:between w:val="none" w:sz="0" w:space="0" w:color="auto"/>
        </w:pBdr>
        <w:spacing w:after="240"/>
        <w:sectPr>
          <w:type w:val="continuous"/>
          <w:pgSz w:w="11909" w:h="16834"/>
          <w:pgMar w:top="1440" w:right="1440" w:bottom="1440" w:left="1440" w:header="720" w:footer="720" w:gutter="0"/>
          <w:docGrid w:linePitch="312" w:charSpace="0"/>
        </w:sectPr>
      </w:pPr>
      <w:r>
        <w:t>Can't Tell: It is not clear whether the criterion is met based on available information</w:t>
      </w:r>
    </w:p>
    <w:p>
      <w:pPr>
        <w:pStyle w:val="2"/>
      </w:pPr>
      <w:bookmarkStart w:id="97" w:name="_Toc220754514"/>
      <w:r>
        <w:t>Appendix 2: Findings outcomes</w:t>
      </w:r>
      <w:bookmarkEnd w:id="97"/>
    </w:p>
    <w:p>
      <w:pPr>
        <w:rPr>
          <w:b/>
          <w:bCs/>
          <w:i/>
          <w:iCs/>
          <w:color w:val="FF0000"/>
        </w:rPr>
      </w:pPr>
      <w:r>
        <w:rPr>
          <w:b/>
          <w:bCs/>
          <w:i/>
          <w:iCs/>
          <w:color w:val="FF0000"/>
        </w:rPr>
        <w:t>Result table</w:t>
      </w:r>
    </w:p>
    <w:tbl>
      <w:tblPr>
        <w:jc w:val="center"/>
        <w:tblW w:w="1459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Pr>
      <w:tblGrid>
        <w:gridCol w:w="1413"/>
        <w:gridCol w:w="1559"/>
        <w:gridCol w:w="1134"/>
        <w:gridCol w:w="1276"/>
        <w:gridCol w:w="1276"/>
        <w:gridCol w:w="1417"/>
        <w:gridCol w:w="1418"/>
        <w:gridCol w:w="1275"/>
        <w:gridCol w:w="1276"/>
        <w:gridCol w:w="1276"/>
        <w:gridCol w:w="1276"/>
      </w:tblGrid>
      <w:tr>
        <w:trPr>
          <w:trHeight w:val="275"/>
        </w:trPr>
        <w:tc>
          <w:tcPr>
            <w:tcW w:w="1413" w:type="dxa"/>
          </w:tcPr>
          <w:p>
            <w:pPr>
              <w:spacing w:line="360" w:lineRule="auto"/>
              <w:jc w:val="center"/>
              <w:rPr>
                <w:rFonts w:ascii="Arial" w:eastAsia="Arial" w:cs="Arial" w:hAnsi="Arial"/>
                <w:b/>
                <w:bCs/>
                <w:sz w:val="22"/>
                <w:szCs w:val="22"/>
              </w:rPr>
            </w:pPr>
            <w:bookmarkStart w:id="98" w:name="_heading=h.6fomt8lrnr92"/>
            <w:bookmarkEnd w:id="98"/>
            <w:r>
              <w:rPr>
                <w:rFonts w:ascii="Arial" w:eastAsia="Arial" w:cs="Arial" w:hAnsi="Arial"/>
                <w:b/>
                <w:bCs/>
                <w:sz w:val="22"/>
                <w:szCs w:val="22"/>
              </w:rPr>
              <w:t>Study author’s name</w:t>
            </w:r>
          </w:p>
        </w:tc>
        <w:tc>
          <w:tcPr>
            <w:tcW w:w="1559" w:type="dxa"/>
          </w:tcPr>
          <w:p>
            <w:pPr>
              <w:spacing w:line="360" w:lineRule="auto"/>
              <w:jc w:val="center"/>
              <w:rPr>
                <w:rFonts w:ascii="Arial" w:eastAsia="Arial" w:cs="Arial" w:hAnsi="Arial"/>
                <w:b/>
                <w:bCs/>
                <w:sz w:val="22"/>
                <w:szCs w:val="22"/>
              </w:rPr>
            </w:pPr>
            <w:r>
              <w:rPr>
                <w:rFonts w:ascii="Arial" w:eastAsia="Arial" w:cs="Arial" w:hAnsi="Arial"/>
                <w:b/>
                <w:bCs/>
                <w:sz w:val="22"/>
                <w:szCs w:val="22"/>
              </w:rPr>
              <w:t>Objective/Purpose</w:t>
            </w:r>
          </w:p>
        </w:tc>
        <w:tc>
          <w:tcPr>
            <w:tcW w:w="1134" w:type="dxa"/>
          </w:tcPr>
          <w:p>
            <w:pPr>
              <w:spacing w:line="360" w:lineRule="auto"/>
              <w:jc w:val="center"/>
              <w:rPr>
                <w:rFonts w:ascii="Arial" w:eastAsia="Arial" w:cs="Arial" w:hAnsi="Arial"/>
                <w:b/>
                <w:bCs/>
                <w:sz w:val="22"/>
                <w:szCs w:val="22"/>
              </w:rPr>
            </w:pPr>
            <w:r>
              <w:rPr>
                <w:rFonts w:ascii="Arial" w:eastAsia="Arial" w:cs="Arial" w:hAnsi="Arial"/>
                <w:b/>
                <w:bCs/>
                <w:sz w:val="22"/>
                <w:szCs w:val="22"/>
              </w:rPr>
              <w:t>Settings/Sample</w:t>
            </w:r>
          </w:p>
        </w:tc>
        <w:tc>
          <w:tcPr>
            <w:tcW w:w="1276" w:type="dxa"/>
          </w:tcPr>
          <w:p>
            <w:pPr>
              <w:spacing w:line="360" w:lineRule="auto"/>
              <w:jc w:val="center"/>
              <w:rPr>
                <w:rFonts w:ascii="Arial" w:eastAsia="Arial" w:cs="Arial" w:hAnsi="Arial"/>
                <w:b/>
                <w:bCs/>
                <w:sz w:val="22"/>
                <w:szCs w:val="22"/>
              </w:rPr>
            </w:pPr>
            <w:r>
              <w:rPr>
                <w:rFonts w:ascii="Arial" w:eastAsia="Arial" w:cs="Arial" w:hAnsi="Arial"/>
                <w:b/>
                <w:bCs/>
                <w:sz w:val="22"/>
                <w:szCs w:val="22"/>
              </w:rPr>
              <w:t>Methodology</w:t>
            </w:r>
          </w:p>
          <w:p>
            <w:pPr>
              <w:spacing w:line="360" w:lineRule="auto"/>
              <w:jc w:val="center"/>
              <w:rPr>
                <w:rFonts w:ascii="Arial" w:eastAsia="Arial" w:cs="Arial" w:hAnsi="Arial"/>
                <w:b/>
                <w:bCs/>
                <w:sz w:val="22"/>
                <w:szCs w:val="22"/>
              </w:rPr>
            </w:pPr>
            <w:r>
              <w:rPr>
                <w:rFonts w:ascii="Arial" w:eastAsia="Arial" w:cs="Arial" w:hAnsi="Arial"/>
                <w:b/>
                <w:bCs/>
                <w:sz w:val="22"/>
                <w:szCs w:val="22"/>
              </w:rPr>
              <w:t>Study</w:t>
            </w:r>
          </w:p>
          <w:p>
            <w:pPr>
              <w:spacing w:line="360" w:lineRule="auto"/>
              <w:jc w:val="center"/>
              <w:rPr>
                <w:rFonts w:ascii="Arial" w:eastAsia="Arial" w:cs="Arial" w:hAnsi="Arial"/>
                <w:b/>
                <w:bCs/>
                <w:sz w:val="22"/>
                <w:szCs w:val="22"/>
              </w:rPr>
            </w:pPr>
            <w:r>
              <w:rPr>
                <w:rFonts w:ascii="Arial" w:eastAsia="Arial" w:cs="Arial" w:hAnsi="Arial"/>
                <w:b/>
                <w:bCs/>
                <w:sz w:val="22"/>
                <w:szCs w:val="22"/>
              </w:rPr>
              <w:t>design was</w:t>
            </w:r>
          </w:p>
          <w:p>
            <w:pPr>
              <w:spacing w:line="360" w:lineRule="auto"/>
              <w:jc w:val="center"/>
              <w:rPr>
                <w:rFonts w:ascii="Arial" w:eastAsia="Arial" w:cs="Arial" w:hAnsi="Arial"/>
                <w:b/>
                <w:bCs/>
                <w:sz w:val="22"/>
                <w:szCs w:val="22"/>
              </w:rPr>
            </w:pPr>
            <w:r>
              <w:rPr>
                <w:rFonts w:ascii="Arial" w:eastAsia="Arial" w:cs="Arial" w:hAnsi="Arial"/>
                <w:b/>
                <w:bCs/>
                <w:sz w:val="22"/>
                <w:szCs w:val="22"/>
              </w:rPr>
              <w:t>it</w:t>
            </w:r>
          </w:p>
          <w:p>
            <w:pPr>
              <w:spacing w:line="360" w:lineRule="auto"/>
              <w:jc w:val="center"/>
              <w:rPr>
                <w:rFonts w:ascii="Arial" w:eastAsia="Arial" w:cs="Arial" w:hAnsi="Arial"/>
                <w:b/>
                <w:bCs/>
                <w:sz w:val="22"/>
                <w:szCs w:val="22"/>
              </w:rPr>
            </w:pPr>
            <w:r>
              <w:rPr>
                <w:rFonts w:ascii="Arial" w:eastAsia="Arial" w:cs="Arial" w:hAnsi="Arial"/>
                <w:b/>
                <w:bCs/>
                <w:sz w:val="22"/>
                <w:szCs w:val="22"/>
              </w:rPr>
              <w:t>appropriate</w:t>
            </w:r>
          </w:p>
          <w:p>
            <w:pPr>
              <w:spacing w:line="360" w:lineRule="auto"/>
              <w:jc w:val="center"/>
              <w:rPr>
                <w:rFonts w:ascii="Arial" w:eastAsia="Arial" w:cs="Arial" w:hAnsi="Arial"/>
                <w:b/>
                <w:bCs/>
                <w:sz w:val="22"/>
                <w:szCs w:val="22"/>
              </w:rPr>
            </w:pPr>
            <w:r>
              <w:rPr>
                <w:rFonts w:ascii="Arial" w:eastAsia="Arial" w:cs="Arial" w:hAnsi="Arial"/>
                <w:b/>
                <w:bCs/>
                <w:sz w:val="22"/>
                <w:szCs w:val="22"/>
              </w:rPr>
              <w:t>or not</w:t>
            </w:r>
          </w:p>
        </w:tc>
        <w:tc>
          <w:tcPr>
            <w:tcW w:w="1276" w:type="dxa"/>
          </w:tcPr>
          <w:p>
            <w:pPr>
              <w:spacing w:line="360" w:lineRule="auto"/>
              <w:jc w:val="center"/>
              <w:rPr>
                <w:rFonts w:ascii="Arial" w:eastAsia="Arial" w:cs="Arial" w:hAnsi="Arial"/>
                <w:b/>
                <w:bCs/>
                <w:sz w:val="22"/>
                <w:szCs w:val="22"/>
              </w:rPr>
            </w:pPr>
            <w:r>
              <w:rPr>
                <w:rFonts w:ascii="Arial" w:eastAsia="Arial" w:cs="Arial" w:hAnsi="Arial"/>
                <w:b/>
                <w:bCs/>
                <w:sz w:val="22"/>
                <w:szCs w:val="22"/>
              </w:rPr>
              <w:t>Strengths</w:t>
            </w:r>
          </w:p>
          <w:p>
            <w:pPr>
              <w:spacing w:line="360" w:lineRule="auto"/>
              <w:jc w:val="center"/>
              <w:rPr>
                <w:rFonts w:ascii="Arial" w:eastAsia="Arial" w:cs="Arial" w:hAnsi="Arial"/>
                <w:b/>
                <w:bCs/>
                <w:sz w:val="22"/>
                <w:szCs w:val="22"/>
              </w:rPr>
            </w:pPr>
          </w:p>
        </w:tc>
        <w:tc>
          <w:tcPr>
            <w:tcW w:w="1417" w:type="dxa"/>
          </w:tcPr>
          <w:p>
            <w:pPr>
              <w:spacing w:line="360" w:lineRule="auto"/>
              <w:jc w:val="center"/>
              <w:rPr>
                <w:rFonts w:ascii="Arial" w:eastAsia="Arial" w:cs="Arial" w:hAnsi="Arial"/>
                <w:b/>
                <w:bCs/>
                <w:sz w:val="22"/>
                <w:szCs w:val="22"/>
              </w:rPr>
            </w:pPr>
            <w:r>
              <w:rPr>
                <w:rFonts w:ascii="Arial" w:eastAsia="Arial" w:cs="Arial" w:hAnsi="Arial"/>
                <w:b/>
                <w:bCs/>
                <w:sz w:val="22"/>
                <w:szCs w:val="22"/>
              </w:rPr>
              <w:t>Weaknesses</w:t>
            </w:r>
          </w:p>
          <w:p>
            <w:pPr>
              <w:spacing w:line="360" w:lineRule="auto"/>
              <w:jc w:val="center"/>
              <w:rPr>
                <w:rFonts w:ascii="Arial" w:eastAsia="Arial" w:cs="Arial" w:hAnsi="Arial"/>
                <w:b/>
                <w:bCs/>
                <w:sz w:val="22"/>
                <w:szCs w:val="22"/>
              </w:rPr>
            </w:pPr>
          </w:p>
        </w:tc>
        <w:tc>
          <w:tcPr>
            <w:tcW w:w="1418" w:type="dxa"/>
          </w:tcPr>
          <w:p>
            <w:pPr>
              <w:spacing w:line="360" w:lineRule="auto"/>
              <w:jc w:val="center"/>
              <w:rPr>
                <w:rFonts w:ascii="Arial" w:eastAsia="Arial" w:cs="Arial" w:hAnsi="Arial"/>
                <w:b/>
                <w:bCs/>
                <w:sz w:val="22"/>
                <w:szCs w:val="22"/>
              </w:rPr>
            </w:pPr>
            <w:r>
              <w:rPr>
                <w:rFonts w:ascii="Arial" w:eastAsia="Arial" w:cs="Arial" w:hAnsi="Arial"/>
                <w:b/>
                <w:bCs/>
                <w:sz w:val="22"/>
                <w:szCs w:val="22"/>
              </w:rPr>
              <w:t>Results</w:t>
            </w:r>
          </w:p>
          <w:p>
            <w:pPr>
              <w:spacing w:line="360" w:lineRule="auto"/>
              <w:jc w:val="center"/>
              <w:rPr>
                <w:rFonts w:ascii="Arial" w:eastAsia="Arial" w:cs="Arial" w:hAnsi="Arial"/>
                <w:b/>
                <w:bCs/>
                <w:sz w:val="22"/>
                <w:szCs w:val="22"/>
              </w:rPr>
            </w:pPr>
            <w:r>
              <w:rPr>
                <w:rFonts w:ascii="Arial" w:eastAsia="Arial" w:cs="Arial" w:hAnsi="Arial"/>
                <w:b/>
                <w:bCs/>
                <w:sz w:val="22"/>
                <w:szCs w:val="22"/>
              </w:rPr>
              <w:t>/outcomes</w:t>
            </w:r>
          </w:p>
        </w:tc>
        <w:tc>
          <w:tcPr>
            <w:tcW w:w="1275" w:type="dxa"/>
          </w:tcPr>
          <w:p>
            <w:pPr>
              <w:spacing w:line="360" w:lineRule="auto"/>
              <w:jc w:val="center"/>
              <w:rPr>
                <w:rFonts w:ascii="Arial" w:eastAsia="Arial" w:cs="Arial" w:hAnsi="Arial"/>
                <w:b/>
                <w:bCs/>
                <w:sz w:val="22"/>
                <w:szCs w:val="22"/>
              </w:rPr>
            </w:pPr>
            <w:r>
              <w:rPr>
                <w:rFonts w:ascii="Arial" w:eastAsia="Arial" w:cs="Arial" w:hAnsi="Arial"/>
                <w:b/>
                <w:bCs/>
                <w:sz w:val="22"/>
                <w:szCs w:val="22"/>
              </w:rPr>
              <w:t>Conclusion</w:t>
            </w:r>
          </w:p>
        </w:tc>
        <w:tc>
          <w:tcPr>
            <w:tcW w:w="1276" w:type="dxa"/>
          </w:tcPr>
          <w:p>
            <w:pPr>
              <w:spacing w:line="360" w:lineRule="auto"/>
              <w:jc w:val="center"/>
              <w:rPr>
                <w:rFonts w:ascii="Arial" w:eastAsia="Arial" w:cs="Arial" w:hAnsi="Arial"/>
                <w:b/>
                <w:bCs/>
                <w:sz w:val="22"/>
                <w:szCs w:val="22"/>
              </w:rPr>
            </w:pPr>
            <w:r>
              <w:rPr>
                <w:rFonts w:ascii="Arial" w:eastAsia="Arial" w:cs="Arial" w:hAnsi="Arial"/>
                <w:b/>
                <w:bCs/>
                <w:sz w:val="22"/>
                <w:szCs w:val="22"/>
              </w:rPr>
              <w:t>Data</w:t>
            </w:r>
          </w:p>
          <w:p>
            <w:pPr>
              <w:spacing w:line="360" w:lineRule="auto"/>
              <w:jc w:val="center"/>
              <w:rPr>
                <w:rFonts w:ascii="Arial" w:eastAsia="Arial" w:cs="Arial" w:hAnsi="Arial"/>
                <w:b/>
                <w:bCs/>
                <w:sz w:val="22"/>
                <w:szCs w:val="22"/>
              </w:rPr>
            </w:pPr>
            <w:r>
              <w:rPr>
                <w:rFonts w:ascii="Arial" w:eastAsia="Arial" w:cs="Arial" w:hAnsi="Arial"/>
                <w:b/>
                <w:bCs/>
                <w:sz w:val="22"/>
                <w:szCs w:val="22"/>
              </w:rPr>
              <w:t>extraction</w:t>
            </w:r>
          </w:p>
          <w:p>
            <w:pPr>
              <w:spacing w:line="360" w:lineRule="auto"/>
              <w:jc w:val="center"/>
              <w:rPr>
                <w:rFonts w:ascii="Arial" w:eastAsia="Arial" w:cs="Arial" w:hAnsi="Arial"/>
                <w:b/>
                <w:bCs/>
                <w:sz w:val="22"/>
                <w:szCs w:val="22"/>
              </w:rPr>
            </w:pPr>
            <w:r>
              <w:rPr>
                <w:rFonts w:ascii="Arial" w:eastAsia="Arial" w:cs="Arial" w:hAnsi="Arial"/>
                <w:b/>
                <w:bCs/>
                <w:sz w:val="22"/>
                <w:szCs w:val="22"/>
              </w:rPr>
              <w:t>criteria</w:t>
            </w:r>
          </w:p>
          <w:p>
            <w:pPr>
              <w:spacing w:line="360" w:lineRule="auto"/>
              <w:jc w:val="center"/>
              <w:rPr>
                <w:rFonts w:ascii="Arial" w:eastAsia="Arial" w:cs="Arial" w:hAnsi="Arial"/>
                <w:b/>
                <w:bCs/>
                <w:sz w:val="22"/>
                <w:szCs w:val="22"/>
              </w:rPr>
            </w:pPr>
          </w:p>
        </w:tc>
        <w:tc>
          <w:tcPr>
            <w:tcW w:w="1276" w:type="dxa"/>
          </w:tcPr>
          <w:p>
            <w:pPr>
              <w:spacing w:line="360" w:lineRule="auto"/>
              <w:jc w:val="center"/>
              <w:rPr>
                <w:rFonts w:ascii="Arial" w:eastAsia="Arial" w:cs="Arial" w:hAnsi="Arial"/>
                <w:b/>
                <w:bCs/>
                <w:sz w:val="22"/>
                <w:szCs w:val="22"/>
              </w:rPr>
            </w:pPr>
            <w:r>
              <w:rPr>
                <w:rFonts w:ascii="Arial" w:eastAsia="Arial" w:cs="Arial" w:hAnsi="Arial"/>
                <w:b/>
                <w:bCs/>
                <w:sz w:val="22"/>
                <w:szCs w:val="22"/>
              </w:rPr>
              <w:t>Data</w:t>
            </w:r>
          </w:p>
          <w:p>
            <w:pPr>
              <w:spacing w:line="360" w:lineRule="auto"/>
              <w:jc w:val="center"/>
              <w:rPr>
                <w:rFonts w:ascii="Arial" w:eastAsia="Arial" w:cs="Arial" w:hAnsi="Arial"/>
                <w:b/>
                <w:bCs/>
                <w:sz w:val="22"/>
                <w:szCs w:val="22"/>
              </w:rPr>
            </w:pPr>
            <w:r>
              <w:rPr>
                <w:rFonts w:ascii="Arial" w:eastAsia="Arial" w:cs="Arial" w:hAnsi="Arial"/>
                <w:b/>
                <w:bCs/>
                <w:sz w:val="22"/>
                <w:szCs w:val="22"/>
              </w:rPr>
              <w:t>extraction</w:t>
            </w:r>
          </w:p>
          <w:p>
            <w:pPr>
              <w:spacing w:line="360" w:lineRule="auto"/>
              <w:jc w:val="center"/>
              <w:rPr>
                <w:rFonts w:ascii="Arial" w:eastAsia="Arial" w:cs="Arial" w:hAnsi="Arial"/>
                <w:b/>
                <w:bCs/>
                <w:sz w:val="22"/>
                <w:szCs w:val="22"/>
              </w:rPr>
            </w:pPr>
            <w:r>
              <w:rPr>
                <w:rFonts w:ascii="Arial" w:eastAsia="Arial" w:cs="Arial" w:hAnsi="Arial"/>
                <w:b/>
                <w:bCs/>
                <w:sz w:val="22"/>
                <w:szCs w:val="22"/>
              </w:rPr>
              <w:t>criteria</w:t>
            </w:r>
          </w:p>
          <w:p>
            <w:pPr>
              <w:spacing w:line="240" w:lineRule="auto"/>
              <w:jc w:val="center"/>
              <w:rPr>
                <w:rFonts w:ascii="Arial" w:eastAsia="Arial" w:cs="Arial" w:hAnsi="Arial"/>
                <w:b/>
                <w:bCs/>
                <w:sz w:val="22"/>
                <w:szCs w:val="22"/>
              </w:rPr>
            </w:pPr>
          </w:p>
        </w:tc>
        <w:tc>
          <w:tcPr>
            <w:tcW w:w="1276" w:type="dxa"/>
          </w:tcPr>
          <w:p>
            <w:pPr>
              <w:spacing w:line="360" w:lineRule="auto"/>
              <w:jc w:val="center"/>
              <w:rPr>
                <w:rFonts w:ascii="Arial" w:eastAsia="Arial" w:cs="Arial" w:hAnsi="Arial"/>
                <w:b/>
                <w:bCs/>
                <w:sz w:val="22"/>
                <w:szCs w:val="22"/>
              </w:rPr>
            </w:pPr>
            <w:r>
              <w:rPr>
                <w:rFonts w:ascii="Arial" w:eastAsia="Arial" w:cs="Arial" w:hAnsi="Arial"/>
                <w:b/>
                <w:bCs/>
                <w:sz w:val="22"/>
                <w:szCs w:val="22"/>
              </w:rPr>
              <w:t>Themes</w:t>
            </w:r>
          </w:p>
          <w:p>
            <w:pPr>
              <w:spacing w:line="360" w:lineRule="auto"/>
              <w:jc w:val="center"/>
              <w:rPr>
                <w:rFonts w:ascii="Arial" w:eastAsia="Arial" w:cs="Arial" w:hAnsi="Arial"/>
                <w:b/>
                <w:bCs/>
                <w:sz w:val="22"/>
                <w:szCs w:val="22"/>
              </w:rPr>
            </w:pPr>
            <w:r>
              <w:rPr>
                <w:rFonts w:ascii="Arial" w:eastAsia="Arial" w:cs="Arial" w:hAnsi="Arial"/>
                <w:b/>
                <w:bCs/>
                <w:sz w:val="22"/>
                <w:szCs w:val="22"/>
              </w:rPr>
              <w:t>per each</w:t>
            </w:r>
          </w:p>
          <w:p>
            <w:pPr>
              <w:spacing w:line="360" w:lineRule="auto"/>
              <w:jc w:val="center"/>
              <w:rPr>
                <w:rFonts w:ascii="Arial" w:eastAsia="Arial" w:cs="Arial" w:hAnsi="Arial"/>
                <w:b/>
                <w:bCs/>
                <w:sz w:val="22"/>
                <w:szCs w:val="22"/>
              </w:rPr>
            </w:pPr>
            <w:r>
              <w:rPr>
                <w:rFonts w:ascii="Arial" w:eastAsia="Arial" w:cs="Arial" w:hAnsi="Arial"/>
                <w:b/>
                <w:bCs/>
                <w:sz w:val="22"/>
                <w:szCs w:val="22"/>
              </w:rPr>
              <w:t>articles</w:t>
            </w:r>
          </w:p>
        </w:tc>
      </w:tr>
      <w:tr>
        <w:trPr>
          <w:trHeight w:val="275"/>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Ortega-Martorell </w:t>
            </w:r>
            <w:r>
              <w:rPr>
                <w:rFonts w:ascii="Arial" w:eastAsia="Arial" w:cs="Arial" w:hAnsi="Arial"/>
                <w:i/>
                <w:iCs/>
                <w:sz w:val="22"/>
                <w:szCs w:val="22"/>
              </w:rPr>
              <w:t xml:space="preserve">et al. </w:t>
            </w:r>
            <w:r>
              <w:rPr>
                <w:rFonts w:ascii="Arial" w:eastAsia="Arial" w:cs="Arial" w:hAnsi="Arial"/>
                <w:sz w:val="22"/>
                <w:szCs w:val="22"/>
              </w:rPr>
              <w:t>(2025)</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 xml:space="preserve">To explain the requirements for AF and personalising stroke-care from prevention to rehabilitation with the role of AI/ML to enhance digital-care provision. </w:t>
            </w:r>
          </w:p>
          <w:p>
            <w:pPr>
              <w:spacing w:line="360" w:lineRule="auto"/>
              <w:rPr>
                <w:rFonts w:ascii="Arial" w:eastAsia="Arial" w:cs="Arial" w:hAnsi="Arial"/>
                <w:sz w:val="22"/>
                <w:szCs w:val="22"/>
              </w:rPr>
            </w:pPr>
          </w:p>
        </w:tc>
        <w:tc>
          <w:tcPr>
            <w:tcW w:w="1134" w:type="dxa"/>
          </w:tcPr>
          <w:p>
            <w:pPr>
              <w:spacing w:line="360" w:lineRule="auto"/>
              <w:jc w:val="center"/>
              <w:rPr>
                <w:rFonts w:ascii="Arial" w:eastAsia="Arial" w:cs="Arial" w:hAnsi="Arial"/>
                <w:sz w:val="22"/>
                <w:szCs w:val="22"/>
              </w:rPr>
            </w:pPr>
            <w:r>
              <w:rPr>
                <w:rFonts w:ascii="Arial" w:eastAsia="Arial" w:cs="Arial" w:hAnsi="Arial"/>
                <w:sz w:val="22"/>
                <w:szCs w:val="22"/>
              </w:rPr>
              <w:t>8</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Qualitative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Considered peer-reviewed data of previous healthcare-research-papers. </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 xml:space="preserve">No specific real-time data through primary research was done, thus sample size is unspecified. Integrated vast-data seemed to be challenging for authors. </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 xml:space="preserve">Atrial fibrillation (AF) requires innovative technological integration and more personalised approaches to prevent the complex physical conditions of stroke-patients.  </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 xml:space="preserve">AI and ML are aiding AF care through better prediction of risk-factors and personalisation with integrated-strategies.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 xml:space="preserve">AI in stroke-care, digital support for stroke survivors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Artillery fibrillation, stroke-patients challenges</w:t>
            </w:r>
          </w:p>
          <w:p>
            <w:pPr>
              <w:spacing w:line="360" w:lineRule="auto"/>
              <w:rPr>
                <w:rFonts w:ascii="Arial" w:eastAsia="Arial" w:cs="Arial" w:hAnsi="Arial"/>
                <w:sz w:val="22"/>
                <w:szCs w:val="22"/>
              </w:rPr>
            </w:pPr>
          </w:p>
        </w:tc>
        <w:tc>
          <w:tcPr>
            <w:tcW w:w="1276" w:type="dxa"/>
            <w:vMerge w:val="restart"/>
          </w:tcPr>
          <w:p>
            <w:pPr>
              <w:spacing w:line="360" w:lineRule="auto"/>
              <w:jc w:val="center"/>
              <w:rPr>
                <w:rFonts w:ascii="Arial" w:eastAsia="Arial" w:cs="Arial" w:hAnsi="Arial"/>
                <w:b/>
                <w:bCs/>
                <w:i/>
                <w:iCs/>
                <w:sz w:val="22"/>
                <w:szCs w:val="22"/>
              </w:rPr>
            </w:pPr>
            <w:r>
              <w:rPr>
                <w:rFonts w:ascii="Arial" w:eastAsia="Arial" w:cs="Arial" w:hAnsi="Arial"/>
                <w:b/>
                <w:bCs/>
                <w:i/>
                <w:iCs/>
                <w:sz w:val="22"/>
                <w:szCs w:val="22"/>
              </w:rPr>
              <w:t>Integrating digital-health technologies in personalised care-planning for stroke survivors.</w:t>
            </w:r>
          </w:p>
        </w:tc>
      </w:tr>
      <w:tr>
        <w:trPr>
          <w:trHeight w:val="275"/>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Oster </w:t>
            </w:r>
            <w:r>
              <w:rPr>
                <w:rFonts w:ascii="Arial" w:eastAsia="Arial" w:cs="Arial" w:hAnsi="Arial"/>
                <w:i/>
                <w:iCs/>
                <w:sz w:val="22"/>
                <w:szCs w:val="22"/>
              </w:rPr>
              <w:t>et al.</w:t>
            </w:r>
            <w:r>
              <w:rPr>
                <w:rFonts w:ascii="Arial" w:eastAsia="Arial" w:cs="Arial" w:hAnsi="Arial"/>
                <w:sz w:val="22"/>
                <w:szCs w:val="22"/>
              </w:rPr>
              <w:t xml:space="preserve"> (2024)</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 xml:space="preserve">To examine patients ‘and healthcare staff’s views about primary-care support in healthcare centres. </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 xml:space="preserve">Patients (n=113) and physicians (n=67) from major 5 healthcare centres.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Quantitative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Primary data through questionnaires confirmed the data-reliability through real-time perspectives of patients and medical-staff. </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 xml:space="preserve">A mixed method by including a systematic literature review could provide a broader perspective, which is missing. </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 xml:space="preserve">Patients expect a more interpersonal approach from physicians and physicians observed that patients expected more long-term outcomes which are complicated to maintain by doctors. </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 xml:space="preserve">Patients and physicians’ points of view about care-support seemed to clash.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 xml:space="preserve">Patients’ primary health expectations, healthcare outcomes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 xml:space="preserve">Patients’ concerns about care-support, primary healthcare-challenges </w:t>
            </w:r>
          </w:p>
        </w:tc>
        <w:tc>
          <w:tcPr>
            <w:tcW w:w="1276" w:type="dxa"/>
            <w:vMerge/>
          </w:tcPr>
          <w:p/>
        </w:tc>
      </w:tr>
      <w:tr>
        <w:trPr>
          <w:trHeight w:val="551"/>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Spacey </w:t>
            </w:r>
            <w:r>
              <w:rPr>
                <w:rFonts w:ascii="Arial" w:eastAsia="Arial" w:cs="Arial" w:hAnsi="Arial"/>
                <w:i/>
                <w:iCs/>
                <w:sz w:val="22"/>
                <w:szCs w:val="22"/>
              </w:rPr>
              <w:t>et al.</w:t>
            </w:r>
            <w:r>
              <w:rPr>
                <w:rFonts w:ascii="Arial" w:eastAsia="Arial" w:cs="Arial" w:hAnsi="Arial"/>
                <w:sz w:val="22"/>
                <w:szCs w:val="22"/>
              </w:rPr>
              <w:t xml:space="preserve"> (2025)</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 xml:space="preserve">To measure efficiency of advanced-care planning studies in hospitals and care-homes in the UK. </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88 cross-sectional survey-respondents.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Quantitative</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Primary data collected through survey provided dada-reliability through real-time information about the healthcare facilities in the UK. </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 xml:space="preserve">Considering only survey-data limits depth and there is a risk of biases about the survey-results in this research. </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 xml:space="preserve">Most participants feel that the current advance-care-support training is useful for developing their knowledge and confidence. </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 xml:space="preserve">Education for enhancing care-support enhances caregivers’ knowledge and engages them more to support patients.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Patient care training effectiveness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 xml:space="preserve">Panning for patients’ care </w:t>
            </w:r>
          </w:p>
        </w:tc>
        <w:tc>
          <w:tcPr>
            <w:tcW w:w="1276" w:type="dxa"/>
            <w:vMerge/>
          </w:tcPr>
          <w:p/>
        </w:tc>
      </w:tr>
      <w:tr>
        <w:trPr>
          <w:trHeight w:val="551"/>
        </w:trPr>
        <w:tc>
          <w:tcPr>
            <w:tcW w:w="1413" w:type="dxa"/>
          </w:tcPr>
          <w:p>
            <w:pPr>
              <w:spacing w:line="360" w:lineRule="auto"/>
              <w:rPr>
                <w:rFonts w:ascii="Arial" w:eastAsia="Arial" w:cs="Arial" w:hAnsi="Arial"/>
                <w:sz w:val="22"/>
                <w:szCs w:val="22"/>
              </w:rPr>
            </w:pPr>
            <w:r>
              <w:rPr>
                <w:rFonts w:ascii="Arial" w:eastAsia="Arial" w:cs="Arial" w:hAnsi="Arial"/>
                <w:sz w:val="22"/>
                <w:szCs w:val="22"/>
              </w:rPr>
              <w:t>Mikkola</w:t>
            </w:r>
            <w:r>
              <w:rPr>
                <w:rFonts w:ascii="Arial" w:eastAsia="Arial" w:cs="Arial" w:hAnsi="Arial"/>
                <w:i/>
                <w:iCs/>
                <w:sz w:val="22"/>
                <w:szCs w:val="22"/>
              </w:rPr>
              <w:t xml:space="preserve"> et al.</w:t>
            </w:r>
            <w:r>
              <w:rPr>
                <w:rFonts w:ascii="Arial" w:eastAsia="Arial" w:cs="Arial" w:hAnsi="Arial"/>
                <w:sz w:val="22"/>
                <w:szCs w:val="22"/>
              </w:rPr>
              <w:t xml:space="preserve"> (2022)</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 xml:space="preserve">To analyse the association of personalised-care plans by controlling and monitoring treatment-outcomes. </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 xml:space="preserve">5104 patients  with an average age of 65.5 yrs.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Quantitative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As this study assessed the data collected from the registered patients participating in a program at Rovaniemi municipal primary care, real-time information from the patient’s solidified claims.  </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 xml:space="preserve">Taking data from only one care centre creates the risk for biases. </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 xml:space="preserve">Most patients found to have multimorbidities issues. </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 xml:space="preserve">Patients having care-support plans were more aware and strictly followed-consultations.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 xml:space="preserve">Real-life care-plans, care-support in the UK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 xml:space="preserve">Focused  care issues, multimorbidities challenges </w:t>
            </w:r>
          </w:p>
        </w:tc>
        <w:tc>
          <w:tcPr>
            <w:tcW w:w="1276" w:type="dxa"/>
            <w:vMerge/>
          </w:tcPr>
          <w:p/>
        </w:tc>
      </w:tr>
      <w:tr>
        <w:trPr>
          <w:trHeight w:val="551"/>
        </w:trPr>
        <w:tc>
          <w:tcPr>
            <w:tcW w:w="1413" w:type="dxa"/>
          </w:tcPr>
          <w:p>
            <w:pPr>
              <w:spacing w:line="360" w:lineRule="auto"/>
              <w:rPr>
                <w:rFonts w:ascii="Arial" w:eastAsia="Arial" w:cs="Arial" w:hAnsi="Arial"/>
                <w:sz w:val="22"/>
                <w:szCs w:val="22"/>
              </w:rPr>
            </w:pPr>
            <w:r>
              <w:rPr>
                <w:rFonts w:ascii="Arial" w:eastAsia="Arial" w:cs="Arial" w:hAnsi="Arial"/>
                <w:sz w:val="22"/>
                <w:szCs w:val="22"/>
              </w:rPr>
              <w:t>Ma</w:t>
            </w:r>
            <w:r>
              <w:rPr>
                <w:rFonts w:ascii="Arial" w:eastAsia="Arial" w:cs="Arial" w:hAnsi="Arial"/>
                <w:i/>
                <w:iCs/>
                <w:sz w:val="22"/>
                <w:szCs w:val="22"/>
              </w:rPr>
              <w:t xml:space="preserve"> et al. </w:t>
            </w:r>
            <w:r>
              <w:rPr>
                <w:rFonts w:ascii="Arial" w:eastAsia="Arial" w:cs="Arial" w:hAnsi="Arial"/>
                <w:sz w:val="22"/>
                <w:szCs w:val="22"/>
              </w:rPr>
              <w:t>(2024)</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 xml:space="preserve">To develop a deep-learning-based innovative model for assessing Activities of Daily Living (ADL) and personalised care-planning in adult care-homes. </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 xml:space="preserve">150 participants of 85 females, 65 males, age 75.3±8.2, over six months.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Quantitative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This study claims to achieve 92.8% of data-accuracy in ADL-recognition tasks with a time-efficiency of about 35%.</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 xml:space="preserve">The study lacks in-depth discussions, so lacks wider-contexts and comparisons. </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 xml:space="preserve">Consistent performance of ADL-integrated support-planning was recognised. </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 xml:space="preserve">The workload was cut short by 40% with 28% enhancement in detection-efficiency.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Optimising care-planning</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 xml:space="preserve">Advanced personalised care planning </w:t>
            </w:r>
          </w:p>
        </w:tc>
        <w:tc>
          <w:tcPr>
            <w:tcW w:w="1276" w:type="dxa"/>
            <w:vMerge w:val="restart"/>
          </w:tcPr>
          <w:p>
            <w:pPr>
              <w:spacing w:line="360" w:lineRule="auto"/>
              <w:jc w:val="center"/>
              <w:rPr>
                <w:rFonts w:ascii="Arial" w:eastAsia="Arial" w:cs="Arial" w:hAnsi="Arial"/>
                <w:b/>
                <w:bCs/>
                <w:i/>
                <w:iCs/>
                <w:sz w:val="22"/>
                <w:szCs w:val="22"/>
              </w:rPr>
            </w:pPr>
            <w:r>
              <w:rPr>
                <w:rFonts w:ascii="Arial" w:eastAsia="Arial" w:cs="Arial" w:hAnsi="Arial"/>
                <w:b/>
                <w:bCs/>
                <w:i/>
                <w:iCs/>
                <w:sz w:val="22"/>
                <w:szCs w:val="22"/>
              </w:rPr>
              <w:t>Impact of multidisciplinary collaboration for advanced personalised care-planning.</w:t>
            </w: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Sedini</w:t>
            </w:r>
            <w:r>
              <w:rPr>
                <w:rFonts w:ascii="Arial" w:eastAsia="Arial" w:cs="Arial" w:hAnsi="Arial"/>
                <w:i/>
                <w:iCs/>
                <w:sz w:val="22"/>
                <w:szCs w:val="22"/>
              </w:rPr>
              <w:t xml:space="preserve"> et al.</w:t>
            </w:r>
            <w:r>
              <w:rPr>
                <w:rFonts w:ascii="Arial" w:eastAsia="Arial" w:cs="Arial" w:hAnsi="Arial"/>
                <w:sz w:val="22"/>
                <w:szCs w:val="22"/>
              </w:rPr>
              <w:t xml:space="preserve"> (2024)</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 xml:space="preserve">To identify the challenges in advanced care planning. </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NA</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Qualitative</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Being a qualitative study, this article shares elaborative discussion with multivariate concepts through themes. </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Limited by only study-data conducted previously, no first-hand data delivered.</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 xml:space="preserve">Despite challenges like multimorbidities, chronic illnesses and frailty among the old-people, Advance care planning (ACP) was found effective to alleviate the symptoms. </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 xml:space="preserve">Face to face consultations or integrating digital-solutions accelerate ACP’s effectiveness. </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Advance care planning (ACP)</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Searched keywords-</w:t>
            </w:r>
          </w:p>
          <w:p>
            <w:pPr>
              <w:spacing w:line="360" w:lineRule="auto"/>
              <w:rPr>
                <w:rFonts w:ascii="Arial" w:eastAsia="Arial" w:cs="Arial" w:hAnsi="Arial"/>
                <w:sz w:val="22"/>
                <w:szCs w:val="22"/>
              </w:rPr>
            </w:pPr>
            <w:r>
              <w:rPr>
                <w:rFonts w:ascii="Arial" w:eastAsia="Arial" w:cs="Arial" w:hAnsi="Arial"/>
                <w:sz w:val="22"/>
                <w:szCs w:val="22"/>
              </w:rPr>
              <w:t>Patient care plan in the UK</w:t>
            </w:r>
          </w:p>
        </w:tc>
        <w:tc>
          <w:tcPr>
            <w:tcW w:w="1276" w:type="dxa"/>
            <w:vMerge/>
          </w:tcP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Chang, W.H., (2022)</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highlight recent knowledge, limitations and challenges of personalized stroke</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NA</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Narrative synthesis of recent scientific advances based on stroke patients across diagnosis, treatment and rehabilitation contexts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Broad scope, multidisciplinary relevance and conceptual validation</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No empirical data, sample details absent</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Advances reduce mortality but disabilities present</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Personalised, accurate evaluation is essential</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Diagnostic and functional evaluation approaches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Individualised treatment and rehabilitation strategies</w:t>
            </w:r>
          </w:p>
        </w:tc>
        <w:tc>
          <w:tcPr>
            <w:tcW w:w="1276" w:type="dxa"/>
            <w:vMerge w:val="restart"/>
          </w:tcPr>
          <w:p>
            <w:pPr>
              <w:widowControl w:val="0"/>
              <w:spacing w:line="360" w:lineRule="auto"/>
              <w:jc w:val="center"/>
              <w:rPr>
                <w:rFonts w:ascii="Arial" w:eastAsia="Arial" w:cs="Arial" w:hAnsi="Arial"/>
                <w:sz w:val="22"/>
                <w:szCs w:val="22"/>
              </w:rPr>
            </w:pP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Hancock </w:t>
            </w:r>
            <w:r>
              <w:rPr>
                <w:rFonts w:ascii="Arial" w:eastAsia="Arial" w:cs="Arial" w:hAnsi="Arial"/>
                <w:i/>
                <w:iCs/>
                <w:sz w:val="22"/>
                <w:szCs w:val="22"/>
              </w:rPr>
              <w:t xml:space="preserve">et al. </w:t>
            </w:r>
            <w:r>
              <w:rPr>
                <w:rFonts w:ascii="Arial" w:eastAsia="Arial" w:cs="Arial" w:hAnsi="Arial"/>
                <w:sz w:val="22"/>
                <w:szCs w:val="22"/>
              </w:rPr>
              <w:t>(2023)</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evaluate integration of supported self-management in stroke care</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24 UK NHS stroke and neurorehabilitation services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Mixed-method evaluation of practitioner training</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Appropriate for behavioural and practice change evaluation</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Real-word settings, strong contextual validity</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Increased practitioner confidence and practice transformation</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Value-based leadership enables integrations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Practitioner behavioural changes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Service-level integration and sustainability</w:t>
            </w:r>
          </w:p>
        </w:tc>
        <w:tc>
          <w:tcPr>
            <w:tcW w:w="1276" w:type="dxa"/>
            <w:vMerge/>
          </w:tcP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Hinckley, J. and Jayes, M., (2023)</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identify tools supporting shared decision-making in aphasia rehabilitation</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NA</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Narrative review with illustrative case scenarios with the rehabilitation contexts involving people with aphasia</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Comprehensive, multidisciplinary relevance</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No empirical outcome testing</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Practical strategies improve shared decision-making</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Adapted communications enable person-centred care</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Communication-support tools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Multidisciplinary implementation strategies</w:t>
            </w:r>
          </w:p>
        </w:tc>
        <w:tc>
          <w:tcPr>
            <w:tcW w:w="1276" w:type="dxa"/>
          </w:tcPr>
          <w:p>
            <w:pPr>
              <w:widowControl w:val="0"/>
              <w:spacing w:line="360" w:lineRule="auto"/>
              <w:jc w:val="center"/>
              <w:rPr>
                <w:rFonts w:ascii="Arial" w:eastAsia="Arial" w:cs="Arial" w:hAnsi="Arial"/>
                <w:sz w:val="22"/>
                <w:szCs w:val="22"/>
              </w:rPr>
            </w:pPr>
            <w:r>
              <w:rPr>
                <w:rFonts w:ascii="Arial" w:eastAsia="Arial" w:cs="Arial" w:hAnsi="Arial"/>
                <w:i/>
                <w:iCs/>
                <w:sz w:val="22"/>
                <w:szCs w:val="22"/>
              </w:rPr>
              <w:t>Key barriers and enablers influencing the effectiveness of personalised healthcare planning for the population</w:t>
            </w: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Marwaa </w:t>
            </w:r>
            <w:r>
              <w:rPr>
                <w:rFonts w:ascii="Arial" w:eastAsia="Arial" w:cs="Arial" w:hAnsi="Arial"/>
                <w:i/>
                <w:iCs/>
                <w:sz w:val="22"/>
                <w:szCs w:val="22"/>
              </w:rPr>
              <w:t xml:space="preserve">et al. </w:t>
            </w:r>
            <w:r>
              <w:rPr>
                <w:rFonts w:ascii="Arial" w:eastAsia="Arial" w:cs="Arial" w:hAnsi="Arial"/>
                <w:sz w:val="22"/>
                <w:szCs w:val="22"/>
              </w:rPr>
              <w:t>(2023)</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co-design digital tools supporting person-centred stroke rehabilitation</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23 stroke survivors, 18 significant others, 12 occupational therapists, 9 physiotherapists. 1 patient organisation representative, 3 application developers and 2 researchers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Experience-based co-design using interview data appropriate for participatory service development</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High contextual validity, strong stakeholder engagement</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Small, context-specific sample limits generalisability</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Apps support evidence-based person-centred rehabilitation</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EBCD enabled empowering, valued collaboration</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End-user needs and priorities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Digital support for person-centred rehabilitation</w:t>
            </w:r>
          </w:p>
        </w:tc>
        <w:tc>
          <w:tcPr>
            <w:tcW w:w="1276" w:type="dxa"/>
          </w:tcPr>
          <w:p>
            <w:pPr>
              <w:widowControl w:val="0"/>
              <w:spacing w:line="360" w:lineRule="auto"/>
              <w:jc w:val="center"/>
              <w:rPr>
                <w:rFonts w:ascii="Arial" w:eastAsia="Arial" w:cs="Arial" w:hAnsi="Arial"/>
                <w:sz w:val="22"/>
                <w:szCs w:val="22"/>
              </w:rPr>
            </w:pP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Lievesley </w:t>
            </w:r>
            <w:r>
              <w:rPr>
                <w:rFonts w:ascii="Arial" w:eastAsia="Arial" w:cs="Arial" w:hAnsi="Arial"/>
                <w:i/>
                <w:iCs/>
                <w:sz w:val="22"/>
                <w:szCs w:val="22"/>
              </w:rPr>
              <w:t xml:space="preserve">et al. </w:t>
            </w:r>
            <w:r>
              <w:rPr>
                <w:rFonts w:ascii="Arial" w:eastAsia="Arial" w:cs="Arial" w:hAnsi="Arial"/>
                <w:sz w:val="22"/>
                <w:szCs w:val="22"/>
              </w:rPr>
              <w:t>(2022)</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develop a person-centred oral-care intervention for stroke survivors</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NA</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Experience-based co-design integrated with behaviour-change theory appropriate for intervention development. Co-design workshops with stoker survivors. Family carers and healthcare professionals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Combines qualitative evidence theory, and co-design stakeholder engagement enhancing the validity</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Single design project, limited generalisability, no quantitative analysis</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Key actions and behaviour-change techniques identified; patient-facing resource created</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Intervention supports stroke survivor's transition from hospital to home care</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Oral-care needs and experiences of stroker survivors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Behaviour-change strategies integrated into patient resources</w:t>
            </w:r>
          </w:p>
        </w:tc>
        <w:tc>
          <w:tcPr>
            <w:tcW w:w="1276" w:type="dxa"/>
          </w:tcPr>
          <w:p>
            <w:pPr>
              <w:widowControl w:val="0"/>
              <w:spacing w:line="360" w:lineRule="auto"/>
              <w:jc w:val="center"/>
              <w:rPr>
                <w:rFonts w:ascii="Arial" w:eastAsia="Arial" w:cs="Arial" w:hAnsi="Arial"/>
                <w:sz w:val="22"/>
                <w:szCs w:val="22"/>
              </w:rPr>
            </w:pP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Jiang </w:t>
            </w:r>
            <w:r>
              <w:rPr>
                <w:rFonts w:ascii="Arial" w:eastAsia="Arial" w:cs="Arial" w:hAnsi="Arial"/>
                <w:i/>
                <w:iCs/>
                <w:sz w:val="22"/>
                <w:szCs w:val="22"/>
              </w:rPr>
              <w:t xml:space="preserve">et al. </w:t>
            </w:r>
            <w:r>
              <w:rPr>
                <w:rFonts w:ascii="Arial" w:eastAsia="Arial" w:cs="Arial" w:hAnsi="Arial"/>
                <w:sz w:val="22"/>
                <w:szCs w:val="22"/>
              </w:rPr>
              <w:t>(2023)</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evaluate wearable-based real-time self-management support post-stroke</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183 adult stoker patients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Parallel-group randomised controlled trial, highly appropriate</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 xml:space="preserve">Strong internal validity, adequate sample, intention-to-treat analysis </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Technology access-bias, context-specific healthcare settings</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Improved self-management functions. QoL. reduced readmissions</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Wearables enable individualised transitional care support</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Effect of RISS on self-management behaviour</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Impact on clinical and psychosocial outcomes</w:t>
            </w:r>
          </w:p>
        </w:tc>
        <w:tc>
          <w:tcPr>
            <w:tcW w:w="1276" w:type="dxa"/>
          </w:tcPr>
          <w:p>
            <w:pPr>
              <w:widowControl w:val="0"/>
              <w:spacing w:line="360" w:lineRule="auto"/>
              <w:jc w:val="center"/>
              <w:rPr>
                <w:rFonts w:ascii="Arial" w:eastAsia="Arial" w:cs="Arial" w:hAnsi="Arial"/>
                <w:sz w:val="22"/>
                <w:szCs w:val="22"/>
              </w:rPr>
            </w:pP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Johnson </w:t>
            </w:r>
            <w:r>
              <w:rPr>
                <w:rFonts w:ascii="Arial" w:eastAsia="Arial" w:cs="Arial" w:hAnsi="Arial"/>
                <w:i/>
                <w:iCs/>
                <w:sz w:val="22"/>
                <w:szCs w:val="22"/>
              </w:rPr>
              <w:t xml:space="preserve">et al. </w:t>
            </w:r>
            <w:r>
              <w:rPr>
                <w:rFonts w:ascii="Arial" w:eastAsia="Arial" w:cs="Arial" w:hAnsi="Arial"/>
                <w:sz w:val="22"/>
                <w:szCs w:val="22"/>
              </w:rPr>
              <w:t>(2023)</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 xml:space="preserve">To develop a structured self-management program for unmet stroke survivor needs </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NA</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MRC framework for complex intervention development appropriate. Stroke survivors, carers and healthcare professionals through PPI</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Strong theoretical grounding, PPI enhances relevance and validity</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No outcome evaluation, feasibility not yet tested</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Evidence and theory-based MLAS program developed</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MLAS needs feasibility testing</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Content addressing psychological needs and prevention</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Delivery approach and theoretical foundations</w:t>
            </w:r>
          </w:p>
        </w:tc>
        <w:tc>
          <w:tcPr>
            <w:tcW w:w="1276" w:type="dxa"/>
          </w:tcPr>
          <w:p>
            <w:pPr>
              <w:widowControl w:val="0"/>
              <w:spacing w:line="360" w:lineRule="auto"/>
              <w:jc w:val="center"/>
              <w:rPr>
                <w:rFonts w:ascii="Arial" w:eastAsia="Arial" w:cs="Arial" w:hAnsi="Arial"/>
                <w:sz w:val="22"/>
                <w:szCs w:val="22"/>
              </w:rPr>
            </w:pPr>
            <w:r>
              <w:rPr>
                <w:rFonts w:ascii="Arial" w:eastAsia="Arial" w:cs="Arial" w:hAnsi="Arial"/>
                <w:i/>
                <w:iCs/>
                <w:sz w:val="22"/>
                <w:szCs w:val="22"/>
              </w:rPr>
              <w:t>Recommendations enhancing personalised healthcare planning and identifying areas requiring further investigation</w:t>
            </w: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Sun </w:t>
            </w:r>
            <w:r>
              <w:rPr>
                <w:rFonts w:ascii="Arial" w:eastAsia="Arial" w:cs="Arial" w:hAnsi="Arial"/>
                <w:i/>
                <w:iCs/>
                <w:sz w:val="22"/>
                <w:szCs w:val="22"/>
              </w:rPr>
              <w:t xml:space="preserve">et al. </w:t>
            </w:r>
            <w:r>
              <w:rPr>
                <w:rFonts w:ascii="Arial" w:eastAsia="Arial" w:cs="Arial" w:hAnsi="Arial"/>
                <w:sz w:val="22"/>
                <w:szCs w:val="22"/>
              </w:rPr>
              <w:t>(2025)</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explore experiences and unmet needs in stroke physical rehabilitation</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28 qualitative studies, 468 stroke patients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Systematic review with thematic synthesis, appropriate</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Strong appraisal, large pooled qualitative sample</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Secondary data only, context variability</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Four integrated themes identified</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Personalized strategies improve outcomes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Patient experiences during rehabilitation</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Unmet needs informing intervention design</w:t>
            </w:r>
          </w:p>
        </w:tc>
        <w:tc>
          <w:tcPr>
            <w:tcW w:w="1276" w:type="dxa"/>
          </w:tcPr>
          <w:p>
            <w:pPr>
              <w:widowControl w:val="0"/>
              <w:spacing w:line="360" w:lineRule="auto"/>
              <w:jc w:val="center"/>
              <w:rPr>
                <w:rFonts w:ascii="Arial" w:eastAsia="Arial" w:cs="Arial" w:hAnsi="Arial"/>
                <w:sz w:val="22"/>
                <w:szCs w:val="22"/>
              </w:rPr>
            </w:pPr>
          </w:p>
        </w:tc>
      </w:tr>
      <w:tr>
        <w:trPr>
          <w:trHeight w:val="13216"/>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Krieger </w:t>
            </w:r>
            <w:r>
              <w:rPr>
                <w:rFonts w:ascii="Arial" w:eastAsia="Arial" w:cs="Arial" w:hAnsi="Arial"/>
                <w:i/>
                <w:iCs/>
                <w:sz w:val="22"/>
                <w:szCs w:val="22"/>
              </w:rPr>
              <w:t xml:space="preserve">et al. </w:t>
            </w:r>
            <w:r>
              <w:rPr>
                <w:rFonts w:ascii="Arial" w:eastAsia="Arial" w:cs="Arial" w:hAnsi="Arial"/>
                <w:sz w:val="22"/>
                <w:szCs w:val="22"/>
              </w:rPr>
              <w:t>(2021)</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optimize a stroke caregiver prevention program pre-implementation</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NA</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Participatory Action research with iterative cycles. German primary prevention context involving caregivers and stakeholders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High stakeholder relevance, strong contextual validity</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 xml:space="preserve">Context-specific, no outcomes evaluation </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8 conceptual building blocks developed</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PAR strengths program readiness and relevance</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Identification of conceptual weaknesses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Stakeholder-driven program refinement</w:t>
            </w:r>
          </w:p>
        </w:tc>
        <w:tc>
          <w:tcPr>
            <w:tcW w:w="1276" w:type="dxa"/>
          </w:tcPr>
          <w:p>
            <w:pPr>
              <w:widowControl w:val="0"/>
              <w:spacing w:line="360" w:lineRule="auto"/>
              <w:jc w:val="center"/>
              <w:rPr>
                <w:rFonts w:ascii="Arial" w:eastAsia="Arial" w:cs="Arial" w:hAnsi="Arial"/>
                <w:sz w:val="22"/>
                <w:szCs w:val="22"/>
              </w:rPr>
            </w:pPr>
          </w:p>
        </w:tc>
      </w:tr>
      <w:tr>
        <w:trPr>
          <w:trHeight w:val="2826"/>
        </w:trPr>
        <w:tc>
          <w:tcPr>
            <w:tcW w:w="1413" w:type="dxa"/>
          </w:tcPr>
          <w:p>
            <w:pPr>
              <w:spacing w:line="360" w:lineRule="auto"/>
              <w:rPr>
                <w:rFonts w:ascii="Arial" w:eastAsia="Arial" w:cs="Arial" w:hAnsi="Arial"/>
                <w:sz w:val="22"/>
                <w:szCs w:val="22"/>
              </w:rPr>
            </w:pPr>
            <w:r>
              <w:rPr>
                <w:rFonts w:ascii="Arial" w:eastAsia="Arial" w:cs="Arial" w:hAnsi="Arial"/>
                <w:sz w:val="22"/>
                <w:szCs w:val="22"/>
              </w:rPr>
              <w:t xml:space="preserve">Guo </w:t>
            </w:r>
            <w:r>
              <w:rPr>
                <w:rFonts w:ascii="Arial" w:eastAsia="Arial" w:cs="Arial" w:hAnsi="Arial"/>
                <w:i/>
                <w:iCs/>
                <w:sz w:val="22"/>
                <w:szCs w:val="22"/>
              </w:rPr>
              <w:t xml:space="preserve">et al. </w:t>
            </w:r>
            <w:r>
              <w:rPr>
                <w:rFonts w:ascii="Arial" w:eastAsia="Arial" w:cs="Arial" w:hAnsi="Arial"/>
                <w:sz w:val="22"/>
                <w:szCs w:val="22"/>
              </w:rPr>
              <w:t>(2021)</w:t>
            </w:r>
          </w:p>
        </w:tc>
        <w:tc>
          <w:tcPr>
            <w:tcW w:w="1559" w:type="dxa"/>
          </w:tcPr>
          <w:p>
            <w:pPr>
              <w:spacing w:line="360" w:lineRule="auto"/>
              <w:rPr>
                <w:rFonts w:ascii="Arial" w:eastAsia="Arial" w:cs="Arial" w:hAnsi="Arial"/>
                <w:sz w:val="22"/>
                <w:szCs w:val="22"/>
              </w:rPr>
            </w:pPr>
            <w:r>
              <w:rPr>
                <w:rFonts w:ascii="Arial" w:eastAsia="Arial" w:cs="Arial" w:hAnsi="Arial"/>
                <w:sz w:val="22"/>
                <w:szCs w:val="22"/>
              </w:rPr>
              <w:t>To identify unmet needs to community-dwelling stroke survivors</w:t>
            </w:r>
          </w:p>
        </w:tc>
        <w:tc>
          <w:tcPr>
            <w:tcW w:w="1134" w:type="dxa"/>
          </w:tcPr>
          <w:p>
            <w:pPr>
              <w:spacing w:line="360" w:lineRule="auto"/>
              <w:rPr>
                <w:rFonts w:ascii="Arial" w:eastAsia="Arial" w:cs="Arial" w:hAnsi="Arial"/>
                <w:sz w:val="22"/>
                <w:szCs w:val="22"/>
              </w:rPr>
            </w:pPr>
            <w:r>
              <w:rPr>
                <w:rFonts w:ascii="Arial" w:eastAsia="Arial" w:cs="Arial" w:hAnsi="Arial"/>
                <w:sz w:val="22"/>
                <w:szCs w:val="22"/>
              </w:rPr>
              <w:t>24 qualitative studies, 378 community-dwelling stroke survivors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Qualitative meta-synthesis using JBI method</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Rigorous synthesis, patient-centred perspective</w:t>
            </w:r>
          </w:p>
        </w:tc>
        <w:tc>
          <w:tcPr>
            <w:tcW w:w="1417" w:type="dxa"/>
          </w:tcPr>
          <w:p>
            <w:pPr>
              <w:spacing w:line="360" w:lineRule="auto"/>
              <w:rPr>
                <w:rFonts w:ascii="Arial" w:eastAsia="Arial" w:cs="Arial" w:hAnsi="Arial"/>
                <w:sz w:val="22"/>
                <w:szCs w:val="22"/>
              </w:rPr>
            </w:pPr>
            <w:r>
              <w:rPr>
                <w:rFonts w:ascii="Arial" w:eastAsia="Arial" w:cs="Arial" w:hAnsi="Arial"/>
                <w:sz w:val="22"/>
                <w:szCs w:val="22"/>
              </w:rPr>
              <w:t>Secondary data, no intervention testing</w:t>
            </w:r>
          </w:p>
        </w:tc>
        <w:tc>
          <w:tcPr>
            <w:tcW w:w="1418" w:type="dxa"/>
          </w:tcPr>
          <w:p>
            <w:pPr>
              <w:spacing w:line="360" w:lineRule="auto"/>
              <w:rPr>
                <w:rFonts w:ascii="Arial" w:eastAsia="Arial" w:cs="Arial" w:hAnsi="Arial"/>
                <w:sz w:val="22"/>
                <w:szCs w:val="22"/>
              </w:rPr>
            </w:pPr>
            <w:r>
              <w:rPr>
                <w:rFonts w:ascii="Arial" w:eastAsia="Arial" w:cs="Arial" w:hAnsi="Arial"/>
                <w:sz w:val="22"/>
                <w:szCs w:val="22"/>
              </w:rPr>
              <w:t>Four unmet-need domains identified through ICF</w:t>
            </w:r>
          </w:p>
        </w:tc>
        <w:tc>
          <w:tcPr>
            <w:tcW w:w="1275" w:type="dxa"/>
          </w:tcPr>
          <w:p>
            <w:pPr>
              <w:spacing w:line="360" w:lineRule="auto"/>
              <w:rPr>
                <w:rFonts w:ascii="Arial" w:eastAsia="Arial" w:cs="Arial" w:hAnsi="Arial"/>
                <w:sz w:val="22"/>
                <w:szCs w:val="22"/>
              </w:rPr>
            </w:pPr>
            <w:r>
              <w:rPr>
                <w:rFonts w:ascii="Arial" w:eastAsia="Arial" w:cs="Arial" w:hAnsi="Arial"/>
                <w:sz w:val="22"/>
                <w:szCs w:val="22"/>
              </w:rPr>
              <w:t>Unmet needs are identifiable and modifiable</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Types and scope of unmet needs</w:t>
            </w:r>
          </w:p>
        </w:tc>
        <w:tc>
          <w:tcPr>
            <w:tcW w:w="1276" w:type="dxa"/>
          </w:tcPr>
          <w:p>
            <w:pPr>
              <w:spacing w:line="360" w:lineRule="auto"/>
              <w:rPr>
                <w:rFonts w:ascii="Arial" w:eastAsia="Arial" w:cs="Arial" w:hAnsi="Arial"/>
                <w:sz w:val="22"/>
                <w:szCs w:val="22"/>
              </w:rPr>
            </w:pPr>
            <w:r>
              <w:rPr>
                <w:rFonts w:ascii="Arial" w:eastAsia="Arial" w:cs="Arial" w:hAnsi="Arial"/>
                <w:sz w:val="22"/>
                <w:szCs w:val="22"/>
              </w:rPr>
              <w:t>Implications or long-term support strategies</w:t>
            </w:r>
          </w:p>
        </w:tc>
        <w:tc>
          <w:tcPr>
            <w:tcW w:w="1276" w:type="dxa"/>
          </w:tcPr>
          <w:p>
            <w:pPr>
              <w:widowControl w:val="0"/>
              <w:spacing w:line="360" w:lineRule="auto"/>
              <w:jc w:val="center"/>
              <w:rPr>
                <w:rFonts w:ascii="Arial" w:eastAsia="Arial" w:cs="Arial" w:hAnsi="Arial"/>
                <w:sz w:val="22"/>
                <w:szCs w:val="22"/>
              </w:rPr>
            </w:pPr>
          </w:p>
        </w:tc>
      </w:tr>
    </w:tbl>
    <w:p>
      <w:pPr>
        <w:jc w:val="left"/>
      </w:pPr>
    </w:p>
    <w:p>
      <w:pPr>
        <w:rPr>
          <w:b/>
          <w:bCs/>
          <w:i/>
          <w:iCs/>
        </w:rPr>
      </w:pPr>
      <w:r>
        <w:rPr>
          <w:b/>
          <w:bCs/>
          <w:i/>
          <w:iCs/>
        </w:rPr>
        <w:t xml:space="preserve">Thematic table </w:t>
      </w:r>
    </w:p>
    <w:tbl>
      <w:tblPr>
        <w:jc w:val="left"/>
        <w:tblInd w:w="-100" w:type="dxa"/>
        <w:tblW w:w="121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15" w:type="dxa"/>
          <w:bottom w:w="0" w:type="dxa"/>
          <w:right w:w="115" w:type="dxa"/>
        </w:tblCellMar>
      </w:tblPr>
      <w:tblGrid>
        <w:gridCol w:w="2500"/>
        <w:gridCol w:w="1701"/>
        <w:gridCol w:w="2552"/>
        <w:gridCol w:w="2551"/>
        <w:gridCol w:w="2835"/>
      </w:tblGrid>
      <w:tr>
        <w:tc>
          <w:tcPr>
            <w:tcW w:w="250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rPr>
                <w:b/>
                <w:bCs/>
              </w:rPr>
              <w:t>Outcomes</w:t>
            </w:r>
          </w:p>
        </w:tc>
        <w:tc>
          <w:tcPr>
            <w:tcW w:w="170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rPr>
                <w:b/>
                <w:bCs/>
              </w:rPr>
              <w:t>Page</w:t>
            </w:r>
          </w:p>
        </w:tc>
        <w:tc>
          <w:tcPr>
            <w:tcW w:w="2552"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rPr>
                <w:b/>
                <w:bCs/>
              </w:rPr>
              <w:t>Line</w:t>
            </w:r>
          </w:p>
        </w:tc>
        <w:tc>
          <w:tcPr>
            <w:tcW w:w="255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rPr>
                <w:b/>
                <w:bCs/>
              </w:rPr>
              <w:t>Data extracted</w:t>
            </w:r>
          </w:p>
        </w:tc>
        <w:tc>
          <w:tcPr>
            <w:tcW w:w="283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rPr>
                <w:b/>
                <w:bCs/>
              </w:rPr>
              <w:t>Subthemes</w:t>
            </w:r>
          </w:p>
        </w:tc>
      </w:tr>
      <w:tr>
        <w:tc>
          <w:tcPr>
            <w:tcW w:w="250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pPr>
            <w:r>
              <w:rPr>
                <w:b/>
                <w:bCs/>
              </w:rPr>
              <w:t xml:space="preserve">Theme 1:  </w:t>
            </w:r>
            <w:r>
              <w:t>Integrating digital-health technologies in personalized care-planning for stroke survivors</w:t>
            </w:r>
          </w:p>
        </w:tc>
        <w:tc>
          <w:tcPr>
            <w:tcW w:w="170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center"/>
            </w:pPr>
            <w:r>
              <w:t>206</w:t>
            </w:r>
          </w:p>
        </w:tc>
        <w:tc>
          <w:tcPr>
            <w:tcW w:w="2552"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pPr>
            <w:r>
              <w:t>“To this aim, we summarise the available evidence to highlight the research need for AF and stroke care personalisation, from prevention to rehabilitation, the role that AI/ML can play, and their potential impact and significance.”</w:t>
            </w:r>
          </w:p>
        </w:tc>
        <w:tc>
          <w:tcPr>
            <w:tcW w:w="255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pPr>
            <w:r>
              <w:t>AI/ML enables personalized stroke care across prevention, diagnosis and rehabilitation to improve risk prediction, decision support and tailored interventions</w:t>
            </w:r>
          </w:p>
        </w:tc>
        <w:tc>
          <w:tcPr>
            <w:tcW w:w="283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pPr>
            <w:r>
              <w:t>AI/ML-driven risk prediction, Digital personalisation, Technology-enabled rehabilitation</w:t>
            </w:r>
          </w:p>
        </w:tc>
      </w:tr>
      <w:tr>
        <w:tc>
          <w:tcPr>
            <w:tcW w:w="250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pPr>
            <w:r>
              <w:rPr>
                <w:b/>
                <w:bCs/>
              </w:rPr>
              <w:t xml:space="preserve">Theme 2: </w:t>
            </w:r>
            <w:r>
              <w:t>Impact of multidisciplinary collaboration for advanced personalized care-planning</w:t>
            </w:r>
          </w:p>
        </w:tc>
        <w:tc>
          <w:tcPr>
            <w:tcW w:w="1701" w:type="dxa"/>
            <w:tcMar>
              <w:top w:w="100" w:type="dxa"/>
              <w:left w:w="100" w:type="dxa"/>
              <w:bottom w:w="100" w:type="dxa"/>
              <w:right w:w="100" w:type="dxa"/>
            </w:tcMar>
          </w:tcPr>
          <w:p>
            <w:pPr>
              <w:widowControl w:val="0"/>
              <w:jc w:val="center"/>
            </w:pPr>
            <w:r>
              <w:t>02</w:t>
            </w:r>
          </w:p>
        </w:tc>
        <w:tc>
          <w:tcPr>
            <w:tcW w:w="2552" w:type="dxa"/>
            <w:tcMar>
              <w:top w:w="100" w:type="dxa"/>
              <w:left w:w="100" w:type="dxa"/>
              <w:bottom w:w="100" w:type="dxa"/>
              <w:right w:w="100" w:type="dxa"/>
            </w:tcMar>
          </w:tcPr>
          <w:p>
            <w:pPr>
              <w:widowControl w:val="0"/>
              <w:jc w:val="left"/>
            </w:pPr>
            <w:r>
              <w:t>“Rapid advances in robotics, virtual reality, and artificial intelligence have led to the use of new technologies in the areas of stroke treatment and rehabilitation”</w:t>
            </w:r>
          </w:p>
        </w:tc>
        <w:tc>
          <w:tcPr>
            <w:tcW w:w="255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pPr>
            <w:r>
              <w:t xml:space="preserve"> Advanced technologies support collaborative stroke rehabilitation by integrating robotics, VR and AI across clinical disciplines to enhance treatment and recovery</w:t>
            </w:r>
          </w:p>
        </w:tc>
        <w:tc>
          <w:tcPr>
            <w:tcW w:w="2835"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pPr>
            <w:r>
              <w:t>Multidisciplinary technology use, Robotics and VR rehabilitation, Collaborative car innovations</w:t>
            </w:r>
          </w:p>
        </w:tc>
      </w:tr>
      <w:tr>
        <w:tc>
          <w:tcPr>
            <w:tcW w:w="2500"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pPr>
            <w:r>
              <w:rPr>
                <w:b/>
                <w:bCs/>
              </w:rPr>
              <w:t xml:space="preserve">Theme 3: </w:t>
            </w:r>
            <w:r>
              <w:rPr>
                <w:b/>
                <w:bCs/>
                <w:i/>
                <w:iCs/>
              </w:rPr>
              <w:t xml:space="preserve">Key barriers and enablers influencing the effectiveness of personalised healthcare planning for the population </w:t>
            </w:r>
          </w:p>
          <w:p>
            <w:pPr>
              <w:widowControl w:val="0"/>
              <w:pBdr>
                <w:top w:val="none" w:sz="0" w:space="0" w:color="auto"/>
                <w:left w:val="none" w:sz="0" w:space="0" w:color="auto"/>
                <w:bottom w:val="none" w:sz="0" w:space="0" w:color="auto"/>
                <w:right w:val="none" w:sz="0" w:space="0" w:color="auto"/>
                <w:between w:val="none" w:sz="0" w:space="0" w:color="auto"/>
              </w:pBdr>
              <w:jc w:val="left"/>
              <w:rPr>
                <w:b/>
                <w:bCs/>
              </w:rPr>
            </w:pPr>
          </w:p>
        </w:tc>
        <w:tc>
          <w:tcPr>
            <w:tcW w:w="170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rPr>
                <w:b/>
                <w:bCs/>
              </w:rPr>
              <w:t>2022</w:t>
            </w:r>
          </w:p>
        </w:tc>
        <w:tc>
          <w:tcPr>
            <w:tcW w:w="2552"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rPr>
                <w:b/>
                <w:bCs/>
              </w:rPr>
              <w:t>“</w:t>
            </w:r>
            <w:r>
              <w:t>The behaviour of individuals can have important impacts on health outcomes for patient populations, so to optimize health outcomes, interventions to support or change specific behaviours may be needed”</w:t>
            </w:r>
          </w:p>
        </w:tc>
        <w:tc>
          <w:tcPr>
            <w:tcW w:w="255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t>. It has been acknowledged that strong leaders foster an environment that encourages research, development, and the adoption of new technologies crucial for personalised healthcare, such as genomics, big data analytics as well as artificial intelligence</w:t>
            </w:r>
          </w:p>
        </w:tc>
        <w:tc>
          <w:tcPr>
            <w:tcW w:w="2835" w:type="dxa"/>
            <w:tcMar>
              <w:top w:w="100" w:type="dxa"/>
              <w:left w:w="100" w:type="dxa"/>
              <w:bottom w:w="100" w:type="dxa"/>
              <w:right w:w="100" w:type="dxa"/>
            </w:tcMar>
          </w:tcPr>
          <w:p>
            <w:r>
              <w:t xml:space="preserve">High costs of new technologies, </w:t>
            </w:r>
          </w:p>
          <w:p>
            <w:r>
              <w:t xml:space="preserve">lack of insurance coverage, </w:t>
            </w:r>
          </w:p>
          <w:p>
            <w:r>
              <w:t xml:space="preserve">Strong leadership, </w:t>
            </w:r>
          </w:p>
          <w:p>
            <w:r>
              <w:t>robust policy</w:t>
            </w:r>
          </w:p>
          <w:p>
            <w:pPr>
              <w:widowControl w:val="0"/>
              <w:pBdr>
                <w:top w:val="none" w:sz="0" w:space="0" w:color="auto"/>
                <w:left w:val="none" w:sz="0" w:space="0" w:color="auto"/>
                <w:bottom w:val="none" w:sz="0" w:space="0" w:color="auto"/>
                <w:right w:val="none" w:sz="0" w:space="0" w:color="auto"/>
                <w:between w:val="none" w:sz="0" w:space="0" w:color="auto"/>
              </w:pBdr>
              <w:jc w:val="left"/>
              <w:rPr>
                <w:b/>
                <w:bCs/>
              </w:rPr>
            </w:pPr>
          </w:p>
        </w:tc>
      </w:tr>
      <w:tr>
        <w:tc>
          <w:tcPr>
            <w:tcW w:w="2500" w:type="dxa"/>
            <w:tcMar>
              <w:top w:w="100" w:type="dxa"/>
              <w:left w:w="100" w:type="dxa"/>
              <w:bottom w:w="100" w:type="dxa"/>
              <w:right w:w="100" w:type="dxa"/>
            </w:tcMar>
          </w:tcPr>
          <w:p>
            <w:r>
              <w:rPr>
                <w:b/>
                <w:bCs/>
              </w:rPr>
              <w:t xml:space="preserve">Theme 4: </w:t>
            </w:r>
            <w:r>
              <w:rPr>
                <w:b/>
                <w:bCs/>
                <w:i/>
                <w:iCs/>
              </w:rPr>
              <w:t>Recommendations enhancing personalised healthcare planning and identifying areas requiring further investigation</w:t>
            </w:r>
            <w:r>
              <w:t xml:space="preserve"> </w:t>
            </w:r>
          </w:p>
          <w:p>
            <w:pPr>
              <w:widowControl w:val="0"/>
              <w:pBdr>
                <w:top w:val="none" w:sz="0" w:space="0" w:color="auto"/>
                <w:left w:val="none" w:sz="0" w:space="0" w:color="auto"/>
                <w:bottom w:val="none" w:sz="0" w:space="0" w:color="auto"/>
                <w:right w:val="none" w:sz="0" w:space="0" w:color="auto"/>
                <w:between w:val="none" w:sz="0" w:space="0" w:color="auto"/>
              </w:pBdr>
              <w:jc w:val="left"/>
              <w:rPr>
                <w:b/>
                <w:bCs/>
              </w:rPr>
            </w:pPr>
          </w:p>
        </w:tc>
        <w:tc>
          <w:tcPr>
            <w:tcW w:w="170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rPr>
                <w:b/>
                <w:bCs/>
              </w:rPr>
              <w:t>227</w:t>
            </w:r>
          </w:p>
        </w:tc>
        <w:tc>
          <w:tcPr>
            <w:tcW w:w="2552"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rPr>
                <w:b/>
                <w:bCs/>
              </w:rPr>
            </w:pPr>
            <w:r>
              <w:t>“Self-management programmes (SMPs) in other long-term conditions have demonstrated benefits both in trials as well as implementation. Within stroke, the content and format of self-management programs varies widely”.</w:t>
            </w:r>
          </w:p>
        </w:tc>
        <w:tc>
          <w:tcPr>
            <w:tcW w:w="2551" w:type="dxa"/>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jc w:val="left"/>
              <w:rPr>
                <w:b/>
                <w:bCs/>
              </w:rPr>
            </w:pPr>
            <w:r>
              <w:t>The healthcare systems are required to integrate remote monitoring as well as continuous feedback processed in terms of enhancing the healthcare system’s planning stages</w:t>
            </w:r>
          </w:p>
        </w:tc>
        <w:tc>
          <w:tcPr>
            <w:tcW w:w="2835" w:type="dxa"/>
            <w:tcMar>
              <w:top w:w="100" w:type="dxa"/>
              <w:left w:w="100" w:type="dxa"/>
              <w:bottom w:w="100" w:type="dxa"/>
              <w:right w:w="100" w:type="dxa"/>
            </w:tcMar>
          </w:tcPr>
          <w:p>
            <w:r>
              <w:t xml:space="preserve">Shared decision-making, </w:t>
            </w:r>
          </w:p>
          <w:p>
            <w:r>
              <w:t xml:space="preserve">adopt modern technologies </w:t>
            </w:r>
          </w:p>
          <w:p>
            <w:r>
              <w:t xml:space="preserve">integrate remote monitoring </w:t>
            </w:r>
          </w:p>
          <w:p>
            <w:pPr>
              <w:widowControl w:val="0"/>
              <w:pBdr>
                <w:top w:val="none" w:sz="0" w:space="0" w:color="auto"/>
                <w:left w:val="none" w:sz="0" w:space="0" w:color="auto"/>
                <w:bottom w:val="none" w:sz="0" w:space="0" w:color="auto"/>
                <w:right w:val="none" w:sz="0" w:space="0" w:color="auto"/>
                <w:between w:val="none" w:sz="0" w:space="0" w:color="auto"/>
              </w:pBdr>
              <w:jc w:val="left"/>
              <w:rPr>
                <w:b/>
                <w:bCs/>
              </w:rPr>
            </w:pPr>
          </w:p>
        </w:tc>
      </w:tr>
    </w:tbl>
    <w:p>
      <w:pPr>
        <w:pBdr>
          <w:top w:val="none" w:sz="0" w:space="0" w:color="auto"/>
          <w:left w:val="none" w:sz="0" w:space="0" w:color="auto"/>
          <w:bottom w:val="none" w:sz="0" w:space="0" w:color="auto"/>
          <w:right w:val="none" w:sz="0" w:space="0" w:color="auto"/>
          <w:between w:val="none" w:sz="0" w:space="0" w:color="auto"/>
        </w:pBdr>
        <w:spacing w:before="240"/>
      </w:pPr>
    </w:p>
    <w:p>
      <w:pPr>
        <w:pBdr>
          <w:top w:val="none" w:sz="0" w:space="0" w:color="auto"/>
          <w:left w:val="none" w:sz="0" w:space="0" w:color="auto"/>
          <w:bottom w:val="none" w:sz="0" w:space="0" w:color="auto"/>
          <w:right w:val="none" w:sz="0" w:space="0" w:color="auto"/>
          <w:between w:val="none" w:sz="0" w:space="0" w:color="auto"/>
        </w:pBdr>
      </w:pPr>
    </w:p>
    <w:p>
      <w:pPr>
        <w:pStyle w:val="2"/>
      </w:pPr>
      <w:bookmarkStart w:id="99" w:name="_Toc220754515"/>
      <w:r>
        <w:t>Appendix 3: CASP Table</w:t>
      </w:r>
      <w:bookmarkEnd w:id="99"/>
    </w:p>
    <w:tbl>
      <w:tblPr>
        <w:jc w:val="center"/>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15" w:type="dxa"/>
          <w:bottom w:w="0" w:type="dxa"/>
          <w:right w:w="115" w:type="dxa"/>
        </w:tblCellMar>
      </w:tblPr>
      <w:tblGrid>
        <w:gridCol w:w="2040"/>
        <w:gridCol w:w="705"/>
        <w:gridCol w:w="795"/>
        <w:gridCol w:w="810"/>
        <w:gridCol w:w="570"/>
        <w:gridCol w:w="585"/>
        <w:gridCol w:w="870"/>
        <w:gridCol w:w="675"/>
        <w:gridCol w:w="735"/>
        <w:gridCol w:w="750"/>
        <w:gridCol w:w="705"/>
      </w:tblGrid>
      <w:tr>
        <w:trPr>
          <w:cantSplit/>
          <w:tblHeader/>
        </w:trPr>
        <w:tc>
          <w:tcPr>
            <w:tcW w:w="2040" w:type="dxa"/>
            <w:tcMar>
              <w:top w:w="100" w:type="dxa"/>
              <w:left w:w="100" w:type="dxa"/>
              <w:bottom w:w="100" w:type="dxa"/>
              <w:right w:w="100" w:type="dxa"/>
            </w:tcMar>
          </w:tcPr>
          <w:p>
            <w:pPr>
              <w:widowControl w:val="0"/>
              <w:jc w:val="left"/>
              <w:rPr>
                <w:b/>
                <w:bCs/>
              </w:rPr>
            </w:pPr>
            <w:r>
              <w:rPr>
                <w:b/>
                <w:bCs/>
              </w:rPr>
              <w:t xml:space="preserve">Author and year </w:t>
            </w:r>
          </w:p>
        </w:tc>
        <w:tc>
          <w:tcPr>
            <w:tcW w:w="705" w:type="dxa"/>
            <w:tcMar>
              <w:top w:w="100" w:type="dxa"/>
              <w:left w:w="100" w:type="dxa"/>
              <w:bottom w:w="100" w:type="dxa"/>
              <w:right w:w="100" w:type="dxa"/>
            </w:tcMar>
          </w:tcPr>
          <w:p>
            <w:pPr>
              <w:widowControl w:val="0"/>
              <w:jc w:val="left"/>
              <w:rPr>
                <w:b/>
                <w:bCs/>
              </w:rPr>
            </w:pPr>
            <w:r>
              <w:rPr>
                <w:b/>
                <w:bCs/>
              </w:rPr>
              <w:t>Q1</w:t>
            </w:r>
          </w:p>
        </w:tc>
        <w:tc>
          <w:tcPr>
            <w:tcW w:w="795" w:type="dxa"/>
            <w:tcMar>
              <w:top w:w="100" w:type="dxa"/>
              <w:left w:w="100" w:type="dxa"/>
              <w:bottom w:w="100" w:type="dxa"/>
              <w:right w:w="100" w:type="dxa"/>
            </w:tcMar>
          </w:tcPr>
          <w:p>
            <w:pPr>
              <w:widowControl w:val="0"/>
              <w:jc w:val="left"/>
              <w:rPr>
                <w:b/>
                <w:bCs/>
              </w:rPr>
            </w:pPr>
            <w:r>
              <w:rPr>
                <w:b/>
                <w:bCs/>
              </w:rPr>
              <w:t>Q2</w:t>
            </w:r>
          </w:p>
        </w:tc>
        <w:tc>
          <w:tcPr>
            <w:tcW w:w="810" w:type="dxa"/>
            <w:tcMar>
              <w:top w:w="100" w:type="dxa"/>
              <w:left w:w="100" w:type="dxa"/>
              <w:bottom w:w="100" w:type="dxa"/>
              <w:right w:w="100" w:type="dxa"/>
            </w:tcMar>
          </w:tcPr>
          <w:p>
            <w:pPr>
              <w:widowControl w:val="0"/>
              <w:jc w:val="left"/>
              <w:rPr>
                <w:b/>
                <w:bCs/>
              </w:rPr>
            </w:pPr>
            <w:r>
              <w:rPr>
                <w:b/>
                <w:bCs/>
              </w:rPr>
              <w:t>Q3</w:t>
            </w:r>
          </w:p>
        </w:tc>
        <w:tc>
          <w:tcPr>
            <w:tcW w:w="570" w:type="dxa"/>
            <w:tcMar>
              <w:top w:w="100" w:type="dxa"/>
              <w:left w:w="100" w:type="dxa"/>
              <w:bottom w:w="100" w:type="dxa"/>
              <w:right w:w="100" w:type="dxa"/>
            </w:tcMar>
          </w:tcPr>
          <w:p>
            <w:pPr>
              <w:widowControl w:val="0"/>
              <w:jc w:val="left"/>
              <w:rPr>
                <w:b/>
                <w:bCs/>
              </w:rPr>
            </w:pPr>
            <w:r>
              <w:rPr>
                <w:b/>
                <w:bCs/>
              </w:rPr>
              <w:t>Q4</w:t>
            </w:r>
          </w:p>
        </w:tc>
        <w:tc>
          <w:tcPr>
            <w:tcW w:w="585" w:type="dxa"/>
            <w:tcMar>
              <w:top w:w="100" w:type="dxa"/>
              <w:left w:w="100" w:type="dxa"/>
              <w:bottom w:w="100" w:type="dxa"/>
              <w:right w:w="100" w:type="dxa"/>
            </w:tcMar>
          </w:tcPr>
          <w:p>
            <w:pPr>
              <w:widowControl w:val="0"/>
              <w:jc w:val="left"/>
              <w:rPr>
                <w:b/>
                <w:bCs/>
              </w:rPr>
            </w:pPr>
            <w:r>
              <w:rPr>
                <w:b/>
                <w:bCs/>
              </w:rPr>
              <w:t>Q5</w:t>
            </w:r>
          </w:p>
        </w:tc>
        <w:tc>
          <w:tcPr>
            <w:tcW w:w="870" w:type="dxa"/>
            <w:tcMar>
              <w:top w:w="100" w:type="dxa"/>
              <w:left w:w="100" w:type="dxa"/>
              <w:bottom w:w="100" w:type="dxa"/>
              <w:right w:w="100" w:type="dxa"/>
            </w:tcMar>
          </w:tcPr>
          <w:p>
            <w:pPr>
              <w:widowControl w:val="0"/>
              <w:jc w:val="left"/>
              <w:rPr>
                <w:b/>
                <w:bCs/>
              </w:rPr>
            </w:pPr>
            <w:r>
              <w:rPr>
                <w:b/>
                <w:bCs/>
              </w:rPr>
              <w:t>Q6</w:t>
            </w:r>
          </w:p>
        </w:tc>
        <w:tc>
          <w:tcPr>
            <w:tcW w:w="675" w:type="dxa"/>
            <w:tcMar>
              <w:top w:w="100" w:type="dxa"/>
              <w:left w:w="100" w:type="dxa"/>
              <w:bottom w:w="100" w:type="dxa"/>
              <w:right w:w="100" w:type="dxa"/>
            </w:tcMar>
          </w:tcPr>
          <w:p>
            <w:pPr>
              <w:widowControl w:val="0"/>
              <w:jc w:val="left"/>
              <w:rPr>
                <w:b/>
                <w:bCs/>
              </w:rPr>
            </w:pPr>
            <w:r>
              <w:rPr>
                <w:b/>
                <w:bCs/>
              </w:rPr>
              <w:t>Q7</w:t>
            </w:r>
          </w:p>
        </w:tc>
        <w:tc>
          <w:tcPr>
            <w:tcW w:w="735" w:type="dxa"/>
            <w:tcMar>
              <w:top w:w="100" w:type="dxa"/>
              <w:left w:w="100" w:type="dxa"/>
              <w:bottom w:w="100" w:type="dxa"/>
              <w:right w:w="100" w:type="dxa"/>
            </w:tcMar>
          </w:tcPr>
          <w:p>
            <w:pPr>
              <w:widowControl w:val="0"/>
              <w:jc w:val="left"/>
              <w:rPr>
                <w:b/>
                <w:bCs/>
              </w:rPr>
            </w:pPr>
            <w:r>
              <w:rPr>
                <w:b/>
                <w:bCs/>
              </w:rPr>
              <w:t>Q8</w:t>
            </w:r>
          </w:p>
        </w:tc>
        <w:tc>
          <w:tcPr>
            <w:tcW w:w="750" w:type="dxa"/>
            <w:tcMar>
              <w:top w:w="100" w:type="dxa"/>
              <w:left w:w="100" w:type="dxa"/>
              <w:bottom w:w="100" w:type="dxa"/>
              <w:right w:w="100" w:type="dxa"/>
            </w:tcMar>
          </w:tcPr>
          <w:p>
            <w:pPr>
              <w:widowControl w:val="0"/>
              <w:jc w:val="left"/>
              <w:rPr>
                <w:b/>
                <w:bCs/>
              </w:rPr>
            </w:pPr>
            <w:r>
              <w:rPr>
                <w:b/>
                <w:bCs/>
              </w:rPr>
              <w:t>Q9</w:t>
            </w:r>
          </w:p>
        </w:tc>
        <w:tc>
          <w:tcPr>
            <w:tcW w:w="705" w:type="dxa"/>
            <w:tcMar>
              <w:top w:w="100" w:type="dxa"/>
              <w:left w:w="100" w:type="dxa"/>
              <w:bottom w:w="100" w:type="dxa"/>
              <w:right w:w="100" w:type="dxa"/>
            </w:tcMar>
          </w:tcPr>
          <w:p>
            <w:pPr>
              <w:widowControl w:val="0"/>
              <w:jc w:val="left"/>
              <w:rPr>
                <w:b/>
                <w:bCs/>
              </w:rPr>
            </w:pPr>
            <w:r>
              <w:rPr>
                <w:b/>
                <w:bCs/>
              </w:rPr>
              <w:t>Q10</w:t>
            </w:r>
          </w:p>
        </w:tc>
      </w:tr>
      <w:tr>
        <w:trPr>
          <w:cantSplit/>
          <w:tblHeader/>
        </w:trPr>
        <w:tc>
          <w:tcPr>
            <w:tcW w:w="2040" w:type="dxa"/>
            <w:tcMar>
              <w:top w:w="100" w:type="dxa"/>
              <w:left w:w="100" w:type="dxa"/>
              <w:bottom w:w="100" w:type="dxa"/>
              <w:right w:w="100" w:type="dxa"/>
            </w:tcMar>
          </w:tcPr>
          <w:p>
            <w:pPr>
              <w:widowControl w:val="0"/>
              <w:jc w:val="left"/>
            </w:pPr>
            <w:r>
              <w:t xml:space="preserve">Ortega-Martorell </w:t>
            </w:r>
            <w:r>
              <w:rPr>
                <w:i/>
                <w:iCs/>
              </w:rPr>
              <w:t xml:space="preserve">et al. </w:t>
            </w:r>
            <w:r>
              <w:t>(2025)</w:t>
            </w:r>
          </w:p>
        </w:tc>
        <w:tc>
          <w:tcPr>
            <w:tcW w:w="705" w:type="dxa"/>
            <w:tcMar>
              <w:top w:w="100" w:type="dxa"/>
              <w:left w:w="100" w:type="dxa"/>
              <w:bottom w:w="100" w:type="dxa"/>
              <w:right w:w="100" w:type="dxa"/>
            </w:tcMar>
          </w:tcPr>
          <w:p>
            <w:pPr>
              <w:widowControl w:val="0"/>
              <w:jc w:val="left"/>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Oster </w:t>
            </w:r>
            <w:r>
              <w:rPr>
                <w:i/>
                <w:iCs/>
              </w:rPr>
              <w:t xml:space="preserve">et al. </w:t>
            </w:r>
            <w:r>
              <w:t>(2024)</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pPr>
            <w:r>
              <w:t>Can’t tell</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Spacey </w:t>
            </w:r>
            <w:r>
              <w:rPr>
                <w:i/>
                <w:iCs/>
              </w:rPr>
              <w:t xml:space="preserve">et al. </w:t>
            </w:r>
            <w:r>
              <w:t>(2025)</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Can’t tell</w:t>
            </w:r>
          </w:p>
        </w:tc>
        <w:tc>
          <w:tcPr>
            <w:tcW w:w="705" w:type="dxa"/>
            <w:tcMar>
              <w:top w:w="100" w:type="dxa"/>
              <w:left w:w="100" w:type="dxa"/>
              <w:bottom w:w="100" w:type="dxa"/>
              <w:right w:w="100" w:type="dxa"/>
            </w:tcMar>
          </w:tcPr>
          <w:p>
            <w:pPr>
              <w:widowControl w:val="0"/>
              <w:jc w:val="left"/>
              <w:rPr>
                <w:b/>
                <w:bCs/>
              </w:rPr>
            </w:pPr>
            <w:r>
              <w:t>Yes</w:t>
            </w:r>
          </w:p>
        </w:tc>
      </w:tr>
      <w:tr>
        <w:trPr>
          <w:cantSplit/>
          <w:trHeight w:val="713"/>
          <w:tblHeader/>
        </w:trPr>
        <w:tc>
          <w:tcPr>
            <w:tcW w:w="2040" w:type="dxa"/>
            <w:tcMar>
              <w:top w:w="100" w:type="dxa"/>
              <w:left w:w="100" w:type="dxa"/>
              <w:bottom w:w="100" w:type="dxa"/>
              <w:right w:w="100" w:type="dxa"/>
            </w:tcMar>
          </w:tcPr>
          <w:p>
            <w:pPr>
              <w:widowControl w:val="0"/>
              <w:jc w:val="left"/>
            </w:pPr>
            <w:r>
              <w:t xml:space="preserve">Mikkola </w:t>
            </w:r>
            <w:r>
              <w:rPr>
                <w:i/>
                <w:iCs/>
              </w:rPr>
              <w:t xml:space="preserve">et al. </w:t>
            </w:r>
            <w:r>
              <w:t>(2022)</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Can’t tell</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Ma </w:t>
            </w:r>
            <w:r>
              <w:rPr>
                <w:i/>
                <w:iCs/>
              </w:rPr>
              <w:t xml:space="preserve">et al. </w:t>
            </w:r>
            <w:r>
              <w:t>(2024)</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Sedini </w:t>
            </w:r>
            <w:r>
              <w:rPr>
                <w:i/>
                <w:iCs/>
              </w:rPr>
              <w:t xml:space="preserve">et al. </w:t>
            </w:r>
            <w:r>
              <w:t>(2022)</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Chang, W.H., (2022)</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Hancock </w:t>
            </w:r>
            <w:r>
              <w:rPr>
                <w:i/>
                <w:iCs/>
              </w:rPr>
              <w:t xml:space="preserve">et al. </w:t>
            </w:r>
            <w:r>
              <w:t>(2023)</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Can’t tell</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Hinckley, J. and Jayes, M., (2023)</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Marwaa </w:t>
            </w:r>
            <w:r>
              <w:rPr>
                <w:i/>
                <w:iCs/>
              </w:rPr>
              <w:t xml:space="preserve">et al. </w:t>
            </w:r>
            <w:r>
              <w:t>(2023)</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Can’t tell</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Lievesley </w:t>
            </w:r>
            <w:r>
              <w:rPr>
                <w:i/>
                <w:iCs/>
              </w:rPr>
              <w:t xml:space="preserve">et al. </w:t>
            </w:r>
            <w:r>
              <w:t>(2022)</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Jiang </w:t>
            </w:r>
            <w:r>
              <w:rPr>
                <w:i/>
                <w:iCs/>
              </w:rPr>
              <w:t xml:space="preserve">et al. </w:t>
            </w:r>
            <w:r>
              <w:t>(2023)</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Johnson </w:t>
            </w:r>
            <w:r>
              <w:rPr>
                <w:i/>
                <w:iCs/>
              </w:rPr>
              <w:t xml:space="preserve">et al. </w:t>
            </w:r>
            <w:r>
              <w:t>(2023)</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Sun </w:t>
            </w:r>
            <w:r>
              <w:rPr>
                <w:i/>
                <w:iCs/>
              </w:rPr>
              <w:t xml:space="preserve">et al. </w:t>
            </w:r>
            <w:r>
              <w:t>(2025)</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Krieger </w:t>
            </w:r>
            <w:r>
              <w:rPr>
                <w:i/>
                <w:iCs/>
              </w:rPr>
              <w:t xml:space="preserve">et al. </w:t>
            </w:r>
            <w:r>
              <w:t>(2021)</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Yes</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r>
        <w:trPr>
          <w:cantSplit/>
          <w:tblHeader/>
        </w:trPr>
        <w:tc>
          <w:tcPr>
            <w:tcW w:w="2040" w:type="dxa"/>
            <w:tcMar>
              <w:top w:w="100" w:type="dxa"/>
              <w:left w:w="100" w:type="dxa"/>
              <w:bottom w:w="100" w:type="dxa"/>
              <w:right w:w="100" w:type="dxa"/>
            </w:tcMar>
          </w:tcPr>
          <w:p>
            <w:pPr>
              <w:widowControl w:val="0"/>
              <w:jc w:val="left"/>
            </w:pPr>
            <w:r>
              <w:t xml:space="preserve">Guo </w:t>
            </w:r>
            <w:r>
              <w:rPr>
                <w:i/>
                <w:iCs/>
              </w:rPr>
              <w:t xml:space="preserve">et al. </w:t>
            </w:r>
            <w:r>
              <w:t>(2021)</w:t>
            </w:r>
          </w:p>
        </w:tc>
        <w:tc>
          <w:tcPr>
            <w:tcW w:w="705" w:type="dxa"/>
            <w:tcMar>
              <w:top w:w="100" w:type="dxa"/>
              <w:left w:w="100" w:type="dxa"/>
              <w:bottom w:w="100" w:type="dxa"/>
              <w:right w:w="100" w:type="dxa"/>
            </w:tcMar>
          </w:tcPr>
          <w:p>
            <w:pPr>
              <w:widowControl w:val="0"/>
              <w:jc w:val="left"/>
              <w:rPr>
                <w:b/>
                <w:bCs/>
              </w:rPr>
            </w:pPr>
            <w:r>
              <w:t>Yes</w:t>
            </w:r>
          </w:p>
        </w:tc>
        <w:tc>
          <w:tcPr>
            <w:tcW w:w="795" w:type="dxa"/>
            <w:tcMar>
              <w:top w:w="100" w:type="dxa"/>
              <w:left w:w="100" w:type="dxa"/>
              <w:bottom w:w="100" w:type="dxa"/>
              <w:right w:w="100" w:type="dxa"/>
            </w:tcMar>
          </w:tcPr>
          <w:p>
            <w:pPr>
              <w:widowControl w:val="0"/>
              <w:jc w:val="left"/>
              <w:rPr>
                <w:b/>
                <w:bCs/>
              </w:rPr>
            </w:pPr>
            <w:r>
              <w:t>Yes</w:t>
            </w:r>
          </w:p>
        </w:tc>
        <w:tc>
          <w:tcPr>
            <w:tcW w:w="810" w:type="dxa"/>
            <w:tcMar>
              <w:top w:w="100" w:type="dxa"/>
              <w:left w:w="100" w:type="dxa"/>
              <w:bottom w:w="100" w:type="dxa"/>
              <w:right w:w="100" w:type="dxa"/>
            </w:tcMar>
          </w:tcPr>
          <w:p>
            <w:pPr>
              <w:widowControl w:val="0"/>
              <w:jc w:val="left"/>
              <w:rPr>
                <w:b/>
                <w:bCs/>
              </w:rPr>
            </w:pPr>
            <w:r>
              <w:t>Yes</w:t>
            </w:r>
          </w:p>
        </w:tc>
        <w:tc>
          <w:tcPr>
            <w:tcW w:w="570" w:type="dxa"/>
            <w:tcMar>
              <w:top w:w="100" w:type="dxa"/>
              <w:left w:w="100" w:type="dxa"/>
              <w:bottom w:w="100" w:type="dxa"/>
              <w:right w:w="100" w:type="dxa"/>
            </w:tcMar>
          </w:tcPr>
          <w:p>
            <w:pPr>
              <w:widowControl w:val="0"/>
              <w:jc w:val="left"/>
              <w:rPr>
                <w:b/>
                <w:bCs/>
              </w:rPr>
            </w:pPr>
            <w:r>
              <w:t>Yes</w:t>
            </w:r>
          </w:p>
        </w:tc>
        <w:tc>
          <w:tcPr>
            <w:tcW w:w="585" w:type="dxa"/>
            <w:tcMar>
              <w:top w:w="100" w:type="dxa"/>
              <w:left w:w="100" w:type="dxa"/>
              <w:bottom w:w="100" w:type="dxa"/>
              <w:right w:w="100" w:type="dxa"/>
            </w:tcMar>
          </w:tcPr>
          <w:p>
            <w:pPr>
              <w:widowControl w:val="0"/>
              <w:jc w:val="left"/>
              <w:rPr>
                <w:b/>
                <w:bCs/>
              </w:rPr>
            </w:pPr>
            <w:r>
              <w:t>Yes</w:t>
            </w:r>
          </w:p>
        </w:tc>
        <w:tc>
          <w:tcPr>
            <w:tcW w:w="870" w:type="dxa"/>
            <w:tcMar>
              <w:top w:w="100" w:type="dxa"/>
              <w:left w:w="100" w:type="dxa"/>
              <w:bottom w:w="100" w:type="dxa"/>
              <w:right w:w="100" w:type="dxa"/>
            </w:tcMar>
          </w:tcPr>
          <w:p>
            <w:pPr>
              <w:widowControl w:val="0"/>
              <w:jc w:val="left"/>
              <w:rPr>
                <w:b/>
                <w:bCs/>
              </w:rPr>
            </w:pPr>
            <w:r>
              <w:t>Yes</w:t>
            </w:r>
          </w:p>
        </w:tc>
        <w:tc>
          <w:tcPr>
            <w:tcW w:w="675" w:type="dxa"/>
            <w:tcMar>
              <w:top w:w="100" w:type="dxa"/>
              <w:left w:w="100" w:type="dxa"/>
              <w:bottom w:w="100" w:type="dxa"/>
              <w:right w:w="100" w:type="dxa"/>
            </w:tcMar>
          </w:tcPr>
          <w:p>
            <w:pPr>
              <w:widowControl w:val="0"/>
              <w:jc w:val="left"/>
              <w:rPr>
                <w:b/>
                <w:bCs/>
              </w:rPr>
            </w:pPr>
            <w:r>
              <w:t>Yes</w:t>
            </w:r>
          </w:p>
        </w:tc>
        <w:tc>
          <w:tcPr>
            <w:tcW w:w="735" w:type="dxa"/>
            <w:tcMar>
              <w:top w:w="100" w:type="dxa"/>
              <w:left w:w="100" w:type="dxa"/>
              <w:bottom w:w="100" w:type="dxa"/>
              <w:right w:w="100" w:type="dxa"/>
            </w:tcMar>
          </w:tcPr>
          <w:p>
            <w:pPr>
              <w:widowControl w:val="0"/>
              <w:jc w:val="left"/>
              <w:rPr>
                <w:b/>
                <w:bCs/>
              </w:rPr>
            </w:pPr>
            <w:r>
              <w:t>Can’t tell</w:t>
            </w:r>
          </w:p>
        </w:tc>
        <w:tc>
          <w:tcPr>
            <w:tcW w:w="750" w:type="dxa"/>
            <w:tcMar>
              <w:top w:w="100" w:type="dxa"/>
              <w:left w:w="100" w:type="dxa"/>
              <w:bottom w:w="100" w:type="dxa"/>
              <w:right w:w="100" w:type="dxa"/>
            </w:tcMar>
          </w:tcPr>
          <w:p>
            <w:pPr>
              <w:widowControl w:val="0"/>
              <w:jc w:val="left"/>
              <w:rPr>
                <w:b/>
                <w:bCs/>
              </w:rPr>
            </w:pPr>
            <w:r>
              <w:t>Yes</w:t>
            </w:r>
          </w:p>
        </w:tc>
        <w:tc>
          <w:tcPr>
            <w:tcW w:w="705" w:type="dxa"/>
            <w:tcMar>
              <w:top w:w="100" w:type="dxa"/>
              <w:left w:w="100" w:type="dxa"/>
              <w:bottom w:w="100" w:type="dxa"/>
              <w:right w:w="100" w:type="dxa"/>
            </w:tcMar>
          </w:tcPr>
          <w:p>
            <w:pPr>
              <w:widowControl w:val="0"/>
              <w:jc w:val="left"/>
              <w:rPr>
                <w:b/>
                <w:bCs/>
              </w:rPr>
            </w:pPr>
            <w:r>
              <w:t>Yes</w:t>
            </w:r>
          </w:p>
        </w:tc>
      </w:tr>
    </w:tbl>
    <w:p>
      <w:pPr>
        <w:jc w:val="center"/>
      </w:pPr>
      <w:r>
        <w:t>(Source: Self-developed)</w:t>
      </w:r>
    </w:p>
    <w:p>
      <w:pPr>
        <w:pStyle w:val="2"/>
      </w:pPr>
      <w:bookmarkStart w:id="100" w:name="_heading=h.vtxwchtont6r"/>
      <w:bookmarkStart w:id="101" w:name="_Toc220754516"/>
      <w:bookmarkEnd w:id="100"/>
      <w:r>
        <w:t>Appendix 4:  Qualitative generic data extraction</w:t>
      </w:r>
      <w:bookmarkEnd w:id="101"/>
    </w:p>
    <w:tbl>
      <w:tblPr>
        <w:jc w:val="center"/>
        <w:tblW w:w="136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15" w:type="dxa"/>
          <w:bottom w:w="0" w:type="dxa"/>
          <w:right w:w="115" w:type="dxa"/>
        </w:tblCellMar>
      </w:tblPr>
      <w:tblGrid>
        <w:gridCol w:w="1550"/>
        <w:gridCol w:w="1701"/>
        <w:gridCol w:w="1842"/>
        <w:gridCol w:w="1843"/>
        <w:gridCol w:w="2126"/>
        <w:gridCol w:w="2268"/>
        <w:gridCol w:w="2289"/>
      </w:tblGrid>
      <w:tr>
        <w:tc>
          <w:tcPr>
            <w:tcW w:w="1550" w:type="dxa"/>
            <w:tcMar>
              <w:top w:w="100" w:type="dxa"/>
              <w:left w:w="100" w:type="dxa"/>
              <w:bottom w:w="100" w:type="dxa"/>
              <w:right w:w="100" w:type="dxa"/>
            </w:tcMar>
          </w:tcPr>
          <w:p>
            <w:pPr>
              <w:jc w:val="center"/>
              <w:rPr>
                <w:b/>
                <w:bCs/>
              </w:rPr>
            </w:pPr>
            <w:r>
              <w:rPr>
                <w:b/>
                <w:bCs/>
              </w:rPr>
              <w:t xml:space="preserve">Details of the studies </w:t>
            </w:r>
          </w:p>
        </w:tc>
        <w:tc>
          <w:tcPr>
            <w:tcW w:w="1701" w:type="dxa"/>
            <w:tcMar>
              <w:top w:w="100" w:type="dxa"/>
              <w:left w:w="100" w:type="dxa"/>
              <w:bottom w:w="100" w:type="dxa"/>
              <w:right w:w="100" w:type="dxa"/>
            </w:tcMar>
          </w:tcPr>
          <w:p>
            <w:pPr>
              <w:jc w:val="center"/>
            </w:pPr>
            <w:r>
              <w:rPr>
                <w:b/>
                <w:bCs/>
              </w:rPr>
              <w:t xml:space="preserve">Study 1: </w:t>
            </w:r>
            <w:r>
              <w:t xml:space="preserve">Chang, W.H., (2022). ‘Personalized approaches to stroke: one step forward for functional recovery of stroke patients’. </w:t>
            </w:r>
            <w:r>
              <w:rPr>
                <w:i/>
                <w:iCs/>
              </w:rPr>
              <w:t>Journal of Personalized Medicine</w:t>
            </w:r>
            <w:r>
              <w:t xml:space="preserve">, </w:t>
            </w:r>
            <w:r>
              <w:rPr>
                <w:i/>
                <w:iCs/>
              </w:rPr>
              <w:t>12</w:t>
            </w:r>
            <w:r>
              <w:t xml:space="preserve">(5), p.822. </w:t>
            </w:r>
          </w:p>
        </w:tc>
        <w:tc>
          <w:tcPr>
            <w:tcW w:w="1842" w:type="dxa"/>
            <w:tcMar>
              <w:top w:w="100" w:type="dxa"/>
              <w:left w:w="100" w:type="dxa"/>
              <w:bottom w:w="100" w:type="dxa"/>
              <w:right w:w="100" w:type="dxa"/>
            </w:tcMar>
          </w:tcPr>
          <w:p>
            <w:pPr>
              <w:jc w:val="center"/>
              <w:rPr>
                <w:b/>
                <w:bCs/>
              </w:rPr>
            </w:pPr>
            <w:r>
              <w:rPr>
                <w:b/>
                <w:bCs/>
              </w:rPr>
              <w:t xml:space="preserve">Study 2: </w:t>
            </w:r>
            <w:r>
              <w:t xml:space="preserve">Hancock, N.J., Houghton, J. and Jones, F., (2023). ‘Integrating an approach to personalised self-management support in stroke and neurorehabilitation service contexts: People1st–a quality improvement initiative’. </w:t>
            </w:r>
            <w:r>
              <w:rPr>
                <w:i/>
                <w:iCs/>
              </w:rPr>
              <w:t>Disability and Rehabilitation</w:t>
            </w:r>
            <w:r>
              <w:t xml:space="preserve">, </w:t>
            </w:r>
            <w:r>
              <w:rPr>
                <w:i/>
                <w:iCs/>
              </w:rPr>
              <w:t>45</w:t>
            </w:r>
            <w:r>
              <w:t xml:space="preserve">(19), pp.3034-3045. </w:t>
            </w:r>
            <w:r>
              <w:rPr>
                <w:b/>
                <w:bCs/>
              </w:rPr>
              <w:t xml:space="preserve"> </w:t>
            </w:r>
          </w:p>
        </w:tc>
        <w:tc>
          <w:tcPr>
            <w:tcW w:w="1843" w:type="dxa"/>
            <w:tcMar>
              <w:top w:w="100" w:type="dxa"/>
              <w:left w:w="100" w:type="dxa"/>
              <w:bottom w:w="100" w:type="dxa"/>
              <w:right w:w="100" w:type="dxa"/>
            </w:tcMar>
          </w:tcPr>
          <w:p>
            <w:pPr>
              <w:jc w:val="center"/>
            </w:pPr>
            <w:r>
              <w:rPr>
                <w:b/>
                <w:bCs/>
              </w:rPr>
              <w:t xml:space="preserve">Study 3: </w:t>
            </w:r>
            <w:r>
              <w:t xml:space="preserve">Hinckley, J. and Jayes, M., (2023). ‘Person-centered care for people with aphasia: tools for shared decision-making’. </w:t>
            </w:r>
            <w:r>
              <w:rPr>
                <w:i/>
                <w:iCs/>
              </w:rPr>
              <w:t>Frontiers in rehabilitation sciences</w:t>
            </w:r>
            <w:r>
              <w:t xml:space="preserve">, </w:t>
            </w:r>
            <w:r>
              <w:rPr>
                <w:i/>
                <w:iCs/>
              </w:rPr>
              <w:t>4</w:t>
            </w:r>
            <w:r>
              <w:t xml:space="preserve">, p.1236534. </w:t>
            </w:r>
          </w:p>
        </w:tc>
        <w:tc>
          <w:tcPr>
            <w:tcW w:w="2126" w:type="dxa"/>
            <w:tcMar>
              <w:top w:w="100" w:type="dxa"/>
              <w:left w:w="100" w:type="dxa"/>
              <w:bottom w:w="100" w:type="dxa"/>
              <w:right w:w="100" w:type="dxa"/>
            </w:tcMar>
          </w:tcPr>
          <w:p>
            <w:pPr>
              <w:jc w:val="center"/>
            </w:pPr>
            <w:r>
              <w:rPr>
                <w:b/>
                <w:bCs/>
              </w:rPr>
              <w:t xml:space="preserve">Study 4: </w:t>
            </w:r>
            <w:r>
              <w:t xml:space="preserve">Marwaa, M.N., Guidetti, S., Ytterberg, C. and Kristensen, H.K., (2023). ‘Using experience-based co-design to develop mobile/tablet applications to support a person-centred and empowering stroke rehabilitation’. </w:t>
            </w:r>
            <w:r>
              <w:rPr>
                <w:i/>
                <w:iCs/>
              </w:rPr>
              <w:t>Research Involvement and Engagement</w:t>
            </w:r>
            <w:r>
              <w:t xml:space="preserve">, </w:t>
            </w:r>
            <w:r>
              <w:rPr>
                <w:i/>
                <w:iCs/>
              </w:rPr>
              <w:t>9</w:t>
            </w:r>
            <w:r>
              <w:t xml:space="preserve">(1), p.69. </w:t>
            </w:r>
          </w:p>
        </w:tc>
        <w:tc>
          <w:tcPr>
            <w:tcW w:w="2268" w:type="dxa"/>
            <w:tcMar>
              <w:top w:w="100" w:type="dxa"/>
              <w:left w:w="100" w:type="dxa"/>
              <w:bottom w:w="100" w:type="dxa"/>
              <w:right w:w="100" w:type="dxa"/>
            </w:tcMar>
          </w:tcPr>
          <w:p>
            <w:pPr>
              <w:jc w:val="center"/>
            </w:pPr>
            <w:r>
              <w:rPr>
                <w:b/>
                <w:bCs/>
              </w:rPr>
              <w:t xml:space="preserve">Study 5: </w:t>
            </w:r>
            <w:r>
              <w:t xml:space="preserve">Lievesley, M., Powell, R., Carey, D., Hulme, S., O’Malley, L., Westoby, W., Zadik, J., Bowen, A., Brocklehurst, P. and Smith, C.J., (2022). ‘Co-designing for behaviour change: The development of a theory-informed oral-care intervention for stroke survivors’. </w:t>
            </w:r>
            <w:r>
              <w:rPr>
                <w:i/>
                <w:iCs/>
              </w:rPr>
              <w:t>Design for Health</w:t>
            </w:r>
            <w:r>
              <w:t xml:space="preserve">, </w:t>
            </w:r>
            <w:r>
              <w:rPr>
                <w:i/>
                <w:iCs/>
              </w:rPr>
              <w:t>6</w:t>
            </w:r>
            <w:r>
              <w:t xml:space="preserve">(2), pp.221-243. </w:t>
            </w:r>
          </w:p>
        </w:tc>
        <w:tc>
          <w:tcPr>
            <w:tcW w:w="2289" w:type="dxa"/>
            <w:tcMar>
              <w:top w:w="100" w:type="dxa"/>
              <w:left w:w="100" w:type="dxa"/>
              <w:bottom w:w="100" w:type="dxa"/>
              <w:right w:w="100" w:type="dxa"/>
            </w:tcMar>
          </w:tcPr>
          <w:p>
            <w:pPr>
              <w:jc w:val="center"/>
            </w:pPr>
            <w:r>
              <w:rPr>
                <w:b/>
                <w:bCs/>
              </w:rPr>
              <w:t xml:space="preserve">Study 6: </w:t>
            </w:r>
            <w:r>
              <w:t xml:space="preserve">Jiang, N., Xv, Y., Sun, X., Feng, L., Wang, Y.B. and Jiang, X.L., (2023). ‘Study on self-management of real-time and individualized support in stroke patients based on resilience: a protocol for a randomized controlled trial’. </w:t>
            </w:r>
            <w:r>
              <w:rPr>
                <w:i/>
                <w:iCs/>
              </w:rPr>
              <w:t>Trials</w:t>
            </w:r>
            <w:r>
              <w:t xml:space="preserve">, </w:t>
            </w:r>
            <w:r>
              <w:rPr>
                <w:i/>
                <w:iCs/>
              </w:rPr>
              <w:t>24</w:t>
            </w:r>
            <w:r>
              <w:t xml:space="preserve">(1), p.493. </w:t>
            </w:r>
          </w:p>
        </w:tc>
      </w:tr>
      <w:tr>
        <w:tc>
          <w:tcPr>
            <w:tcW w:w="1550" w:type="dxa"/>
            <w:tcMar>
              <w:top w:w="100" w:type="dxa"/>
              <w:left w:w="100" w:type="dxa"/>
              <w:bottom w:w="100" w:type="dxa"/>
              <w:right w:w="100" w:type="dxa"/>
            </w:tcMar>
          </w:tcPr>
          <w:p>
            <w:pPr>
              <w:jc w:val="center"/>
              <w:rPr>
                <w:b/>
                <w:bCs/>
                <w:i/>
                <w:iCs/>
              </w:rPr>
            </w:pPr>
            <w:r>
              <w:rPr>
                <w:b/>
                <w:bCs/>
                <w:i/>
                <w:iCs/>
              </w:rPr>
              <w:t>Date of data extraction</w:t>
            </w:r>
          </w:p>
        </w:tc>
        <w:tc>
          <w:tcPr>
            <w:tcW w:w="1701" w:type="dxa"/>
            <w:tcMar>
              <w:top w:w="100" w:type="dxa"/>
              <w:left w:w="100" w:type="dxa"/>
              <w:bottom w:w="100" w:type="dxa"/>
              <w:right w:w="100" w:type="dxa"/>
            </w:tcMar>
          </w:tcPr>
          <w:p>
            <w:r>
              <w:t>22 December 2025</w:t>
            </w:r>
          </w:p>
        </w:tc>
        <w:tc>
          <w:tcPr>
            <w:tcW w:w="1842" w:type="dxa"/>
            <w:tcMar>
              <w:top w:w="100" w:type="dxa"/>
              <w:left w:w="100" w:type="dxa"/>
              <w:bottom w:w="100" w:type="dxa"/>
              <w:right w:w="100" w:type="dxa"/>
            </w:tcMar>
          </w:tcPr>
          <w:p>
            <w:r>
              <w:t>22 December 2025</w:t>
            </w:r>
          </w:p>
        </w:tc>
        <w:tc>
          <w:tcPr>
            <w:tcW w:w="1843" w:type="dxa"/>
            <w:tcMar>
              <w:top w:w="100" w:type="dxa"/>
              <w:left w:w="100" w:type="dxa"/>
              <w:bottom w:w="100" w:type="dxa"/>
              <w:right w:w="100" w:type="dxa"/>
            </w:tcMar>
          </w:tcPr>
          <w:p>
            <w:r>
              <w:t>22 December 2025</w:t>
            </w:r>
          </w:p>
        </w:tc>
        <w:tc>
          <w:tcPr>
            <w:tcW w:w="2126" w:type="dxa"/>
            <w:tcMar>
              <w:top w:w="100" w:type="dxa"/>
              <w:left w:w="100" w:type="dxa"/>
              <w:bottom w:w="100" w:type="dxa"/>
              <w:right w:w="100" w:type="dxa"/>
            </w:tcMar>
          </w:tcPr>
          <w:p>
            <w:r>
              <w:t>22 December 2025</w:t>
            </w:r>
          </w:p>
        </w:tc>
        <w:tc>
          <w:tcPr>
            <w:tcW w:w="2268" w:type="dxa"/>
            <w:tcMar>
              <w:top w:w="100" w:type="dxa"/>
              <w:left w:w="100" w:type="dxa"/>
              <w:bottom w:w="100" w:type="dxa"/>
              <w:right w:w="100" w:type="dxa"/>
            </w:tcMar>
          </w:tcPr>
          <w:p>
            <w:r>
              <w:t>22 December 2025</w:t>
            </w:r>
          </w:p>
        </w:tc>
        <w:tc>
          <w:tcPr>
            <w:tcW w:w="2289" w:type="dxa"/>
            <w:tcMar>
              <w:top w:w="100" w:type="dxa"/>
              <w:left w:w="100" w:type="dxa"/>
              <w:bottom w:w="100" w:type="dxa"/>
              <w:right w:w="100" w:type="dxa"/>
            </w:tcMar>
          </w:tcPr>
          <w:p>
            <w:r>
              <w:t>22 December 2025</w:t>
            </w:r>
          </w:p>
        </w:tc>
      </w:tr>
      <w:tr>
        <w:tc>
          <w:tcPr>
            <w:tcW w:w="1550" w:type="dxa"/>
            <w:tcMar>
              <w:top w:w="100" w:type="dxa"/>
              <w:left w:w="100" w:type="dxa"/>
              <w:bottom w:w="100" w:type="dxa"/>
              <w:right w:w="100" w:type="dxa"/>
            </w:tcMar>
          </w:tcPr>
          <w:p>
            <w:pPr>
              <w:jc w:val="center"/>
              <w:rPr>
                <w:b/>
                <w:bCs/>
                <w:i/>
                <w:iCs/>
              </w:rPr>
            </w:pPr>
            <w:r>
              <w:rPr>
                <w:b/>
                <w:bCs/>
                <w:i/>
                <w:iCs/>
              </w:rPr>
              <w:t>Title:</w:t>
            </w:r>
          </w:p>
        </w:tc>
        <w:tc>
          <w:tcPr>
            <w:tcW w:w="1701" w:type="dxa"/>
            <w:tcMar>
              <w:top w:w="100" w:type="dxa"/>
              <w:left w:w="100" w:type="dxa"/>
              <w:bottom w:w="100" w:type="dxa"/>
              <w:right w:w="100" w:type="dxa"/>
            </w:tcMar>
          </w:tcPr>
          <w:p>
            <w:r>
              <w:t>Personalized approaches to stroke: one step forward for functional recovery of stroke patients</w:t>
            </w:r>
          </w:p>
        </w:tc>
        <w:tc>
          <w:tcPr>
            <w:tcW w:w="1842" w:type="dxa"/>
            <w:tcMar>
              <w:top w:w="100" w:type="dxa"/>
              <w:left w:w="100" w:type="dxa"/>
              <w:bottom w:w="100" w:type="dxa"/>
              <w:right w:w="100" w:type="dxa"/>
            </w:tcMar>
          </w:tcPr>
          <w:p>
            <w:r>
              <w:t>Integrating an approach to personalised self-management support in stroke and neurorehabilitation service contexts: People1st–a quality improvement initiative</w:t>
            </w:r>
          </w:p>
        </w:tc>
        <w:tc>
          <w:tcPr>
            <w:tcW w:w="1843" w:type="dxa"/>
            <w:tcMar>
              <w:top w:w="100" w:type="dxa"/>
              <w:left w:w="100" w:type="dxa"/>
              <w:bottom w:w="100" w:type="dxa"/>
              <w:right w:w="100" w:type="dxa"/>
            </w:tcMar>
          </w:tcPr>
          <w:p>
            <w:r>
              <w:t>Person-centered care for people with aphasia: tools for shared decision-making</w:t>
            </w:r>
          </w:p>
        </w:tc>
        <w:tc>
          <w:tcPr>
            <w:tcW w:w="2126" w:type="dxa"/>
            <w:tcMar>
              <w:top w:w="100" w:type="dxa"/>
              <w:left w:w="100" w:type="dxa"/>
              <w:bottom w:w="100" w:type="dxa"/>
              <w:right w:w="100" w:type="dxa"/>
            </w:tcMar>
          </w:tcPr>
          <w:p>
            <w:r>
              <w:t>Using experience-based co-design to develop mobile/tablet applications to support a person-centred and empowering stroke rehabilitation</w:t>
            </w:r>
          </w:p>
        </w:tc>
        <w:tc>
          <w:tcPr>
            <w:tcW w:w="2268" w:type="dxa"/>
            <w:tcMar>
              <w:top w:w="100" w:type="dxa"/>
              <w:left w:w="100" w:type="dxa"/>
              <w:bottom w:w="100" w:type="dxa"/>
              <w:right w:w="100" w:type="dxa"/>
            </w:tcMar>
          </w:tcPr>
          <w:p>
            <w:r>
              <w:t>Co-designing for behaviour change: The development of a theory-informed oral-care intervention for stroke survivors</w:t>
            </w:r>
          </w:p>
        </w:tc>
        <w:tc>
          <w:tcPr>
            <w:tcW w:w="2289" w:type="dxa"/>
            <w:tcMar>
              <w:top w:w="100" w:type="dxa"/>
              <w:left w:w="100" w:type="dxa"/>
              <w:bottom w:w="100" w:type="dxa"/>
              <w:right w:w="100" w:type="dxa"/>
            </w:tcMar>
          </w:tcPr>
          <w:p>
            <w:r>
              <w:t>Study on self-management of real-time and individualized support in stroke patients based on resilience: a protocol for a randomized controlled trial</w:t>
            </w:r>
          </w:p>
        </w:tc>
      </w:tr>
      <w:tr>
        <w:tc>
          <w:tcPr>
            <w:tcW w:w="1550" w:type="dxa"/>
            <w:tcMar>
              <w:top w:w="100" w:type="dxa"/>
              <w:left w:w="100" w:type="dxa"/>
              <w:bottom w:w="100" w:type="dxa"/>
              <w:right w:w="100" w:type="dxa"/>
            </w:tcMar>
          </w:tcPr>
          <w:p>
            <w:pPr>
              <w:jc w:val="center"/>
              <w:rPr>
                <w:b/>
                <w:bCs/>
                <w:i/>
                <w:iCs/>
              </w:rPr>
            </w:pPr>
            <w:r>
              <w:rPr>
                <w:b/>
                <w:bCs/>
                <w:i/>
                <w:iCs/>
              </w:rPr>
              <w:t>Source:</w:t>
            </w:r>
          </w:p>
        </w:tc>
        <w:tc>
          <w:tcPr>
            <w:tcW w:w="1701" w:type="dxa"/>
            <w:tcMar>
              <w:top w:w="100" w:type="dxa"/>
              <w:left w:w="100" w:type="dxa"/>
              <w:bottom w:w="100" w:type="dxa"/>
              <w:right w:w="100" w:type="dxa"/>
            </w:tcMar>
          </w:tcPr>
          <w:p>
            <w:r>
              <w:t>Chang, 2022</w:t>
            </w:r>
          </w:p>
        </w:tc>
        <w:tc>
          <w:tcPr>
            <w:tcW w:w="1842" w:type="dxa"/>
            <w:tcMar>
              <w:top w:w="100" w:type="dxa"/>
              <w:left w:w="100" w:type="dxa"/>
              <w:bottom w:w="100" w:type="dxa"/>
              <w:right w:w="100" w:type="dxa"/>
            </w:tcMar>
          </w:tcPr>
          <w:p>
            <w:r>
              <w:t>Hancock</w:t>
            </w:r>
            <w:r>
              <w:rPr>
                <w:i/>
                <w:iCs/>
              </w:rPr>
              <w:t xml:space="preserve"> et al.</w:t>
            </w:r>
            <w:r>
              <w:t xml:space="preserve"> 2023</w:t>
            </w:r>
          </w:p>
        </w:tc>
        <w:tc>
          <w:tcPr>
            <w:tcW w:w="1843" w:type="dxa"/>
            <w:tcMar>
              <w:top w:w="100" w:type="dxa"/>
              <w:left w:w="100" w:type="dxa"/>
              <w:bottom w:w="100" w:type="dxa"/>
              <w:right w:w="100" w:type="dxa"/>
            </w:tcMar>
          </w:tcPr>
          <w:p>
            <w:r>
              <w:t>Hinckley and Jayes 2023</w:t>
            </w:r>
          </w:p>
        </w:tc>
        <w:tc>
          <w:tcPr>
            <w:tcW w:w="2126" w:type="dxa"/>
            <w:tcMar>
              <w:top w:w="100" w:type="dxa"/>
              <w:left w:w="100" w:type="dxa"/>
              <w:bottom w:w="100" w:type="dxa"/>
              <w:right w:w="100" w:type="dxa"/>
            </w:tcMar>
          </w:tcPr>
          <w:p>
            <w:r>
              <w:t>Marwaa</w:t>
            </w:r>
            <w:r>
              <w:rPr>
                <w:i/>
                <w:iCs/>
              </w:rPr>
              <w:t xml:space="preserve"> et al.</w:t>
            </w:r>
            <w:r>
              <w:t xml:space="preserve"> 2023</w:t>
            </w:r>
          </w:p>
        </w:tc>
        <w:tc>
          <w:tcPr>
            <w:tcW w:w="2268" w:type="dxa"/>
            <w:tcMar>
              <w:top w:w="100" w:type="dxa"/>
              <w:left w:w="100" w:type="dxa"/>
              <w:bottom w:w="100" w:type="dxa"/>
              <w:right w:w="100" w:type="dxa"/>
            </w:tcMar>
          </w:tcPr>
          <w:p>
            <w:r>
              <w:t>Lievesley</w:t>
            </w:r>
            <w:r>
              <w:rPr>
                <w:i/>
                <w:iCs/>
              </w:rPr>
              <w:t xml:space="preserve"> et al.</w:t>
            </w:r>
            <w:r>
              <w:t xml:space="preserve"> 2022</w:t>
            </w:r>
          </w:p>
        </w:tc>
        <w:tc>
          <w:tcPr>
            <w:tcW w:w="2289" w:type="dxa"/>
            <w:tcMar>
              <w:top w:w="100" w:type="dxa"/>
              <w:left w:w="100" w:type="dxa"/>
              <w:bottom w:w="100" w:type="dxa"/>
              <w:right w:w="100" w:type="dxa"/>
            </w:tcMar>
          </w:tcPr>
          <w:p>
            <w:r>
              <w:t xml:space="preserve">Jiang </w:t>
            </w:r>
            <w:r>
              <w:rPr>
                <w:i/>
                <w:iCs/>
              </w:rPr>
              <w:t>et al.</w:t>
            </w:r>
            <w:r>
              <w:t xml:space="preserve"> 2023</w:t>
            </w:r>
          </w:p>
        </w:tc>
      </w:tr>
      <w:tr>
        <w:tc>
          <w:tcPr>
            <w:tcW w:w="1550" w:type="dxa"/>
            <w:tcMar>
              <w:top w:w="100" w:type="dxa"/>
              <w:left w:w="100" w:type="dxa"/>
              <w:bottom w:w="100" w:type="dxa"/>
              <w:right w:w="100" w:type="dxa"/>
            </w:tcMar>
          </w:tcPr>
          <w:p>
            <w:pPr>
              <w:jc w:val="center"/>
              <w:rPr>
                <w:b/>
                <w:bCs/>
                <w:i/>
                <w:iCs/>
              </w:rPr>
            </w:pPr>
            <w:r>
              <w:rPr>
                <w:b/>
                <w:bCs/>
                <w:i/>
                <w:iCs/>
              </w:rPr>
              <w:t>Purpose of the study</w:t>
            </w:r>
          </w:p>
        </w:tc>
        <w:tc>
          <w:tcPr>
            <w:tcW w:w="1701" w:type="dxa"/>
            <w:tcMar>
              <w:top w:w="100" w:type="dxa"/>
              <w:left w:w="100" w:type="dxa"/>
              <w:bottom w:w="100" w:type="dxa"/>
              <w:right w:w="100" w:type="dxa"/>
            </w:tcMar>
          </w:tcPr>
          <w:p>
            <w:r>
              <w:t>The purpose of this study is to analyse the personalised approaches to stroke through a one-step forward for the functional recovery of stroke patients.</w:t>
            </w:r>
          </w:p>
        </w:tc>
        <w:tc>
          <w:tcPr>
            <w:tcW w:w="1842" w:type="dxa"/>
            <w:tcMar>
              <w:top w:w="100" w:type="dxa"/>
              <w:left w:w="100" w:type="dxa"/>
              <w:bottom w:w="100" w:type="dxa"/>
              <w:right w:w="100" w:type="dxa"/>
            </w:tcMar>
          </w:tcPr>
          <w:p>
            <w:r>
              <w:t xml:space="preserve">The purpose of this study is to discuss an integrated approach to personalised self-management support in stroke and neurorehabilitation service contexts by prioritising a quality improvement initiative. </w:t>
            </w:r>
          </w:p>
        </w:tc>
        <w:tc>
          <w:tcPr>
            <w:tcW w:w="1843" w:type="dxa"/>
            <w:tcMar>
              <w:top w:w="100" w:type="dxa"/>
              <w:left w:w="100" w:type="dxa"/>
              <w:bottom w:w="100" w:type="dxa"/>
              <w:right w:w="100" w:type="dxa"/>
            </w:tcMar>
          </w:tcPr>
          <w:p>
            <w:r>
              <w:t xml:space="preserve">The purpose of this study is to evaluate the </w:t>
            </w:r>
          </w:p>
          <w:p>
            <w:r>
              <w:t xml:space="preserve">person-centred care for people who are struggling with aphasia by proposing useful tools that support a shared decision-making approach. </w:t>
            </w:r>
          </w:p>
        </w:tc>
        <w:tc>
          <w:tcPr>
            <w:tcW w:w="2126" w:type="dxa"/>
            <w:tcMar>
              <w:top w:w="100" w:type="dxa"/>
              <w:left w:w="100" w:type="dxa"/>
              <w:bottom w:w="100" w:type="dxa"/>
              <w:right w:w="100" w:type="dxa"/>
            </w:tcMar>
          </w:tcPr>
          <w:p>
            <w:r>
              <w:t xml:space="preserve">The purpose of this study is to discuss the use of experience-based co-design for developing mobile/tablet applications that support a person-centred and empowering stroke rehabilitation effectively. </w:t>
            </w:r>
          </w:p>
        </w:tc>
        <w:tc>
          <w:tcPr>
            <w:tcW w:w="2268" w:type="dxa"/>
            <w:tcMar>
              <w:top w:w="100" w:type="dxa"/>
              <w:left w:w="100" w:type="dxa"/>
              <w:bottom w:w="100" w:type="dxa"/>
              <w:right w:w="100" w:type="dxa"/>
            </w:tcMar>
          </w:tcPr>
          <w:p>
            <w:r>
              <w:t>The purpose of this study is to present a co-designing approach for behavioural change by considering the development of a theory-informed oral-care intervention for people who are struggling with stroke.</w:t>
            </w:r>
          </w:p>
        </w:tc>
        <w:tc>
          <w:tcPr>
            <w:tcW w:w="2289" w:type="dxa"/>
            <w:tcMar>
              <w:top w:w="100" w:type="dxa"/>
              <w:left w:w="100" w:type="dxa"/>
              <w:bottom w:w="100" w:type="dxa"/>
              <w:right w:w="100" w:type="dxa"/>
            </w:tcMar>
          </w:tcPr>
          <w:p>
            <w:r>
              <w:t>The purpose of this study is to present a self-management approach to real-time and individualised support for stroke patients based on resilience by prioritising protocols for a randomised controlled trial</w:t>
            </w:r>
          </w:p>
        </w:tc>
      </w:tr>
      <w:tr>
        <w:tc>
          <w:tcPr>
            <w:tcW w:w="1550" w:type="dxa"/>
            <w:tcMar>
              <w:top w:w="100" w:type="dxa"/>
              <w:left w:w="100" w:type="dxa"/>
              <w:bottom w:w="100" w:type="dxa"/>
              <w:right w:w="100" w:type="dxa"/>
            </w:tcMar>
          </w:tcPr>
          <w:p>
            <w:pPr>
              <w:jc w:val="center"/>
              <w:rPr>
                <w:b/>
                <w:bCs/>
                <w:i/>
                <w:iCs/>
              </w:rPr>
            </w:pPr>
            <w:r>
              <w:rPr>
                <w:b/>
                <w:bCs/>
                <w:i/>
                <w:iCs/>
              </w:rPr>
              <w:t>Study design</w:t>
            </w:r>
          </w:p>
        </w:tc>
        <w:tc>
          <w:tcPr>
            <w:tcW w:w="1701" w:type="dxa"/>
            <w:tcMar>
              <w:top w:w="100" w:type="dxa"/>
              <w:left w:w="100" w:type="dxa"/>
              <w:bottom w:w="100" w:type="dxa"/>
              <w:right w:w="100" w:type="dxa"/>
            </w:tcMar>
          </w:tcPr>
          <w:p>
            <w:r>
              <w:t xml:space="preserve">Secondary research design </w:t>
            </w:r>
          </w:p>
        </w:tc>
        <w:tc>
          <w:tcPr>
            <w:tcW w:w="1842" w:type="dxa"/>
            <w:tcMar>
              <w:top w:w="100" w:type="dxa"/>
              <w:left w:w="100" w:type="dxa"/>
              <w:bottom w:w="100" w:type="dxa"/>
              <w:right w:w="100" w:type="dxa"/>
            </w:tcMar>
          </w:tcPr>
          <w:p>
            <w:r>
              <w:t xml:space="preserve">Primary research design </w:t>
            </w:r>
          </w:p>
        </w:tc>
        <w:tc>
          <w:tcPr>
            <w:tcW w:w="1843" w:type="dxa"/>
            <w:tcMar>
              <w:top w:w="100" w:type="dxa"/>
              <w:left w:w="100" w:type="dxa"/>
              <w:bottom w:w="100" w:type="dxa"/>
              <w:right w:w="100" w:type="dxa"/>
            </w:tcMar>
          </w:tcPr>
          <w:p>
            <w:r>
              <w:t xml:space="preserve">Primary research design </w:t>
            </w:r>
          </w:p>
        </w:tc>
        <w:tc>
          <w:tcPr>
            <w:tcW w:w="2126" w:type="dxa"/>
            <w:tcMar>
              <w:top w:w="100" w:type="dxa"/>
              <w:left w:w="100" w:type="dxa"/>
              <w:bottom w:w="100" w:type="dxa"/>
              <w:right w:w="100" w:type="dxa"/>
            </w:tcMar>
          </w:tcPr>
          <w:p>
            <w:r>
              <w:t xml:space="preserve">Primary research design </w:t>
            </w:r>
          </w:p>
        </w:tc>
        <w:tc>
          <w:tcPr>
            <w:tcW w:w="2268" w:type="dxa"/>
            <w:tcMar>
              <w:top w:w="100" w:type="dxa"/>
              <w:left w:w="100" w:type="dxa"/>
              <w:bottom w:w="100" w:type="dxa"/>
              <w:right w:w="100" w:type="dxa"/>
            </w:tcMar>
          </w:tcPr>
          <w:p>
            <w:r>
              <w:t xml:space="preserve">Primary research design </w:t>
            </w:r>
          </w:p>
        </w:tc>
        <w:tc>
          <w:tcPr>
            <w:tcW w:w="2289" w:type="dxa"/>
            <w:tcMar>
              <w:top w:w="100" w:type="dxa"/>
              <w:left w:w="100" w:type="dxa"/>
              <w:bottom w:w="100" w:type="dxa"/>
              <w:right w:w="100" w:type="dxa"/>
            </w:tcMar>
          </w:tcPr>
          <w:p>
            <w:r>
              <w:t xml:space="preserve">Primary research design </w:t>
            </w:r>
          </w:p>
        </w:tc>
      </w:tr>
      <w:tr>
        <w:tc>
          <w:tcPr>
            <w:tcW w:w="1550" w:type="dxa"/>
            <w:tcMar>
              <w:top w:w="100" w:type="dxa"/>
              <w:left w:w="100" w:type="dxa"/>
              <w:bottom w:w="100" w:type="dxa"/>
              <w:right w:w="100" w:type="dxa"/>
            </w:tcMar>
          </w:tcPr>
          <w:p>
            <w:pPr>
              <w:jc w:val="center"/>
              <w:rPr>
                <w:b/>
                <w:bCs/>
                <w:i/>
                <w:iCs/>
              </w:rPr>
            </w:pPr>
            <w:r>
              <w:rPr>
                <w:b/>
                <w:bCs/>
                <w:i/>
                <w:iCs/>
              </w:rPr>
              <w:t xml:space="preserve">Population </w:t>
            </w:r>
          </w:p>
        </w:tc>
        <w:tc>
          <w:tcPr>
            <w:tcW w:w="1701" w:type="dxa"/>
            <w:tcMar>
              <w:top w:w="100" w:type="dxa"/>
              <w:left w:w="100" w:type="dxa"/>
              <w:bottom w:w="100" w:type="dxa"/>
              <w:right w:w="100" w:type="dxa"/>
            </w:tcMar>
          </w:tcPr>
          <w:p>
            <w:r>
              <w:t xml:space="preserve">NA </w:t>
            </w:r>
          </w:p>
        </w:tc>
        <w:tc>
          <w:tcPr>
            <w:tcW w:w="1842" w:type="dxa"/>
            <w:tcMar>
              <w:top w:w="100" w:type="dxa"/>
              <w:left w:w="100" w:type="dxa"/>
              <w:bottom w:w="100" w:type="dxa"/>
              <w:right w:w="100" w:type="dxa"/>
            </w:tcMar>
          </w:tcPr>
          <w:p>
            <w:r>
              <w:t xml:space="preserve">healthcare practitioners among the UK-based 24 NHS or National Health Service Trusts </w:t>
            </w:r>
          </w:p>
        </w:tc>
        <w:tc>
          <w:tcPr>
            <w:tcW w:w="1843" w:type="dxa"/>
            <w:tcMar>
              <w:top w:w="100" w:type="dxa"/>
              <w:left w:w="100" w:type="dxa"/>
              <w:bottom w:w="100" w:type="dxa"/>
              <w:right w:w="100" w:type="dxa"/>
            </w:tcMar>
          </w:tcPr>
          <w:p>
            <w:r>
              <w:t xml:space="preserve">Healthcare professionals </w:t>
            </w:r>
          </w:p>
        </w:tc>
        <w:tc>
          <w:tcPr>
            <w:tcW w:w="2126" w:type="dxa"/>
            <w:tcMar>
              <w:top w:w="100" w:type="dxa"/>
              <w:left w:w="100" w:type="dxa"/>
              <w:bottom w:w="100" w:type="dxa"/>
              <w:right w:w="100" w:type="dxa"/>
            </w:tcMar>
          </w:tcPr>
          <w:p>
            <w:r>
              <w:t xml:space="preserve">Stroke survivors, occupational therapists, physiotherapists and a patient organisation </w:t>
            </w:r>
          </w:p>
        </w:tc>
        <w:tc>
          <w:tcPr>
            <w:tcW w:w="2268" w:type="dxa"/>
            <w:tcMar>
              <w:top w:w="100" w:type="dxa"/>
              <w:left w:w="100" w:type="dxa"/>
              <w:bottom w:w="100" w:type="dxa"/>
              <w:right w:w="100" w:type="dxa"/>
            </w:tcMar>
          </w:tcPr>
          <w:p>
            <w:r>
              <w:t xml:space="preserve">stroke survivors and healthcare professionals </w:t>
            </w:r>
          </w:p>
        </w:tc>
        <w:tc>
          <w:tcPr>
            <w:tcW w:w="2289" w:type="dxa"/>
            <w:tcMar>
              <w:top w:w="100" w:type="dxa"/>
              <w:left w:w="100" w:type="dxa"/>
              <w:bottom w:w="100" w:type="dxa"/>
              <w:right w:w="100" w:type="dxa"/>
            </w:tcMar>
          </w:tcPr>
          <w:p>
            <w:r>
              <w:t xml:space="preserve">adult stroke patients </w:t>
            </w:r>
          </w:p>
        </w:tc>
      </w:tr>
      <w:tr>
        <w:tc>
          <w:tcPr>
            <w:tcW w:w="1550" w:type="dxa"/>
            <w:tcMar>
              <w:top w:w="100" w:type="dxa"/>
              <w:left w:w="100" w:type="dxa"/>
              <w:bottom w:w="100" w:type="dxa"/>
              <w:right w:w="100" w:type="dxa"/>
            </w:tcMar>
          </w:tcPr>
          <w:p>
            <w:pPr>
              <w:jc w:val="center"/>
              <w:rPr>
                <w:b/>
                <w:bCs/>
                <w:i/>
                <w:iCs/>
              </w:rPr>
            </w:pPr>
            <w:r>
              <w:rPr>
                <w:b/>
                <w:bCs/>
                <w:i/>
                <w:iCs/>
              </w:rPr>
              <w:t>Sample selection</w:t>
            </w:r>
          </w:p>
        </w:tc>
        <w:tc>
          <w:tcPr>
            <w:tcW w:w="1701" w:type="dxa"/>
            <w:tcMar>
              <w:top w:w="100" w:type="dxa"/>
              <w:left w:w="100" w:type="dxa"/>
              <w:bottom w:w="100" w:type="dxa"/>
              <w:right w:w="100" w:type="dxa"/>
            </w:tcMar>
          </w:tcPr>
          <w:p>
            <w:r>
              <w:t xml:space="preserve">NA </w:t>
            </w:r>
          </w:p>
        </w:tc>
        <w:tc>
          <w:tcPr>
            <w:tcW w:w="1842" w:type="dxa"/>
            <w:tcMar>
              <w:top w:w="100" w:type="dxa"/>
              <w:left w:w="100" w:type="dxa"/>
              <w:bottom w:w="100" w:type="dxa"/>
              <w:right w:w="100" w:type="dxa"/>
            </w:tcMar>
          </w:tcPr>
          <w:p>
            <w:r>
              <w:t xml:space="preserve">Random </w:t>
            </w:r>
          </w:p>
        </w:tc>
        <w:tc>
          <w:tcPr>
            <w:tcW w:w="1843" w:type="dxa"/>
            <w:tcMar>
              <w:top w:w="100" w:type="dxa"/>
              <w:left w:w="100" w:type="dxa"/>
              <w:bottom w:w="100" w:type="dxa"/>
              <w:right w:w="100" w:type="dxa"/>
            </w:tcMar>
          </w:tcPr>
          <w:p>
            <w:r>
              <w:t>Random</w:t>
            </w:r>
          </w:p>
        </w:tc>
        <w:tc>
          <w:tcPr>
            <w:tcW w:w="2126" w:type="dxa"/>
            <w:tcMar>
              <w:top w:w="100" w:type="dxa"/>
              <w:left w:w="100" w:type="dxa"/>
              <w:bottom w:w="100" w:type="dxa"/>
              <w:right w:w="100" w:type="dxa"/>
            </w:tcMar>
          </w:tcPr>
          <w:p>
            <w:r>
              <w:t>Random</w:t>
            </w:r>
          </w:p>
        </w:tc>
        <w:tc>
          <w:tcPr>
            <w:tcW w:w="2268" w:type="dxa"/>
            <w:tcMar>
              <w:top w:w="100" w:type="dxa"/>
              <w:left w:w="100" w:type="dxa"/>
              <w:bottom w:w="100" w:type="dxa"/>
              <w:right w:w="100" w:type="dxa"/>
            </w:tcMar>
          </w:tcPr>
          <w:p>
            <w:r>
              <w:t>Random</w:t>
            </w:r>
          </w:p>
        </w:tc>
        <w:tc>
          <w:tcPr>
            <w:tcW w:w="2289" w:type="dxa"/>
            <w:tcMar>
              <w:top w:w="100" w:type="dxa"/>
              <w:left w:w="100" w:type="dxa"/>
              <w:bottom w:w="100" w:type="dxa"/>
              <w:right w:w="100" w:type="dxa"/>
            </w:tcMar>
          </w:tcPr>
          <w:p>
            <w:r>
              <w:t>Random</w:t>
            </w:r>
          </w:p>
        </w:tc>
      </w:tr>
      <w:tr>
        <w:tc>
          <w:tcPr>
            <w:tcW w:w="1550" w:type="dxa"/>
            <w:tcMar>
              <w:top w:w="100" w:type="dxa"/>
              <w:left w:w="100" w:type="dxa"/>
              <w:bottom w:w="100" w:type="dxa"/>
              <w:right w:w="100" w:type="dxa"/>
            </w:tcMar>
          </w:tcPr>
          <w:p>
            <w:pPr>
              <w:jc w:val="center"/>
              <w:rPr>
                <w:b/>
                <w:bCs/>
                <w:i/>
                <w:iCs/>
              </w:rPr>
            </w:pPr>
            <w:r>
              <w:rPr>
                <w:b/>
                <w:bCs/>
                <w:i/>
                <w:iCs/>
              </w:rPr>
              <w:t>Sample size (number)</w:t>
            </w:r>
          </w:p>
        </w:tc>
        <w:tc>
          <w:tcPr>
            <w:tcW w:w="1701" w:type="dxa"/>
            <w:tcMar>
              <w:top w:w="100" w:type="dxa"/>
              <w:left w:w="100" w:type="dxa"/>
              <w:bottom w:w="100" w:type="dxa"/>
              <w:right w:w="100" w:type="dxa"/>
            </w:tcMar>
          </w:tcPr>
          <w:p>
            <w:r>
              <w:t xml:space="preserve">NA </w:t>
            </w:r>
          </w:p>
        </w:tc>
        <w:tc>
          <w:tcPr>
            <w:tcW w:w="1842" w:type="dxa"/>
            <w:tcMar>
              <w:top w:w="100" w:type="dxa"/>
              <w:left w:w="100" w:type="dxa"/>
              <w:bottom w:w="100" w:type="dxa"/>
              <w:right w:w="100" w:type="dxa"/>
            </w:tcMar>
          </w:tcPr>
          <w:p>
            <w:r>
              <w:t>24</w:t>
            </w:r>
          </w:p>
        </w:tc>
        <w:tc>
          <w:tcPr>
            <w:tcW w:w="1843" w:type="dxa"/>
            <w:tcMar>
              <w:top w:w="100" w:type="dxa"/>
              <w:left w:w="100" w:type="dxa"/>
              <w:bottom w:w="100" w:type="dxa"/>
              <w:right w:w="100" w:type="dxa"/>
            </w:tcMar>
          </w:tcPr>
          <w:p>
            <w:r>
              <w:t>NA</w:t>
            </w:r>
          </w:p>
        </w:tc>
        <w:tc>
          <w:tcPr>
            <w:tcW w:w="2126" w:type="dxa"/>
            <w:tcMar>
              <w:top w:w="100" w:type="dxa"/>
              <w:left w:w="100" w:type="dxa"/>
              <w:bottom w:w="100" w:type="dxa"/>
              <w:right w:w="100" w:type="dxa"/>
            </w:tcMar>
          </w:tcPr>
          <w:p>
            <w:r>
              <w:t>68</w:t>
            </w:r>
          </w:p>
        </w:tc>
        <w:tc>
          <w:tcPr>
            <w:tcW w:w="2268" w:type="dxa"/>
            <w:tcMar>
              <w:top w:w="100" w:type="dxa"/>
              <w:left w:w="100" w:type="dxa"/>
              <w:bottom w:w="100" w:type="dxa"/>
              <w:right w:w="100" w:type="dxa"/>
            </w:tcMar>
          </w:tcPr>
          <w:p>
            <w:r>
              <w:t>42</w:t>
            </w:r>
          </w:p>
        </w:tc>
        <w:tc>
          <w:tcPr>
            <w:tcW w:w="2289" w:type="dxa"/>
            <w:tcMar>
              <w:top w:w="100" w:type="dxa"/>
              <w:left w:w="100" w:type="dxa"/>
              <w:bottom w:w="100" w:type="dxa"/>
              <w:right w:w="100" w:type="dxa"/>
            </w:tcMar>
          </w:tcPr>
          <w:p>
            <w:r>
              <w:t>183</w:t>
            </w:r>
          </w:p>
        </w:tc>
      </w:tr>
      <w:tr>
        <w:tc>
          <w:tcPr>
            <w:tcW w:w="1550" w:type="dxa"/>
            <w:tcMar>
              <w:top w:w="100" w:type="dxa"/>
              <w:left w:w="100" w:type="dxa"/>
              <w:bottom w:w="100" w:type="dxa"/>
              <w:right w:w="100" w:type="dxa"/>
            </w:tcMar>
          </w:tcPr>
          <w:p>
            <w:pPr>
              <w:jc w:val="center"/>
              <w:rPr>
                <w:b/>
                <w:bCs/>
                <w:i/>
                <w:iCs/>
              </w:rPr>
            </w:pPr>
            <w:r>
              <w:rPr>
                <w:b/>
                <w:bCs/>
                <w:i/>
                <w:iCs/>
              </w:rPr>
              <w:t xml:space="preserve">Age </w:t>
            </w:r>
          </w:p>
        </w:tc>
        <w:tc>
          <w:tcPr>
            <w:tcW w:w="1701" w:type="dxa"/>
            <w:tcMar>
              <w:top w:w="100" w:type="dxa"/>
              <w:left w:w="100" w:type="dxa"/>
              <w:bottom w:w="100" w:type="dxa"/>
              <w:right w:w="100" w:type="dxa"/>
            </w:tcMar>
          </w:tcPr>
          <w:p>
            <w:r>
              <w:t>NA</w:t>
            </w:r>
          </w:p>
        </w:tc>
        <w:tc>
          <w:tcPr>
            <w:tcW w:w="1842" w:type="dxa"/>
            <w:tcMar>
              <w:top w:w="100" w:type="dxa"/>
              <w:left w:w="100" w:type="dxa"/>
              <w:bottom w:w="100" w:type="dxa"/>
              <w:right w:w="100" w:type="dxa"/>
            </w:tcMar>
          </w:tcPr>
          <w:p>
            <w:r>
              <w:t>NA</w:t>
            </w:r>
          </w:p>
        </w:tc>
        <w:tc>
          <w:tcPr>
            <w:tcW w:w="1843" w:type="dxa"/>
            <w:tcMar>
              <w:top w:w="100" w:type="dxa"/>
              <w:left w:w="100" w:type="dxa"/>
              <w:bottom w:w="100" w:type="dxa"/>
              <w:right w:w="100" w:type="dxa"/>
            </w:tcMar>
          </w:tcPr>
          <w:p>
            <w:r>
              <w:t>NA</w:t>
            </w:r>
          </w:p>
        </w:tc>
        <w:tc>
          <w:tcPr>
            <w:tcW w:w="2126" w:type="dxa"/>
            <w:tcMar>
              <w:top w:w="100" w:type="dxa"/>
              <w:left w:w="100" w:type="dxa"/>
              <w:bottom w:w="100" w:type="dxa"/>
              <w:right w:w="100" w:type="dxa"/>
            </w:tcMar>
          </w:tcPr>
          <w:p>
            <w:r>
              <w:t>NA</w:t>
            </w:r>
          </w:p>
        </w:tc>
        <w:tc>
          <w:tcPr>
            <w:tcW w:w="2268" w:type="dxa"/>
            <w:tcMar>
              <w:top w:w="100" w:type="dxa"/>
              <w:left w:w="100" w:type="dxa"/>
              <w:bottom w:w="100" w:type="dxa"/>
              <w:right w:w="100" w:type="dxa"/>
            </w:tcMar>
          </w:tcPr>
          <w:p>
            <w:r>
              <w:t>NA</w:t>
            </w:r>
          </w:p>
        </w:tc>
        <w:tc>
          <w:tcPr>
            <w:tcW w:w="2289" w:type="dxa"/>
            <w:tcMar>
              <w:top w:w="100" w:type="dxa"/>
              <w:left w:w="100" w:type="dxa"/>
              <w:bottom w:w="100" w:type="dxa"/>
              <w:right w:w="100" w:type="dxa"/>
            </w:tcMar>
          </w:tcPr>
          <w:p>
            <w:r>
              <w:t>NA</w:t>
            </w:r>
          </w:p>
        </w:tc>
      </w:tr>
      <w:tr>
        <w:tc>
          <w:tcPr>
            <w:tcW w:w="1550" w:type="dxa"/>
            <w:tcMar>
              <w:top w:w="100" w:type="dxa"/>
              <w:left w:w="100" w:type="dxa"/>
              <w:bottom w:w="100" w:type="dxa"/>
              <w:right w:w="100" w:type="dxa"/>
            </w:tcMar>
          </w:tcPr>
          <w:p>
            <w:pPr>
              <w:jc w:val="center"/>
              <w:rPr>
                <w:b/>
                <w:bCs/>
                <w:i/>
                <w:iCs/>
              </w:rPr>
            </w:pPr>
            <w:r>
              <w:rPr>
                <w:b/>
                <w:bCs/>
                <w:i/>
                <w:iCs/>
              </w:rPr>
              <w:t>Education, years</w:t>
            </w:r>
          </w:p>
        </w:tc>
        <w:tc>
          <w:tcPr>
            <w:tcW w:w="1701" w:type="dxa"/>
            <w:tcMar>
              <w:top w:w="100" w:type="dxa"/>
              <w:left w:w="100" w:type="dxa"/>
              <w:bottom w:w="100" w:type="dxa"/>
              <w:right w:w="100" w:type="dxa"/>
            </w:tcMar>
          </w:tcPr>
          <w:p>
            <w:r>
              <w:t xml:space="preserve">NA </w:t>
            </w:r>
          </w:p>
        </w:tc>
        <w:tc>
          <w:tcPr>
            <w:tcW w:w="1842" w:type="dxa"/>
            <w:tcMar>
              <w:top w:w="100" w:type="dxa"/>
              <w:left w:w="100" w:type="dxa"/>
              <w:bottom w:w="100" w:type="dxa"/>
              <w:right w:w="100" w:type="dxa"/>
            </w:tcMar>
          </w:tcPr>
          <w:p>
            <w:r>
              <w:t>NA</w:t>
            </w:r>
          </w:p>
        </w:tc>
        <w:tc>
          <w:tcPr>
            <w:tcW w:w="1843" w:type="dxa"/>
            <w:tcMar>
              <w:top w:w="100" w:type="dxa"/>
              <w:left w:w="100" w:type="dxa"/>
              <w:bottom w:w="100" w:type="dxa"/>
              <w:right w:w="100" w:type="dxa"/>
            </w:tcMar>
          </w:tcPr>
          <w:p>
            <w:r>
              <w:t>NA</w:t>
            </w:r>
          </w:p>
        </w:tc>
        <w:tc>
          <w:tcPr>
            <w:tcW w:w="2126" w:type="dxa"/>
            <w:tcMar>
              <w:top w:w="100" w:type="dxa"/>
              <w:left w:w="100" w:type="dxa"/>
              <w:bottom w:w="100" w:type="dxa"/>
              <w:right w:w="100" w:type="dxa"/>
            </w:tcMar>
          </w:tcPr>
          <w:p>
            <w:r>
              <w:t>NA</w:t>
            </w:r>
          </w:p>
        </w:tc>
        <w:tc>
          <w:tcPr>
            <w:tcW w:w="2268" w:type="dxa"/>
            <w:tcMar>
              <w:top w:w="100" w:type="dxa"/>
              <w:left w:w="100" w:type="dxa"/>
              <w:bottom w:w="100" w:type="dxa"/>
              <w:right w:w="100" w:type="dxa"/>
            </w:tcMar>
          </w:tcPr>
          <w:p>
            <w:r>
              <w:t>NA</w:t>
            </w:r>
          </w:p>
        </w:tc>
        <w:tc>
          <w:tcPr>
            <w:tcW w:w="2289" w:type="dxa"/>
            <w:tcMar>
              <w:top w:w="100" w:type="dxa"/>
              <w:left w:w="100" w:type="dxa"/>
              <w:bottom w:w="100" w:type="dxa"/>
              <w:right w:w="100" w:type="dxa"/>
            </w:tcMar>
          </w:tcPr>
          <w:p>
            <w:r>
              <w:t>NA</w:t>
            </w:r>
          </w:p>
        </w:tc>
      </w:tr>
      <w:tr>
        <w:tc>
          <w:tcPr>
            <w:tcW w:w="1550" w:type="dxa"/>
            <w:tcMar>
              <w:top w:w="100" w:type="dxa"/>
              <w:left w:w="100" w:type="dxa"/>
              <w:bottom w:w="100" w:type="dxa"/>
              <w:right w:w="100" w:type="dxa"/>
            </w:tcMar>
          </w:tcPr>
          <w:p>
            <w:pPr>
              <w:jc w:val="center"/>
              <w:rPr>
                <w:b/>
                <w:bCs/>
                <w:i/>
                <w:iCs/>
              </w:rPr>
            </w:pPr>
            <w:r>
              <w:rPr>
                <w:b/>
                <w:bCs/>
                <w:i/>
                <w:iCs/>
              </w:rPr>
              <w:t>Ethnicity/race</w:t>
            </w:r>
          </w:p>
        </w:tc>
        <w:tc>
          <w:tcPr>
            <w:tcW w:w="1701" w:type="dxa"/>
            <w:tcMar>
              <w:top w:w="100" w:type="dxa"/>
              <w:left w:w="100" w:type="dxa"/>
              <w:bottom w:w="100" w:type="dxa"/>
              <w:right w:w="100" w:type="dxa"/>
            </w:tcMar>
          </w:tcPr>
          <w:p>
            <w:r>
              <w:t>NA</w:t>
            </w:r>
          </w:p>
        </w:tc>
        <w:tc>
          <w:tcPr>
            <w:tcW w:w="1842" w:type="dxa"/>
            <w:tcMar>
              <w:top w:w="100" w:type="dxa"/>
              <w:left w:w="100" w:type="dxa"/>
              <w:bottom w:w="100" w:type="dxa"/>
              <w:right w:w="100" w:type="dxa"/>
            </w:tcMar>
          </w:tcPr>
          <w:p>
            <w:r>
              <w:t>NA</w:t>
            </w:r>
          </w:p>
        </w:tc>
        <w:tc>
          <w:tcPr>
            <w:tcW w:w="1843" w:type="dxa"/>
            <w:tcMar>
              <w:top w:w="100" w:type="dxa"/>
              <w:left w:w="100" w:type="dxa"/>
              <w:bottom w:w="100" w:type="dxa"/>
              <w:right w:w="100" w:type="dxa"/>
            </w:tcMar>
          </w:tcPr>
          <w:p>
            <w:r>
              <w:t>NA</w:t>
            </w:r>
          </w:p>
        </w:tc>
        <w:tc>
          <w:tcPr>
            <w:tcW w:w="2126" w:type="dxa"/>
            <w:tcMar>
              <w:top w:w="100" w:type="dxa"/>
              <w:left w:w="100" w:type="dxa"/>
              <w:bottom w:w="100" w:type="dxa"/>
              <w:right w:w="100" w:type="dxa"/>
            </w:tcMar>
          </w:tcPr>
          <w:p>
            <w:r>
              <w:t>NA</w:t>
            </w:r>
          </w:p>
        </w:tc>
        <w:tc>
          <w:tcPr>
            <w:tcW w:w="2268" w:type="dxa"/>
            <w:tcMar>
              <w:top w:w="100" w:type="dxa"/>
              <w:left w:w="100" w:type="dxa"/>
              <w:bottom w:w="100" w:type="dxa"/>
              <w:right w:w="100" w:type="dxa"/>
            </w:tcMar>
          </w:tcPr>
          <w:p>
            <w:r>
              <w:t>NA</w:t>
            </w:r>
          </w:p>
        </w:tc>
        <w:tc>
          <w:tcPr>
            <w:tcW w:w="2289" w:type="dxa"/>
            <w:tcMar>
              <w:top w:w="100" w:type="dxa"/>
              <w:left w:w="100" w:type="dxa"/>
              <w:bottom w:w="100" w:type="dxa"/>
              <w:right w:w="100" w:type="dxa"/>
            </w:tcMar>
          </w:tcPr>
          <w:p>
            <w:r>
              <w:t>NA</w:t>
            </w:r>
          </w:p>
        </w:tc>
      </w:tr>
      <w:tr>
        <w:tc>
          <w:tcPr>
            <w:tcW w:w="1550" w:type="dxa"/>
            <w:tcMar>
              <w:top w:w="100" w:type="dxa"/>
              <w:left w:w="100" w:type="dxa"/>
              <w:bottom w:w="100" w:type="dxa"/>
              <w:right w:w="100" w:type="dxa"/>
            </w:tcMar>
          </w:tcPr>
          <w:p>
            <w:pPr>
              <w:jc w:val="center"/>
              <w:rPr>
                <w:b/>
                <w:bCs/>
                <w:i/>
                <w:iCs/>
              </w:rPr>
            </w:pPr>
            <w:r>
              <w:rPr>
                <w:b/>
                <w:bCs/>
                <w:i/>
                <w:iCs/>
              </w:rPr>
              <w:t xml:space="preserve">Religion </w:t>
            </w:r>
          </w:p>
        </w:tc>
        <w:tc>
          <w:tcPr>
            <w:tcW w:w="1701" w:type="dxa"/>
            <w:tcMar>
              <w:top w:w="100" w:type="dxa"/>
              <w:left w:w="100" w:type="dxa"/>
              <w:bottom w:w="100" w:type="dxa"/>
              <w:right w:w="100" w:type="dxa"/>
            </w:tcMar>
          </w:tcPr>
          <w:p>
            <w:r>
              <w:t>NA</w:t>
            </w:r>
          </w:p>
        </w:tc>
        <w:tc>
          <w:tcPr>
            <w:tcW w:w="1842" w:type="dxa"/>
            <w:tcMar>
              <w:top w:w="100" w:type="dxa"/>
              <w:left w:w="100" w:type="dxa"/>
              <w:bottom w:w="100" w:type="dxa"/>
              <w:right w:w="100" w:type="dxa"/>
            </w:tcMar>
          </w:tcPr>
          <w:p>
            <w:r>
              <w:t>NA</w:t>
            </w:r>
          </w:p>
        </w:tc>
        <w:tc>
          <w:tcPr>
            <w:tcW w:w="1843" w:type="dxa"/>
            <w:tcMar>
              <w:top w:w="100" w:type="dxa"/>
              <w:left w:w="100" w:type="dxa"/>
              <w:bottom w:w="100" w:type="dxa"/>
              <w:right w:w="100" w:type="dxa"/>
            </w:tcMar>
          </w:tcPr>
          <w:p>
            <w:r>
              <w:t>NA</w:t>
            </w:r>
          </w:p>
        </w:tc>
        <w:tc>
          <w:tcPr>
            <w:tcW w:w="2126" w:type="dxa"/>
            <w:tcMar>
              <w:top w:w="100" w:type="dxa"/>
              <w:left w:w="100" w:type="dxa"/>
              <w:bottom w:w="100" w:type="dxa"/>
              <w:right w:w="100" w:type="dxa"/>
            </w:tcMar>
          </w:tcPr>
          <w:p>
            <w:r>
              <w:t>NA</w:t>
            </w:r>
          </w:p>
        </w:tc>
        <w:tc>
          <w:tcPr>
            <w:tcW w:w="2268" w:type="dxa"/>
            <w:tcMar>
              <w:top w:w="100" w:type="dxa"/>
              <w:left w:w="100" w:type="dxa"/>
              <w:bottom w:w="100" w:type="dxa"/>
              <w:right w:w="100" w:type="dxa"/>
            </w:tcMar>
          </w:tcPr>
          <w:p>
            <w:r>
              <w:t>NA</w:t>
            </w:r>
          </w:p>
        </w:tc>
        <w:tc>
          <w:tcPr>
            <w:tcW w:w="2289" w:type="dxa"/>
            <w:tcMar>
              <w:top w:w="100" w:type="dxa"/>
              <w:left w:w="100" w:type="dxa"/>
              <w:bottom w:w="100" w:type="dxa"/>
              <w:right w:w="100" w:type="dxa"/>
            </w:tcMar>
          </w:tcPr>
          <w:p>
            <w:r>
              <w:t>NA</w:t>
            </w:r>
          </w:p>
        </w:tc>
      </w:tr>
      <w:tr>
        <w:tc>
          <w:tcPr>
            <w:tcW w:w="1550" w:type="dxa"/>
            <w:tcMar>
              <w:top w:w="100" w:type="dxa"/>
              <w:left w:w="100" w:type="dxa"/>
              <w:bottom w:w="100" w:type="dxa"/>
              <w:right w:w="100" w:type="dxa"/>
            </w:tcMar>
          </w:tcPr>
          <w:p>
            <w:pPr>
              <w:jc w:val="center"/>
              <w:rPr>
                <w:b/>
                <w:bCs/>
                <w:i/>
                <w:iCs/>
              </w:rPr>
            </w:pPr>
            <w:r>
              <w:rPr>
                <w:b/>
                <w:bCs/>
                <w:i/>
                <w:iCs/>
              </w:rPr>
              <w:t xml:space="preserve">Setting </w:t>
            </w:r>
          </w:p>
        </w:tc>
        <w:tc>
          <w:tcPr>
            <w:tcW w:w="1701" w:type="dxa"/>
            <w:tcMar>
              <w:top w:w="100" w:type="dxa"/>
              <w:left w:w="100" w:type="dxa"/>
              <w:bottom w:w="100" w:type="dxa"/>
              <w:right w:w="100" w:type="dxa"/>
            </w:tcMar>
          </w:tcPr>
          <w:p>
            <w:r>
              <w:t xml:space="preserve">Secondary </w:t>
            </w:r>
          </w:p>
        </w:tc>
        <w:tc>
          <w:tcPr>
            <w:tcW w:w="1842" w:type="dxa"/>
            <w:tcMar>
              <w:top w:w="100" w:type="dxa"/>
              <w:left w:w="100" w:type="dxa"/>
              <w:bottom w:w="100" w:type="dxa"/>
              <w:right w:w="100" w:type="dxa"/>
            </w:tcMar>
          </w:tcPr>
          <w:p>
            <w:r>
              <w:t xml:space="preserve">Primary </w:t>
            </w:r>
          </w:p>
        </w:tc>
        <w:tc>
          <w:tcPr>
            <w:tcW w:w="1843" w:type="dxa"/>
            <w:tcMar>
              <w:top w:w="100" w:type="dxa"/>
              <w:left w:w="100" w:type="dxa"/>
              <w:bottom w:w="100" w:type="dxa"/>
              <w:right w:w="100" w:type="dxa"/>
            </w:tcMar>
          </w:tcPr>
          <w:p>
            <w:r>
              <w:t xml:space="preserve">Primary </w:t>
            </w:r>
          </w:p>
        </w:tc>
        <w:tc>
          <w:tcPr>
            <w:tcW w:w="2126" w:type="dxa"/>
            <w:tcMar>
              <w:top w:w="100" w:type="dxa"/>
              <w:left w:w="100" w:type="dxa"/>
              <w:bottom w:w="100" w:type="dxa"/>
              <w:right w:w="100" w:type="dxa"/>
            </w:tcMar>
          </w:tcPr>
          <w:p>
            <w:r>
              <w:t xml:space="preserve">Primary </w:t>
            </w:r>
          </w:p>
        </w:tc>
        <w:tc>
          <w:tcPr>
            <w:tcW w:w="2268" w:type="dxa"/>
            <w:tcMar>
              <w:top w:w="100" w:type="dxa"/>
              <w:left w:w="100" w:type="dxa"/>
              <w:bottom w:w="100" w:type="dxa"/>
              <w:right w:w="100" w:type="dxa"/>
            </w:tcMar>
          </w:tcPr>
          <w:p>
            <w:r>
              <w:t xml:space="preserve">Primary </w:t>
            </w:r>
          </w:p>
        </w:tc>
        <w:tc>
          <w:tcPr>
            <w:tcW w:w="2289" w:type="dxa"/>
            <w:tcMar>
              <w:top w:w="100" w:type="dxa"/>
              <w:left w:w="100" w:type="dxa"/>
              <w:bottom w:w="100" w:type="dxa"/>
              <w:right w:w="100" w:type="dxa"/>
            </w:tcMar>
          </w:tcPr>
          <w:p>
            <w:r>
              <w:t xml:space="preserve">Primary </w:t>
            </w:r>
          </w:p>
        </w:tc>
      </w:tr>
      <w:tr>
        <w:tc>
          <w:tcPr>
            <w:tcW w:w="1550" w:type="dxa"/>
            <w:tcMar>
              <w:top w:w="100" w:type="dxa"/>
              <w:left w:w="100" w:type="dxa"/>
              <w:bottom w:w="100" w:type="dxa"/>
              <w:right w:w="100" w:type="dxa"/>
            </w:tcMar>
          </w:tcPr>
          <w:p>
            <w:pPr>
              <w:jc w:val="center"/>
              <w:rPr>
                <w:b/>
                <w:bCs/>
                <w:i/>
                <w:iCs/>
              </w:rPr>
            </w:pPr>
            <w:r>
              <w:rPr>
                <w:b/>
                <w:bCs/>
                <w:i/>
                <w:iCs/>
              </w:rPr>
              <w:t>Primary diagnosis sat</w:t>
            </w:r>
          </w:p>
          <w:p>
            <w:pPr>
              <w:jc w:val="center"/>
              <w:rPr>
                <w:b/>
                <w:bCs/>
                <w:i/>
                <w:iCs/>
              </w:rPr>
            </w:pPr>
            <w:r>
              <w:rPr>
                <w:b/>
                <w:bCs/>
                <w:i/>
                <w:iCs/>
              </w:rPr>
              <w:t>time of event</w:t>
            </w:r>
          </w:p>
        </w:tc>
        <w:tc>
          <w:tcPr>
            <w:tcW w:w="1701" w:type="dxa"/>
            <w:tcMar>
              <w:top w:w="100" w:type="dxa"/>
              <w:left w:w="100" w:type="dxa"/>
              <w:bottom w:w="100" w:type="dxa"/>
              <w:right w:w="100" w:type="dxa"/>
            </w:tcMar>
          </w:tcPr>
          <w:p>
            <w:r>
              <w:t>NA</w:t>
            </w:r>
          </w:p>
        </w:tc>
        <w:tc>
          <w:tcPr>
            <w:tcW w:w="1842" w:type="dxa"/>
            <w:tcMar>
              <w:top w:w="100" w:type="dxa"/>
              <w:left w:w="100" w:type="dxa"/>
              <w:bottom w:w="100" w:type="dxa"/>
              <w:right w:w="100" w:type="dxa"/>
            </w:tcMar>
          </w:tcPr>
          <w:p>
            <w:r>
              <w:t>NA</w:t>
            </w:r>
          </w:p>
        </w:tc>
        <w:tc>
          <w:tcPr>
            <w:tcW w:w="1843" w:type="dxa"/>
            <w:tcMar>
              <w:top w:w="100" w:type="dxa"/>
              <w:left w:w="100" w:type="dxa"/>
              <w:bottom w:w="100" w:type="dxa"/>
              <w:right w:w="100" w:type="dxa"/>
            </w:tcMar>
          </w:tcPr>
          <w:p>
            <w:r>
              <w:t>NA</w:t>
            </w:r>
          </w:p>
        </w:tc>
        <w:tc>
          <w:tcPr>
            <w:tcW w:w="2126" w:type="dxa"/>
            <w:tcMar>
              <w:top w:w="100" w:type="dxa"/>
              <w:left w:w="100" w:type="dxa"/>
              <w:bottom w:w="100" w:type="dxa"/>
              <w:right w:w="100" w:type="dxa"/>
            </w:tcMar>
          </w:tcPr>
          <w:p>
            <w:r>
              <w:t>NA</w:t>
            </w:r>
          </w:p>
        </w:tc>
        <w:tc>
          <w:tcPr>
            <w:tcW w:w="2268" w:type="dxa"/>
            <w:tcMar>
              <w:top w:w="100" w:type="dxa"/>
              <w:left w:w="100" w:type="dxa"/>
              <w:bottom w:w="100" w:type="dxa"/>
              <w:right w:w="100" w:type="dxa"/>
            </w:tcMar>
          </w:tcPr>
          <w:p>
            <w:r>
              <w:t>NA</w:t>
            </w:r>
          </w:p>
        </w:tc>
        <w:tc>
          <w:tcPr>
            <w:tcW w:w="2289" w:type="dxa"/>
            <w:tcMar>
              <w:top w:w="100" w:type="dxa"/>
              <w:left w:w="100" w:type="dxa"/>
              <w:bottom w:w="100" w:type="dxa"/>
              <w:right w:w="100" w:type="dxa"/>
            </w:tcMar>
          </w:tcPr>
          <w:p>
            <w:r>
              <w:t>NA</w:t>
            </w:r>
          </w:p>
        </w:tc>
      </w:tr>
      <w:tr>
        <w:tc>
          <w:tcPr>
            <w:tcW w:w="1550" w:type="dxa"/>
            <w:tcMar>
              <w:top w:w="100" w:type="dxa"/>
              <w:left w:w="100" w:type="dxa"/>
              <w:bottom w:w="100" w:type="dxa"/>
              <w:right w:w="100" w:type="dxa"/>
            </w:tcMar>
          </w:tcPr>
          <w:p>
            <w:pPr>
              <w:jc w:val="center"/>
              <w:rPr>
                <w:b/>
                <w:bCs/>
                <w:i/>
                <w:iCs/>
              </w:rPr>
            </w:pPr>
            <w:r>
              <w:rPr>
                <w:b/>
                <w:bCs/>
                <w:i/>
                <w:iCs/>
              </w:rPr>
              <w:t xml:space="preserve">Exposure </w:t>
            </w:r>
          </w:p>
        </w:tc>
        <w:tc>
          <w:tcPr>
            <w:tcW w:w="1701" w:type="dxa"/>
            <w:tcMar>
              <w:top w:w="100" w:type="dxa"/>
              <w:left w:w="100" w:type="dxa"/>
              <w:bottom w:w="100" w:type="dxa"/>
              <w:right w:w="100" w:type="dxa"/>
            </w:tcMar>
          </w:tcPr>
          <w:p>
            <w:r>
              <w:t>NA</w:t>
            </w:r>
          </w:p>
        </w:tc>
        <w:tc>
          <w:tcPr>
            <w:tcW w:w="1842" w:type="dxa"/>
            <w:tcMar>
              <w:top w:w="100" w:type="dxa"/>
              <w:left w:w="100" w:type="dxa"/>
              <w:bottom w:w="100" w:type="dxa"/>
              <w:right w:w="100" w:type="dxa"/>
            </w:tcMar>
          </w:tcPr>
          <w:p>
            <w:r>
              <w:t>NA</w:t>
            </w:r>
          </w:p>
        </w:tc>
        <w:tc>
          <w:tcPr>
            <w:tcW w:w="1843" w:type="dxa"/>
            <w:tcMar>
              <w:top w:w="100" w:type="dxa"/>
              <w:left w:w="100" w:type="dxa"/>
              <w:bottom w:w="100" w:type="dxa"/>
              <w:right w:w="100" w:type="dxa"/>
            </w:tcMar>
          </w:tcPr>
          <w:p>
            <w:r>
              <w:t>NA</w:t>
            </w:r>
          </w:p>
        </w:tc>
        <w:tc>
          <w:tcPr>
            <w:tcW w:w="2126" w:type="dxa"/>
            <w:tcMar>
              <w:top w:w="100" w:type="dxa"/>
              <w:left w:w="100" w:type="dxa"/>
              <w:bottom w:w="100" w:type="dxa"/>
              <w:right w:w="100" w:type="dxa"/>
            </w:tcMar>
          </w:tcPr>
          <w:p>
            <w:r>
              <w:t>NA</w:t>
            </w:r>
          </w:p>
        </w:tc>
        <w:tc>
          <w:tcPr>
            <w:tcW w:w="2268" w:type="dxa"/>
            <w:tcMar>
              <w:top w:w="100" w:type="dxa"/>
              <w:left w:w="100" w:type="dxa"/>
              <w:bottom w:w="100" w:type="dxa"/>
              <w:right w:w="100" w:type="dxa"/>
            </w:tcMar>
          </w:tcPr>
          <w:p>
            <w:r>
              <w:t>NA</w:t>
            </w:r>
          </w:p>
        </w:tc>
        <w:tc>
          <w:tcPr>
            <w:tcW w:w="2289" w:type="dxa"/>
            <w:tcMar>
              <w:top w:w="100" w:type="dxa"/>
              <w:left w:w="100" w:type="dxa"/>
              <w:bottom w:w="100" w:type="dxa"/>
              <w:right w:w="100" w:type="dxa"/>
            </w:tcMar>
          </w:tcPr>
          <w:p>
            <w:r>
              <w:t>NA</w:t>
            </w:r>
          </w:p>
        </w:tc>
      </w:tr>
      <w:tr>
        <w:tc>
          <w:tcPr>
            <w:tcW w:w="1550" w:type="dxa"/>
            <w:tcMar>
              <w:top w:w="100" w:type="dxa"/>
              <w:left w:w="100" w:type="dxa"/>
              <w:bottom w:w="100" w:type="dxa"/>
              <w:right w:w="100" w:type="dxa"/>
            </w:tcMar>
          </w:tcPr>
          <w:p>
            <w:pPr>
              <w:jc w:val="center"/>
              <w:rPr>
                <w:b/>
                <w:bCs/>
                <w:i/>
                <w:iCs/>
              </w:rPr>
            </w:pPr>
            <w:r>
              <w:rPr>
                <w:b/>
                <w:bCs/>
                <w:i/>
                <w:iCs/>
              </w:rPr>
              <w:t xml:space="preserve">Outcomes </w:t>
            </w:r>
          </w:p>
        </w:tc>
        <w:tc>
          <w:tcPr>
            <w:tcW w:w="1701" w:type="dxa"/>
            <w:tcMar>
              <w:top w:w="100" w:type="dxa"/>
              <w:left w:w="100" w:type="dxa"/>
              <w:bottom w:w="100" w:type="dxa"/>
              <w:right w:w="100" w:type="dxa"/>
            </w:tcMar>
          </w:tcPr>
          <w:p>
            <w:r>
              <w:t>Personalised medicine is significant than other fields for overcoming the limitations of current stroke management as well as rehabilitation.</w:t>
            </w:r>
          </w:p>
        </w:tc>
        <w:tc>
          <w:tcPr>
            <w:tcW w:w="1842" w:type="dxa"/>
            <w:tcMar>
              <w:top w:w="100" w:type="dxa"/>
              <w:left w:w="100" w:type="dxa"/>
              <w:bottom w:w="100" w:type="dxa"/>
              <w:right w:w="100" w:type="dxa"/>
            </w:tcMar>
          </w:tcPr>
          <w:p>
            <w:r>
              <w:t xml:space="preserve">The bridges are helpful for practitioners to make a transformation that brings them closer to their health professional ideals. </w:t>
            </w:r>
          </w:p>
        </w:tc>
        <w:tc>
          <w:tcPr>
            <w:tcW w:w="1843" w:type="dxa"/>
            <w:tcMar>
              <w:top w:w="100" w:type="dxa"/>
              <w:left w:w="100" w:type="dxa"/>
              <w:bottom w:w="100" w:type="dxa"/>
              <w:right w:w="100" w:type="dxa"/>
            </w:tcMar>
          </w:tcPr>
          <w:p>
            <w:r>
              <w:t xml:space="preserve">The speech-language pathologists play a significant role as consultants. </w:t>
            </w:r>
          </w:p>
        </w:tc>
        <w:tc>
          <w:tcPr>
            <w:tcW w:w="2126" w:type="dxa"/>
            <w:tcMar>
              <w:top w:w="100" w:type="dxa"/>
              <w:left w:w="100" w:type="dxa"/>
              <w:bottom w:w="100" w:type="dxa"/>
              <w:right w:w="100" w:type="dxa"/>
            </w:tcMar>
          </w:tcPr>
          <w:p>
            <w:r>
              <w:t xml:space="preserve">EBCD is beneficial for content development in the applications to support a person-centred approach, as well as empowering stroke rehabilitation. </w:t>
            </w:r>
          </w:p>
        </w:tc>
        <w:tc>
          <w:tcPr>
            <w:tcW w:w="2268" w:type="dxa"/>
            <w:tcMar>
              <w:top w:w="100" w:type="dxa"/>
              <w:left w:w="100" w:type="dxa"/>
              <w:bottom w:w="100" w:type="dxa"/>
              <w:right w:w="100" w:type="dxa"/>
            </w:tcMar>
          </w:tcPr>
          <w:p>
            <w:r>
              <w:t>The proposed intervention is predominantly a patient-facing resource to support stroke survivors and their respective carers with mouth</w:t>
            </w:r>
          </w:p>
          <w:p>
            <w:r>
              <w:t xml:space="preserve">care, while they transitioned from hospital care to living at home. </w:t>
            </w:r>
          </w:p>
        </w:tc>
        <w:tc>
          <w:tcPr>
            <w:tcW w:w="2289" w:type="dxa"/>
            <w:tcMar>
              <w:top w:w="100" w:type="dxa"/>
              <w:left w:w="100" w:type="dxa"/>
              <w:bottom w:w="100" w:type="dxa"/>
              <w:right w:w="100" w:type="dxa"/>
            </w:tcMar>
          </w:tcPr>
          <w:p>
            <w:r>
              <w:t xml:space="preserve">The cloud-based platform is designed to have the function of real-time recording with maximum time efficiency during patients’ abnormal conditions, and early warnings or alarms. </w:t>
            </w:r>
          </w:p>
        </w:tc>
      </w:tr>
      <w:tr>
        <w:tc>
          <w:tcPr>
            <w:tcW w:w="1550" w:type="dxa"/>
            <w:tcMar>
              <w:top w:w="100" w:type="dxa"/>
              <w:left w:w="100" w:type="dxa"/>
              <w:bottom w:w="100" w:type="dxa"/>
              <w:right w:w="100" w:type="dxa"/>
            </w:tcMar>
          </w:tcPr>
          <w:p>
            <w:pPr>
              <w:jc w:val="center"/>
              <w:rPr>
                <w:b/>
                <w:bCs/>
                <w:i/>
                <w:iCs/>
              </w:rPr>
            </w:pPr>
            <w:r>
              <w:rPr>
                <w:b/>
                <w:bCs/>
                <w:i/>
                <w:iCs/>
              </w:rPr>
              <w:t>Adverse effects</w:t>
            </w:r>
          </w:p>
        </w:tc>
        <w:tc>
          <w:tcPr>
            <w:tcW w:w="1701" w:type="dxa"/>
            <w:tcMar>
              <w:top w:w="100" w:type="dxa"/>
              <w:left w:w="100" w:type="dxa"/>
              <w:bottom w:w="100" w:type="dxa"/>
              <w:right w:w="100" w:type="dxa"/>
            </w:tcMar>
          </w:tcPr>
          <w:p>
            <w:r>
              <w:t>NA</w:t>
            </w:r>
          </w:p>
        </w:tc>
        <w:tc>
          <w:tcPr>
            <w:tcW w:w="1842" w:type="dxa"/>
            <w:tcMar>
              <w:top w:w="100" w:type="dxa"/>
              <w:left w:w="100" w:type="dxa"/>
              <w:bottom w:w="100" w:type="dxa"/>
              <w:right w:w="100" w:type="dxa"/>
            </w:tcMar>
          </w:tcPr>
          <w:p>
            <w:r>
              <w:t>NA</w:t>
            </w:r>
          </w:p>
        </w:tc>
        <w:tc>
          <w:tcPr>
            <w:tcW w:w="1843" w:type="dxa"/>
            <w:tcMar>
              <w:top w:w="100" w:type="dxa"/>
              <w:left w:w="100" w:type="dxa"/>
              <w:bottom w:w="100" w:type="dxa"/>
              <w:right w:w="100" w:type="dxa"/>
            </w:tcMar>
          </w:tcPr>
          <w:p>
            <w:r>
              <w:t>NA</w:t>
            </w:r>
          </w:p>
        </w:tc>
        <w:tc>
          <w:tcPr>
            <w:tcW w:w="2126" w:type="dxa"/>
            <w:tcMar>
              <w:top w:w="100" w:type="dxa"/>
              <w:left w:w="100" w:type="dxa"/>
              <w:bottom w:w="100" w:type="dxa"/>
              <w:right w:w="100" w:type="dxa"/>
            </w:tcMar>
          </w:tcPr>
          <w:p>
            <w:r>
              <w:t>NA</w:t>
            </w:r>
          </w:p>
        </w:tc>
        <w:tc>
          <w:tcPr>
            <w:tcW w:w="2268" w:type="dxa"/>
            <w:tcMar>
              <w:top w:w="100" w:type="dxa"/>
              <w:left w:w="100" w:type="dxa"/>
              <w:bottom w:w="100" w:type="dxa"/>
              <w:right w:w="100" w:type="dxa"/>
            </w:tcMar>
          </w:tcPr>
          <w:p>
            <w:r>
              <w:t>NA</w:t>
            </w:r>
          </w:p>
        </w:tc>
        <w:tc>
          <w:tcPr>
            <w:tcW w:w="2289" w:type="dxa"/>
            <w:tcMar>
              <w:top w:w="100" w:type="dxa"/>
              <w:left w:w="100" w:type="dxa"/>
              <w:bottom w:w="100" w:type="dxa"/>
              <w:right w:w="100" w:type="dxa"/>
            </w:tcMar>
          </w:tcPr>
          <w:p>
            <w:r>
              <w:t>NA</w:t>
            </w:r>
          </w:p>
        </w:tc>
      </w:tr>
    </w:tbl>
    <w:p>
      <w:pPr>
        <w:jc w:val="center"/>
      </w:pPr>
      <w:r>
        <w:t>(Source: Created by Learner)</w:t>
      </w:r>
    </w:p>
    <w:sectPr>
      <w:pgSz w:w="16834" w:h="11909" w:orient="landscape"/>
      <w:pgMar w:top="1440" w:right="1440" w:bottom="1440" w:left="1440" w:header="720" w:footer="720" w:gutter="0"/>
      <w:docGrid w:linePitch="299" w:charSpace="0"/>
    </w:sectPr>
  </w:body>
</w:document>
</file>

<file path=word/fontTable.xml><?xml version="1.0" encoding="utf-8"?>
<w:fonts xmlns:w="http://schemas.openxmlformats.org/wordprocessingml/2006/main" xmlns:r="http://schemas.openxmlformats.org/officeDocument/2006/relationships">
  <w:font w:name="宋体">
    <w:panose1 w:val="00000000000000000000"/>
    <w:charset w:val="00"/>
    <w:family w:val="auto"/>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2"/>
      <w:tabs>
        <w:tab w:val="center" w:pos="4680"/>
        <w:tab w:val="right" w:pos="9360"/>
      </w:tabs>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20</w:t>
    </w:r>
    <w:r>
      <w:rPr>
        <w:sz w:val="20"/>
        <w:szCs w:val="20"/>
      </w:rPr>
      <w:fldChar w:fldCharType="end"/>
    </w:r>
  </w:p>
  <w:p>
    <w:pPr>
      <w:pStyle w:val="22"/>
      <w:tabs>
        <w:tab w:val="center" w:pos="4680"/>
        <w:tab w:val="right" w:pos="9360"/>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6E980101"/>
    <w:multiLevelType w:val="multilevel"/>
    <w:tmpl w:val="65A83BA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nsid w:val="75EB7EF8"/>
    <w:multiLevelType w:val="multilevel"/>
    <w:tmpl w:val="9E9A29E4"/>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nsid w:val="34747291"/>
    <w:multiLevelType w:val="multilevel"/>
    <w:tmpl w:val="ECC6E51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 w:numId="2">
    <w:abstractNumId w:val="1"/>
  </w:num>
  <w:num w:numId="3">
    <w:abstractNumId w:val="2"/>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Arial" w:eastAsia="Arial" w:cs="Arial" w:hAnsi="Arial"/>
      <w:sz w:val="22"/>
      <w:szCs w:val="22"/>
      <w:lang w:val="en-GB" w:eastAsia="en-IN" w:bidi="ar-SA"/>
    </w:rPr>
  </w:style>
  <w:style w:type="paragraph" w:styleId="1">
    <w:name w:val="heading 1"/>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00"/>
      <w:outlineLvl w:val="0"/>
    </w:pPr>
    <w:rPr>
      <w:b/>
      <w:bCs/>
      <w:color w:val="000000"/>
    </w:rPr>
  </w:style>
  <w:style w:type="paragraph" w:styleId="2">
    <w:name w:val="heading 2"/>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360" w:after="80"/>
      <w:outlineLvl w:val="1"/>
    </w:pPr>
    <w:rPr>
      <w:b/>
      <w:bCs/>
      <w:color w:val="000000"/>
    </w:rPr>
  </w:style>
  <w:style w:type="paragraph" w:styleId="3">
    <w:name w:val="heading 3"/>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00"/>
      <w:outlineLvl w:val="2"/>
    </w:pPr>
    <w:rPr>
      <w:b/>
      <w:bCs/>
      <w:color w:val="000000"/>
    </w:rPr>
  </w:style>
  <w:style w:type="paragraph" w:styleId="4">
    <w:name w:val="heading 4"/>
    <w:basedOn w:val="0"/>
    <w:next w:val="0"/>
    <w:pPr>
      <w:pBdr>
        <w:top w:val="none" w:sz="0" w:space="0" w:color="auto"/>
        <w:left w:val="none" w:sz="0" w:space="0" w:color="auto"/>
        <w:bottom w:val="none" w:sz="0" w:space="0" w:color="auto"/>
        <w:right w:val="none" w:sz="0" w:space="0" w:color="auto"/>
        <w:between w:val="none" w:sz="0" w:space="0" w:color="auto"/>
      </w:pBdr>
      <w:spacing w:before="240"/>
      <w:jc w:val="center"/>
      <w:outlineLvl w:val="3"/>
    </w:pPr>
    <w:rPr>
      <w:b/>
      <w:bCs/>
      <w:color w:val="000000"/>
    </w:rPr>
  </w:style>
  <w:style w:type="paragraph" w:styleId="5">
    <w:name w:val="heading 5"/>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40" w:after="80"/>
      <w:jc w:val="center"/>
      <w:outlineLvl w:val="4"/>
    </w:pPr>
    <w:rPr>
      <w:b/>
      <w:bCs/>
      <w:color w:val="000000"/>
    </w:rPr>
  </w:style>
  <w:style w:type="paragraph" w:styleId="6">
    <w:name w:val="heading 6"/>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40" w:after="80"/>
      <w:outlineLvl w:val="5"/>
    </w:pPr>
    <w:rPr>
      <w:i/>
      <w:iCs/>
      <w:color w:val="666666"/>
    </w:rPr>
  </w:style>
  <w:style w:type="character" w:default="1" w:styleId="10">
    <w:name w:val="Default Paragraph Font"/>
  </w:style>
  <w:style w:type="paragraph" w:styleId="15">
    <w:name w:val="Title"/>
    <w:basedOn w:val="0"/>
    <w:next w:val="0"/>
    <w:pPr>
      <w:keepNext/>
      <w:keepLines/>
      <w:pBdr>
        <w:top w:val="none" w:sz="0" w:space="0" w:color="auto"/>
        <w:left w:val="none" w:sz="0" w:space="0" w:color="auto"/>
        <w:bottom w:val="none" w:sz="0" w:space="0" w:color="auto"/>
        <w:right w:val="none" w:sz="0" w:space="0" w:color="auto"/>
        <w:between w:val="none" w:sz="0" w:space="0" w:color="auto"/>
      </w:pBdr>
      <w:spacing w:after="60"/>
    </w:pPr>
    <w:rPr>
      <w:color w:val="000000"/>
      <w:sz w:val="52"/>
      <w:szCs w:val="52"/>
    </w:rPr>
  </w:style>
  <w:style w:type="paragraph" w:customStyle="1" w:styleId="16">
    <w:name w:val="Normal1"/>
    <w:pPr>
      <w:spacing w:line="360" w:lineRule="auto"/>
      <w:jc w:val="both"/>
    </w:pPr>
    <w:rPr>
      <w:rFonts w:ascii="Arial" w:eastAsia="Arial" w:cs="Arial" w:hAnsi="Arial"/>
      <w:sz w:val="22"/>
      <w:szCs w:val="22"/>
      <w:lang w:val="en-GB" w:eastAsia="en-IN" w:bidi="ar-SA"/>
    </w:rPr>
  </w:style>
  <w:style w:type="paragraph" w:customStyle="1" w:styleId="17">
    <w:name w:val="Normal1"/>
    <w:pPr>
      <w:spacing w:line="360" w:lineRule="auto"/>
      <w:jc w:val="both"/>
    </w:pPr>
    <w:rPr>
      <w:rFonts w:ascii="Arial" w:eastAsia="Arial" w:cs="Arial" w:hAnsi="Arial"/>
      <w:sz w:val="22"/>
      <w:szCs w:val="22"/>
      <w:lang w:val="en-GB" w:eastAsia="en-IN" w:bidi="ar-SA"/>
    </w:rPr>
  </w:style>
  <w:style w:type="paragraph" w:styleId="18">
    <w:name w:val="annotation text"/>
    <w:basedOn w:val="16"/>
    <w:pPr>
      <w:spacing w:line="240" w:lineRule="auto"/>
    </w:pPr>
    <w:rPr>
      <w:sz w:val="20"/>
      <w:szCs w:val="20"/>
    </w:rPr>
  </w:style>
  <w:style w:type="character" w:styleId="19">
    <w:name w:val="annotation reference"/>
    <w:basedOn w:val="10"/>
    <w:rPr>
      <w:sz w:val="16"/>
      <w:szCs w:val="16"/>
    </w:rPr>
  </w:style>
  <w:style w:type="paragraph" w:styleId="20">
    <w:name w:val="Balloon Text"/>
    <w:basedOn w:val="16"/>
    <w:pPr>
      <w:spacing w:line="240" w:lineRule="auto"/>
    </w:pPr>
    <w:rPr>
      <w:rFonts w:ascii="Tahoma" w:cs="Tahoma" w:hAnsi="Tahoma"/>
      <w:sz w:val="16"/>
      <w:szCs w:val="16"/>
    </w:rPr>
  </w:style>
  <w:style w:type="paragraph" w:styleId="21">
    <w:name w:val="header"/>
    <w:basedOn w:val="16"/>
    <w:pPr>
      <w:tabs>
        <w:tab w:val="center" w:pos="4680"/>
        <w:tab w:val="right" w:pos="9360"/>
      </w:tabs>
      <w:spacing w:line="240" w:lineRule="auto"/>
    </w:pPr>
  </w:style>
  <w:style w:type="paragraph" w:styleId="22">
    <w:name w:val="footer"/>
    <w:basedOn w:val="16"/>
    <w:pPr>
      <w:tabs>
        <w:tab w:val="center" w:pos="4680"/>
        <w:tab w:val="right" w:pos="9360"/>
      </w:tabs>
      <w:spacing w:line="240" w:lineRule="auto"/>
    </w:pPr>
  </w:style>
  <w:style w:type="paragraph" w:customStyle="1" w:styleId="23">
    <w:name w:val="TOC Heading"/>
    <w:basedOn w:val="1"/>
    <w:next w:val="16"/>
    <w:pPr>
      <w:spacing w:before="480" w:line="276" w:lineRule="auto"/>
      <w:jc w:val="left"/>
      <w:outlineLvl w:val="9"/>
    </w:pPr>
    <w:rPr>
      <w:rFonts w:ascii="Calibri" w:eastAsia="宋体" w:cs="Times New Roman" w:hAnsi="Calibri"/>
      <w:color w:val="365F91"/>
      <w:sz w:val="28"/>
      <w:szCs w:val="28"/>
    </w:rPr>
  </w:style>
  <w:style w:type="paragraph" w:styleId="24">
    <w:name w:val="toc 1"/>
    <w:basedOn w:val="16"/>
    <w:autoRedefine/>
    <w:next w:val="16"/>
    <w:pPr>
      <w:spacing w:after="100"/>
    </w:pPr>
  </w:style>
  <w:style w:type="paragraph" w:styleId="25">
    <w:name w:val="toc 2"/>
    <w:basedOn w:val="16"/>
    <w:autoRedefine/>
    <w:next w:val="16"/>
    <w:pPr>
      <w:spacing w:after="100"/>
      <w:ind w:left="220"/>
    </w:pPr>
  </w:style>
  <w:style w:type="paragraph" w:styleId="26">
    <w:name w:val="toc 3"/>
    <w:basedOn w:val="16"/>
    <w:autoRedefine/>
    <w:next w:val="16"/>
    <w:pPr>
      <w:spacing w:after="100"/>
      <w:ind w:left="440"/>
    </w:pPr>
  </w:style>
  <w:style w:type="character" w:styleId="27">
    <w:name w:val="Hyperlink"/>
    <w:basedOn w:val="10"/>
    <w:rPr>
      <w:color w:val="0000FF"/>
      <w:u w:val="single"/>
    </w:rPr>
  </w:style>
  <w:style w:type="paragraph" w:styleId="28">
    <w:name w:val="Normal (Web)"/>
    <w:basedOn w:val="16"/>
    <w:pPr>
      <w:spacing w:before="100" w:beforeAutospacing="1" w:after="100" w:afterAutospacing="1" w:line="240" w:lineRule="auto"/>
      <w:jc w:val="left"/>
    </w:pPr>
    <w:rPr>
      <w:rFonts w:ascii="Times New Roman" w:eastAsia="Times New Roman" w:cs="Times New Roman" w:hAnsi="Times New Roman"/>
      <w:sz w:val="24"/>
      <w:szCs w:val="24"/>
    </w:rPr>
  </w:style>
  <w:style w:type="character" w:styleId="29">
    <w:name w:val="FollowedHyperlink"/>
    <w:basedOn w:val="10"/>
    <w:rPr>
      <w:color w:val="800080"/>
      <w:u w:val="single"/>
    </w:rPr>
  </w:style>
  <w:style w:type="paragraph" w:customStyle="1" w:styleId="30">
    <w:name w:val="Normal2"/>
    <w:pPr>
      <w:spacing w:line="360" w:lineRule="auto"/>
      <w:jc w:val="both"/>
    </w:pPr>
    <w:rPr>
      <w:rFonts w:ascii="Times New Roman" w:eastAsia="Times New Roman" w:cs="Times New Roman" w:hAnsi="Times New Roman"/>
      <w:sz w:val="24"/>
      <w:szCs w:val="24"/>
      <w:lang w:val="en-GB" w:eastAsia="en-IN" w:bidi="ar-SA"/>
    </w:rPr>
  </w:style>
  <w:style w:type="paragraph" w:styleId="31">
    <w:name w:val="annotation subject"/>
    <w:basedOn w:val="18"/>
    <w:next w:val="18"/>
    <w:rPr>
      <w:b/>
      <w:bCs/>
    </w:rPr>
  </w:style>
  <w:style w:type="character" w:customStyle="1" w:styleId="32">
    <w:name w:val="Unresolved Mention1"/>
    <w:basedOn w:val="10"/>
    <w:rPr>
      <w:color w:val="605E5C"/>
      <w:shd w:val="clear" w:color="auto" w:fill="E1DFDD"/>
    </w:rPr>
  </w:style>
  <w:style w:type="paragraph" w:customStyle="1" w:styleId="33">
    <w:name w:val="Normal3"/>
    <w:pPr>
      <w:spacing w:line="360" w:lineRule="auto"/>
      <w:jc w:val="both"/>
    </w:pPr>
    <w:rPr>
      <w:rFonts w:ascii="Times New Roman" w:eastAsia="Times New Roman" w:cs="Times New Roman" w:hAnsi="Times New Roman"/>
      <w:sz w:val="24"/>
      <w:szCs w:val="24"/>
      <w:lang w:val="en-GB" w:eastAsia="en-IN" w:bidi="ar-SA"/>
    </w:rPr>
  </w:style>
  <w:style w:type="paragraph" w:styleId="34">
    <w:name w:val="table of figures"/>
    <w:basedOn w:val="0"/>
    <w:next w:val="0"/>
  </w:style>
  <w:style w:type="paragraph" w:styleId="35">
    <w:name w:val="Subtitle"/>
    <w:basedOn w:val="0"/>
    <w:next w:val="0"/>
    <w:pPr>
      <w:keepNext/>
      <w:keepLines/>
      <w:pBdr>
        <w:top w:val="none" w:sz="0" w:space="0" w:color="auto"/>
        <w:left w:val="none" w:sz="0" w:space="0" w:color="auto"/>
        <w:bottom w:val="none" w:sz="0" w:space="0" w:color="auto"/>
        <w:right w:val="none" w:sz="0" w:space="0" w:color="auto"/>
        <w:between w:val="none" w:sz="0" w:space="0" w:color="auto"/>
      </w:pBdr>
      <w:spacing w:after="320"/>
    </w:pPr>
    <w:rPr>
      <w:color w:val="666666"/>
      <w:sz w:val="30"/>
      <w:szCs w:val="30"/>
    </w:rPr>
  </w:style>
  <w:style w:type="paragraph" w:customStyle="1" w:styleId="36">
    <w:name w:val="List Paragraph"/>
    <w:basedOn w:val="0"/>
    <w:pPr>
      <w:ind w:left="720"/>
      <w:contextualSpacing/>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png"/><Relationship Id="rId10" Type="http://schemas.openxmlformats.org/officeDocument/2006/relationships/image" Target="media/23.png"/><Relationship Id="rId11" Type="http://schemas.openxmlformats.org/officeDocument/2006/relationships/image" Target="media/26.png"/><Relationship Id="rId12" Type="http://schemas.openxmlformats.org/officeDocument/2006/relationships/image" Target="media/29.png"/><Relationship Id="rId13" Type="http://schemas.openxmlformats.org/officeDocument/2006/relationships/styles" Target="styles.xml"/><Relationship Id="rId14" Type="http://schemas.openxmlformats.org/officeDocument/2006/relationships/numbering" Target="numbering.xml"/><Relationship Id="rId15" Type="http://schemas.openxmlformats.org/officeDocument/2006/relationships/fontTable" Target="fontTable.xml"/></Relationships>
</file>

<file path=docProps/app.xml><?xml version="1.0" encoding="utf-8"?>
<Properties xmlns="http://schemas.openxmlformats.org/officeDocument/2006/extended-properties">
  <Template>Normal.eit</Template>
  <TotalTime>31</TotalTime>
  <Application>Yozo_Office</Application>
  <Pages>2</Pages>
  <Words>279</Words>
  <Characters>1969</Characters>
  <Lines>27</Lines>
  <Paragraphs>5</Paragraphs>
  <CharactersWithSpaces>2240</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0</cp:revision>
  <dcterms:created xsi:type="dcterms:W3CDTF">2025-11-21T16:09:00Z</dcterms:created>
  <dcterms:modified xsi:type="dcterms:W3CDTF">2026-02-02T14:20:29Z</dcterms:modified>
</cp:coreProperties>
</file>