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AF9D6" w14:textId="72FE98DC" w:rsidR="00332AE2" w:rsidRPr="000A61B8" w:rsidRDefault="000A61B8" w:rsidP="000A61B8">
      <w:pPr>
        <w:spacing w:after="240"/>
      </w:pPr>
      <w:r w:rsidRPr="000A61B8">
        <w:rPr>
          <w:noProof/>
        </w:rPr>
        <w:drawing>
          <wp:anchor distT="0" distB="0" distL="114300" distR="114300" simplePos="0" relativeHeight="251659264" behindDoc="0" locked="0" layoutInCell="1" allowOverlap="1" wp14:anchorId="2C3B25C9" wp14:editId="3E2707D8">
            <wp:simplePos x="0" y="0"/>
            <wp:positionH relativeFrom="column">
              <wp:posOffset>-180975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6198611" w14:textId="77777777" w:rsidR="000A61B8" w:rsidRPr="000A61B8" w:rsidRDefault="000A61B8" w:rsidP="000A61B8">
      <w:pPr>
        <w:spacing w:after="240"/>
      </w:pPr>
    </w:p>
    <w:p w14:paraId="6928BF33" w14:textId="77777777" w:rsidR="000A61B8" w:rsidRPr="000A61B8" w:rsidRDefault="000A61B8" w:rsidP="000A61B8">
      <w:pPr>
        <w:spacing w:after="240"/>
      </w:pPr>
    </w:p>
    <w:tbl>
      <w:tblPr>
        <w:tblW w:w="93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2"/>
        <w:gridCol w:w="3118"/>
        <w:gridCol w:w="2148"/>
        <w:gridCol w:w="2149"/>
      </w:tblGrid>
      <w:tr w:rsidR="000A61B8" w:rsidRPr="000A61B8" w14:paraId="67268202" w14:textId="77777777" w:rsidTr="000A61B8">
        <w:trPr>
          <w:trHeight w:val="600"/>
        </w:trPr>
        <w:tc>
          <w:tcPr>
            <w:tcW w:w="1982" w:type="dxa"/>
            <w:vAlign w:val="center"/>
          </w:tcPr>
          <w:p w14:paraId="6345D526" w14:textId="77777777" w:rsidR="000A61B8" w:rsidRPr="000A61B8" w:rsidRDefault="000A61B8" w:rsidP="000A61B8">
            <w:pPr>
              <w:spacing w:before="120" w:after="120"/>
              <w:rPr>
                <w:b/>
                <w:sz w:val="22"/>
                <w:szCs w:val="22"/>
              </w:rPr>
            </w:pPr>
            <w:r w:rsidRPr="000A61B8">
              <w:rPr>
                <w:b/>
                <w:sz w:val="22"/>
                <w:szCs w:val="22"/>
              </w:rPr>
              <w:t>Student name:</w:t>
            </w:r>
          </w:p>
        </w:tc>
        <w:tc>
          <w:tcPr>
            <w:tcW w:w="3118" w:type="dxa"/>
            <w:vAlign w:val="center"/>
          </w:tcPr>
          <w:p w14:paraId="090EEC59" w14:textId="51D92EF3" w:rsidR="000A61B8" w:rsidRPr="000A61B8" w:rsidRDefault="000A61B8" w:rsidP="000A61B8">
            <w:pPr>
              <w:spacing w:before="120" w:after="120"/>
              <w:rPr>
                <w:b/>
                <w:sz w:val="22"/>
                <w:szCs w:val="22"/>
              </w:rPr>
            </w:pPr>
            <w:proofErr w:type="spellStart"/>
            <w:r>
              <w:rPr>
                <w:b/>
                <w:sz w:val="22"/>
                <w:szCs w:val="22"/>
              </w:rPr>
              <w:t>S</w:t>
            </w:r>
            <w:r w:rsidRPr="000A61B8">
              <w:rPr>
                <w:b/>
                <w:sz w:val="22"/>
                <w:szCs w:val="22"/>
              </w:rPr>
              <w:t>hivans</w:t>
            </w:r>
            <w:proofErr w:type="spellEnd"/>
            <w:r w:rsidRPr="000A61B8">
              <w:rPr>
                <w:b/>
                <w:sz w:val="22"/>
                <w:szCs w:val="22"/>
              </w:rPr>
              <w:t xml:space="preserve"> </w:t>
            </w:r>
            <w:proofErr w:type="spellStart"/>
            <w:r>
              <w:rPr>
                <w:b/>
                <w:sz w:val="22"/>
                <w:szCs w:val="22"/>
              </w:rPr>
              <w:t>B</w:t>
            </w:r>
            <w:r w:rsidRPr="000A61B8">
              <w:rPr>
                <w:b/>
                <w:sz w:val="22"/>
                <w:szCs w:val="22"/>
              </w:rPr>
              <w:t>himbha</w:t>
            </w:r>
            <w:proofErr w:type="spellEnd"/>
          </w:p>
        </w:tc>
        <w:tc>
          <w:tcPr>
            <w:tcW w:w="2148" w:type="dxa"/>
            <w:shd w:val="clear" w:color="auto" w:fill="D9D9D9" w:themeFill="background1" w:themeFillShade="D9"/>
            <w:vAlign w:val="center"/>
          </w:tcPr>
          <w:p w14:paraId="1C8DC822" w14:textId="77777777" w:rsidR="000A61B8" w:rsidRPr="000A61B8" w:rsidRDefault="000A61B8" w:rsidP="000A61B8">
            <w:pPr>
              <w:spacing w:before="120" w:after="120"/>
              <w:rPr>
                <w:b/>
                <w:sz w:val="22"/>
                <w:szCs w:val="22"/>
              </w:rPr>
            </w:pPr>
            <w:r w:rsidRPr="000A61B8">
              <w:rPr>
                <w:b/>
                <w:sz w:val="22"/>
                <w:szCs w:val="22"/>
              </w:rPr>
              <w:t>Student ID number:</w:t>
            </w:r>
          </w:p>
        </w:tc>
        <w:tc>
          <w:tcPr>
            <w:tcW w:w="2148" w:type="dxa"/>
            <w:vAlign w:val="center"/>
          </w:tcPr>
          <w:p w14:paraId="064383DE" w14:textId="1772D79A" w:rsidR="000A61B8" w:rsidRPr="000A61B8" w:rsidRDefault="000A61B8" w:rsidP="000A61B8">
            <w:pPr>
              <w:spacing w:before="120" w:after="120"/>
              <w:rPr>
                <w:b/>
                <w:sz w:val="22"/>
                <w:szCs w:val="22"/>
              </w:rPr>
            </w:pPr>
            <w:r w:rsidRPr="000A61B8">
              <w:rPr>
                <w:b/>
                <w:sz w:val="22"/>
                <w:szCs w:val="22"/>
              </w:rPr>
              <w:t>2514071</w:t>
            </w:r>
          </w:p>
        </w:tc>
      </w:tr>
      <w:tr w:rsidR="000A61B8" w:rsidRPr="000A61B8" w14:paraId="2FF433BE" w14:textId="77777777" w:rsidTr="000A61B8">
        <w:trPr>
          <w:trHeight w:val="600"/>
        </w:trPr>
        <w:tc>
          <w:tcPr>
            <w:tcW w:w="1982" w:type="dxa"/>
            <w:vAlign w:val="center"/>
          </w:tcPr>
          <w:p w14:paraId="4B5686EE" w14:textId="77777777" w:rsidR="000A61B8" w:rsidRPr="000A61B8" w:rsidRDefault="000A61B8" w:rsidP="000A61B8">
            <w:pPr>
              <w:spacing w:before="120" w:after="120"/>
              <w:rPr>
                <w:b/>
                <w:sz w:val="22"/>
                <w:szCs w:val="22"/>
              </w:rPr>
            </w:pPr>
            <w:proofErr w:type="spellStart"/>
            <w:r w:rsidRPr="000A61B8">
              <w:rPr>
                <w:b/>
                <w:sz w:val="22"/>
                <w:szCs w:val="22"/>
              </w:rPr>
              <w:t>Programme</w:t>
            </w:r>
            <w:proofErr w:type="spellEnd"/>
            <w:r w:rsidRPr="000A61B8">
              <w:rPr>
                <w:b/>
                <w:sz w:val="22"/>
                <w:szCs w:val="22"/>
              </w:rPr>
              <w:t>:</w:t>
            </w:r>
          </w:p>
        </w:tc>
        <w:tc>
          <w:tcPr>
            <w:tcW w:w="7415" w:type="dxa"/>
            <w:gridSpan w:val="3"/>
            <w:vAlign w:val="center"/>
          </w:tcPr>
          <w:p w14:paraId="51832A22" w14:textId="77777777" w:rsidR="000A61B8" w:rsidRPr="000A61B8" w:rsidRDefault="000A61B8" w:rsidP="000A61B8">
            <w:pPr>
              <w:spacing w:before="120" w:after="120"/>
              <w:rPr>
                <w:b/>
                <w:sz w:val="22"/>
                <w:szCs w:val="22"/>
              </w:rPr>
            </w:pPr>
            <w:r w:rsidRPr="000A61B8">
              <w:rPr>
                <w:b/>
                <w:sz w:val="22"/>
                <w:szCs w:val="22"/>
              </w:rPr>
              <w:t>Master of Business Administration</w:t>
            </w:r>
          </w:p>
        </w:tc>
      </w:tr>
      <w:tr w:rsidR="000A61B8" w:rsidRPr="000A61B8" w14:paraId="4B51A757" w14:textId="77777777" w:rsidTr="000A61B8">
        <w:trPr>
          <w:trHeight w:val="600"/>
        </w:trPr>
        <w:tc>
          <w:tcPr>
            <w:tcW w:w="1982" w:type="dxa"/>
            <w:vAlign w:val="center"/>
          </w:tcPr>
          <w:p w14:paraId="4671CE40" w14:textId="77777777" w:rsidR="000A61B8" w:rsidRPr="000A61B8" w:rsidRDefault="000A61B8" w:rsidP="000A61B8">
            <w:pPr>
              <w:spacing w:before="120" w:after="120"/>
              <w:rPr>
                <w:b/>
                <w:sz w:val="22"/>
                <w:szCs w:val="22"/>
              </w:rPr>
            </w:pPr>
            <w:r w:rsidRPr="000A61B8">
              <w:rPr>
                <w:b/>
                <w:sz w:val="22"/>
                <w:szCs w:val="22"/>
              </w:rPr>
              <w:t>Module:</w:t>
            </w:r>
          </w:p>
        </w:tc>
        <w:tc>
          <w:tcPr>
            <w:tcW w:w="7415" w:type="dxa"/>
            <w:gridSpan w:val="3"/>
            <w:vAlign w:val="center"/>
          </w:tcPr>
          <w:p w14:paraId="17023901" w14:textId="77777777" w:rsidR="000A61B8" w:rsidRPr="000A61B8" w:rsidRDefault="000A61B8" w:rsidP="000A61B8">
            <w:pPr>
              <w:spacing w:before="120" w:after="120"/>
              <w:rPr>
                <w:b/>
                <w:sz w:val="22"/>
                <w:szCs w:val="22"/>
              </w:rPr>
            </w:pPr>
            <w:r w:rsidRPr="000A61B8">
              <w:rPr>
                <w:b/>
                <w:sz w:val="22"/>
                <w:szCs w:val="22"/>
              </w:rPr>
              <w:t>Marketing Management</w:t>
            </w:r>
          </w:p>
        </w:tc>
      </w:tr>
      <w:tr w:rsidR="000A61B8" w:rsidRPr="000A61B8" w14:paraId="24848C75" w14:textId="77777777" w:rsidTr="000A61B8">
        <w:trPr>
          <w:trHeight w:val="1377"/>
        </w:trPr>
        <w:tc>
          <w:tcPr>
            <w:tcW w:w="1982" w:type="dxa"/>
            <w:vAlign w:val="center"/>
          </w:tcPr>
          <w:p w14:paraId="168D957E" w14:textId="77777777" w:rsidR="000A61B8" w:rsidRPr="000A61B8" w:rsidRDefault="000A61B8" w:rsidP="000A61B8">
            <w:pPr>
              <w:spacing w:before="120" w:after="120"/>
              <w:rPr>
                <w:b/>
                <w:sz w:val="22"/>
                <w:szCs w:val="22"/>
              </w:rPr>
            </w:pPr>
            <w:r w:rsidRPr="000A61B8">
              <w:rPr>
                <w:b/>
                <w:sz w:val="22"/>
                <w:szCs w:val="22"/>
              </w:rPr>
              <w:t>Module code:</w:t>
            </w:r>
          </w:p>
        </w:tc>
        <w:tc>
          <w:tcPr>
            <w:tcW w:w="3118" w:type="dxa"/>
            <w:vAlign w:val="center"/>
          </w:tcPr>
          <w:p w14:paraId="50ACB0EE" w14:textId="77777777" w:rsidR="000A61B8" w:rsidRPr="000A61B8" w:rsidRDefault="000A61B8" w:rsidP="000A61B8">
            <w:pPr>
              <w:spacing w:before="120" w:after="120"/>
              <w:rPr>
                <w:b/>
                <w:sz w:val="22"/>
                <w:szCs w:val="22"/>
              </w:rPr>
            </w:pPr>
            <w:r w:rsidRPr="000A61B8">
              <w:rPr>
                <w:b/>
                <w:sz w:val="22"/>
                <w:szCs w:val="22"/>
              </w:rPr>
              <w:t>LCMB7024</w:t>
            </w:r>
          </w:p>
        </w:tc>
        <w:tc>
          <w:tcPr>
            <w:tcW w:w="2148" w:type="dxa"/>
            <w:shd w:val="clear" w:color="auto" w:fill="D9D9D9" w:themeFill="background1" w:themeFillShade="D9"/>
            <w:vAlign w:val="center"/>
          </w:tcPr>
          <w:p w14:paraId="0C0C701C" w14:textId="77777777" w:rsidR="000A61B8" w:rsidRPr="000A61B8" w:rsidRDefault="000A61B8" w:rsidP="000A61B8">
            <w:pPr>
              <w:rPr>
                <w:b/>
                <w:bCs/>
              </w:rPr>
            </w:pPr>
            <w:r w:rsidRPr="000A61B8">
              <w:rPr>
                <w:b/>
                <w:bCs/>
              </w:rPr>
              <w:t>Contribution to Overall Module Assessment (%):</w:t>
            </w:r>
          </w:p>
        </w:tc>
        <w:tc>
          <w:tcPr>
            <w:tcW w:w="2148" w:type="dxa"/>
            <w:vAlign w:val="center"/>
          </w:tcPr>
          <w:p w14:paraId="543586E3" w14:textId="77777777" w:rsidR="000A61B8" w:rsidRPr="000A61B8" w:rsidRDefault="000A61B8" w:rsidP="000A61B8">
            <w:pPr>
              <w:spacing w:before="120" w:after="120"/>
              <w:rPr>
                <w:b/>
                <w:sz w:val="22"/>
                <w:szCs w:val="22"/>
              </w:rPr>
            </w:pPr>
            <w:r w:rsidRPr="000A61B8">
              <w:rPr>
                <w:b/>
                <w:sz w:val="22"/>
                <w:szCs w:val="22"/>
              </w:rPr>
              <w:t>50%</w:t>
            </w:r>
          </w:p>
        </w:tc>
      </w:tr>
      <w:tr w:rsidR="000A61B8" w:rsidRPr="000A61B8" w14:paraId="701A25F2" w14:textId="77777777" w:rsidTr="000A61B8">
        <w:trPr>
          <w:trHeight w:val="1465"/>
        </w:trPr>
        <w:tc>
          <w:tcPr>
            <w:tcW w:w="1982" w:type="dxa"/>
            <w:vAlign w:val="center"/>
          </w:tcPr>
          <w:p w14:paraId="0C0D1DC1" w14:textId="77777777" w:rsidR="000A61B8" w:rsidRPr="000A61B8" w:rsidRDefault="000A61B8" w:rsidP="000A61B8">
            <w:pPr>
              <w:spacing w:before="120" w:after="120"/>
              <w:rPr>
                <w:b/>
                <w:sz w:val="22"/>
                <w:szCs w:val="22"/>
              </w:rPr>
            </w:pPr>
            <w:r w:rsidRPr="000A61B8">
              <w:rPr>
                <w:b/>
                <w:sz w:val="22"/>
                <w:szCs w:val="22"/>
              </w:rPr>
              <w:t>Lecturer:</w:t>
            </w:r>
          </w:p>
        </w:tc>
        <w:tc>
          <w:tcPr>
            <w:tcW w:w="3118" w:type="dxa"/>
            <w:vAlign w:val="center"/>
          </w:tcPr>
          <w:p w14:paraId="6E3B1FE5" w14:textId="77777777" w:rsidR="000A61B8" w:rsidRPr="000A61B8" w:rsidRDefault="000A61B8" w:rsidP="000A61B8">
            <w:pPr>
              <w:spacing w:before="120" w:after="120"/>
              <w:rPr>
                <w:b/>
                <w:sz w:val="22"/>
                <w:szCs w:val="22"/>
              </w:rPr>
            </w:pPr>
            <w:r w:rsidRPr="000A61B8">
              <w:rPr>
                <w:b/>
                <w:sz w:val="22"/>
                <w:szCs w:val="22"/>
              </w:rPr>
              <w:t>Laila Maazouz (London)</w:t>
            </w:r>
          </w:p>
          <w:p w14:paraId="6D438987" w14:textId="77777777" w:rsidR="000A61B8" w:rsidRPr="000A61B8" w:rsidRDefault="000A61B8" w:rsidP="000A61B8">
            <w:pPr>
              <w:spacing w:before="120" w:after="120"/>
              <w:rPr>
                <w:b/>
                <w:bCs/>
                <w:sz w:val="22"/>
                <w:szCs w:val="22"/>
              </w:rPr>
            </w:pPr>
            <w:r w:rsidRPr="000A61B8">
              <w:rPr>
                <w:b/>
                <w:bCs/>
                <w:sz w:val="22"/>
                <w:szCs w:val="22"/>
              </w:rPr>
              <w:t>Taonga Kaonga Sobere-</w:t>
            </w:r>
            <w:proofErr w:type="spellStart"/>
            <w:r w:rsidRPr="000A61B8">
              <w:rPr>
                <w:b/>
                <w:bCs/>
                <w:sz w:val="22"/>
                <w:szCs w:val="22"/>
              </w:rPr>
              <w:t>Snithers</w:t>
            </w:r>
            <w:proofErr w:type="spellEnd"/>
            <w:r w:rsidRPr="000A61B8">
              <w:rPr>
                <w:b/>
                <w:bCs/>
                <w:sz w:val="22"/>
                <w:szCs w:val="22"/>
              </w:rPr>
              <w:t xml:space="preserve"> (Birmingham)</w:t>
            </w:r>
          </w:p>
        </w:tc>
        <w:tc>
          <w:tcPr>
            <w:tcW w:w="2148" w:type="dxa"/>
            <w:shd w:val="clear" w:color="auto" w:fill="D9D9D9" w:themeFill="background1" w:themeFillShade="D9"/>
            <w:vAlign w:val="center"/>
          </w:tcPr>
          <w:p w14:paraId="52FFEB44" w14:textId="77777777" w:rsidR="000A61B8" w:rsidRPr="000A61B8" w:rsidRDefault="000A61B8" w:rsidP="000A61B8">
            <w:pPr>
              <w:spacing w:before="120" w:after="120"/>
              <w:rPr>
                <w:b/>
                <w:sz w:val="22"/>
                <w:szCs w:val="22"/>
              </w:rPr>
            </w:pPr>
            <w:r w:rsidRPr="000A61B8">
              <w:rPr>
                <w:b/>
                <w:sz w:val="22"/>
                <w:szCs w:val="22"/>
              </w:rPr>
              <w:t>Internal Verifier:</w:t>
            </w:r>
          </w:p>
        </w:tc>
        <w:tc>
          <w:tcPr>
            <w:tcW w:w="2148" w:type="dxa"/>
            <w:vAlign w:val="center"/>
          </w:tcPr>
          <w:p w14:paraId="3EF166D8" w14:textId="77777777" w:rsidR="000A61B8" w:rsidRPr="000A61B8" w:rsidRDefault="000A61B8" w:rsidP="000A61B8">
            <w:pPr>
              <w:spacing w:before="120" w:after="120"/>
              <w:rPr>
                <w:b/>
                <w:sz w:val="22"/>
                <w:szCs w:val="22"/>
              </w:rPr>
            </w:pPr>
            <w:r w:rsidRPr="000A61B8">
              <w:rPr>
                <w:b/>
                <w:sz w:val="22"/>
                <w:szCs w:val="22"/>
              </w:rPr>
              <w:t>Vasilios Tavlaridis</w:t>
            </w:r>
          </w:p>
          <w:p w14:paraId="4E034FD3" w14:textId="77777777" w:rsidR="000A61B8" w:rsidRPr="000A61B8" w:rsidRDefault="000A61B8" w:rsidP="000A61B8">
            <w:pPr>
              <w:spacing w:before="120" w:after="120"/>
              <w:rPr>
                <w:b/>
                <w:sz w:val="22"/>
                <w:szCs w:val="22"/>
              </w:rPr>
            </w:pPr>
            <w:r w:rsidRPr="000A61B8">
              <w:rPr>
                <w:b/>
                <w:sz w:val="22"/>
                <w:szCs w:val="22"/>
              </w:rPr>
              <w:t>Hoang Nguyen</w:t>
            </w:r>
          </w:p>
        </w:tc>
      </w:tr>
      <w:tr w:rsidR="000A61B8" w:rsidRPr="000A61B8" w14:paraId="7D9B6993" w14:textId="77777777" w:rsidTr="000A61B8">
        <w:trPr>
          <w:trHeight w:val="967"/>
        </w:trPr>
        <w:tc>
          <w:tcPr>
            <w:tcW w:w="1982" w:type="dxa"/>
            <w:vAlign w:val="center"/>
          </w:tcPr>
          <w:p w14:paraId="362E9C04" w14:textId="77777777" w:rsidR="000A61B8" w:rsidRPr="000A61B8" w:rsidRDefault="000A61B8" w:rsidP="000A61B8">
            <w:pPr>
              <w:spacing w:before="120" w:after="120"/>
              <w:rPr>
                <w:b/>
                <w:sz w:val="22"/>
                <w:szCs w:val="22"/>
              </w:rPr>
            </w:pPr>
            <w:r w:rsidRPr="000A61B8">
              <w:rPr>
                <w:b/>
                <w:sz w:val="22"/>
                <w:szCs w:val="22"/>
              </w:rPr>
              <w:t>Assignment Title:</w:t>
            </w:r>
          </w:p>
        </w:tc>
        <w:tc>
          <w:tcPr>
            <w:tcW w:w="3118" w:type="dxa"/>
            <w:vAlign w:val="center"/>
          </w:tcPr>
          <w:p w14:paraId="35241CE5" w14:textId="77777777" w:rsidR="000A61B8" w:rsidRPr="000A61B8" w:rsidRDefault="000A61B8" w:rsidP="000A61B8">
            <w:pPr>
              <w:spacing w:before="120" w:after="120"/>
              <w:rPr>
                <w:b/>
                <w:sz w:val="22"/>
                <w:szCs w:val="22"/>
              </w:rPr>
            </w:pPr>
            <w:r w:rsidRPr="000A61B8">
              <w:rPr>
                <w:b/>
                <w:sz w:val="22"/>
                <w:szCs w:val="22"/>
              </w:rPr>
              <w:t>Marketing Environment Analysis</w:t>
            </w:r>
          </w:p>
        </w:tc>
        <w:tc>
          <w:tcPr>
            <w:tcW w:w="2148" w:type="dxa"/>
            <w:vAlign w:val="center"/>
          </w:tcPr>
          <w:p w14:paraId="4575560E" w14:textId="77777777" w:rsidR="000A61B8" w:rsidRPr="000A61B8" w:rsidRDefault="000A61B8" w:rsidP="000A61B8">
            <w:pPr>
              <w:spacing w:before="120" w:after="120"/>
              <w:rPr>
                <w:b/>
                <w:sz w:val="22"/>
                <w:szCs w:val="22"/>
              </w:rPr>
            </w:pPr>
            <w:r w:rsidRPr="000A61B8">
              <w:rPr>
                <w:b/>
                <w:sz w:val="22"/>
                <w:szCs w:val="22"/>
              </w:rPr>
              <w:t>Word count (or equivalent):</w:t>
            </w:r>
          </w:p>
        </w:tc>
        <w:tc>
          <w:tcPr>
            <w:tcW w:w="2148" w:type="dxa"/>
            <w:vAlign w:val="center"/>
          </w:tcPr>
          <w:p w14:paraId="41734142" w14:textId="77777777" w:rsidR="000A61B8" w:rsidRPr="000A61B8" w:rsidRDefault="000A61B8" w:rsidP="000A61B8">
            <w:pPr>
              <w:spacing w:before="120" w:after="120"/>
              <w:rPr>
                <w:b/>
                <w:sz w:val="22"/>
                <w:szCs w:val="22"/>
              </w:rPr>
            </w:pPr>
            <w:r w:rsidRPr="000A61B8">
              <w:rPr>
                <w:b/>
                <w:sz w:val="22"/>
                <w:szCs w:val="22"/>
              </w:rPr>
              <w:t>2,500 Words (± 10%)</w:t>
            </w:r>
          </w:p>
        </w:tc>
      </w:tr>
      <w:tr w:rsidR="000A61B8" w:rsidRPr="000A61B8" w14:paraId="41EC5144" w14:textId="77777777" w:rsidTr="000A61B8">
        <w:trPr>
          <w:trHeight w:val="579"/>
        </w:trPr>
        <w:tc>
          <w:tcPr>
            <w:tcW w:w="9397" w:type="dxa"/>
            <w:gridSpan w:val="4"/>
            <w:vAlign w:val="center"/>
          </w:tcPr>
          <w:p w14:paraId="105FAFEA" w14:textId="5D32E52D" w:rsidR="000A61B8" w:rsidRPr="000A61B8" w:rsidRDefault="000A61B8" w:rsidP="000A61B8">
            <w:pPr>
              <w:spacing w:before="120" w:after="120"/>
              <w:rPr>
                <w:b/>
                <w:sz w:val="22"/>
                <w:szCs w:val="22"/>
              </w:rPr>
            </w:pPr>
            <w:r w:rsidRPr="000A61B8">
              <w:rPr>
                <w:b/>
                <w:sz w:val="22"/>
                <w:szCs w:val="22"/>
              </w:rPr>
              <w:t>Submission deadline:</w:t>
            </w:r>
            <w:r w:rsidRPr="000A61B8">
              <w:rPr>
                <w:b/>
                <w:sz w:val="22"/>
                <w:szCs w:val="22"/>
              </w:rPr>
              <w:t xml:space="preserve"> </w:t>
            </w:r>
            <w:r w:rsidRPr="000A61B8">
              <w:rPr>
                <w:b/>
                <w:bCs/>
                <w:sz w:val="22"/>
                <w:szCs w:val="22"/>
              </w:rPr>
              <w:t>Friday 26</w:t>
            </w:r>
            <w:r w:rsidRPr="000A61B8">
              <w:rPr>
                <w:b/>
                <w:bCs/>
                <w:sz w:val="22"/>
                <w:szCs w:val="22"/>
                <w:vertAlign w:val="superscript"/>
              </w:rPr>
              <w:t>th</w:t>
            </w:r>
            <w:r w:rsidRPr="000A61B8">
              <w:rPr>
                <w:b/>
                <w:bCs/>
                <w:sz w:val="22"/>
                <w:szCs w:val="22"/>
              </w:rPr>
              <w:t xml:space="preserve"> June 2026 by 2pm</w:t>
            </w:r>
          </w:p>
        </w:tc>
      </w:tr>
    </w:tbl>
    <w:p w14:paraId="72CAA5C1" w14:textId="77777777" w:rsidR="000A61B8" w:rsidRPr="000A61B8" w:rsidRDefault="000A61B8" w:rsidP="000A61B8">
      <w:pPr>
        <w:spacing w:after="240"/>
      </w:pPr>
    </w:p>
    <w:p w14:paraId="4013555F" w14:textId="77777777" w:rsidR="000A61B8" w:rsidRPr="000A61B8" w:rsidRDefault="000A61B8" w:rsidP="000A61B8">
      <w:pPr>
        <w:rPr>
          <w:b/>
          <w:sz w:val="56"/>
          <w:szCs w:val="56"/>
        </w:rPr>
      </w:pPr>
      <w:r w:rsidRPr="000A61B8">
        <w:br w:type="page"/>
      </w:r>
    </w:p>
    <w:p w14:paraId="4B4F5CC2" w14:textId="3105A18C" w:rsidR="00332AE2" w:rsidRPr="000A61B8" w:rsidRDefault="00000000" w:rsidP="000A61B8">
      <w:pPr>
        <w:pStyle w:val="Title"/>
        <w:jc w:val="center"/>
        <w:rPr>
          <w:rFonts w:ascii="Arial" w:hAnsi="Arial"/>
        </w:rPr>
      </w:pPr>
      <w:r w:rsidRPr="000A61B8">
        <w:rPr>
          <w:rFonts w:ascii="Arial" w:hAnsi="Arial"/>
        </w:rPr>
        <w:lastRenderedPageBreak/>
        <w:t>Re-architecting People for Strategic Renewal</w:t>
      </w:r>
    </w:p>
    <w:p w14:paraId="3EA66C66" w14:textId="77777777" w:rsidR="00332AE2" w:rsidRPr="000A61B8" w:rsidRDefault="00000000" w:rsidP="000A61B8">
      <w:pPr>
        <w:pStyle w:val="Title"/>
        <w:jc w:val="center"/>
        <w:rPr>
          <w:rFonts w:ascii="Arial" w:hAnsi="Arial"/>
        </w:rPr>
      </w:pPr>
      <w:r w:rsidRPr="000A61B8">
        <w:rPr>
          <w:rFonts w:ascii="Arial" w:hAnsi="Arial"/>
          <w:sz w:val="26"/>
          <w:szCs w:val="26"/>
        </w:rPr>
        <w:t>A Human Capital Blueprint for Helios Urban Mobility</w:t>
      </w:r>
    </w:p>
    <w:p w14:paraId="2BB53C0B" w14:textId="4A0AB947" w:rsidR="00332AE2" w:rsidRPr="000A61B8" w:rsidRDefault="00000000" w:rsidP="000A61B8">
      <w:pPr>
        <w:sectPr w:rsidR="00332AE2" w:rsidRPr="000A61B8" w:rsidSect="008B213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r w:rsidRPr="000A61B8">
        <w:br w:type="page"/>
      </w:r>
    </w:p>
    <w:p w14:paraId="29676876" w14:textId="7A592C70" w:rsidR="00C6022D" w:rsidRPr="000A61B8" w:rsidRDefault="00C6022D" w:rsidP="000A61B8">
      <w:bookmarkStart w:id="0" w:name="_Toc232428852"/>
      <w:bookmarkStart w:id="1" w:name="_Toc232428894"/>
    </w:p>
    <w:p w14:paraId="7F1F3EA5" w14:textId="2914238F" w:rsidR="00C6022D" w:rsidRPr="000A61B8" w:rsidRDefault="00C6022D" w:rsidP="000A61B8">
      <w:pPr>
        <w:rPr>
          <w:b/>
          <w:bCs/>
        </w:rPr>
      </w:pPr>
      <w:bookmarkStart w:id="2" w:name="_Toc232428851"/>
      <w:bookmarkStart w:id="3" w:name="_Toc232428893"/>
      <w:r w:rsidRPr="000A61B8">
        <w:rPr>
          <w:b/>
          <w:bCs/>
        </w:rPr>
        <w:t>Executive Summary</w:t>
      </w:r>
      <w:bookmarkEnd w:id="2"/>
      <w:bookmarkEnd w:id="3"/>
    </w:p>
    <w:p w14:paraId="6CB34097" w14:textId="229BA159" w:rsidR="00C6022D" w:rsidRPr="000A61B8" w:rsidRDefault="00C6022D" w:rsidP="000A61B8">
      <w:pPr>
        <w:spacing w:after="160"/>
      </w:pPr>
      <w:r w:rsidRPr="000A61B8">
        <w:t xml:space="preserve">The problem of Helios Urban Mobility, however, is strategic – eight-months newcomer ramp-up, engagement at fifty-four per cent and the loss of its most promising graduates. The blueprint, developed by an outside Strategic Human Capital Advisor the firm's human capital architecture and centers it around three interconnected levers. Task A re-constructs </w:t>
      </w:r>
      <w:proofErr w:type="spellStart"/>
      <w:r w:rsidRPr="000A61B8">
        <w:t>organisational</w:t>
      </w:r>
      <w:proofErr w:type="spellEnd"/>
      <w:r w:rsidRPr="000A61B8">
        <w:t xml:space="preserve"> entry as a kind of identity work that generates committed </w:t>
      </w:r>
      <w:proofErr w:type="spellStart"/>
      <w:r w:rsidRPr="000A61B8">
        <w:t>organisational</w:t>
      </w:r>
      <w:proofErr w:type="spellEnd"/>
      <w:r w:rsidRPr="000A61B8">
        <w:t xml:space="preserve"> citizens. Task B re-imagines work to unleash intrinsic motivation and innovation by offering enhanced roles and job crafting, plus a skills-based talent marketplace. The Task C is a critical reflection on how to enhance, not replace, human judgement with artificial intelligence, as well as the author's own development plan.</w:t>
      </w:r>
    </w:p>
    <w:p w14:paraId="0E391DA2" w14:textId="33C1DC6A" w:rsidR="00C6022D" w:rsidRPr="000A61B8" w:rsidRDefault="00C6022D" w:rsidP="000A61B8">
      <w:pPr>
        <w:tabs>
          <w:tab w:val="left" w:pos="2692"/>
        </w:tabs>
        <w:rPr>
          <w:b/>
          <w:bCs/>
          <w:color w:val="000000" w:themeColor="text1"/>
          <w:sz w:val="32"/>
          <w:szCs w:val="32"/>
        </w:rPr>
      </w:pPr>
    </w:p>
    <w:p w14:paraId="52BBF1BB" w14:textId="18A28C2E" w:rsidR="00C6022D" w:rsidRPr="000A61B8" w:rsidRDefault="00C6022D" w:rsidP="000A61B8">
      <w:pPr>
        <w:tabs>
          <w:tab w:val="left" w:pos="2692"/>
        </w:tabs>
        <w:sectPr w:rsidR="00C6022D" w:rsidRPr="000A61B8" w:rsidSect="008B2130">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r w:rsidRPr="000A61B8">
        <w:tab/>
      </w:r>
    </w:p>
    <w:sdt>
      <w:sdtPr>
        <w:rPr>
          <w:rFonts w:ascii="Arial" w:eastAsia="Arial" w:hAnsi="Arial" w:cs="Arial"/>
          <w:color w:val="auto"/>
          <w:sz w:val="24"/>
          <w:szCs w:val="24"/>
        </w:rPr>
        <w:id w:val="-145517852"/>
        <w:docPartObj>
          <w:docPartGallery w:val="Table of Contents"/>
          <w:docPartUnique/>
        </w:docPartObj>
      </w:sdtPr>
      <w:sdtEndPr>
        <w:rPr>
          <w:b/>
          <w:bCs/>
          <w:noProof/>
        </w:rPr>
      </w:sdtEndPr>
      <w:sdtContent>
        <w:p w14:paraId="22A89454" w14:textId="585623D9" w:rsidR="00C6022D" w:rsidRPr="000A61B8" w:rsidRDefault="00C6022D" w:rsidP="000A61B8">
          <w:pPr>
            <w:pStyle w:val="TOCHeading"/>
            <w:spacing w:line="360" w:lineRule="auto"/>
            <w:jc w:val="left"/>
            <w:rPr>
              <w:rFonts w:ascii="Arial" w:hAnsi="Arial" w:cs="Arial"/>
              <w:b/>
              <w:bCs/>
            </w:rPr>
          </w:pPr>
          <w:r w:rsidRPr="000A61B8">
            <w:rPr>
              <w:rFonts w:ascii="Arial" w:hAnsi="Arial" w:cs="Arial"/>
              <w:b/>
              <w:bCs/>
            </w:rPr>
            <w:t>Table of Contents</w:t>
          </w:r>
        </w:p>
        <w:p w14:paraId="104D2AB7" w14:textId="0F1CD44B" w:rsidR="000A61B8" w:rsidRDefault="00C6022D">
          <w:pPr>
            <w:pStyle w:val="TOC1"/>
            <w:rPr>
              <w:rFonts w:asciiTheme="minorHAnsi" w:eastAsiaTheme="minorEastAsia" w:hAnsiTheme="minorHAnsi" w:cstheme="minorBidi"/>
              <w:kern w:val="2"/>
              <w14:ligatures w14:val="standardContextual"/>
            </w:rPr>
          </w:pPr>
          <w:r w:rsidRPr="000A61B8">
            <w:rPr>
              <w:rFonts w:ascii="Arial" w:hAnsi="Arial" w:cs="Arial"/>
              <w:b/>
              <w:bCs/>
            </w:rPr>
            <w:fldChar w:fldCharType="begin"/>
          </w:r>
          <w:r w:rsidRPr="000A61B8">
            <w:rPr>
              <w:rFonts w:ascii="Arial" w:hAnsi="Arial" w:cs="Arial"/>
              <w:b/>
              <w:bCs/>
            </w:rPr>
            <w:instrText xml:space="preserve"> TOC \o "1-3" \h \z \u </w:instrText>
          </w:r>
          <w:r w:rsidRPr="000A61B8">
            <w:rPr>
              <w:rFonts w:ascii="Arial" w:hAnsi="Arial" w:cs="Arial"/>
              <w:b/>
              <w:bCs/>
            </w:rPr>
            <w:fldChar w:fldCharType="separate"/>
          </w:r>
          <w:hyperlink w:anchor="_Toc232514240" w:history="1">
            <w:r w:rsidR="000A61B8" w:rsidRPr="000C3E60">
              <w:rPr>
                <w:rStyle w:val="Hyperlink"/>
              </w:rPr>
              <w:t>1. Introduction</w:t>
            </w:r>
            <w:r w:rsidR="000A61B8">
              <w:rPr>
                <w:webHidden/>
              </w:rPr>
              <w:tab/>
            </w:r>
            <w:r w:rsidR="000A61B8">
              <w:rPr>
                <w:webHidden/>
              </w:rPr>
              <w:fldChar w:fldCharType="begin"/>
            </w:r>
            <w:r w:rsidR="000A61B8">
              <w:rPr>
                <w:webHidden/>
              </w:rPr>
              <w:instrText xml:space="preserve"> PAGEREF _Toc232514240 \h </w:instrText>
            </w:r>
            <w:r w:rsidR="000A61B8">
              <w:rPr>
                <w:webHidden/>
              </w:rPr>
            </w:r>
            <w:r w:rsidR="000A61B8">
              <w:rPr>
                <w:webHidden/>
              </w:rPr>
              <w:fldChar w:fldCharType="separate"/>
            </w:r>
            <w:r w:rsidR="000A61B8">
              <w:rPr>
                <w:webHidden/>
              </w:rPr>
              <w:t>1</w:t>
            </w:r>
            <w:r w:rsidR="000A61B8">
              <w:rPr>
                <w:webHidden/>
              </w:rPr>
              <w:fldChar w:fldCharType="end"/>
            </w:r>
          </w:hyperlink>
        </w:p>
        <w:p w14:paraId="7B6C63FA" w14:textId="50A185E6" w:rsidR="000A61B8" w:rsidRDefault="000A61B8">
          <w:pPr>
            <w:pStyle w:val="TOC1"/>
            <w:rPr>
              <w:rFonts w:asciiTheme="minorHAnsi" w:eastAsiaTheme="minorEastAsia" w:hAnsiTheme="minorHAnsi" w:cstheme="minorBidi"/>
              <w:kern w:val="2"/>
              <w14:ligatures w14:val="standardContextual"/>
            </w:rPr>
          </w:pPr>
          <w:hyperlink w:anchor="_Toc232514241" w:history="1">
            <w:r w:rsidRPr="000C3E60">
              <w:rPr>
                <w:rStyle w:val="Hyperlink"/>
              </w:rPr>
              <w:t>2. Task A: Socialisation, Identity and Business Activism</w:t>
            </w:r>
            <w:r>
              <w:rPr>
                <w:webHidden/>
              </w:rPr>
              <w:tab/>
            </w:r>
            <w:r>
              <w:rPr>
                <w:webHidden/>
              </w:rPr>
              <w:fldChar w:fldCharType="begin"/>
            </w:r>
            <w:r>
              <w:rPr>
                <w:webHidden/>
              </w:rPr>
              <w:instrText xml:space="preserve"> PAGEREF _Toc232514241 \h </w:instrText>
            </w:r>
            <w:r>
              <w:rPr>
                <w:webHidden/>
              </w:rPr>
            </w:r>
            <w:r>
              <w:rPr>
                <w:webHidden/>
              </w:rPr>
              <w:fldChar w:fldCharType="separate"/>
            </w:r>
            <w:r>
              <w:rPr>
                <w:webHidden/>
              </w:rPr>
              <w:t>1</w:t>
            </w:r>
            <w:r>
              <w:rPr>
                <w:webHidden/>
              </w:rPr>
              <w:fldChar w:fldCharType="end"/>
            </w:r>
          </w:hyperlink>
        </w:p>
        <w:p w14:paraId="08446230" w14:textId="4AF5C71F"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2" w:history="1">
            <w:r w:rsidRPr="000C3E60">
              <w:rPr>
                <w:rStyle w:val="Hyperlink"/>
                <w:noProof/>
              </w:rPr>
              <w:t>2.1 Why transactional onboarding is failing Helios</w:t>
            </w:r>
            <w:r>
              <w:rPr>
                <w:noProof/>
                <w:webHidden/>
              </w:rPr>
              <w:tab/>
            </w:r>
            <w:r>
              <w:rPr>
                <w:noProof/>
                <w:webHidden/>
              </w:rPr>
              <w:fldChar w:fldCharType="begin"/>
            </w:r>
            <w:r>
              <w:rPr>
                <w:noProof/>
                <w:webHidden/>
              </w:rPr>
              <w:instrText xml:space="preserve"> PAGEREF _Toc232514242 \h </w:instrText>
            </w:r>
            <w:r>
              <w:rPr>
                <w:noProof/>
                <w:webHidden/>
              </w:rPr>
            </w:r>
            <w:r>
              <w:rPr>
                <w:noProof/>
                <w:webHidden/>
              </w:rPr>
              <w:fldChar w:fldCharType="separate"/>
            </w:r>
            <w:r>
              <w:rPr>
                <w:noProof/>
                <w:webHidden/>
              </w:rPr>
              <w:t>1</w:t>
            </w:r>
            <w:r>
              <w:rPr>
                <w:noProof/>
                <w:webHidden/>
              </w:rPr>
              <w:fldChar w:fldCharType="end"/>
            </w:r>
          </w:hyperlink>
        </w:p>
        <w:p w14:paraId="4277825C" w14:textId="5101DAED"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3" w:history="1">
            <w:r w:rsidRPr="000C3E60">
              <w:rPr>
                <w:rStyle w:val="Hyperlink"/>
                <w:noProof/>
              </w:rPr>
              <w:t>2.2 A socialisation blueprint as identity work</w:t>
            </w:r>
            <w:r>
              <w:rPr>
                <w:noProof/>
                <w:webHidden/>
              </w:rPr>
              <w:tab/>
            </w:r>
            <w:r>
              <w:rPr>
                <w:noProof/>
                <w:webHidden/>
              </w:rPr>
              <w:fldChar w:fldCharType="begin"/>
            </w:r>
            <w:r>
              <w:rPr>
                <w:noProof/>
                <w:webHidden/>
              </w:rPr>
              <w:instrText xml:space="preserve"> PAGEREF _Toc232514243 \h </w:instrText>
            </w:r>
            <w:r>
              <w:rPr>
                <w:noProof/>
                <w:webHidden/>
              </w:rPr>
            </w:r>
            <w:r>
              <w:rPr>
                <w:noProof/>
                <w:webHidden/>
              </w:rPr>
              <w:fldChar w:fldCharType="separate"/>
            </w:r>
            <w:r>
              <w:rPr>
                <w:noProof/>
                <w:webHidden/>
              </w:rPr>
              <w:t>2</w:t>
            </w:r>
            <w:r>
              <w:rPr>
                <w:noProof/>
                <w:webHidden/>
              </w:rPr>
              <w:fldChar w:fldCharType="end"/>
            </w:r>
          </w:hyperlink>
        </w:p>
        <w:p w14:paraId="7DD0E2BA" w14:textId="4ACB1B45"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4" w:history="1">
            <w:r w:rsidRPr="000C3E60">
              <w:rPr>
                <w:rStyle w:val="Hyperlink"/>
                <w:noProof/>
              </w:rPr>
              <w:t>2.3 Identification, ethical professionalism and the activist HR mindset</w:t>
            </w:r>
            <w:r>
              <w:rPr>
                <w:noProof/>
                <w:webHidden/>
              </w:rPr>
              <w:tab/>
            </w:r>
            <w:r>
              <w:rPr>
                <w:noProof/>
                <w:webHidden/>
              </w:rPr>
              <w:fldChar w:fldCharType="begin"/>
            </w:r>
            <w:r>
              <w:rPr>
                <w:noProof/>
                <w:webHidden/>
              </w:rPr>
              <w:instrText xml:space="preserve"> PAGEREF _Toc232514244 \h </w:instrText>
            </w:r>
            <w:r>
              <w:rPr>
                <w:noProof/>
                <w:webHidden/>
              </w:rPr>
            </w:r>
            <w:r>
              <w:rPr>
                <w:noProof/>
                <w:webHidden/>
              </w:rPr>
              <w:fldChar w:fldCharType="separate"/>
            </w:r>
            <w:r>
              <w:rPr>
                <w:noProof/>
                <w:webHidden/>
              </w:rPr>
              <w:t>3</w:t>
            </w:r>
            <w:r>
              <w:rPr>
                <w:noProof/>
                <w:webHidden/>
              </w:rPr>
              <w:fldChar w:fldCharType="end"/>
            </w:r>
          </w:hyperlink>
        </w:p>
        <w:p w14:paraId="5196FB92" w14:textId="34AA7E63" w:rsidR="000A61B8" w:rsidRDefault="000A61B8">
          <w:pPr>
            <w:pStyle w:val="TOC1"/>
            <w:rPr>
              <w:rFonts w:asciiTheme="minorHAnsi" w:eastAsiaTheme="minorEastAsia" w:hAnsiTheme="minorHAnsi" w:cstheme="minorBidi"/>
              <w:kern w:val="2"/>
              <w14:ligatures w14:val="standardContextual"/>
            </w:rPr>
          </w:pPr>
          <w:hyperlink w:anchor="_Toc232514245" w:history="1">
            <w:r w:rsidRPr="000C3E60">
              <w:rPr>
                <w:rStyle w:val="Hyperlink"/>
              </w:rPr>
              <w:t>3. Task B: Job Design for Motivation and Innovation</w:t>
            </w:r>
            <w:r>
              <w:rPr>
                <w:webHidden/>
              </w:rPr>
              <w:tab/>
            </w:r>
            <w:r>
              <w:rPr>
                <w:webHidden/>
              </w:rPr>
              <w:fldChar w:fldCharType="begin"/>
            </w:r>
            <w:r>
              <w:rPr>
                <w:webHidden/>
              </w:rPr>
              <w:instrText xml:space="preserve"> PAGEREF _Toc232514245 \h </w:instrText>
            </w:r>
            <w:r>
              <w:rPr>
                <w:webHidden/>
              </w:rPr>
            </w:r>
            <w:r>
              <w:rPr>
                <w:webHidden/>
              </w:rPr>
              <w:fldChar w:fldCharType="separate"/>
            </w:r>
            <w:r>
              <w:rPr>
                <w:webHidden/>
              </w:rPr>
              <w:t>4</w:t>
            </w:r>
            <w:r>
              <w:rPr>
                <w:webHidden/>
              </w:rPr>
              <w:fldChar w:fldCharType="end"/>
            </w:r>
          </w:hyperlink>
        </w:p>
        <w:p w14:paraId="283DEF93" w14:textId="4837529D"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6" w:history="1">
            <w:r w:rsidRPr="000C3E60">
              <w:rPr>
                <w:rStyle w:val="Hyperlink"/>
                <w:noProof/>
              </w:rPr>
              <w:t>3.1 A motivational core: self-determination and job characteristics</w:t>
            </w:r>
            <w:r>
              <w:rPr>
                <w:noProof/>
                <w:webHidden/>
              </w:rPr>
              <w:tab/>
            </w:r>
            <w:r>
              <w:rPr>
                <w:noProof/>
                <w:webHidden/>
              </w:rPr>
              <w:fldChar w:fldCharType="begin"/>
            </w:r>
            <w:r>
              <w:rPr>
                <w:noProof/>
                <w:webHidden/>
              </w:rPr>
              <w:instrText xml:space="preserve"> PAGEREF _Toc232514246 \h </w:instrText>
            </w:r>
            <w:r>
              <w:rPr>
                <w:noProof/>
                <w:webHidden/>
              </w:rPr>
            </w:r>
            <w:r>
              <w:rPr>
                <w:noProof/>
                <w:webHidden/>
              </w:rPr>
              <w:fldChar w:fldCharType="separate"/>
            </w:r>
            <w:r>
              <w:rPr>
                <w:noProof/>
                <w:webHidden/>
              </w:rPr>
              <w:t>4</w:t>
            </w:r>
            <w:r>
              <w:rPr>
                <w:noProof/>
                <w:webHidden/>
              </w:rPr>
              <w:fldChar w:fldCharType="end"/>
            </w:r>
          </w:hyperlink>
        </w:p>
        <w:p w14:paraId="6B1CA494" w14:textId="196D44B8"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7" w:history="1">
            <w:r w:rsidRPr="000C3E60">
              <w:rPr>
                <w:rStyle w:val="Hyperlink"/>
                <w:noProof/>
              </w:rPr>
              <w:t>3.2 Job crafting and the limits of top-down design</w:t>
            </w:r>
            <w:r>
              <w:rPr>
                <w:noProof/>
                <w:webHidden/>
              </w:rPr>
              <w:tab/>
            </w:r>
            <w:r>
              <w:rPr>
                <w:noProof/>
                <w:webHidden/>
              </w:rPr>
              <w:fldChar w:fldCharType="begin"/>
            </w:r>
            <w:r>
              <w:rPr>
                <w:noProof/>
                <w:webHidden/>
              </w:rPr>
              <w:instrText xml:space="preserve"> PAGEREF _Toc232514247 \h </w:instrText>
            </w:r>
            <w:r>
              <w:rPr>
                <w:noProof/>
                <w:webHidden/>
              </w:rPr>
            </w:r>
            <w:r>
              <w:rPr>
                <w:noProof/>
                <w:webHidden/>
              </w:rPr>
              <w:fldChar w:fldCharType="separate"/>
            </w:r>
            <w:r>
              <w:rPr>
                <w:noProof/>
                <w:webHidden/>
              </w:rPr>
              <w:t>4</w:t>
            </w:r>
            <w:r>
              <w:rPr>
                <w:noProof/>
                <w:webHidden/>
              </w:rPr>
              <w:fldChar w:fldCharType="end"/>
            </w:r>
          </w:hyperlink>
        </w:p>
        <w:p w14:paraId="44E2BB39" w14:textId="51E064AA"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8" w:history="1">
            <w:r w:rsidRPr="000C3E60">
              <w:rPr>
                <w:rStyle w:val="Hyperlink"/>
                <w:noProof/>
              </w:rPr>
              <w:t>3.3 Skills-based architecture and an internal talent marketplace</w:t>
            </w:r>
            <w:r>
              <w:rPr>
                <w:noProof/>
                <w:webHidden/>
              </w:rPr>
              <w:tab/>
            </w:r>
            <w:r>
              <w:rPr>
                <w:noProof/>
                <w:webHidden/>
              </w:rPr>
              <w:fldChar w:fldCharType="begin"/>
            </w:r>
            <w:r>
              <w:rPr>
                <w:noProof/>
                <w:webHidden/>
              </w:rPr>
              <w:instrText xml:space="preserve"> PAGEREF _Toc232514248 \h </w:instrText>
            </w:r>
            <w:r>
              <w:rPr>
                <w:noProof/>
                <w:webHidden/>
              </w:rPr>
            </w:r>
            <w:r>
              <w:rPr>
                <w:noProof/>
                <w:webHidden/>
              </w:rPr>
              <w:fldChar w:fldCharType="separate"/>
            </w:r>
            <w:r>
              <w:rPr>
                <w:noProof/>
                <w:webHidden/>
              </w:rPr>
              <w:t>5</w:t>
            </w:r>
            <w:r>
              <w:rPr>
                <w:noProof/>
                <w:webHidden/>
              </w:rPr>
              <w:fldChar w:fldCharType="end"/>
            </w:r>
          </w:hyperlink>
        </w:p>
        <w:p w14:paraId="4935647B" w14:textId="3B527CFE"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49" w:history="1">
            <w:r w:rsidRPr="000C3E60">
              <w:rPr>
                <w:rStyle w:val="Hyperlink"/>
                <w:noProof/>
              </w:rPr>
              <w:t>3.4 From motivation to innovation</w:t>
            </w:r>
            <w:r>
              <w:rPr>
                <w:noProof/>
                <w:webHidden/>
              </w:rPr>
              <w:tab/>
            </w:r>
            <w:r>
              <w:rPr>
                <w:noProof/>
                <w:webHidden/>
              </w:rPr>
              <w:fldChar w:fldCharType="begin"/>
            </w:r>
            <w:r>
              <w:rPr>
                <w:noProof/>
                <w:webHidden/>
              </w:rPr>
              <w:instrText xml:space="preserve"> PAGEREF _Toc232514249 \h </w:instrText>
            </w:r>
            <w:r>
              <w:rPr>
                <w:noProof/>
                <w:webHidden/>
              </w:rPr>
            </w:r>
            <w:r>
              <w:rPr>
                <w:noProof/>
                <w:webHidden/>
              </w:rPr>
              <w:fldChar w:fldCharType="separate"/>
            </w:r>
            <w:r>
              <w:rPr>
                <w:noProof/>
                <w:webHidden/>
              </w:rPr>
              <w:t>6</w:t>
            </w:r>
            <w:r>
              <w:rPr>
                <w:noProof/>
                <w:webHidden/>
              </w:rPr>
              <w:fldChar w:fldCharType="end"/>
            </w:r>
          </w:hyperlink>
        </w:p>
        <w:p w14:paraId="205C964E" w14:textId="051AB090"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50" w:history="1">
            <w:r w:rsidRPr="000C3E60">
              <w:rPr>
                <w:rStyle w:val="Hyperlink"/>
                <w:noProof/>
              </w:rPr>
              <w:t>3.5 Measuring the architecture</w:t>
            </w:r>
            <w:r>
              <w:rPr>
                <w:noProof/>
                <w:webHidden/>
              </w:rPr>
              <w:tab/>
            </w:r>
            <w:r>
              <w:rPr>
                <w:noProof/>
                <w:webHidden/>
              </w:rPr>
              <w:fldChar w:fldCharType="begin"/>
            </w:r>
            <w:r>
              <w:rPr>
                <w:noProof/>
                <w:webHidden/>
              </w:rPr>
              <w:instrText xml:space="preserve"> PAGEREF _Toc232514250 \h </w:instrText>
            </w:r>
            <w:r>
              <w:rPr>
                <w:noProof/>
                <w:webHidden/>
              </w:rPr>
            </w:r>
            <w:r>
              <w:rPr>
                <w:noProof/>
                <w:webHidden/>
              </w:rPr>
              <w:fldChar w:fldCharType="separate"/>
            </w:r>
            <w:r>
              <w:rPr>
                <w:noProof/>
                <w:webHidden/>
              </w:rPr>
              <w:t>6</w:t>
            </w:r>
            <w:r>
              <w:rPr>
                <w:noProof/>
                <w:webHidden/>
              </w:rPr>
              <w:fldChar w:fldCharType="end"/>
            </w:r>
          </w:hyperlink>
        </w:p>
        <w:p w14:paraId="1AFEFD17" w14:textId="1032F2E8" w:rsidR="000A61B8" w:rsidRDefault="000A61B8">
          <w:pPr>
            <w:pStyle w:val="TOC1"/>
            <w:rPr>
              <w:rFonts w:asciiTheme="minorHAnsi" w:eastAsiaTheme="minorEastAsia" w:hAnsiTheme="minorHAnsi" w:cstheme="minorBidi"/>
              <w:kern w:val="2"/>
              <w14:ligatures w14:val="standardContextual"/>
            </w:rPr>
          </w:pPr>
          <w:hyperlink w:anchor="_Toc232514251" w:history="1">
            <w:r w:rsidRPr="000C3E60">
              <w:rPr>
                <w:rStyle w:val="Hyperlink"/>
              </w:rPr>
              <w:t>4. Task C: Reflective Report</w:t>
            </w:r>
            <w:r>
              <w:rPr>
                <w:webHidden/>
              </w:rPr>
              <w:tab/>
            </w:r>
            <w:r>
              <w:rPr>
                <w:webHidden/>
              </w:rPr>
              <w:fldChar w:fldCharType="begin"/>
            </w:r>
            <w:r>
              <w:rPr>
                <w:webHidden/>
              </w:rPr>
              <w:instrText xml:space="preserve"> PAGEREF _Toc232514251 \h </w:instrText>
            </w:r>
            <w:r>
              <w:rPr>
                <w:webHidden/>
              </w:rPr>
            </w:r>
            <w:r>
              <w:rPr>
                <w:webHidden/>
              </w:rPr>
              <w:fldChar w:fldCharType="separate"/>
            </w:r>
            <w:r>
              <w:rPr>
                <w:webHidden/>
              </w:rPr>
              <w:t>7</w:t>
            </w:r>
            <w:r>
              <w:rPr>
                <w:webHidden/>
              </w:rPr>
              <w:fldChar w:fldCharType="end"/>
            </w:r>
          </w:hyperlink>
        </w:p>
        <w:p w14:paraId="43400B29" w14:textId="6B4E8F0A"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52" w:history="1">
            <w:r w:rsidRPr="000C3E60">
              <w:rPr>
                <w:rStyle w:val="Hyperlink"/>
                <w:noProof/>
              </w:rPr>
              <w:t>4.1 Augmenting, not outsourcing, human judgement</w:t>
            </w:r>
            <w:r>
              <w:rPr>
                <w:noProof/>
                <w:webHidden/>
              </w:rPr>
              <w:tab/>
            </w:r>
            <w:r>
              <w:rPr>
                <w:noProof/>
                <w:webHidden/>
              </w:rPr>
              <w:fldChar w:fldCharType="begin"/>
            </w:r>
            <w:r>
              <w:rPr>
                <w:noProof/>
                <w:webHidden/>
              </w:rPr>
              <w:instrText xml:space="preserve"> PAGEREF _Toc232514252 \h </w:instrText>
            </w:r>
            <w:r>
              <w:rPr>
                <w:noProof/>
                <w:webHidden/>
              </w:rPr>
            </w:r>
            <w:r>
              <w:rPr>
                <w:noProof/>
                <w:webHidden/>
              </w:rPr>
              <w:fldChar w:fldCharType="separate"/>
            </w:r>
            <w:r>
              <w:rPr>
                <w:noProof/>
                <w:webHidden/>
              </w:rPr>
              <w:t>7</w:t>
            </w:r>
            <w:r>
              <w:rPr>
                <w:noProof/>
                <w:webHidden/>
              </w:rPr>
              <w:fldChar w:fldCharType="end"/>
            </w:r>
          </w:hyperlink>
        </w:p>
        <w:p w14:paraId="0AF8F964" w14:textId="074190DB" w:rsidR="000A61B8" w:rsidRDefault="000A61B8">
          <w:pPr>
            <w:pStyle w:val="TOC2"/>
            <w:tabs>
              <w:tab w:val="right" w:leader="dot" w:pos="9350"/>
            </w:tabs>
            <w:rPr>
              <w:rFonts w:asciiTheme="minorHAnsi" w:eastAsiaTheme="minorEastAsia" w:hAnsiTheme="minorHAnsi" w:cstheme="minorBidi"/>
              <w:noProof/>
              <w:kern w:val="2"/>
              <w14:ligatures w14:val="standardContextual"/>
            </w:rPr>
          </w:pPr>
          <w:hyperlink w:anchor="_Toc232514253" w:history="1">
            <w:r w:rsidRPr="000C3E60">
              <w:rPr>
                <w:rStyle w:val="Hyperlink"/>
                <w:noProof/>
              </w:rPr>
              <w:t>4.2 A personal capability development plan</w:t>
            </w:r>
            <w:r>
              <w:rPr>
                <w:noProof/>
                <w:webHidden/>
              </w:rPr>
              <w:tab/>
            </w:r>
            <w:r>
              <w:rPr>
                <w:noProof/>
                <w:webHidden/>
              </w:rPr>
              <w:fldChar w:fldCharType="begin"/>
            </w:r>
            <w:r>
              <w:rPr>
                <w:noProof/>
                <w:webHidden/>
              </w:rPr>
              <w:instrText xml:space="preserve"> PAGEREF _Toc232514253 \h </w:instrText>
            </w:r>
            <w:r>
              <w:rPr>
                <w:noProof/>
                <w:webHidden/>
              </w:rPr>
            </w:r>
            <w:r>
              <w:rPr>
                <w:noProof/>
                <w:webHidden/>
              </w:rPr>
              <w:fldChar w:fldCharType="separate"/>
            </w:r>
            <w:r>
              <w:rPr>
                <w:noProof/>
                <w:webHidden/>
              </w:rPr>
              <w:t>8</w:t>
            </w:r>
            <w:r>
              <w:rPr>
                <w:noProof/>
                <w:webHidden/>
              </w:rPr>
              <w:fldChar w:fldCharType="end"/>
            </w:r>
          </w:hyperlink>
        </w:p>
        <w:p w14:paraId="0C842E79" w14:textId="45E8EE66" w:rsidR="000A61B8" w:rsidRDefault="000A61B8">
          <w:pPr>
            <w:pStyle w:val="TOC1"/>
            <w:rPr>
              <w:rFonts w:asciiTheme="minorHAnsi" w:eastAsiaTheme="minorEastAsia" w:hAnsiTheme="minorHAnsi" w:cstheme="minorBidi"/>
              <w:kern w:val="2"/>
              <w14:ligatures w14:val="standardContextual"/>
            </w:rPr>
          </w:pPr>
          <w:hyperlink w:anchor="_Toc232514254" w:history="1">
            <w:r w:rsidRPr="000C3E60">
              <w:rPr>
                <w:rStyle w:val="Hyperlink"/>
              </w:rPr>
              <w:t>5. Conclusion</w:t>
            </w:r>
            <w:r>
              <w:rPr>
                <w:webHidden/>
              </w:rPr>
              <w:tab/>
            </w:r>
            <w:r>
              <w:rPr>
                <w:webHidden/>
              </w:rPr>
              <w:fldChar w:fldCharType="begin"/>
            </w:r>
            <w:r>
              <w:rPr>
                <w:webHidden/>
              </w:rPr>
              <w:instrText xml:space="preserve"> PAGEREF _Toc232514254 \h </w:instrText>
            </w:r>
            <w:r>
              <w:rPr>
                <w:webHidden/>
              </w:rPr>
            </w:r>
            <w:r>
              <w:rPr>
                <w:webHidden/>
              </w:rPr>
              <w:fldChar w:fldCharType="separate"/>
            </w:r>
            <w:r>
              <w:rPr>
                <w:webHidden/>
              </w:rPr>
              <w:t>9</w:t>
            </w:r>
            <w:r>
              <w:rPr>
                <w:webHidden/>
              </w:rPr>
              <w:fldChar w:fldCharType="end"/>
            </w:r>
          </w:hyperlink>
        </w:p>
        <w:p w14:paraId="45F793D3" w14:textId="0F3A58CC" w:rsidR="000A61B8" w:rsidRDefault="000A61B8">
          <w:pPr>
            <w:pStyle w:val="TOC1"/>
            <w:rPr>
              <w:rFonts w:asciiTheme="minorHAnsi" w:eastAsiaTheme="minorEastAsia" w:hAnsiTheme="minorHAnsi" w:cstheme="minorBidi"/>
              <w:kern w:val="2"/>
              <w14:ligatures w14:val="standardContextual"/>
            </w:rPr>
          </w:pPr>
          <w:hyperlink w:anchor="_Toc232514255" w:history="1">
            <w:r w:rsidRPr="000C3E60">
              <w:rPr>
                <w:rStyle w:val="Hyperlink"/>
              </w:rPr>
              <w:t>6. References</w:t>
            </w:r>
            <w:r>
              <w:rPr>
                <w:webHidden/>
              </w:rPr>
              <w:tab/>
            </w:r>
            <w:r>
              <w:rPr>
                <w:webHidden/>
              </w:rPr>
              <w:fldChar w:fldCharType="begin"/>
            </w:r>
            <w:r>
              <w:rPr>
                <w:webHidden/>
              </w:rPr>
              <w:instrText xml:space="preserve"> PAGEREF _Toc232514255 \h </w:instrText>
            </w:r>
            <w:r>
              <w:rPr>
                <w:webHidden/>
              </w:rPr>
            </w:r>
            <w:r>
              <w:rPr>
                <w:webHidden/>
              </w:rPr>
              <w:fldChar w:fldCharType="separate"/>
            </w:r>
            <w:r>
              <w:rPr>
                <w:webHidden/>
              </w:rPr>
              <w:t>10</w:t>
            </w:r>
            <w:r>
              <w:rPr>
                <w:webHidden/>
              </w:rPr>
              <w:fldChar w:fldCharType="end"/>
            </w:r>
          </w:hyperlink>
        </w:p>
        <w:p w14:paraId="384F279E" w14:textId="45EEE483" w:rsidR="00C6022D" w:rsidRPr="000A61B8" w:rsidRDefault="00C6022D" w:rsidP="000A61B8">
          <w:pPr>
            <w:rPr>
              <w:b/>
              <w:bCs/>
            </w:rPr>
          </w:pPr>
          <w:r w:rsidRPr="000A61B8">
            <w:rPr>
              <w:b/>
              <w:bCs/>
              <w:noProof/>
            </w:rPr>
            <w:fldChar w:fldCharType="end"/>
          </w:r>
        </w:p>
      </w:sdtContent>
    </w:sdt>
    <w:p w14:paraId="1872A48C" w14:textId="77777777" w:rsidR="00C6022D" w:rsidRPr="000A61B8" w:rsidRDefault="00C6022D" w:rsidP="000A61B8">
      <w:pPr>
        <w:pStyle w:val="Heading1"/>
        <w:jc w:val="left"/>
        <w:sectPr w:rsidR="00C6022D" w:rsidRPr="000A61B8" w:rsidSect="008B213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p>
    <w:p w14:paraId="087E1011" w14:textId="77777777" w:rsidR="00332AE2" w:rsidRPr="000A61B8" w:rsidRDefault="00000000" w:rsidP="000A61B8">
      <w:pPr>
        <w:pStyle w:val="Heading1"/>
        <w:jc w:val="left"/>
      </w:pPr>
      <w:bookmarkStart w:id="4" w:name="_Toc232514240"/>
      <w:r w:rsidRPr="000A61B8">
        <w:lastRenderedPageBreak/>
        <w:t>1. Introduction</w:t>
      </w:r>
      <w:bookmarkEnd w:id="0"/>
      <w:bookmarkEnd w:id="1"/>
      <w:bookmarkEnd w:id="4"/>
    </w:p>
    <w:p w14:paraId="673AFFD7" w14:textId="428E620B" w:rsidR="00332AE2" w:rsidRPr="000A61B8" w:rsidRDefault="001352D7" w:rsidP="000A61B8">
      <w:pPr>
        <w:spacing w:after="160"/>
      </w:pPr>
      <w:r w:rsidRPr="000A61B8">
        <w:t xml:space="preserve">The European smart-transport start-up, </w:t>
      </w:r>
      <w:proofErr w:type="spellStart"/>
      <w:r w:rsidRPr="000A61B8">
        <w:t>elios</w:t>
      </w:r>
      <w:proofErr w:type="spellEnd"/>
      <w:r w:rsidRPr="000A61B8">
        <w:t xml:space="preserve"> Urban Mobility, with its head office in London, works in 2 cities – Berlin and Singapore – with a team of 450 people creating AI-powered electric mobility solutions for cities. Some of its biggest issues include a lengthy ramp-up period for new hires (8 months), 54% employee engagement, and the high number of high-potential graduates that are leaving. This report suggests a human capital architecture that connects </w:t>
      </w:r>
      <w:proofErr w:type="spellStart"/>
      <w:r w:rsidRPr="000A61B8">
        <w:t>socialisation</w:t>
      </w:r>
      <w:proofErr w:type="spellEnd"/>
      <w:r w:rsidRPr="000A61B8">
        <w:t>, job design, and responsible use of AI using theory-based measurable interventions</w:t>
      </w:r>
      <w:r w:rsidR="007A01BF" w:rsidRPr="000A61B8">
        <w:t>.</w:t>
      </w:r>
    </w:p>
    <w:p w14:paraId="5D75C6A0" w14:textId="77777777" w:rsidR="00332AE2" w:rsidRPr="000A61B8" w:rsidRDefault="00000000" w:rsidP="000A61B8">
      <w:pPr>
        <w:pStyle w:val="Heading1"/>
        <w:jc w:val="left"/>
      </w:pPr>
      <w:bookmarkStart w:id="5" w:name="_Toc232428853"/>
      <w:bookmarkStart w:id="6" w:name="_Toc232428895"/>
      <w:bookmarkStart w:id="7" w:name="_Toc232514241"/>
      <w:r w:rsidRPr="000A61B8">
        <w:t xml:space="preserve">2. Task A: </w:t>
      </w:r>
      <w:proofErr w:type="spellStart"/>
      <w:r w:rsidRPr="000A61B8">
        <w:t>Socialisation</w:t>
      </w:r>
      <w:proofErr w:type="spellEnd"/>
      <w:r w:rsidRPr="000A61B8">
        <w:t>, Identity and Business Activism</w:t>
      </w:r>
      <w:bookmarkEnd w:id="5"/>
      <w:bookmarkEnd w:id="6"/>
      <w:bookmarkEnd w:id="7"/>
    </w:p>
    <w:p w14:paraId="0A51DB12" w14:textId="77777777" w:rsidR="00332AE2" w:rsidRPr="000A61B8" w:rsidRDefault="00000000" w:rsidP="000A61B8">
      <w:pPr>
        <w:pStyle w:val="Heading2"/>
        <w:jc w:val="left"/>
      </w:pPr>
      <w:bookmarkStart w:id="8" w:name="_Toc232428854"/>
      <w:bookmarkStart w:id="9" w:name="_Toc232428896"/>
      <w:bookmarkStart w:id="10" w:name="_Toc232514242"/>
      <w:r w:rsidRPr="000A61B8">
        <w:t>2.1 Why transactional onboarding is failing Helios</w:t>
      </w:r>
      <w:bookmarkEnd w:id="8"/>
      <w:bookmarkEnd w:id="9"/>
      <w:bookmarkEnd w:id="10"/>
    </w:p>
    <w:p w14:paraId="014DE715" w14:textId="2D12563E" w:rsidR="00332AE2" w:rsidRPr="000A61B8" w:rsidRDefault="007A01BF" w:rsidP="000A61B8">
      <w:pPr>
        <w:spacing w:after="160"/>
      </w:pPr>
      <w:r w:rsidRPr="000A61B8">
        <w:t>Helios's eight-month ramp-up is a hallmark of transactional onboarding, wherein orientation, paperwork and system access are done once and done</w:t>
      </w:r>
      <w:r w:rsidR="002175DD" w:rsidRPr="000A61B8">
        <w:t xml:space="preserve"> </w:t>
      </w:r>
      <w:r w:rsidR="002175DD" w:rsidRPr="000A61B8">
        <w:fldChar w:fldCharType="begin" w:fldLock="1"/>
      </w:r>
      <w:r w:rsidR="002175DD" w:rsidRPr="000A61B8">
        <w:instrText>ADDIN CSL_CITATION {"citationItems":[{"id":"ITEM-1","itemData":{"author":[{"dropping-particle":"","family":"Frögéli","given":"Elin","non-dropping-particle":"","parse-names":false,"suffix":""},{"dropping-particle":"","family":"Jenner","given":"Bo","non-dropping-particle":"","parse-names":false,"suffix":""},{"dropping-particle":"","family":"Gustavsson","given":"Petter","non-dropping-particle":"","parse-names":false,"suffix":""}],"id":"ITEM-1","issued":{"date-parts":[["2023"]]},"title":"Effectiveness of formal onboarding for facilitating organizational socialization: A systematic review","type":"article-journal"},"uris":["http://www.mendeley.com/documents/?uuid=b62d4140-3191-4acd-bc76-7e3d75de1f9b"]}],"mendeley":{"formattedCitation":"(Frögéli, Jenner and Gustavsson, 2023)","plainTextFormattedCitation":"(Frögéli, Jenner and Gustavsson, 2023)","previouslyFormattedCitation":"(Frögéli, Jenner and Gustavsson, 2023)"},"properties":{"noteIndex":0},"schema":"https://github.com/citation-style-language/schema/raw/master/csl-citation.json"}</w:instrText>
      </w:r>
      <w:r w:rsidR="002175DD" w:rsidRPr="000A61B8">
        <w:fldChar w:fldCharType="separate"/>
      </w:r>
      <w:r w:rsidR="002175DD" w:rsidRPr="000A61B8">
        <w:rPr>
          <w:noProof/>
        </w:rPr>
        <w:t>(Frögéli, Jenner and Gustavsson, 2023)</w:t>
      </w:r>
      <w:r w:rsidR="002175DD" w:rsidRPr="000A61B8">
        <w:fldChar w:fldCharType="end"/>
      </w:r>
      <w:r w:rsidRPr="000A61B8">
        <w:t xml:space="preserve">. Strategic </w:t>
      </w:r>
      <w:proofErr w:type="spellStart"/>
      <w:r w:rsidRPr="000A61B8">
        <w:t>socialisation</w:t>
      </w:r>
      <w:proofErr w:type="spellEnd"/>
      <w:r w:rsidRPr="000A61B8">
        <w:t xml:space="preserve">, on the other hand, is the way newcomers alleviate uncertainty and learn the attitudes, relationships, meaning and so on that make them effective, however, and recent research on newcomer </w:t>
      </w:r>
      <w:proofErr w:type="spellStart"/>
      <w:r w:rsidRPr="000A61B8">
        <w:t>socialisation</w:t>
      </w:r>
      <w:proofErr w:type="spellEnd"/>
      <w:r w:rsidRPr="000A61B8">
        <w:t xml:space="preserve"> emphasizes that structured support, consistent mentoring, feedback loops, which are now often supplemented by AI onboarding platforms, are what reduce ambiguity and fasten adjustment</w:t>
      </w:r>
      <w:r w:rsidR="002175DD" w:rsidRPr="000A61B8">
        <w:t xml:space="preserve"> </w:t>
      </w:r>
      <w:r w:rsidR="002175DD" w:rsidRPr="000A61B8">
        <w:fldChar w:fldCharType="begin" w:fldLock="1"/>
      </w:r>
      <w:r w:rsidR="002175DD" w:rsidRPr="000A61B8">
        <w:instrText>ADDIN CSL_CITATION {"citationItems":[{"id":"ITEM-1","itemData":{"ISSN":"0149-2063","abstract":"The effective socialization of newcomers into organizations is critical for employee and organizational success. As such, ensuring successful onboarding has become even more pivotal for newcomer adjustment, performance, and retention. The literature has seen significant growth and incorporated new theoretical perspectives, such as resource-based approaches since the most recent comprehensive meta-analytic review of the literature. Therefore, we extended earlier reviews by presenting an updated model of the socialization process, reviewing the literature, and examining this updated model via meta-analysis. In all, we identified 256 studies that met our meta-analytic inclusion criteria, and 183 with sufficient k across construct categories were included in our meta-analysis. At the correlational level, we analyzed antecedents to proximal adjustment indicators and proximal adjustment to distal outcomes. We examined a potential moderator, whether the study took place in a horizontal-individualistic (HI) versus vertical-collectivistic (VC) culture. Last, we analyzed a path model to identify unique relationships between specific antecedents (age, full-time work experience, organizational tenure, proactive personality, information seeking, organizational tactics, insider mentoring/supporting), proximal adjustment indicators (social acceptance, role clarity, task mastery, perceived fit), and distal outcomes (job satisfaction, organizational commitment, turnover intentions, other-rated performance, and well-being). Our analyses uncover the role of proactive personality and proactive newcomer behaviors in newcomer adjustment and the importance of social acceptance for newcomers. They also identify perceptions of fit as an important but relatively under-examined adjustment indicator and newcomer well-being as an additional socialization outcome. We develop future directions for socialization theory and research methods.","author":[{"dropping-particle":"","family":"Bauer","given":"Talya N.","non-dropping-particle":"","parse-names":false,"suffix":""},{"dropping-particle":"","family":"Erdogan","given":"Berrin","non-dropping-particle":"","parse-names":false,"suffix":""},{"dropping-particle":"","family":"Ellis","given":"Allison M.","non-dropping-particle":"","parse-names":false,"suffix":""},{"dropping-particle":"","family":"Truxillo","given":"Donald M.","non-dropping-particle":"","parse-names":false,"suffix":""},{"dropping-particle":"","family":"Brady","given":"Grant M.","non-dropping-particle":"","parse-names":false,"suffix":""},{"dropping-particle":"","family":"Bodner","given":"Todd","non-dropping-particle":"","parse-names":false,"suffix":""}],"container-title":"Journal of Management","id":"ITEM-1","issue":"1","issued":{"date-parts":[["2025","1","20"]]},"page":"344-382","title":"New Horizons for Newcomer Organizational Socialization: A Review, Meta-Analysis, and Future Research Directions","type":"article-journal","volume":"51"},"uris":["http://www.mendeley.com/documents/?uuid=6f746c56-3d31-4e14-8a96-ed7702f51ec6"]}],"mendeley":{"formattedCitation":"(Bauer &lt;i&gt;et al.&lt;/i&gt;, 2025)","plainTextFormattedCitation":"(Bauer et al., 2025)","previouslyFormattedCitation":"(Bauer &lt;i&gt;et al.&lt;/i&gt;, 2025)"},"properties":{"noteIndex":0},"schema":"https://github.com/citation-style-language/schema/raw/master/csl-citation.json"}</w:instrText>
      </w:r>
      <w:r w:rsidR="002175DD" w:rsidRPr="000A61B8">
        <w:fldChar w:fldCharType="separate"/>
      </w:r>
      <w:r w:rsidR="002175DD" w:rsidRPr="000A61B8">
        <w:rPr>
          <w:noProof/>
        </w:rPr>
        <w:t xml:space="preserve">(Bauer </w:t>
      </w:r>
      <w:r w:rsidR="002175DD" w:rsidRPr="000A61B8">
        <w:rPr>
          <w:i/>
          <w:noProof/>
        </w:rPr>
        <w:t>et al.</w:t>
      </w:r>
      <w:r w:rsidR="002175DD" w:rsidRPr="000A61B8">
        <w:rPr>
          <w:noProof/>
        </w:rPr>
        <w:t>, 2025)</w:t>
      </w:r>
      <w:r w:rsidR="002175DD" w:rsidRPr="000A61B8">
        <w:fldChar w:fldCharType="end"/>
      </w:r>
      <w:r w:rsidRPr="000A61B8">
        <w:t xml:space="preserve">. van Maanen and Schein's tactics are placed in the choice, and Saks et al.'s meta-analysis confirms that </w:t>
      </w:r>
      <w:proofErr w:type="spellStart"/>
      <w:r w:rsidRPr="000A61B8">
        <w:t>institutionalised</w:t>
      </w:r>
      <w:proofErr w:type="spellEnd"/>
      <w:r w:rsidRPr="000A61B8">
        <w:t xml:space="preserve"> tactics lower role ambiguity, role conflict, and the intention to quit, but they also might cause a newcomer to become “custodial” in orientation, a state that accepts the status quo</w:t>
      </w:r>
      <w:r w:rsidR="002175DD" w:rsidRPr="000A61B8">
        <w:t xml:space="preserve"> </w:t>
      </w:r>
      <w:r w:rsidR="002175DD" w:rsidRPr="000A61B8">
        <w:fldChar w:fldCharType="begin" w:fldLock="1"/>
      </w:r>
      <w:r w:rsidR="002175DD" w:rsidRPr="000A61B8">
        <w:instrText>ADDIN CSL_CITATION {"citationItems":[{"id":"ITEM-1","itemData":{"ISSN":"00018791","author":[{"dropping-particle":"","family":"Gruman","given":"Jamie A.","non-dropping-particle":"","parse-names":false,"suffix":""},{"dropping-particle":"","family":"Saks","given":"Alan M.","non-dropping-particle":"","parse-names":false,"suffix":""},{"dropping-particle":"","family":"Zweig","given":"David I.","non-dropping-particle":"","parse-names":false,"suffix":""}],"container-title":"Journal of Vocational Behavior","id":"ITEM-1","issue":"1","issued":{"date-parts":[["2006","8"]]},"page":"90-104","title":"Organizational socialization tactics and newcomer proactive behaviors: An integrative study","type":"article-journal","volume":"69"},"uris":["http://www.mendeley.com/documents/?uuid=777e5d2d-6fb2-4f7e-bc68-b3074edba2ba"]}],"mendeley":{"formattedCitation":"(Gruman, Saks and Zweig, 2006)","plainTextFormattedCitation":"(Gruman, Saks and Zweig, 2006)","previouslyFormattedCitation":"(Gruman, Saks and Zweig, 2006)"},"properties":{"noteIndex":0},"schema":"https://github.com/citation-style-language/schema/raw/master/csl-citation.json"}</w:instrText>
      </w:r>
      <w:r w:rsidR="002175DD" w:rsidRPr="000A61B8">
        <w:fldChar w:fldCharType="separate"/>
      </w:r>
      <w:r w:rsidR="002175DD" w:rsidRPr="000A61B8">
        <w:rPr>
          <w:noProof/>
        </w:rPr>
        <w:t>(Gruman, Saks and Zweig, 2006)</w:t>
      </w:r>
      <w:r w:rsidR="002175DD" w:rsidRPr="000A61B8">
        <w:fldChar w:fldCharType="end"/>
      </w:r>
      <w:r w:rsidRPr="000A61B8">
        <w:t xml:space="preserve">. For an innovation-led company, it's a real dichotomy because what helps them adjust, also helps them to conform the graduates, and the question is not whether to </w:t>
      </w:r>
      <w:proofErr w:type="spellStart"/>
      <w:r w:rsidRPr="000A61B8">
        <w:t>institutionalise</w:t>
      </w:r>
      <w:proofErr w:type="spellEnd"/>
      <w:r w:rsidRPr="000A61B8">
        <w:t xml:space="preserve"> or not, but how to structure and free them over time. To sum up: </w:t>
      </w:r>
      <w:proofErr w:type="spellStart"/>
      <w:r w:rsidRPr="000A61B8">
        <w:t>Institutionalised</w:t>
      </w:r>
      <w:proofErr w:type="spellEnd"/>
      <w:r w:rsidRPr="000A61B8">
        <w:t xml:space="preserve"> </w:t>
      </w:r>
      <w:proofErr w:type="spellStart"/>
      <w:r w:rsidRPr="000A61B8">
        <w:t>socialisation</w:t>
      </w:r>
      <w:proofErr w:type="spellEnd"/>
      <w:r w:rsidRPr="000A61B8">
        <w:t xml:space="preserve"> increases role clarity while decreasing role innovation, as measured on the same level of evidence; and a business which sells novelty cannot afford to stifle it. The stakes are clarified by the psychological contract, as the relational and balanced contracts, as proposed by Rousseau, positively influence engagement, while a breach in the contract during an entry period negatively influences </w:t>
      </w:r>
      <w:r w:rsidRPr="000A61B8">
        <w:lastRenderedPageBreak/>
        <w:t>engagement</w:t>
      </w:r>
      <w:r w:rsidR="002175DD" w:rsidRPr="000A61B8">
        <w:t xml:space="preserve"> </w:t>
      </w:r>
      <w:r w:rsidR="002175DD" w:rsidRPr="000A61B8">
        <w:fldChar w:fldCharType="begin" w:fldLock="1"/>
      </w:r>
      <w:r w:rsidR="002175DD" w:rsidRPr="000A61B8">
        <w:instrText>ADDIN CSL_CITATION {"citationItems":[{"id":"ITEM-1","itemData":{"ISSN":"01482963","author":[{"dropping-particle":"","family":"Soares","given":"Maria Eduarda","non-dropping-particle":"","parse-names":false,"suffix":""},{"dropping-particle":"","family":"Mosquera","given":"Pilar","non-dropping-particle":"","parse-names":false,"suffix":""}],"container-title":"Journal of Business Research","id":"ITEM-1","issued":{"date-parts":[["2019","8"]]},"page":"469-476","title":"Fostering work engagement: The role of the psychological contract","type":"article-journal","volume":"101"},"uris":["http://www.mendeley.com/documents/?uuid=5d4cfb85-76fe-4bf9-917a-9ed55d61d221"]}],"mendeley":{"formattedCitation":"(Soares and Mosquera, 2019)","plainTextFormattedCitation":"(Soares and Mosquera, 2019)","previouslyFormattedCitation":"(Soares and Mosquera, 2019)"},"properties":{"noteIndex":0},"schema":"https://github.com/citation-style-language/schema/raw/master/csl-citation.json"}</w:instrText>
      </w:r>
      <w:r w:rsidR="002175DD" w:rsidRPr="000A61B8">
        <w:fldChar w:fldCharType="separate"/>
      </w:r>
      <w:r w:rsidR="002175DD" w:rsidRPr="000A61B8">
        <w:rPr>
          <w:noProof/>
        </w:rPr>
        <w:t>(Soares and Mosquera, 2019)</w:t>
      </w:r>
      <w:r w:rsidR="002175DD" w:rsidRPr="000A61B8">
        <w:fldChar w:fldCharType="end"/>
      </w:r>
      <w:r w:rsidRPr="000A61B8">
        <w:t>. Gallup reports that engagement is lowest in Europe and Helios' fifty-four per cent indicates that the promises of development and belonging are only partially being fulfilled</w:t>
      </w:r>
      <w:r w:rsidR="002175DD" w:rsidRPr="000A61B8">
        <w:t xml:space="preserve"> </w:t>
      </w:r>
      <w:r w:rsidR="002175DD" w:rsidRPr="000A61B8">
        <w:fldChar w:fldCharType="begin" w:fldLock="1"/>
      </w:r>
      <w:r w:rsidR="002175DD" w:rsidRPr="000A61B8">
        <w:instrText>ADDIN CSL_CITATION {"citationItems":[{"id":"ITEM-1","itemData":{"author":[{"dropping-particle":"","family":"Gallup","given":"","non-dropping-particle":"","parse-names":false,"suffix":""}],"id":"ITEM-1","issued":{"date-parts":[["2026"]]},"title":"State of the Global Workplace 2026","type":"article-journal"},"uris":["http://www.mendeley.com/documents/?uuid=0a2bf2ab-7ad6-48af-b793-caf32add6443"]}],"mendeley":{"formattedCitation":"(Gallup, 2026)","plainTextFormattedCitation":"(Gallup, 2026)","previouslyFormattedCitation":"(Gallup, 2026)"},"properties":{"noteIndex":0},"schema":"https://github.com/citation-style-language/schema/raw/master/csl-citation.json"}</w:instrText>
      </w:r>
      <w:r w:rsidR="002175DD" w:rsidRPr="000A61B8">
        <w:fldChar w:fldCharType="separate"/>
      </w:r>
      <w:r w:rsidR="002175DD" w:rsidRPr="000A61B8">
        <w:rPr>
          <w:noProof/>
        </w:rPr>
        <w:t>(Gallup, 2026)</w:t>
      </w:r>
      <w:r w:rsidR="002175DD" w:rsidRPr="000A61B8">
        <w:fldChar w:fldCharType="end"/>
      </w:r>
      <w:r w:rsidRPr="000A61B8">
        <w:t>. It is therefore one problem, rather than three: an entry experience that doesn't turn good hires into dedicated employees rapidly enough.</w:t>
      </w:r>
    </w:p>
    <w:p w14:paraId="24A6C42E" w14:textId="77777777" w:rsidR="00332AE2" w:rsidRPr="000A61B8" w:rsidRDefault="00000000" w:rsidP="000A61B8">
      <w:pPr>
        <w:pStyle w:val="Heading2"/>
        <w:jc w:val="left"/>
      </w:pPr>
      <w:bookmarkStart w:id="11" w:name="_Toc232428855"/>
      <w:bookmarkStart w:id="12" w:name="_Toc232428897"/>
      <w:bookmarkStart w:id="13" w:name="_Toc232514243"/>
      <w:r w:rsidRPr="000A61B8">
        <w:t xml:space="preserve">2.2 A </w:t>
      </w:r>
      <w:proofErr w:type="spellStart"/>
      <w:r w:rsidRPr="000A61B8">
        <w:t>socialisation</w:t>
      </w:r>
      <w:proofErr w:type="spellEnd"/>
      <w:r w:rsidRPr="000A61B8">
        <w:t xml:space="preserve"> blueprint as identity work</w:t>
      </w:r>
      <w:bookmarkEnd w:id="11"/>
      <w:bookmarkEnd w:id="12"/>
      <w:bookmarkEnd w:id="13"/>
    </w:p>
    <w:p w14:paraId="2CC0F15B" w14:textId="50420272" w:rsidR="00332AE2" w:rsidRPr="000A61B8" w:rsidRDefault="007A01BF" w:rsidP="000A61B8">
      <w:pPr>
        <w:spacing w:after="160"/>
      </w:pPr>
      <w:r w:rsidRPr="000A61B8">
        <w:t>The blueprint in Table 1 assumes that the first year is devoted to identity work, not induction</w:t>
      </w:r>
      <w:r w:rsidR="002175DD" w:rsidRPr="000A61B8">
        <w:t xml:space="preserve"> </w:t>
      </w:r>
      <w:r w:rsidR="002175DD" w:rsidRPr="000A61B8">
        <w:fldChar w:fldCharType="begin" w:fldLock="1"/>
      </w:r>
      <w:r w:rsidR="002175DD" w:rsidRPr="000A61B8">
        <w:instrText>ADDIN CSL_CITATION {"citationItems":[{"id":"ITEM-1","itemData":{"ISSN":"2331-1975","author":[{"dropping-particle":"","family":"Didion","given":"Eva","non-dropping-particle":"","parse-names":false,"suffix":""},{"dropping-particle":"","family":"Perello-Marin","given":"Maria Rosario","non-dropping-particle":"","parse-names":false,"suffix":""},{"dropping-particle":"","family":"Catala-Perez","given":"Daniel","non-dropping-particle":"","parse-names":false,"suffix":""},{"dropping-particle":"","family":"Ambrosius","given":"Ute","non-dropping-particle":"","parse-names":false,"suffix":""}],"container-title":"Cogent Business &amp; Management","id":"ITEM-1","issue":"1","issued":{"date-parts":[["2024","12","31"]]},"title":"Mapping the organizational socialization and onboarding literature: a bibliometric analysis of the field","type":"article-journal","volume":"11"},"uris":["http://www.mendeley.com/documents/?uuid=3022b11c-de2f-446a-a5e5-175c1bbbb373"]}],"mendeley":{"formattedCitation":"(Didion &lt;i&gt;et al.&lt;/i&gt;, 2024)","plainTextFormattedCitation":"(Didion et al., 2024)","previouslyFormattedCitation":"(Didion &lt;i&gt;et al.&lt;/i&gt;, 2024)"},"properties":{"noteIndex":0},"schema":"https://github.com/citation-style-language/schema/raw/master/csl-citation.json"}</w:instrText>
      </w:r>
      <w:r w:rsidR="002175DD" w:rsidRPr="000A61B8">
        <w:fldChar w:fldCharType="separate"/>
      </w:r>
      <w:r w:rsidR="002175DD" w:rsidRPr="000A61B8">
        <w:rPr>
          <w:noProof/>
        </w:rPr>
        <w:t xml:space="preserve">(Didion </w:t>
      </w:r>
      <w:r w:rsidR="002175DD" w:rsidRPr="000A61B8">
        <w:rPr>
          <w:i/>
          <w:noProof/>
        </w:rPr>
        <w:t>et al.</w:t>
      </w:r>
      <w:r w:rsidR="002175DD" w:rsidRPr="000A61B8">
        <w:rPr>
          <w:noProof/>
        </w:rPr>
        <w:t>, 2024)</w:t>
      </w:r>
      <w:r w:rsidR="002175DD" w:rsidRPr="000A61B8">
        <w:fldChar w:fldCharType="end"/>
      </w:r>
      <w:r w:rsidRPr="000A61B8">
        <w:t xml:space="preserve">. A realistic role preview, a civic mission and a buddy, pre-boarding shares Helios's civic mission with newcomers, which kickstarts the development of a self-concept that is connected to the firm, even before day one. The first 90 days are also </w:t>
      </w:r>
      <w:proofErr w:type="spellStart"/>
      <w:r w:rsidRPr="000A61B8">
        <w:t>characteri</w:t>
      </w:r>
      <w:r w:rsidR="00C6022D" w:rsidRPr="000A61B8">
        <w:t>s</w:t>
      </w:r>
      <w:r w:rsidRPr="000A61B8">
        <w:t>ed</w:t>
      </w:r>
      <w:proofErr w:type="spellEnd"/>
      <w:r w:rsidRPr="000A61B8">
        <w:t xml:space="preserve"> by a 30/60/90 feedback cadence, and making visible contributions on days 1-30 because identification occurs when people make meaning of their role and enact it; evidence indicates that a meaningful self-definition in relation to the </w:t>
      </w:r>
      <w:proofErr w:type="spellStart"/>
      <w:r w:rsidRPr="000A61B8">
        <w:t>organisation</w:t>
      </w:r>
      <w:proofErr w:type="spellEnd"/>
      <w:r w:rsidRPr="000A61B8">
        <w:t xml:space="preserve"> enhances commitment</w:t>
      </w:r>
      <w:r w:rsidR="002175DD" w:rsidRPr="000A61B8">
        <w:t xml:space="preserve"> </w:t>
      </w:r>
      <w:r w:rsidR="002175DD" w:rsidRPr="000A61B8">
        <w:fldChar w:fldCharType="begin" w:fldLock="1"/>
      </w:r>
      <w:r w:rsidR="002175DD" w:rsidRPr="000A61B8">
        <w:instrText>ADDIN CSL_CITATION {"citationItems":[{"id":"ITEM-1","itemData":{"ISSN":"1367-8868","author":[{"dropping-particle":"","family":"Afshari","given":"Leila","non-dropping-particle":"","parse-names":false,"suffix":""}],"container-title":"Human Resource Development International","id":"ITEM-1","issue":"1","issued":{"date-parts":[["2023","1","2"]]},"page":"7-28","title":"Identification through meaning-making: identity enactment towards organizational commitment","type":"article-journal","volume":"26"},"uris":["http://www.mendeley.com/documents/?uuid=a4aeab3d-1648-49b5-99a1-e0c11e770b32"]}],"mendeley":{"formattedCitation":"(Afshari, 2023)","plainTextFormattedCitation":"(Afshari, 2023)","previouslyFormattedCitation":"(Afshari, 2023)"},"properties":{"noteIndex":0},"schema":"https://github.com/citation-style-language/schema/raw/master/csl-citation.json"}</w:instrText>
      </w:r>
      <w:r w:rsidR="002175DD" w:rsidRPr="000A61B8">
        <w:fldChar w:fldCharType="separate"/>
      </w:r>
      <w:r w:rsidR="002175DD" w:rsidRPr="000A61B8">
        <w:rPr>
          <w:noProof/>
        </w:rPr>
        <w:t>(Afshari, 2023)</w:t>
      </w:r>
      <w:r w:rsidR="002175DD" w:rsidRPr="000A61B8">
        <w:fldChar w:fldCharType="end"/>
      </w:r>
      <w:r w:rsidRPr="000A61B8">
        <w:t xml:space="preserve">. The entry is then deliberately opened up to individual tactics with rotation and mentoring in Year one which re-licenses graduates to question and reshape their roles, countering the custodial drift that entry can cause. Explicit ownership through each phase includes talent acquisition pre-boarding, line manager during first 90 days, and a reverse-mentoring between the graduate and a mentor with an executive sponsor in year one, signaling that their perspective is valued and helping to identify graduates earlier. </w:t>
      </w:r>
      <w:r w:rsidR="001352D7" w:rsidRPr="000A61B8">
        <w:t xml:space="preserve">For new hires, they should also be given a set of learning milestones tailored to their new roles and a map of peers and early project tasks connected with Helios's civic work. This would eliminate the passivity and make the first year more developmental. Progress should be monitored at each point of the checklist, not just to measure performance, but also to uncover areas of unmet expectations or weak belonging/support gaps at an early stage, before they become the reason for a person to leave the </w:t>
      </w:r>
      <w:proofErr w:type="spellStart"/>
      <w:r w:rsidR="001352D7" w:rsidRPr="000A61B8">
        <w:t>organisation</w:t>
      </w:r>
      <w:proofErr w:type="spellEnd"/>
      <w:r w:rsidR="001352D7" w:rsidRPr="000A61B8">
        <w:t xml:space="preserve">. </w:t>
      </w:r>
      <w:r w:rsidRPr="000A61B8">
        <w:t xml:space="preserve">This is a justified design as it is a sequenced arc, belonging is constructed at the moment of greatest risk of newcomer turnover and linked to a measurable signal, allowing for </w:t>
      </w:r>
      <w:proofErr w:type="spellStart"/>
      <w:r w:rsidRPr="000A61B8">
        <w:t>socialisation</w:t>
      </w:r>
      <w:proofErr w:type="spellEnd"/>
      <w:r w:rsidRPr="000A61B8">
        <w:t xml:space="preserve"> to be managed against evidence not assumption.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3260"/>
        <w:gridCol w:w="2400"/>
        <w:gridCol w:w="2000"/>
      </w:tblGrid>
      <w:tr w:rsidR="00332AE2" w:rsidRPr="000A61B8" w14:paraId="1BB83E54" w14:textId="77777777" w:rsidTr="007A01BF">
        <w:tc>
          <w:tcPr>
            <w:tcW w:w="17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00F7EA78" w14:textId="77777777" w:rsidR="00332AE2" w:rsidRPr="000A61B8" w:rsidRDefault="00000000" w:rsidP="000A61B8">
            <w:pPr>
              <w:rPr>
                <w:color w:val="000000"/>
              </w:rPr>
            </w:pPr>
            <w:r w:rsidRPr="000A61B8">
              <w:rPr>
                <w:b/>
                <w:bCs/>
                <w:color w:val="000000"/>
              </w:rPr>
              <w:lastRenderedPageBreak/>
              <w:t>Phase</w:t>
            </w:r>
          </w:p>
        </w:tc>
        <w:tc>
          <w:tcPr>
            <w:tcW w:w="326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41EAB47B" w14:textId="77777777" w:rsidR="00332AE2" w:rsidRPr="000A61B8" w:rsidRDefault="00000000" w:rsidP="000A61B8">
            <w:pPr>
              <w:rPr>
                <w:color w:val="000000"/>
              </w:rPr>
            </w:pPr>
            <w:r w:rsidRPr="000A61B8">
              <w:rPr>
                <w:b/>
                <w:bCs/>
                <w:color w:val="000000"/>
              </w:rPr>
              <w:t>Core mechanisms</w:t>
            </w:r>
          </w:p>
        </w:tc>
        <w:tc>
          <w:tcPr>
            <w:tcW w:w="24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641A9B53" w14:textId="77777777" w:rsidR="00332AE2" w:rsidRPr="000A61B8" w:rsidRDefault="00000000" w:rsidP="000A61B8">
            <w:pPr>
              <w:rPr>
                <w:color w:val="000000"/>
              </w:rPr>
            </w:pPr>
            <w:r w:rsidRPr="000A61B8">
              <w:rPr>
                <w:b/>
                <w:bCs/>
                <w:color w:val="000000"/>
              </w:rPr>
              <w:t>Theory anchor</w:t>
            </w:r>
          </w:p>
        </w:tc>
        <w:tc>
          <w:tcPr>
            <w:tcW w:w="20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6BC5BB88" w14:textId="77777777" w:rsidR="00332AE2" w:rsidRPr="000A61B8" w:rsidRDefault="00000000" w:rsidP="000A61B8">
            <w:pPr>
              <w:rPr>
                <w:color w:val="000000"/>
              </w:rPr>
            </w:pPr>
            <w:r w:rsidRPr="000A61B8">
              <w:rPr>
                <w:b/>
                <w:bCs/>
                <w:color w:val="000000"/>
              </w:rPr>
              <w:t>Success signal</w:t>
            </w:r>
          </w:p>
        </w:tc>
      </w:tr>
      <w:tr w:rsidR="00332AE2" w:rsidRPr="000A61B8" w14:paraId="4D6237A0" w14:textId="77777777">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63BE1FA" w14:textId="77777777" w:rsidR="00332AE2" w:rsidRPr="000A61B8" w:rsidRDefault="00000000" w:rsidP="000A61B8">
            <w:r w:rsidRPr="000A61B8">
              <w:rPr>
                <w:color w:val="000000"/>
              </w:rPr>
              <w:t>Pre-boarding</w:t>
            </w:r>
          </w:p>
        </w:tc>
        <w:tc>
          <w:tcPr>
            <w:tcW w:w="32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4258F5E8" w14:textId="77777777" w:rsidR="00332AE2" w:rsidRPr="000A61B8" w:rsidRDefault="00000000" w:rsidP="000A61B8">
            <w:r w:rsidRPr="000A61B8">
              <w:rPr>
                <w:color w:val="000000"/>
              </w:rPr>
              <w:t>Civic-mission framing; realistic preview; buddy</w:t>
            </w:r>
          </w:p>
        </w:tc>
        <w:tc>
          <w:tcPr>
            <w:tcW w:w="24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9DEA70F" w14:textId="77777777" w:rsidR="00332AE2" w:rsidRPr="000A61B8" w:rsidRDefault="00000000" w:rsidP="000A61B8">
            <w:r w:rsidRPr="000A61B8">
              <w:rPr>
                <w:color w:val="000000"/>
              </w:rPr>
              <w:t>Uncertainty reduction; psychological contract</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DBBEC3A" w14:textId="77777777" w:rsidR="00332AE2" w:rsidRPr="000A61B8" w:rsidRDefault="00000000" w:rsidP="000A61B8">
            <w:r w:rsidRPr="000A61B8">
              <w:rPr>
                <w:color w:val="000000"/>
              </w:rPr>
              <w:t>Day-1 readiness; early identification</w:t>
            </w:r>
          </w:p>
        </w:tc>
      </w:tr>
      <w:tr w:rsidR="00332AE2" w:rsidRPr="000A61B8" w14:paraId="574B65CC" w14:textId="77777777">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4BFCC4B3" w14:textId="77777777" w:rsidR="00332AE2" w:rsidRPr="000A61B8" w:rsidRDefault="00000000" w:rsidP="000A61B8">
            <w:r w:rsidRPr="000A61B8">
              <w:rPr>
                <w:color w:val="000000"/>
              </w:rPr>
              <w:t>First 90 days</w:t>
            </w:r>
          </w:p>
        </w:tc>
        <w:tc>
          <w:tcPr>
            <w:tcW w:w="32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B12DD1F" w14:textId="77777777" w:rsidR="00332AE2" w:rsidRPr="000A61B8" w:rsidRDefault="00000000" w:rsidP="000A61B8">
            <w:r w:rsidRPr="000A61B8">
              <w:rPr>
                <w:color w:val="000000"/>
              </w:rPr>
              <w:t>Cohort induction; 30/60/90 feedback; early contribution; reverse mentoring</w:t>
            </w:r>
          </w:p>
        </w:tc>
        <w:tc>
          <w:tcPr>
            <w:tcW w:w="24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5DB9BCC9" w14:textId="77777777" w:rsidR="00332AE2" w:rsidRPr="000A61B8" w:rsidRDefault="00000000" w:rsidP="000A61B8">
            <w:proofErr w:type="spellStart"/>
            <w:r w:rsidRPr="000A61B8">
              <w:rPr>
                <w:color w:val="000000"/>
              </w:rPr>
              <w:t>Institutionalised</w:t>
            </w:r>
            <w:proofErr w:type="spellEnd"/>
            <w:r w:rsidRPr="000A61B8">
              <w:rPr>
                <w:color w:val="000000"/>
              </w:rPr>
              <w:t xml:space="preserve"> tactics; identity enactment</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98C52A5" w14:textId="77777777" w:rsidR="00332AE2" w:rsidRPr="000A61B8" w:rsidRDefault="00000000" w:rsidP="000A61B8">
            <w:r w:rsidRPr="000A61B8">
              <w:rPr>
                <w:color w:val="000000"/>
              </w:rPr>
              <w:t>Ramp-up to 4–5 months; feedback ≥4/5</w:t>
            </w:r>
          </w:p>
        </w:tc>
      </w:tr>
      <w:tr w:rsidR="00332AE2" w:rsidRPr="000A61B8" w14:paraId="53211685" w14:textId="77777777">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28D257F" w14:textId="77777777" w:rsidR="00332AE2" w:rsidRPr="000A61B8" w:rsidRDefault="00000000" w:rsidP="000A61B8">
            <w:r w:rsidRPr="000A61B8">
              <w:rPr>
                <w:color w:val="000000"/>
              </w:rPr>
              <w:t>Year one</w:t>
            </w:r>
          </w:p>
        </w:tc>
        <w:tc>
          <w:tcPr>
            <w:tcW w:w="32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7BE41934" w14:textId="77777777" w:rsidR="00332AE2" w:rsidRPr="000A61B8" w:rsidRDefault="00000000" w:rsidP="000A61B8">
            <w:r w:rsidRPr="000A61B8">
              <w:rPr>
                <w:color w:val="000000"/>
              </w:rPr>
              <w:t xml:space="preserve">Rotation; mentor and sponsor; shift to </w:t>
            </w:r>
            <w:proofErr w:type="spellStart"/>
            <w:r w:rsidRPr="000A61B8">
              <w:rPr>
                <w:color w:val="000000"/>
              </w:rPr>
              <w:t>individualised</w:t>
            </w:r>
            <w:proofErr w:type="spellEnd"/>
            <w:r w:rsidRPr="000A61B8">
              <w:rPr>
                <w:color w:val="000000"/>
              </w:rPr>
              <w:t xml:space="preserve"> tactics</w:t>
            </w:r>
          </w:p>
        </w:tc>
        <w:tc>
          <w:tcPr>
            <w:tcW w:w="24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78A7D634" w14:textId="77777777" w:rsidR="00332AE2" w:rsidRPr="000A61B8" w:rsidRDefault="00000000" w:rsidP="000A61B8">
            <w:r w:rsidRPr="000A61B8">
              <w:rPr>
                <w:color w:val="000000"/>
              </w:rPr>
              <w:t xml:space="preserve">Role innovation; </w:t>
            </w:r>
            <w:proofErr w:type="spellStart"/>
            <w:r w:rsidRPr="000A61B8">
              <w:rPr>
                <w:color w:val="000000"/>
              </w:rPr>
              <w:t>organisational</w:t>
            </w:r>
            <w:proofErr w:type="spellEnd"/>
            <w:r w:rsidRPr="000A61B8">
              <w:rPr>
                <w:color w:val="000000"/>
              </w:rPr>
              <w:t xml:space="preserve"> identification</w:t>
            </w:r>
          </w:p>
        </w:tc>
        <w:tc>
          <w:tcPr>
            <w:tcW w:w="20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59D17277" w14:textId="77777777" w:rsidR="00332AE2" w:rsidRPr="000A61B8" w:rsidRDefault="00000000" w:rsidP="000A61B8">
            <w:r w:rsidRPr="000A61B8">
              <w:rPr>
                <w:color w:val="000000"/>
              </w:rPr>
              <w:t>12-month retention ≥90%; engagement ≥65%</w:t>
            </w:r>
          </w:p>
        </w:tc>
      </w:tr>
    </w:tbl>
    <w:p w14:paraId="3769DD9C" w14:textId="5CBEA522" w:rsidR="00332AE2" w:rsidRPr="000A61B8" w:rsidRDefault="00000000" w:rsidP="000A61B8">
      <w:pPr>
        <w:spacing w:before="60" w:after="200"/>
      </w:pPr>
      <w:r w:rsidRPr="000A61B8">
        <w:rPr>
          <w:i/>
          <w:iCs/>
          <w:sz w:val="20"/>
          <w:szCs w:val="20"/>
        </w:rPr>
        <w:t xml:space="preserve">Table 1: A phased </w:t>
      </w:r>
      <w:proofErr w:type="spellStart"/>
      <w:r w:rsidRPr="000A61B8">
        <w:rPr>
          <w:i/>
          <w:iCs/>
          <w:sz w:val="20"/>
          <w:szCs w:val="20"/>
        </w:rPr>
        <w:t>socialisation</w:t>
      </w:r>
      <w:proofErr w:type="spellEnd"/>
      <w:r w:rsidRPr="000A61B8">
        <w:rPr>
          <w:i/>
          <w:iCs/>
          <w:sz w:val="20"/>
          <w:szCs w:val="20"/>
        </w:rPr>
        <w:t xml:space="preserve"> blueprint for Helios.</w:t>
      </w:r>
    </w:p>
    <w:p w14:paraId="736775B9" w14:textId="77777777" w:rsidR="00332AE2" w:rsidRPr="000A61B8" w:rsidRDefault="00000000" w:rsidP="000A61B8">
      <w:pPr>
        <w:pStyle w:val="Heading2"/>
        <w:jc w:val="left"/>
      </w:pPr>
      <w:bookmarkStart w:id="14" w:name="_Toc232428856"/>
      <w:bookmarkStart w:id="15" w:name="_Toc232428898"/>
      <w:bookmarkStart w:id="16" w:name="_Toc232514244"/>
      <w:r w:rsidRPr="000A61B8">
        <w:t>2.3 Identification, ethical professionalism and the activist HR mindset</w:t>
      </w:r>
      <w:bookmarkEnd w:id="14"/>
      <w:bookmarkEnd w:id="15"/>
      <w:bookmarkEnd w:id="16"/>
    </w:p>
    <w:p w14:paraId="631C220E" w14:textId="62A1666C" w:rsidR="00332AE2" w:rsidRPr="000A61B8" w:rsidRDefault="007A01BF" w:rsidP="000A61B8">
      <w:pPr>
        <w:spacing w:after="160"/>
      </w:pPr>
      <w:r w:rsidRPr="000A61B8">
        <w:t xml:space="preserve">A warm welcome isn't enough to sustain identification. A decadal review is supported by </w:t>
      </w:r>
      <w:proofErr w:type="spellStart"/>
      <w:r w:rsidRPr="000A61B8">
        <w:t>organisational</w:t>
      </w:r>
      <w:proofErr w:type="spellEnd"/>
      <w:r w:rsidRPr="000A61B8">
        <w:t xml:space="preserve"> backing and effective communication, which foster identification and reduce turnover, and Helios should rely on a blueprint coupled with clear leadership and tangible recognition</w:t>
      </w:r>
      <w:r w:rsidR="002175DD" w:rsidRPr="000A61B8">
        <w:t xml:space="preserve"> </w:t>
      </w:r>
      <w:r w:rsidR="002175DD" w:rsidRPr="000A61B8">
        <w:fldChar w:fldCharType="begin" w:fldLock="1"/>
      </w:r>
      <w:r w:rsidR="002175DD" w:rsidRPr="000A61B8">
        <w:instrText>ADDIN CSL_CITATION {"citationItems":[{"id":"ITEM-1","itemData":{"author":[{"dropping-particle":"","family":"S","given":"Divya","non-dropping-particle":"","parse-names":false,"suffix":""},{"dropping-particle":"","family":"Christopher","given":"B. Prabu","non-dropping-particle":"","parse-names":false,"suffix":""}],"id":"ITEM-1","issued":{"date-parts":[["2024"]]},"title":"A decadal review of organizational identification: insights from bibliometric analysis and content analysis","type":"article-journal"},"uris":["http://www.mendeley.com/documents/?uuid=764c7cc5-3aa5-4f5b-8fe8-66d4cee56e93"]}],"mendeley":{"formattedCitation":"(S and Christopher, 2024)","plainTextFormattedCitation":"(S and Christopher, 2024)","previouslyFormattedCitation":"(S and Christopher, 2024)"},"properties":{"noteIndex":0},"schema":"https://github.com/citation-style-language/schema/raw/master/csl-citation.json"}</w:instrText>
      </w:r>
      <w:r w:rsidR="002175DD" w:rsidRPr="000A61B8">
        <w:fldChar w:fldCharType="separate"/>
      </w:r>
      <w:r w:rsidR="002175DD" w:rsidRPr="000A61B8">
        <w:rPr>
          <w:noProof/>
        </w:rPr>
        <w:t>(S and Christopher, 2024)</w:t>
      </w:r>
      <w:r w:rsidR="002175DD" w:rsidRPr="000A61B8">
        <w:fldChar w:fldCharType="end"/>
      </w:r>
      <w:r w:rsidRPr="000A61B8">
        <w:t>. In a firm that uses the data of the city, ethical professionalism needs to be designed in: If roles include data-ethics and responsible-AI expectations, then the ethics of integrity becomes a norm of the profession, and the literature on analytics warns against privacy, integrity, and algorithmic bias being risks that can and will occur unless they are deliberately addressed</w:t>
      </w:r>
      <w:r w:rsidR="002175DD" w:rsidRPr="000A61B8">
        <w:t xml:space="preserve"> </w:t>
      </w:r>
      <w:r w:rsidR="002175DD" w:rsidRPr="000A61B8">
        <w:fldChar w:fldCharType="begin" w:fldLock="1"/>
      </w:r>
      <w:r w:rsidR="002175DD" w:rsidRPr="000A61B8">
        <w:instrText>ADDIN CSL_CITATION {"citationItems":[{"id":"ITEM-1","itemData":{"ISSN":"2076-3387","abstract":"The advancement of data technology such as machine learning and artificial intelligence has broadened the scope of human resources (HR) analytics, commonly referred to as “people analytics.” This field has seen significant growth in recent years as organizations increasingly rely on algorithm-based predictive tools for HR-related decision making. However, its application in the public sector is not yet fully understood. This study examined the concepts and practices of HR analytics through a thematic review, and proposed a five-step process (define, collect, analyze, share, and reflect) for implementation in the public sector—the process aims to assist with the integration of HR analytics in public personnel management practices. By analyzing cases in both the public and private sectors, this study identified key lessons for functional areas such as workforce planning, recruitment, HR development, and performance management. This research also identified the necessary conditions for introducing HR analytics in public organizations, including data management, staff capabilities, and acceptance, and discussed the potential challenges of privacy, integrity, algorithmic bias, and publicness.","author":[{"dropping-particle":"","family":"Cho","given":"Wonhyuk","non-dropping-particle":"","parse-names":false,"suffix":""},{"dropping-particle":"","family":"Choi","given":"Seeyoung","non-dropping-particle":"","parse-names":false,"suffix":""},{"dropping-particle":"","family":"Choi","given":"Hemin","non-dropping-particle":"","parse-names":false,"suffix":""}],"container-title":"Administrative Sciences","id":"ITEM-1","issue":"2","issued":{"date-parts":[["2023","1","31"]]},"page":"41","title":"Human Resources Analytics for Public Personnel Management: Concepts, Cases, and Caveats","type":"article-journal","volume":"13"},"uris":["http://www.mendeley.com/documents/?uuid=5b6944a8-c359-4d8f-b7ea-76243986a398"]}],"mendeley":{"formattedCitation":"(Cho, Choi and Choi, 2023)","plainTextFormattedCitation":"(Cho, Choi and Choi, 2023)","previouslyFormattedCitation":"(Cho, Choi and Choi, 2023)"},"properties":{"noteIndex":0},"schema":"https://github.com/citation-style-language/schema/raw/master/csl-citation.json"}</w:instrText>
      </w:r>
      <w:r w:rsidR="002175DD" w:rsidRPr="000A61B8">
        <w:fldChar w:fldCharType="separate"/>
      </w:r>
      <w:r w:rsidR="002175DD" w:rsidRPr="000A61B8">
        <w:rPr>
          <w:noProof/>
        </w:rPr>
        <w:t>(Cho, Choi and Choi, 2023)</w:t>
      </w:r>
      <w:r w:rsidR="002175DD" w:rsidRPr="000A61B8">
        <w:fldChar w:fldCharType="end"/>
      </w:r>
      <w:r w:rsidRPr="000A61B8">
        <w:t>. The “business activist” mindset mirrors HR's transition from an administrative to a strategic function, and research about the HR business-partner function indicates that HRBPs are often responsible for championing internal corporate social responsibility, treating employees with responsibility</w:t>
      </w:r>
      <w:r w:rsidR="002175DD" w:rsidRPr="000A61B8">
        <w:t xml:space="preserve"> </w:t>
      </w:r>
      <w:r w:rsidR="002175DD" w:rsidRPr="000A61B8">
        <w:fldChar w:fldCharType="begin" w:fldLock="1"/>
      </w:r>
      <w:r w:rsidR="004E619B" w:rsidRPr="000A61B8">
        <w:instrText>ADDIN CSL_CITATION {"citationItems":[{"id":"ITEM-1","itemData":{"ISSN":"0167-2533","author":[{"dropping-particle":"","family":"Stankevičiūtė","given":"Živilė","non-dropping-particle":"","parse-names":false,"suffix":""},{"dropping-particle":"","family":"Kalvaitienė","given":"Justina","non-dropping-particle":"","parse-names":false,"suffix":""}],"container-title":"Human Systems Management","id":"ITEM-1","issue":"3","issued":{"date-parts":[["2023","5","17"]]},"page":"355-371","title":"Human resource business partner role in respect to internal corporate social responsibility: The case of banking sector","type":"article-journal","volume":"43"},"uris":["http://www.mendeley.com/documents/?uuid=7f80305a-716d-4a95-a02f-9e5e3e9aec5e"]}],"mendeley":{"formattedCitation":"(Stankevičiūtė and Kalvaitienė, 2023)","plainTextFormattedCitation":"(Stankevičiūtė and Kalvaitienė, 2023)","previouslyFormattedCitation":"(Stankevičiūtė and Kalvaitienė, 2023)"},"properties":{"noteIndex":0},"schema":"https://github.com/citation-style-language/schema/raw/master/csl-citation.json"}</w:instrText>
      </w:r>
      <w:r w:rsidR="002175DD" w:rsidRPr="000A61B8">
        <w:fldChar w:fldCharType="separate"/>
      </w:r>
      <w:r w:rsidR="002175DD" w:rsidRPr="000A61B8">
        <w:rPr>
          <w:noProof/>
        </w:rPr>
        <w:t>(Stankevičiūtė and Kalvaitienė, 2023)</w:t>
      </w:r>
      <w:r w:rsidR="002175DD" w:rsidRPr="000A61B8">
        <w:fldChar w:fldCharType="end"/>
      </w:r>
      <w:r w:rsidRPr="000A61B8">
        <w:t>. This is in line with stakeholder thinking, as the Business Roundtable's re-stated purpose is to create opportunities for communities and employees and not just shareholders</w:t>
      </w:r>
      <w:r w:rsidR="004E619B" w:rsidRPr="000A61B8">
        <w:t xml:space="preserve"> </w:t>
      </w:r>
      <w:r w:rsidR="004E619B" w:rsidRPr="000A61B8">
        <w:fldChar w:fldCharType="begin" w:fldLock="1"/>
      </w:r>
      <w:r w:rsidR="004E619B" w:rsidRPr="000A61B8">
        <w:instrText>ADDIN CSL_CITATION {"citationItems":[{"id":"ITEM-1","itemData":{"author":[{"dropping-particle":"","family":"BR","given":"","non-dropping-particle":"","parse-names":false,"suffix":""}],"id":"ITEM-1","issued":{"date-parts":[["2024"]]},"title":"Five Years On: Corporate Purpose and Profit","type":"article-journal"},"uris":["http://www.mendeley.com/documents/?uuid=bee47b4d-ed36-4b96-aae9-c733c18945f5"]}],"mendeley":{"formattedCitation":"(BR, 2024)","plainTextFormattedCitation":"(BR, 2024)","previouslyFormattedCitation":"(BR, 2024)"},"properties":{"noteIndex":0},"schema":"https://github.com/citation-style-language/schema/raw/master/csl-citation.json"}</w:instrText>
      </w:r>
      <w:r w:rsidR="004E619B" w:rsidRPr="000A61B8">
        <w:fldChar w:fldCharType="separate"/>
      </w:r>
      <w:r w:rsidR="004E619B" w:rsidRPr="000A61B8">
        <w:rPr>
          <w:noProof/>
        </w:rPr>
        <w:t>(BR, 2024)</w:t>
      </w:r>
      <w:r w:rsidR="004E619B" w:rsidRPr="000A61B8">
        <w:fldChar w:fldCharType="end"/>
      </w:r>
      <w:r w:rsidRPr="000A61B8">
        <w:t xml:space="preserve">. But, as Harrison, Phillips and </w:t>
      </w:r>
      <w:r w:rsidRPr="000A61B8">
        <w:lastRenderedPageBreak/>
        <w:t>Freeman warn, it is important that the idea of accountability must be backed by action, otherwise, such statements can be empty promises</w:t>
      </w:r>
      <w:r w:rsidR="004E619B" w:rsidRPr="000A61B8">
        <w:t xml:space="preserve"> </w:t>
      </w:r>
      <w:r w:rsidR="004E619B" w:rsidRPr="000A61B8">
        <w:fldChar w:fldCharType="begin" w:fldLock="1"/>
      </w:r>
      <w:r w:rsidR="004E619B" w:rsidRPr="000A61B8">
        <w:instrText>ADDIN CSL_CITATION {"citationItems":[{"id":"ITEM-1","itemData":{"ISSN":"0149-2063","abstract":"The Business Roundtable, a large group of top CEOs, recently issued a statement defining the purpose of the corporation in stakeholder terms, a direct and intended reversal from an earlier statement that defined the duty of directors as serving the interests of stockholders. In this editorial, we briefly describe the major twists and turns in the stockholders-versus-stakeholders debate that make this statement so significant to management theory and practice. We then describe the implications of the statement for scholars and practicing managers. We end with a description of three specific research topics that require more research in light of this statement: firm boundaries, the nature of value creation systems, and theory regarding the destruction of stakeholder value.","author":[{"dropping-particle":"","family":"Harrison","given":"Jeffrey S.","non-dropping-particle":"","parse-names":false,"suffix":""},{"dropping-particle":"","family":"Phillips","given":"Robert A.","non-dropping-particle":"","parse-names":false,"suffix":""},{"dropping-particle":"","family":"Freeman","given":"R. Edward","non-dropping-particle":"","parse-names":false,"suffix":""}],"container-title":"Journal of Management","id":"ITEM-1","issue":"7","issued":{"date-parts":[["2020","9","17"]]},"page":"1223-1237","title":"On the 2019 Business Roundtable “Statement on the Purpose of a Corporation”","type":"article-journal","volume":"46"},"uris":["http://www.mendeley.com/documents/?uuid=5f729b8d-5ca5-4d5d-8e53-a5bb61d0d4ca"]}],"mendeley":{"formattedCitation":"(Harrison, Phillips and Freeman, 2020)","plainTextFormattedCitation":"(Harrison, Phillips and Freeman, 2020)","previouslyFormattedCitation":"(Harrison, Phillips and Freeman, 2020)"},"properties":{"noteIndex":0},"schema":"https://github.com/citation-style-language/schema/raw/master/csl-citation.json"}</w:instrText>
      </w:r>
      <w:r w:rsidR="004E619B" w:rsidRPr="000A61B8">
        <w:fldChar w:fldCharType="separate"/>
      </w:r>
      <w:r w:rsidR="004E619B" w:rsidRPr="000A61B8">
        <w:rPr>
          <w:noProof/>
        </w:rPr>
        <w:t>(Harrison, Phillips and Freeman, 2020)</w:t>
      </w:r>
      <w:r w:rsidR="004E619B" w:rsidRPr="000A61B8">
        <w:fldChar w:fldCharType="end"/>
      </w:r>
      <w:r w:rsidRPr="000A61B8">
        <w:t xml:space="preserve">. Helios should therefore provide graduates with stakeholder impact goals, and a real voice, measured not simply announced – if these are included in </w:t>
      </w:r>
      <w:proofErr w:type="spellStart"/>
      <w:r w:rsidRPr="000A61B8">
        <w:t>socialisation</w:t>
      </w:r>
      <w:proofErr w:type="spellEnd"/>
      <w:r w:rsidRPr="000A61B8">
        <w:t xml:space="preserve">, then the new graduates will be committed citizens whose ethical and civic values are embedded in them, rather than being bolted on later, as capable citizens who are critical are quickly </w:t>
      </w:r>
      <w:proofErr w:type="spellStart"/>
      <w:r w:rsidRPr="000A61B8">
        <w:t>disaffirmative</w:t>
      </w:r>
      <w:proofErr w:type="spellEnd"/>
      <w:r w:rsidRPr="000A61B8">
        <w:t xml:space="preserve"> of the latter.</w:t>
      </w:r>
      <w:r w:rsidR="001352D7" w:rsidRPr="000A61B8">
        <w:t xml:space="preserve"> This means activism becomes a habit, rather than just one of the values that </w:t>
      </w:r>
      <w:proofErr w:type="spellStart"/>
      <w:r w:rsidR="001352D7" w:rsidRPr="000A61B8">
        <w:t>organisations</w:t>
      </w:r>
      <w:proofErr w:type="spellEnd"/>
      <w:r w:rsidR="001352D7" w:rsidRPr="000A61B8">
        <w:t xml:space="preserve"> say they have.</w:t>
      </w:r>
    </w:p>
    <w:p w14:paraId="495369FF" w14:textId="77777777" w:rsidR="00332AE2" w:rsidRPr="000A61B8" w:rsidRDefault="00000000" w:rsidP="000A61B8">
      <w:pPr>
        <w:pStyle w:val="Heading1"/>
        <w:jc w:val="left"/>
      </w:pPr>
      <w:bookmarkStart w:id="17" w:name="_Toc232428857"/>
      <w:bookmarkStart w:id="18" w:name="_Toc232428899"/>
      <w:bookmarkStart w:id="19" w:name="_Toc232514245"/>
      <w:r w:rsidRPr="000A61B8">
        <w:t>3. Task B: Job Design for Motivation and Innovation</w:t>
      </w:r>
      <w:bookmarkEnd w:id="17"/>
      <w:bookmarkEnd w:id="18"/>
      <w:bookmarkEnd w:id="19"/>
    </w:p>
    <w:p w14:paraId="20163F98" w14:textId="77777777" w:rsidR="00332AE2" w:rsidRPr="000A61B8" w:rsidRDefault="00000000" w:rsidP="000A61B8">
      <w:pPr>
        <w:pStyle w:val="Heading2"/>
        <w:jc w:val="left"/>
      </w:pPr>
      <w:bookmarkStart w:id="20" w:name="_Toc232428858"/>
      <w:bookmarkStart w:id="21" w:name="_Toc232428900"/>
      <w:bookmarkStart w:id="22" w:name="_Toc232514246"/>
      <w:r w:rsidRPr="000A61B8">
        <w:t>3.1 A motivational core: self-determination and job characteristics</w:t>
      </w:r>
      <w:bookmarkEnd w:id="20"/>
      <w:bookmarkEnd w:id="21"/>
      <w:bookmarkEnd w:id="22"/>
    </w:p>
    <w:p w14:paraId="10926989" w14:textId="05F56334" w:rsidR="00332AE2" w:rsidRPr="000A61B8" w:rsidRDefault="007A01BF" w:rsidP="000A61B8">
      <w:pPr>
        <w:spacing w:after="160"/>
      </w:pPr>
      <w:r w:rsidRPr="000A61B8">
        <w:t>Helios graduate attrition is partially a problem of motivation and job design can help. The spine comes from self-determination theory, and a recent meta-analysis by Deci et al. (2025) demonstrates that meeting autonomy, competence and relatedness leads to engagement, performance and satisfaction, whereas meeting needs frustration leads to burnout and turnover</w:t>
      </w:r>
      <w:r w:rsidR="004E619B" w:rsidRPr="000A61B8">
        <w:t xml:space="preserve"> </w:t>
      </w:r>
      <w:r w:rsidR="004E619B" w:rsidRPr="000A61B8">
        <w:fldChar w:fldCharType="begin" w:fldLock="1"/>
      </w:r>
      <w:r w:rsidR="004E619B" w:rsidRPr="000A61B8">
        <w:instrText>ADDIN CSL_CITATION {"citationItems":[{"id":"ITEM-1","itemData":{"ISSN":"2076-328X","abstract":"Adaptive workplace outcomes, such as employee work engagement, job performance, and satisfaction are positively associated with physical and psychological well-being, while maladaptive workplace outcomes, including work-related disengagement, dissatisfaction, stress, boredom, fatigue, and burnout, are negatively associated with well-being. Researchers have applied self-determination theory to identify key motivational correlates of these adaptive work-related determinants and outcomes. Research applying the theory has consistently indicated that autonomous forms of motivation and basic psychological need satisfaction are related to better employee performance, satisfaction, and engagement, while controlled forms of motivation and need frustration are associated with increased employee burnout and turnover. Forms of motivation have also been shown to mediate relations between need satisfaction and adaptive workplace outcomes. Despite support for these associations, a number of limitations in research in the field have been identified, which place limits on the inferences that can be drawn. Noted limitations encompass an over-reliance on single-occasion, correlational data; few fit-for-purpose tests of theory mechanisms; and a lack of consideration of key moderating variables. In the current conceptual review, we discuss these limitations in turn, with specific reference to examples from the extant research applying the theory in workplace contexts, and provide a series of recommendations we expect will set the agenda for future studies applying the theory in the workplace. Based on our review, we make three key recommendations: we stress the need for studies adopting experimental and longitudinal designs to permit better inferences (i.e., causal and directional), highlight the need for intervention research to explicitly test mediation effects to provide evidence for theory mechanisms, and outline some candidate moderators of theory effects, including workplace context, job type, pay structure, and causality orientations. We expect these recommendations to set an agenda for future research applying self-determination theory in workplace contexts with a view to filling the current evidence gaps and improving evidential quality.","author":[{"dropping-particle":"","family":"McAnally","given":"Kaylyn","non-dropping-particle":"","parse-names":false,"suffix":""},{"dropping-particle":"","family":"Hagger","given":"Martin S.","non-dropping-particle":"","parse-names":false,"suffix":""}],"container-title":"Behavioral Sciences","id":"ITEM-1","issue":"6","issued":{"date-parts":[["2024","5","22"]]},"page":"428","title":"Self-Determination Theory and Workplace Outcomes: A Conceptual Review and Future Research Directions","type":"article-journal","volume":"14"},"uris":["http://www.mendeley.com/documents/?uuid=9239bda1-fa1c-4274-8308-65b4d6d3b20e"]}],"mendeley":{"formattedCitation":"(McAnally and Hagger, 2024)","plainTextFormattedCitation":"(McAnally and Hagger, 2024)","previouslyFormattedCitation":"(McAnally and Hagger, 2024)"},"properties":{"noteIndex":0},"schema":"https://github.com/citation-style-language/schema/raw/master/csl-citation.json"}</w:instrText>
      </w:r>
      <w:r w:rsidR="004E619B" w:rsidRPr="000A61B8">
        <w:fldChar w:fldCharType="separate"/>
      </w:r>
      <w:r w:rsidR="004E619B" w:rsidRPr="000A61B8">
        <w:rPr>
          <w:noProof/>
        </w:rPr>
        <w:t>(McAnally and Hagger, 2024)</w:t>
      </w:r>
      <w:r w:rsidR="004E619B" w:rsidRPr="000A61B8">
        <w:fldChar w:fldCharType="end"/>
      </w:r>
      <w:r w:rsidRPr="000A61B8">
        <w:t>. The Job Characteristics Model by Hackman and Oldham translates this to the dimensions of job design: skill variety, task identity, task significance, autonomy and feedback increase meaning, responsibility and knowledge of results, a 2025 study confirms that these dimensions contribute to work engagement</w:t>
      </w:r>
      <w:r w:rsidR="004E619B" w:rsidRPr="000A61B8">
        <w:t xml:space="preserve"> </w:t>
      </w:r>
      <w:r w:rsidR="004E619B" w:rsidRPr="000A61B8">
        <w:fldChar w:fldCharType="begin" w:fldLock="1"/>
      </w:r>
      <w:r w:rsidR="004E619B" w:rsidRPr="000A61B8">
        <w:instrText>ADDIN CSL_CITATION {"citationItems":[{"id":"ITEM-1","itemData":{"ISSN":"1932-2054","abstract":"This paper investigates the factors influencing employees’ work engagement with focus on the experiences of employees in Slovenian and Malaysian organizations. Previous research has shown that the closer an employee's engagement is with an organization, the higher the employee's performance. To explore job characteristics that deliver employees’ work engagement, this study employs Hackman and Oldham's job characteristics model, focusing on the core elements of task identity, task significance, skill variety, feedback, and autonomy as a lens to investigate this phenomenon in two different countries. Data from organizations in Slovenia and Malaysia were gathered and analyzed using quantitative methodology. The findings highlight the fact that employees’ work engagement is not necessarily employee engagement; whereas the former examines engagement at the psychological level with an individual employee, the latter takes a broader approach in looking at factors that are also organizational. We find that work engagement is affected by job characteristics—task identity, task significance, skill variety, feedback, and autonomy—but these differ according to context, which we have shown can be in relation to the cultural setting of the organization. While in Slovenia, employees’ work engagement is influenced by skill variety and feedback (structure), in Malaysia, work engagement is affected by employees’ task identity and autonomy. These findings speak to a culture of direct communication in Slovenia as opposed to high</w:instrText>
      </w:r>
      <w:r w:rsidR="004E619B" w:rsidRPr="000A61B8">
        <w:rPr>
          <w:rFonts w:ascii="Cambria Math" w:hAnsi="Cambria Math" w:cs="Cambria Math"/>
        </w:rPr>
        <w:instrText>‐</w:instrText>
      </w:r>
      <w:r w:rsidR="004E619B" w:rsidRPr="000A61B8">
        <w:instrText>power distance that is often argued in Malaysian organizations. In practice, context must be considered when designing jobs and policies for managing human resources as employees find meaning in work through different job characteristics.","author":[{"dropping-particle":"","family":"Cotič","given":"Lea Pfajfar","non-dropping-particle":"","parse-names":false,"suffix":""},{"dropping-particle":"","family":"Man","given":"Mandy Mok Kim","non-dropping-particle":"","parse-names":false,"suffix":""},{"dropping-particle":"","family":"Soga","given":"Lebene Richmond","non-dropping-particle":"","parse-names":false,"suffix":""},{"dropping-particle":"","family":"Konstantopoulou","given":"Anastasia","non-dropping-particle":"","parse-names":false,"suffix":""},{"dropping-particle":"","family":"Lodorfos","given":"George","non-dropping-particle":"","parse-names":false,"suffix":""}],"container-title":"Global Business and Organizational Excellence","id":"ITEM-1","issue":"5","issued":{"date-parts":[["2025","7","25"]]},"page":"75-85","title":"Job Characteristics for Work Engagement: Autonomy, Feedback, Skill Variety, Task Identity, and Task Significance","type":"article-journal","volume":"44"},"uris":["http://www.mendeley.com/documents/?uuid=d36e4417-10c5-43d2-9657-85fe5eaeb73f"]}],"mendeley":{"formattedCitation":"(Cotič &lt;i&gt;et al.&lt;/i&gt;, 2025)","plainTextFormattedCitation":"(Cotič et al., 2025)","previouslyFormattedCitation":"(Cotič &lt;i&gt;et al.&lt;/i&gt;, 2025)"},"properties":{"noteIndex":0},"schema":"https://github.com/citation-style-language/schema/raw/master/csl-citation.json"}</w:instrText>
      </w:r>
      <w:r w:rsidR="004E619B" w:rsidRPr="000A61B8">
        <w:fldChar w:fldCharType="separate"/>
      </w:r>
      <w:r w:rsidR="004E619B" w:rsidRPr="000A61B8">
        <w:rPr>
          <w:noProof/>
        </w:rPr>
        <w:t xml:space="preserve">(Cotič </w:t>
      </w:r>
      <w:r w:rsidR="004E619B" w:rsidRPr="000A61B8">
        <w:rPr>
          <w:i/>
          <w:noProof/>
        </w:rPr>
        <w:t>et al.</w:t>
      </w:r>
      <w:r w:rsidR="004E619B" w:rsidRPr="000A61B8">
        <w:rPr>
          <w:noProof/>
        </w:rPr>
        <w:t>, 2025)</w:t>
      </w:r>
      <w:r w:rsidR="004E619B" w:rsidRPr="000A61B8">
        <w:fldChar w:fldCharType="end"/>
      </w:r>
      <w:r w:rsidRPr="000A61B8">
        <w:t>. The model is put into practice for Helios's engineers and analysts with autonomy over technical approach, end-to-end ownership of city deployments and feedback with live dashboards, as detailed in Table 2.</w:t>
      </w:r>
    </w:p>
    <w:p w14:paraId="5BE772E7" w14:textId="77777777" w:rsidR="00332AE2" w:rsidRPr="000A61B8" w:rsidRDefault="00000000" w:rsidP="000A61B8">
      <w:pPr>
        <w:pStyle w:val="Heading2"/>
        <w:jc w:val="left"/>
      </w:pPr>
      <w:bookmarkStart w:id="23" w:name="_Toc232428859"/>
      <w:bookmarkStart w:id="24" w:name="_Toc232428901"/>
      <w:bookmarkStart w:id="25" w:name="_Toc232514247"/>
      <w:r w:rsidRPr="000A61B8">
        <w:t>3.2 Job crafting and the limits of top-down design</w:t>
      </w:r>
      <w:bookmarkEnd w:id="23"/>
      <w:bookmarkEnd w:id="24"/>
      <w:bookmarkEnd w:id="25"/>
    </w:p>
    <w:p w14:paraId="592FE25B" w14:textId="5E4571B3" w:rsidR="00332AE2" w:rsidRPr="000A61B8" w:rsidRDefault="007A01BF" w:rsidP="000A61B8">
      <w:pPr>
        <w:spacing w:after="160"/>
      </w:pPr>
      <w:r w:rsidRPr="000A61B8">
        <w:t>Designed-in characteristics are important but fixed. Job crafting fills this by providing agency to employees in the following ways: Tims and Bakker's model describes the process of finding structural resources and challenges and the social resources as a way to engage employees in their jobs, which is reducing any impediments to effectiveness; and a time-lagged study found that engagement and job crafting were linked in a reinforcing gain spiral, increasing performance and well-being</w:t>
      </w:r>
      <w:r w:rsidR="004E619B" w:rsidRPr="000A61B8">
        <w:t xml:space="preserve"> </w:t>
      </w:r>
      <w:r w:rsidR="004E619B" w:rsidRPr="000A61B8">
        <w:fldChar w:fldCharType="begin" w:fldLock="1"/>
      </w:r>
      <w:r w:rsidR="004E619B" w:rsidRPr="000A61B8">
        <w:instrText>ADDIN CSL_CITATION {"citationItems":[{"id":"ITEM-1","itemData":{"ISSN":"1660-4601","abstract":"This time-lagged study, using the framework of the JD-R model, tested the mediating role of job crafting measuring: at T1, work engagement, workaholism and emotional exhaustion; at T2, job crafting; and, at T3, flourishing, job performance and job satisfaction. Respondents were 443 Spanish employees working in different companies. Results show that job crafting mediates the relationship between work engagement and some of its outcomes (job performance and flourishing). In particular, the job crafting component ‘increasing structural job resources’ mediates the positive effect of work engagement on flourishing and job performance, and the job crafting component ‘increasing challenging demands’ mediates the positive effect of work engagement on job performance. No job crafting mediation is found between work engagement and job satisfaction.","author":[{"dropping-particle":"","family":"Robledo","given":"Enrique","non-dropping-particle":"","parse-names":false,"suffix":""},{"dropping-particle":"","family":"Zappalà","given":"Salvatore","non-dropping-particle":"","parse-names":false,"suffix":""},{"dropping-particle":"","family":"Topa","given":"Gabriela","non-dropping-particle":"","parse-names":false,"suffix":""}],"container-title":"International Journal of Environmental Research and Public Health","id":"ITEM-1","issue":"8","issued":{"date-parts":[["2019","4","17"]]},"page":"1376","title":"Job Crafting as a Mediator between Work Engagement and Wellbeing Outcomes: A Time-Lagged Study","type":"article-journal","volume":"16"},"uris":["http://www.mendeley.com/documents/?uuid=35a221ec-6560-4c8c-a82d-f9c043a1e706"]}],"mendeley":{"formattedCitation":"(Robledo, Zappalà and Topa, 2019)","plainTextFormattedCitation":"(Robledo, Zappalà and Topa, 2019)","previouslyFormattedCitation":"(Robledo, Zappalà and Topa, 2019)"},"properties":{"noteIndex":0},"schema":"https://github.com/citation-style-language/schema/raw/master/csl-citation.json"}</w:instrText>
      </w:r>
      <w:r w:rsidR="004E619B" w:rsidRPr="000A61B8">
        <w:fldChar w:fldCharType="separate"/>
      </w:r>
      <w:r w:rsidR="004E619B" w:rsidRPr="000A61B8">
        <w:rPr>
          <w:noProof/>
        </w:rPr>
        <w:t>(Robledo, Zappalà and Topa, 2019)</w:t>
      </w:r>
      <w:r w:rsidR="004E619B" w:rsidRPr="000A61B8">
        <w:fldChar w:fldCharType="end"/>
      </w:r>
      <w:r w:rsidRPr="000A61B8">
        <w:t xml:space="preserve">. Helios needs to be able to create through workshops and </w:t>
      </w:r>
      <w:r w:rsidRPr="000A61B8">
        <w:lastRenderedPageBreak/>
        <w:t>flexible goals but with an added bit of "but" to that, if the difficulty is only lowered to "friendly" levels, user engagement and motivation will be reduced, and managers need to make sure they push towards resource acquisition and challenge acquisition. Job crafting therefore enhances autonomy and person–job fit, but if it is not managed and coordinated with other team members – and led by team</w:t>
      </w:r>
      <w:r w:rsidRPr="000A61B8">
        <w:rPr>
          <w:rFonts w:ascii="Cambria Math" w:hAnsi="Cambria Math" w:cs="Cambria Math"/>
        </w:rPr>
        <w:t>‐</w:t>
      </w:r>
      <w:r w:rsidRPr="000A61B8">
        <w:t>capable goals and coaching – it can lead to role fragmentation and inconsistencies within teams</w:t>
      </w:r>
      <w:r w:rsidR="004E619B" w:rsidRPr="000A61B8">
        <w:t xml:space="preserve"> </w:t>
      </w:r>
      <w:r w:rsidR="004E619B" w:rsidRPr="000A61B8">
        <w:fldChar w:fldCharType="begin" w:fldLock="1"/>
      </w:r>
      <w:r w:rsidR="004E619B" w:rsidRPr="000A61B8">
        <w:instrText>ADDIN CSL_CITATION {"citationItems":[{"id":"ITEM-1","itemData":{"ISSN":"2158-2440","abstract":"The goal of this study is to determine the function of work engagement as a mediating factor in the relationship between job crafting, task performance, and employability in the hospitality sector. A questionnaire was applied and participants were drawn from 209 hotel employees in İstanbul, and Kocaeli, Türkiye. To test these hypotheses, structural equation modeling was implemented. The findings show that job crafting is linked to employability and task performance positively. Furthermore, this research looks into the role of work engagement as a mediator in the links between job crafting, perceived employability and task performance. The findings reveal that there are considerable indirect effects, implying that work engagement is mediated. Thus, our results suggest that job crafting was a positive predictor of perceived employability and task performance and work engagement has a mediator role between those variables in the hospitality sector.","author":[{"dropping-particle":"","family":"Güçlü Nergiz","given":"Hatice","non-dropping-particle":"","parse-names":false,"suffix":""},{"dropping-particle":"","family":"Unsal-Akbiyik","given":"Banu S.","non-dropping-particle":"","parse-names":false,"suffix":""}],"container-title":"Sage Open","id":"ITEM-1","issue":"3","issued":{"date-parts":[["2024","7","13"]]},"title":"Job Crafting, Task Performance, and Employability: The Role of Work Engagement","type":"article-journal","volume":"14"},"uris":["http://www.mendeley.com/documents/?uuid=8fe8e596-6a5c-48f3-92b9-8d89bf2eab25"]}],"mendeley":{"formattedCitation":"(Güçlü Nergiz and Unsal-Akbiyik, 2024)","plainTextFormattedCitation":"(Güçlü Nergiz and Unsal-Akbiyik, 2024)","previouslyFormattedCitation":"(Güçlü Nergiz and Unsal-Akbiyik, 2024)"},"properties":{"noteIndex":0},"schema":"https://github.com/citation-style-language/schema/raw/master/csl-citation.json"}</w:instrText>
      </w:r>
      <w:r w:rsidR="004E619B" w:rsidRPr="000A61B8">
        <w:fldChar w:fldCharType="separate"/>
      </w:r>
      <w:r w:rsidR="004E619B" w:rsidRPr="000A61B8">
        <w:rPr>
          <w:noProof/>
        </w:rPr>
        <w:t>(Güçlü Nergiz and Unsal-Akbiyik, 2024)</w:t>
      </w:r>
      <w:r w:rsidR="004E619B" w:rsidRPr="000A61B8">
        <w:fldChar w:fldCharType="end"/>
      </w:r>
      <w:r w:rsidRPr="000A61B8">
        <w:t>.</w:t>
      </w:r>
    </w:p>
    <w:p w14:paraId="1D0BA01E" w14:textId="77777777" w:rsidR="00332AE2" w:rsidRPr="000A61B8" w:rsidRDefault="00000000" w:rsidP="000A61B8">
      <w:pPr>
        <w:pStyle w:val="Heading2"/>
        <w:jc w:val="left"/>
      </w:pPr>
      <w:bookmarkStart w:id="26" w:name="_Toc232428860"/>
      <w:bookmarkStart w:id="27" w:name="_Toc232428902"/>
      <w:bookmarkStart w:id="28" w:name="_Toc232514248"/>
      <w:r w:rsidRPr="000A61B8">
        <w:t>3.3 Skills-based architecture and an internal talent marketplace</w:t>
      </w:r>
      <w:bookmarkEnd w:id="26"/>
      <w:bookmarkEnd w:id="27"/>
      <w:bookmarkEnd w:id="28"/>
    </w:p>
    <w:p w14:paraId="3FDAC32E" w14:textId="76E0EAFC" w:rsidR="000A61B8" w:rsidRPr="000A61B8" w:rsidRDefault="00A341E1" w:rsidP="000A61B8">
      <w:pPr>
        <w:spacing w:after="160"/>
      </w:pPr>
      <w:r w:rsidRPr="000A61B8">
        <w:t>Helios needs to reengineer its job-based structure to a skills-based structure</w:t>
      </w:r>
      <w:r w:rsidR="004E619B" w:rsidRPr="000A61B8">
        <w:t xml:space="preserve"> </w:t>
      </w:r>
      <w:r w:rsidR="004E619B" w:rsidRPr="000A61B8">
        <w:fldChar w:fldCharType="begin" w:fldLock="1"/>
      </w:r>
      <w:r w:rsidR="004E619B" w:rsidRPr="000A61B8">
        <w:instrText>ADDIN CSL_CITATION {"citationItems":[{"id":"ITEM-1","itemData":{"author":[{"dropping-particle":"","family":"Eaton","given":"Kraig","non-dropping-particle":"","parse-names":false,"suffix":""},{"dropping-particle":"Van","family":"Durme","given":"Yves","non-dropping-particle":"","parse-names":false,"suffix":""},{"dropping-particle":"","family":"Poynton","given":"Shannon","non-dropping-particle":"","parse-names":false,"suffix":""},{"dropping-particle":"","family":"Cantrell","given":"Sue","non-dropping-particle":"","parse-names":false,"suffix":""},{"dropping-particle":"","family":"Weisz","given":"Karen","non-dropping-particle":"","parse-names":false,"suffix":""},{"dropping-particle":"","family":"Griffiths","given":"Michael","non-dropping-particle":"","parse-names":false,"suffix":""}],"id":"ITEM-1","issued":{"date-parts":[["2023"]]},"title":"Navigating the end of jobs","type":"article-journal"},"uris":["http://www.mendeley.com/documents/?uuid=15508606-4205-429b-bc8c-744498b5f63b"]}],"mendeley":{"formattedCitation":"(Eaton &lt;i&gt;et al.&lt;/i&gt;, 2023)","plainTextFormattedCitation":"(Eaton et al., 2023)","previouslyFormattedCitation":"(Eaton &lt;i&gt;et al.&lt;/i&gt;, 2023)"},"properties":{"noteIndex":0},"schema":"https://github.com/citation-style-language/schema/raw/master/csl-citation.json"}</w:instrText>
      </w:r>
      <w:r w:rsidR="004E619B" w:rsidRPr="000A61B8">
        <w:fldChar w:fldCharType="separate"/>
      </w:r>
      <w:r w:rsidR="004E619B" w:rsidRPr="000A61B8">
        <w:rPr>
          <w:noProof/>
        </w:rPr>
        <w:t xml:space="preserve">(Eaton </w:t>
      </w:r>
      <w:r w:rsidR="004E619B" w:rsidRPr="000A61B8">
        <w:rPr>
          <w:i/>
          <w:noProof/>
        </w:rPr>
        <w:t>et al.</w:t>
      </w:r>
      <w:r w:rsidR="004E619B" w:rsidRPr="000A61B8">
        <w:rPr>
          <w:noProof/>
        </w:rPr>
        <w:t>, 2023)</w:t>
      </w:r>
      <w:r w:rsidR="004E619B" w:rsidRPr="000A61B8">
        <w:fldChar w:fldCharType="end"/>
      </w:r>
      <w:r w:rsidRPr="000A61B8">
        <w:t xml:space="preserve">. By replacing degrees and titles with skills, the field of internal mobility, retention and </w:t>
      </w:r>
      <w:proofErr w:type="spellStart"/>
      <w:r w:rsidRPr="000A61B8">
        <w:t>customised</w:t>
      </w:r>
      <w:proofErr w:type="spellEnd"/>
      <w:r w:rsidRPr="000A61B8">
        <w:t xml:space="preserve"> development becomes possible, and graduates often lack the skills needed on arrival — a problem directly addressed by Helios' ramp-up solution</w:t>
      </w:r>
      <w:r w:rsidR="004E619B" w:rsidRPr="000A61B8">
        <w:t xml:space="preserve"> </w:t>
      </w:r>
      <w:r w:rsidR="004E619B" w:rsidRPr="000A61B8">
        <w:fldChar w:fldCharType="begin" w:fldLock="1"/>
      </w:r>
      <w:r w:rsidR="00A04665" w:rsidRPr="000A61B8">
        <w:instrText>ADDIN CSL_CITATION {"citationItems":[{"id":"ITEM-1","itemData":{"author":[{"dropping-particle":"","family":"McKinsey And Company","given":"","non-dropping-particle":"","parse-names":false,"suffix":""}],"id":"ITEM-1","issued":{"date-parts":[["2022"]]},"title":"Taking a skills-based approach to building the future workforce","type":"article-journal"},"uris":["http://www.mendeley.com/documents/?uuid=09e6d343-3896-4633-bb01-7294672159af"]}],"mendeley":{"formattedCitation":"(McKinsey And Company, 2022)","plainTextFormattedCitation":"(McKinsey And Company, 2022)","previouslyFormattedCitation":"(McKinsey And Company, 2022)"},"properties":{"noteIndex":0},"schema":"https://github.com/citation-style-language/schema/raw/master/csl-citation.json"}</w:instrText>
      </w:r>
      <w:r w:rsidR="004E619B" w:rsidRPr="000A61B8">
        <w:fldChar w:fldCharType="separate"/>
      </w:r>
      <w:r w:rsidR="004E619B" w:rsidRPr="000A61B8">
        <w:rPr>
          <w:noProof/>
        </w:rPr>
        <w:t>(McKinsey And Company, 2022)</w:t>
      </w:r>
      <w:r w:rsidR="004E619B" w:rsidRPr="000A61B8">
        <w:fldChar w:fldCharType="end"/>
      </w:r>
      <w:r w:rsidRPr="000A61B8">
        <w:t>. Adopted by an increasing percentage of companies, an in-house talent marketplace can help connect employees to live projects and opportunities that align with their skills and career goals, helping to foster mobility and retention. Three risks that need to be addressed instead of ignored — managers being reluctant to let go of talent, and skills data that "decay," is confirmed by research, which found employees are often unaware of internal projects that managers think may be available</w:t>
      </w:r>
      <w:r w:rsidR="00A04665" w:rsidRPr="000A61B8">
        <w:t xml:space="preserve"> </w:t>
      </w:r>
      <w:r w:rsidR="00A04665" w:rsidRPr="000A61B8">
        <w:fldChar w:fldCharType="begin" w:fldLock="1"/>
      </w:r>
      <w:r w:rsidR="00A04665" w:rsidRPr="000A61B8">
        <w:instrText>ADDIN CSL_CITATION {"citationItems":[{"id":"ITEM-1","itemData":{"author":[{"dropping-particle":"","family":"University of Phoenix","given":"","non-dropping-particle":"","parse-names":false,"suffix":""}],"id":"ITEM-1","issued":{"date-parts":[["2023"]]},"title":"University of Phoenix and Executive Networks Share Findings on Internal Talent Mobility as a New Business Imperative","type":"article-journal"},"uris":["http://www.mendeley.com/documents/?uuid=4acf5446-0d96-4ed9-ab94-af0a4245034b"]}],"mendeley":{"formattedCitation":"(University of Phoenix, 2023)","plainTextFormattedCitation":"(University of Phoenix, 2023)","previouslyFormattedCitation":"(University of Phoenix, 2023)"},"properties":{"noteIndex":0},"schema":"https://github.com/citation-style-language/schema/raw/master/csl-citation.json"}</w:instrText>
      </w:r>
      <w:r w:rsidR="00A04665" w:rsidRPr="000A61B8">
        <w:fldChar w:fldCharType="separate"/>
      </w:r>
      <w:r w:rsidR="00A04665" w:rsidRPr="000A61B8">
        <w:rPr>
          <w:noProof/>
        </w:rPr>
        <w:t>(University of Phoenix, 2023)</w:t>
      </w:r>
      <w:r w:rsidR="00A04665" w:rsidRPr="000A61B8">
        <w:fldChar w:fldCharType="end"/>
      </w:r>
      <w:r w:rsidRPr="000A61B8">
        <w:t xml:space="preserve">. So the marketplace only increases mobility when managers are motivated to let go of people who have talent and when the skills data is up-to-date, it fails quietly when managers cannot, or do not want to, release the best people or when data gets stale. Helios should therefore ensure that manager rewards are linked to sharing talent, that key but unsexy jobs are rotated and that the taxonomy of skills is updated regularly.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3360"/>
        <w:gridCol w:w="3300"/>
      </w:tblGrid>
      <w:tr w:rsidR="00332AE2" w:rsidRPr="000A61B8" w14:paraId="035DB56E" w14:textId="77777777" w:rsidTr="007A01BF">
        <w:tc>
          <w:tcPr>
            <w:tcW w:w="27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41C4B603" w14:textId="77777777" w:rsidR="00332AE2" w:rsidRPr="000A61B8" w:rsidRDefault="00000000" w:rsidP="000A61B8">
            <w:pPr>
              <w:rPr>
                <w:color w:val="000000"/>
              </w:rPr>
            </w:pPr>
            <w:r w:rsidRPr="000A61B8">
              <w:rPr>
                <w:b/>
                <w:bCs/>
                <w:color w:val="000000"/>
              </w:rPr>
              <w:t>Design lever</w:t>
            </w:r>
          </w:p>
        </w:tc>
        <w:tc>
          <w:tcPr>
            <w:tcW w:w="336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32876709" w14:textId="77777777" w:rsidR="00332AE2" w:rsidRPr="000A61B8" w:rsidRDefault="00000000" w:rsidP="000A61B8">
            <w:pPr>
              <w:rPr>
                <w:color w:val="000000"/>
              </w:rPr>
            </w:pPr>
            <w:r w:rsidRPr="000A61B8">
              <w:rPr>
                <w:b/>
                <w:bCs/>
                <w:color w:val="000000"/>
              </w:rPr>
              <w:t>Motivational basis</w:t>
            </w:r>
          </w:p>
        </w:tc>
        <w:tc>
          <w:tcPr>
            <w:tcW w:w="33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0F8884DC" w14:textId="77777777" w:rsidR="00332AE2" w:rsidRPr="000A61B8" w:rsidRDefault="00000000" w:rsidP="000A61B8">
            <w:pPr>
              <w:rPr>
                <w:color w:val="000000"/>
              </w:rPr>
            </w:pPr>
            <w:r w:rsidRPr="000A61B8">
              <w:rPr>
                <w:b/>
                <w:bCs/>
                <w:color w:val="000000"/>
              </w:rPr>
              <w:t>Helios application</w:t>
            </w:r>
          </w:p>
        </w:tc>
      </w:tr>
      <w:tr w:rsidR="00332AE2" w:rsidRPr="000A61B8" w14:paraId="575CD174" w14:textId="77777777">
        <w:tc>
          <w:tcPr>
            <w:tcW w:w="2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D05F7B5" w14:textId="77777777" w:rsidR="00332AE2" w:rsidRPr="000A61B8" w:rsidRDefault="00000000" w:rsidP="000A61B8">
            <w:r w:rsidRPr="000A61B8">
              <w:rPr>
                <w:color w:val="000000"/>
              </w:rPr>
              <w:t>Enriched role design</w:t>
            </w:r>
          </w:p>
        </w:tc>
        <w:tc>
          <w:tcPr>
            <w:tcW w:w="33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28FC9DD1" w14:textId="77777777" w:rsidR="00332AE2" w:rsidRPr="000A61B8" w:rsidRDefault="00000000" w:rsidP="000A61B8">
            <w:r w:rsidRPr="000A61B8">
              <w:rPr>
                <w:color w:val="000000"/>
              </w:rPr>
              <w:t>JCM: variety, identity, significance, autonomy, feedback</w:t>
            </w:r>
          </w:p>
        </w:tc>
        <w:tc>
          <w:tcPr>
            <w:tcW w:w="3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7E3F2434" w14:textId="77777777" w:rsidR="00332AE2" w:rsidRPr="000A61B8" w:rsidRDefault="00000000" w:rsidP="000A61B8">
            <w:r w:rsidRPr="000A61B8">
              <w:rPr>
                <w:color w:val="000000"/>
              </w:rPr>
              <w:t>End-to-end ownership of city deployments; live dashboards</w:t>
            </w:r>
          </w:p>
        </w:tc>
      </w:tr>
      <w:tr w:rsidR="00332AE2" w:rsidRPr="000A61B8" w14:paraId="4CDC4C57" w14:textId="77777777">
        <w:tc>
          <w:tcPr>
            <w:tcW w:w="2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EDC4501" w14:textId="77777777" w:rsidR="00332AE2" w:rsidRPr="000A61B8" w:rsidRDefault="00000000" w:rsidP="000A61B8">
            <w:r w:rsidRPr="000A61B8">
              <w:rPr>
                <w:color w:val="000000"/>
              </w:rPr>
              <w:lastRenderedPageBreak/>
              <w:t>Need satisfaction</w:t>
            </w:r>
          </w:p>
        </w:tc>
        <w:tc>
          <w:tcPr>
            <w:tcW w:w="33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350067E" w14:textId="77777777" w:rsidR="00332AE2" w:rsidRPr="000A61B8" w:rsidRDefault="00000000" w:rsidP="000A61B8">
            <w:r w:rsidRPr="000A61B8">
              <w:rPr>
                <w:color w:val="000000"/>
              </w:rPr>
              <w:t>SDT: autonomy, competence, relatedness</w:t>
            </w:r>
          </w:p>
        </w:tc>
        <w:tc>
          <w:tcPr>
            <w:tcW w:w="3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015BC0F" w14:textId="77777777" w:rsidR="00332AE2" w:rsidRPr="000A61B8" w:rsidRDefault="00000000" w:rsidP="000A61B8">
            <w:r w:rsidRPr="000A61B8">
              <w:rPr>
                <w:color w:val="000000"/>
              </w:rPr>
              <w:t>Choice over method; mastery pathways; cross-site teams</w:t>
            </w:r>
          </w:p>
        </w:tc>
      </w:tr>
      <w:tr w:rsidR="00332AE2" w:rsidRPr="000A61B8" w14:paraId="208FCEA3" w14:textId="77777777">
        <w:tc>
          <w:tcPr>
            <w:tcW w:w="2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A697BA0" w14:textId="77777777" w:rsidR="00332AE2" w:rsidRPr="000A61B8" w:rsidRDefault="00000000" w:rsidP="000A61B8">
            <w:r w:rsidRPr="000A61B8">
              <w:rPr>
                <w:color w:val="000000"/>
              </w:rPr>
              <w:t>Job crafting</w:t>
            </w:r>
          </w:p>
        </w:tc>
        <w:tc>
          <w:tcPr>
            <w:tcW w:w="33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7BB870AE" w14:textId="77777777" w:rsidR="00332AE2" w:rsidRPr="000A61B8" w:rsidRDefault="00000000" w:rsidP="000A61B8">
            <w:r w:rsidRPr="000A61B8">
              <w:rPr>
                <w:color w:val="000000"/>
              </w:rPr>
              <w:t>Proactive resource- and challenge-seeking</w:t>
            </w:r>
          </w:p>
        </w:tc>
        <w:tc>
          <w:tcPr>
            <w:tcW w:w="3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DC7AEF5" w14:textId="77777777" w:rsidR="00332AE2" w:rsidRPr="000A61B8" w:rsidRDefault="00000000" w:rsidP="000A61B8">
            <w:r w:rsidRPr="000A61B8">
              <w:rPr>
                <w:color w:val="000000"/>
              </w:rPr>
              <w:t>Crafting workshops; flexible objective-setting</w:t>
            </w:r>
          </w:p>
        </w:tc>
      </w:tr>
      <w:tr w:rsidR="00332AE2" w:rsidRPr="000A61B8" w14:paraId="4A5A5BB2" w14:textId="77777777">
        <w:tc>
          <w:tcPr>
            <w:tcW w:w="2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47F710C4" w14:textId="77777777" w:rsidR="00332AE2" w:rsidRPr="000A61B8" w:rsidRDefault="00000000" w:rsidP="000A61B8">
            <w:r w:rsidRPr="000A61B8">
              <w:rPr>
                <w:color w:val="000000"/>
              </w:rPr>
              <w:t>Skills marketplace</w:t>
            </w:r>
          </w:p>
        </w:tc>
        <w:tc>
          <w:tcPr>
            <w:tcW w:w="33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C4B08F7" w14:textId="77777777" w:rsidR="00332AE2" w:rsidRPr="000A61B8" w:rsidRDefault="00000000" w:rsidP="000A61B8">
            <w:r w:rsidRPr="000A61B8">
              <w:rPr>
                <w:color w:val="000000"/>
              </w:rPr>
              <w:t>Mobility, growth and skill recombination</w:t>
            </w:r>
          </w:p>
        </w:tc>
        <w:tc>
          <w:tcPr>
            <w:tcW w:w="3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5A3DCCD" w14:textId="77777777" w:rsidR="00332AE2" w:rsidRPr="000A61B8" w:rsidRDefault="00000000" w:rsidP="000A61B8">
            <w:r w:rsidRPr="000A61B8">
              <w:rPr>
                <w:color w:val="000000"/>
              </w:rPr>
              <w:t>Project matching across London, Berlin and Singapore</w:t>
            </w:r>
          </w:p>
        </w:tc>
      </w:tr>
    </w:tbl>
    <w:p w14:paraId="077C907D" w14:textId="3E040C38" w:rsidR="00332AE2" w:rsidRPr="000A61B8" w:rsidRDefault="00000000" w:rsidP="000A61B8">
      <w:pPr>
        <w:spacing w:before="60" w:after="200"/>
      </w:pPr>
      <w:r w:rsidRPr="000A61B8">
        <w:rPr>
          <w:i/>
          <w:iCs/>
          <w:sz w:val="20"/>
          <w:szCs w:val="20"/>
        </w:rPr>
        <w:t>Table 2: Translating motivation theory into Helios job design</w:t>
      </w:r>
    </w:p>
    <w:p w14:paraId="50BFB033" w14:textId="77777777" w:rsidR="00332AE2" w:rsidRPr="000A61B8" w:rsidRDefault="00000000" w:rsidP="000A61B8">
      <w:pPr>
        <w:pStyle w:val="Heading2"/>
        <w:jc w:val="left"/>
      </w:pPr>
      <w:bookmarkStart w:id="29" w:name="_Toc232428861"/>
      <w:bookmarkStart w:id="30" w:name="_Toc232428903"/>
      <w:bookmarkStart w:id="31" w:name="_Toc232514249"/>
      <w:r w:rsidRPr="000A61B8">
        <w:t>3.4 From motivation to innovation</w:t>
      </w:r>
      <w:bookmarkEnd w:id="29"/>
      <w:bookmarkEnd w:id="30"/>
      <w:bookmarkEnd w:id="31"/>
    </w:p>
    <w:p w14:paraId="7EDAAF4F" w14:textId="2DA3CAD9" w:rsidR="000A61B8" w:rsidRDefault="00A341E1" w:rsidP="000A61B8">
      <w:pPr>
        <w:spacing w:after="160"/>
      </w:pPr>
      <w:r w:rsidRPr="000A61B8">
        <w:t>These decisions make motivation into innovation. Helios' product has made its way into the world of exploration through need-satisfying, crafted and mobile roles, roles that grant the autonomy and mastery that motivate exploration, as does a study of autonomy and feedback, both of which are linked to everyday idea generation, on which Helios' product relies</w:t>
      </w:r>
      <w:r w:rsidR="00A04665" w:rsidRPr="000A61B8">
        <w:t xml:space="preserve"> </w:t>
      </w:r>
      <w:r w:rsidR="00A04665" w:rsidRPr="000A61B8">
        <w:fldChar w:fldCharType="begin" w:fldLock="1"/>
      </w:r>
      <w:r w:rsidR="00A04665" w:rsidRPr="000A61B8">
        <w:instrText>ADDIN CSL_CITATION {"citationItems":[{"id":"ITEM-1","itemData":{"ISSN":"2331-1975","author":[{"dropping-particle":"","family":"Suhandiah","given":"Sri","non-dropping-particle":"","parse-names":false,"suffix":""},{"dropping-particle":"","family":"Suhariadi","given":"Fendy","non-dropping-particle":"","parse-names":false,"suffix":""},{"dropping-particle":"","family":"Yulianti","given":"Praptini","non-dropping-particle":"","parse-names":false,"suffix":""},{"dropping-particle":"","family":"Abbas","given":"Ansar","non-dropping-particle":"","parse-names":false,"suffix":""}],"container-title":"Cogent Business &amp; Management","id":"ITEM-1","issue":"1","issued":{"date-parts":[["2023","12","31"]]},"title":"Autonomy and feedback on innovative work behavior: The role of resilience as a mediating factor in Indonesian Islamic banks","type":"article-journal","volume":"10"},"uris":["http://www.mendeley.com/documents/?uuid=7e938a09-b689-47fd-9ba7-90a8e2bc4745"]}],"mendeley":{"formattedCitation":"(Suhandiah &lt;i&gt;et al.&lt;/i&gt;, 2023)","plainTextFormattedCitation":"(Suhandiah et al., 2023)","previouslyFormattedCitation":"(Suhandiah &lt;i&gt;et al.&lt;/i&gt;, 2023)"},"properties":{"noteIndex":0},"schema":"https://github.com/citation-style-language/schema/raw/master/csl-citation.json"}</w:instrText>
      </w:r>
      <w:r w:rsidR="00A04665" w:rsidRPr="000A61B8">
        <w:fldChar w:fldCharType="separate"/>
      </w:r>
      <w:r w:rsidR="00A04665" w:rsidRPr="000A61B8">
        <w:rPr>
          <w:noProof/>
        </w:rPr>
        <w:t xml:space="preserve">(Suhandiah </w:t>
      </w:r>
      <w:r w:rsidR="00A04665" w:rsidRPr="000A61B8">
        <w:rPr>
          <w:i/>
          <w:noProof/>
        </w:rPr>
        <w:t>et al.</w:t>
      </w:r>
      <w:r w:rsidR="00A04665" w:rsidRPr="000A61B8">
        <w:rPr>
          <w:noProof/>
        </w:rPr>
        <w:t>, 2023)</w:t>
      </w:r>
      <w:r w:rsidR="00A04665" w:rsidRPr="000A61B8">
        <w:fldChar w:fldCharType="end"/>
      </w:r>
      <w:r w:rsidRPr="000A61B8">
        <w:t xml:space="preserve">. It's not additive, it's cumulative: an enriched design boosts the natural motivation, </w:t>
      </w:r>
      <w:proofErr w:type="spellStart"/>
      <w:r w:rsidRPr="000A61B8">
        <w:t>personalises</w:t>
      </w:r>
      <w:proofErr w:type="spellEnd"/>
      <w:r w:rsidRPr="000A61B8">
        <w:t xml:space="preserve"> it, and the marketplace expands this level of engagement throughout London, Berlin and Singapore. The central take for Helios is that job design is a strategic capability to be governed and measured, not an administrative tidying up; and Table 3 provides the indicators used to track the impact of job design. </w:t>
      </w:r>
      <w:r w:rsidR="00DB07F0" w:rsidRPr="000A61B8">
        <w:t>T</w:t>
      </w:r>
      <w:r w:rsidRPr="000A61B8">
        <w:t xml:space="preserve">he architecture is a way to support Helios in exploiting existing systems in a fast moving mobility market while simultaneously exploring new ones, the </w:t>
      </w:r>
      <w:proofErr w:type="spellStart"/>
      <w:r w:rsidRPr="000A61B8">
        <w:t>organisational</w:t>
      </w:r>
      <w:proofErr w:type="spellEnd"/>
      <w:r w:rsidRPr="000A61B8">
        <w:t xml:space="preserve"> ambidexterity required in such a market</w:t>
      </w:r>
      <w:r w:rsidR="00A04665" w:rsidRPr="000A61B8">
        <w:t xml:space="preserve"> </w:t>
      </w:r>
      <w:r w:rsidR="00A04665" w:rsidRPr="000A61B8">
        <w:fldChar w:fldCharType="begin" w:fldLock="1"/>
      </w:r>
      <w:r w:rsidR="00A04665" w:rsidRPr="000A61B8">
        <w:instrText>ADDIN CSL_CITATION {"citationItems":[{"id":"ITEM-1","itemData":{"ISSN":"1863-6683","author":[{"dropping-particle":"","family":"Saleh","given":"Rabab H.","non-dropping-particle":"","parse-names":false,"suffix":""},{"dropping-particle":"","family":"Durugbo","given":"Christopher M.","non-dropping-particle":"","parse-names":false,"suffix":""},{"dropping-particle":"","family":"Almahamid","given":"Soud M.","non-dropping-particle":"","parse-names":false,"suffix":""}],"container-title":"Review of Managerial Science","id":"ITEM-1","issue":"8","issued":{"date-parts":[["2023","11","22"]]},"page":"3013-3056","title":"What makes innovation ambidexterity manageable: a systematic review, multi-level model and future challenges","type":"article-journal","volume":"17"},"uris":["http://www.mendeley.com/documents/?uuid=731b9b04-f3f9-4142-a199-261494d8f698"]}],"mendeley":{"formattedCitation":"(Saleh, Durugbo and Almahamid, 2023)","plainTextFormattedCitation":"(Saleh, Durugbo and Almahamid, 2023)","previouslyFormattedCitation":"(Saleh, Durugbo and Almahamid, 2023)"},"properties":{"noteIndex":0},"schema":"https://github.com/citation-style-language/schema/raw/master/csl-citation.json"}</w:instrText>
      </w:r>
      <w:r w:rsidR="00A04665" w:rsidRPr="000A61B8">
        <w:fldChar w:fldCharType="separate"/>
      </w:r>
      <w:r w:rsidR="00A04665" w:rsidRPr="000A61B8">
        <w:rPr>
          <w:noProof/>
        </w:rPr>
        <w:t>(Saleh, Durugbo and Almahamid, 2023)</w:t>
      </w:r>
      <w:r w:rsidR="00A04665" w:rsidRPr="000A61B8">
        <w:fldChar w:fldCharType="end"/>
      </w:r>
      <w:r w:rsidRPr="000A61B8">
        <w:t>.</w:t>
      </w:r>
      <w:bookmarkStart w:id="32" w:name="_Toc232428862"/>
      <w:bookmarkStart w:id="33" w:name="_Toc232428904"/>
    </w:p>
    <w:p w14:paraId="38C2F189" w14:textId="467E85AA" w:rsidR="00332AE2" w:rsidRPr="000A61B8" w:rsidRDefault="00000000" w:rsidP="000A61B8">
      <w:pPr>
        <w:pStyle w:val="Heading2"/>
        <w:jc w:val="left"/>
      </w:pPr>
      <w:bookmarkStart w:id="34" w:name="_Toc232514250"/>
      <w:r w:rsidRPr="000A61B8">
        <w:t>3.5 Measuring the architecture</w:t>
      </w:r>
      <w:bookmarkEnd w:id="32"/>
      <w:bookmarkEnd w:id="33"/>
      <w:bookmarkEnd w:id="34"/>
    </w:p>
    <w:p w14:paraId="29B8E64B" w14:textId="423E8779" w:rsidR="00332AE2" w:rsidRPr="000A61B8" w:rsidRDefault="00A341E1" w:rsidP="000A61B8">
      <w:pPr>
        <w:spacing w:after="160"/>
      </w:pPr>
      <w:r w:rsidRPr="000A61B8">
        <w:t>Each lever is anchored to a measurable outcome in Table 3 on the outcome dashboard to maintain the accountability of the blueprint. These clues enable the Board to assess progress at known checkpoints against Helios' three presenting issues, and to take action at an early stage if targets are not being met.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1700"/>
        <w:gridCol w:w="2300"/>
        <w:gridCol w:w="2160"/>
      </w:tblGrid>
      <w:tr w:rsidR="00332AE2" w:rsidRPr="000A61B8" w14:paraId="327C68D0" w14:textId="77777777" w:rsidTr="007A01BF">
        <w:tc>
          <w:tcPr>
            <w:tcW w:w="32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356796B3" w14:textId="77777777" w:rsidR="00332AE2" w:rsidRPr="000A61B8" w:rsidRDefault="00000000" w:rsidP="000A61B8">
            <w:pPr>
              <w:rPr>
                <w:color w:val="000000"/>
              </w:rPr>
            </w:pPr>
            <w:r w:rsidRPr="000A61B8">
              <w:rPr>
                <w:b/>
                <w:bCs/>
                <w:color w:val="000000"/>
              </w:rPr>
              <w:lastRenderedPageBreak/>
              <w:t>Indicator</w:t>
            </w:r>
          </w:p>
        </w:tc>
        <w:tc>
          <w:tcPr>
            <w:tcW w:w="17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620D277E" w14:textId="77777777" w:rsidR="00332AE2" w:rsidRPr="000A61B8" w:rsidRDefault="00000000" w:rsidP="000A61B8">
            <w:pPr>
              <w:rPr>
                <w:color w:val="000000"/>
              </w:rPr>
            </w:pPr>
            <w:r w:rsidRPr="000A61B8">
              <w:rPr>
                <w:b/>
                <w:bCs/>
                <w:color w:val="000000"/>
              </w:rPr>
              <w:t>Baseline</w:t>
            </w:r>
          </w:p>
        </w:tc>
        <w:tc>
          <w:tcPr>
            <w:tcW w:w="230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2DB0FE24" w14:textId="77777777" w:rsidR="00332AE2" w:rsidRPr="000A61B8" w:rsidRDefault="00000000" w:rsidP="000A61B8">
            <w:pPr>
              <w:rPr>
                <w:color w:val="000000"/>
              </w:rPr>
            </w:pPr>
            <w:r w:rsidRPr="000A61B8">
              <w:rPr>
                <w:b/>
                <w:bCs/>
                <w:color w:val="000000"/>
              </w:rPr>
              <w:t>12-month target</w:t>
            </w:r>
          </w:p>
        </w:tc>
        <w:tc>
          <w:tcPr>
            <w:tcW w:w="2160" w:type="dxa"/>
            <w:tcBorders>
              <w:top w:val="single" w:sz="1" w:space="0" w:color="BFBFBF"/>
              <w:left w:val="single" w:sz="1" w:space="0" w:color="BFBFBF"/>
              <w:bottom w:val="single" w:sz="1" w:space="0" w:color="BFBFBF"/>
              <w:right w:val="single" w:sz="1" w:space="0" w:color="BFBFBF"/>
            </w:tcBorders>
            <w:tcMar>
              <w:top w:w="80" w:type="dxa"/>
              <w:left w:w="120" w:type="dxa"/>
              <w:bottom w:w="80" w:type="dxa"/>
              <w:right w:w="120" w:type="dxa"/>
            </w:tcMar>
          </w:tcPr>
          <w:p w14:paraId="7A127E18" w14:textId="77777777" w:rsidR="00332AE2" w:rsidRPr="000A61B8" w:rsidRDefault="00000000" w:rsidP="000A61B8">
            <w:pPr>
              <w:rPr>
                <w:color w:val="000000"/>
              </w:rPr>
            </w:pPr>
            <w:r w:rsidRPr="000A61B8">
              <w:rPr>
                <w:b/>
                <w:bCs/>
                <w:color w:val="000000"/>
              </w:rPr>
              <w:t>Cadence</w:t>
            </w:r>
          </w:p>
        </w:tc>
      </w:tr>
      <w:tr w:rsidR="00332AE2" w:rsidRPr="000A61B8" w14:paraId="3BF87C82" w14:textId="77777777">
        <w:tc>
          <w:tcPr>
            <w:tcW w:w="32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9CDC468" w14:textId="77777777" w:rsidR="00332AE2" w:rsidRPr="000A61B8" w:rsidRDefault="00000000" w:rsidP="000A61B8">
            <w:r w:rsidRPr="000A61B8">
              <w:rPr>
                <w:color w:val="000000"/>
              </w:rPr>
              <w:t>Time-to-full-productivity (ramp-up)</w:t>
            </w:r>
          </w:p>
        </w:tc>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5F4C99D" w14:textId="77777777" w:rsidR="00332AE2" w:rsidRPr="000A61B8" w:rsidRDefault="00000000" w:rsidP="000A61B8">
            <w:r w:rsidRPr="000A61B8">
              <w:rPr>
                <w:color w:val="000000"/>
              </w:rPr>
              <w:t>8 months</w:t>
            </w:r>
          </w:p>
        </w:tc>
        <w:tc>
          <w:tcPr>
            <w:tcW w:w="2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AE73ADD" w14:textId="77777777" w:rsidR="00332AE2" w:rsidRPr="000A61B8" w:rsidRDefault="00000000" w:rsidP="000A61B8">
            <w:r w:rsidRPr="000A61B8">
              <w:rPr>
                <w:color w:val="000000"/>
              </w:rPr>
              <w:t>4–5 months</w:t>
            </w:r>
          </w:p>
        </w:tc>
        <w:tc>
          <w:tcPr>
            <w:tcW w:w="21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43CA1E48" w14:textId="77777777" w:rsidR="00332AE2" w:rsidRPr="000A61B8" w:rsidRDefault="00000000" w:rsidP="000A61B8">
            <w:r w:rsidRPr="000A61B8">
              <w:rPr>
                <w:color w:val="000000"/>
              </w:rPr>
              <w:t>Monthly cohort</w:t>
            </w:r>
          </w:p>
        </w:tc>
      </w:tr>
      <w:tr w:rsidR="00332AE2" w:rsidRPr="000A61B8" w14:paraId="0A35EEEC" w14:textId="77777777">
        <w:tc>
          <w:tcPr>
            <w:tcW w:w="32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46CD6496" w14:textId="77777777" w:rsidR="00332AE2" w:rsidRPr="000A61B8" w:rsidRDefault="00000000" w:rsidP="000A61B8">
            <w:r w:rsidRPr="000A61B8">
              <w:rPr>
                <w:color w:val="000000"/>
              </w:rPr>
              <w:t>Employee engagement</w:t>
            </w:r>
          </w:p>
        </w:tc>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5098B4C5" w14:textId="77777777" w:rsidR="00332AE2" w:rsidRPr="000A61B8" w:rsidRDefault="00000000" w:rsidP="000A61B8">
            <w:r w:rsidRPr="000A61B8">
              <w:rPr>
                <w:color w:val="000000"/>
              </w:rPr>
              <w:t>54%</w:t>
            </w:r>
          </w:p>
        </w:tc>
        <w:tc>
          <w:tcPr>
            <w:tcW w:w="2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D5BC116" w14:textId="77777777" w:rsidR="00332AE2" w:rsidRPr="000A61B8" w:rsidRDefault="00000000" w:rsidP="000A61B8">
            <w:r w:rsidRPr="000A61B8">
              <w:rPr>
                <w:color w:val="000000"/>
              </w:rPr>
              <w:t>≥65%</w:t>
            </w:r>
          </w:p>
        </w:tc>
        <w:tc>
          <w:tcPr>
            <w:tcW w:w="21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40B2277" w14:textId="77777777" w:rsidR="00332AE2" w:rsidRPr="000A61B8" w:rsidRDefault="00000000" w:rsidP="000A61B8">
            <w:r w:rsidRPr="000A61B8">
              <w:rPr>
                <w:color w:val="000000"/>
              </w:rPr>
              <w:t>Annual survey</w:t>
            </w:r>
          </w:p>
        </w:tc>
      </w:tr>
      <w:tr w:rsidR="00332AE2" w:rsidRPr="000A61B8" w14:paraId="08DE5C53" w14:textId="77777777">
        <w:tc>
          <w:tcPr>
            <w:tcW w:w="32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521B9658" w14:textId="77777777" w:rsidR="00332AE2" w:rsidRPr="000A61B8" w:rsidRDefault="00000000" w:rsidP="000A61B8">
            <w:r w:rsidRPr="000A61B8">
              <w:rPr>
                <w:color w:val="000000"/>
              </w:rPr>
              <w:t>12-month graduate retention</w:t>
            </w:r>
          </w:p>
        </w:tc>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7639A2B" w14:textId="77777777" w:rsidR="00332AE2" w:rsidRPr="000A61B8" w:rsidRDefault="00000000" w:rsidP="000A61B8">
            <w:r w:rsidRPr="000A61B8">
              <w:rPr>
                <w:color w:val="000000"/>
              </w:rPr>
              <w:t>Not tracked</w:t>
            </w:r>
          </w:p>
        </w:tc>
        <w:tc>
          <w:tcPr>
            <w:tcW w:w="2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31E2230" w14:textId="77777777" w:rsidR="00332AE2" w:rsidRPr="000A61B8" w:rsidRDefault="00000000" w:rsidP="000A61B8">
            <w:r w:rsidRPr="000A61B8">
              <w:rPr>
                <w:color w:val="000000"/>
              </w:rPr>
              <w:t>≥90%</w:t>
            </w:r>
          </w:p>
        </w:tc>
        <w:tc>
          <w:tcPr>
            <w:tcW w:w="21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612589E" w14:textId="77777777" w:rsidR="00332AE2" w:rsidRPr="000A61B8" w:rsidRDefault="00000000" w:rsidP="000A61B8">
            <w:r w:rsidRPr="000A61B8">
              <w:rPr>
                <w:color w:val="000000"/>
              </w:rPr>
              <w:t>Quarterly</w:t>
            </w:r>
          </w:p>
        </w:tc>
      </w:tr>
      <w:tr w:rsidR="00332AE2" w:rsidRPr="000A61B8" w14:paraId="271E81D2" w14:textId="77777777">
        <w:tc>
          <w:tcPr>
            <w:tcW w:w="32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55889519" w14:textId="77777777" w:rsidR="00332AE2" w:rsidRPr="000A61B8" w:rsidRDefault="00000000" w:rsidP="000A61B8">
            <w:r w:rsidRPr="000A61B8">
              <w:rPr>
                <w:color w:val="000000"/>
              </w:rPr>
              <w:t>24-month graduate retention</w:t>
            </w:r>
          </w:p>
        </w:tc>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73CCBBB7" w14:textId="77777777" w:rsidR="00332AE2" w:rsidRPr="000A61B8" w:rsidRDefault="00000000" w:rsidP="000A61B8">
            <w:r w:rsidRPr="000A61B8">
              <w:rPr>
                <w:color w:val="000000"/>
              </w:rPr>
              <w:t>Not tracked</w:t>
            </w:r>
          </w:p>
        </w:tc>
        <w:tc>
          <w:tcPr>
            <w:tcW w:w="2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04A614E" w14:textId="77777777" w:rsidR="00332AE2" w:rsidRPr="000A61B8" w:rsidRDefault="00000000" w:rsidP="000A61B8">
            <w:r w:rsidRPr="000A61B8">
              <w:rPr>
                <w:color w:val="000000"/>
              </w:rPr>
              <w:t>≥80%</w:t>
            </w:r>
          </w:p>
        </w:tc>
        <w:tc>
          <w:tcPr>
            <w:tcW w:w="21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083B0B3" w14:textId="77777777" w:rsidR="00332AE2" w:rsidRPr="000A61B8" w:rsidRDefault="00000000" w:rsidP="000A61B8">
            <w:r w:rsidRPr="000A61B8">
              <w:rPr>
                <w:color w:val="000000"/>
              </w:rPr>
              <w:t>Bi-annual</w:t>
            </w:r>
          </w:p>
        </w:tc>
      </w:tr>
      <w:tr w:rsidR="00332AE2" w:rsidRPr="000A61B8" w14:paraId="7495DD4D" w14:textId="77777777">
        <w:tc>
          <w:tcPr>
            <w:tcW w:w="32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58671101" w14:textId="77777777" w:rsidR="00332AE2" w:rsidRPr="000A61B8" w:rsidRDefault="00000000" w:rsidP="000A61B8">
            <w:r w:rsidRPr="000A61B8">
              <w:rPr>
                <w:color w:val="000000"/>
              </w:rPr>
              <w:t>Internal mobility rate</w:t>
            </w:r>
          </w:p>
        </w:tc>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05044AA7" w14:textId="77777777" w:rsidR="00332AE2" w:rsidRPr="000A61B8" w:rsidRDefault="00000000" w:rsidP="000A61B8">
            <w:r w:rsidRPr="000A61B8">
              <w:rPr>
                <w:color w:val="000000"/>
              </w:rPr>
              <w:t>Not tracked</w:t>
            </w:r>
          </w:p>
        </w:tc>
        <w:tc>
          <w:tcPr>
            <w:tcW w:w="2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10B0A2BE" w14:textId="77777777" w:rsidR="00332AE2" w:rsidRPr="000A61B8" w:rsidRDefault="00000000" w:rsidP="000A61B8">
            <w:r w:rsidRPr="000A61B8">
              <w:rPr>
                <w:color w:val="000000"/>
              </w:rPr>
              <w:t>≥15% p.a.</w:t>
            </w:r>
          </w:p>
        </w:tc>
        <w:tc>
          <w:tcPr>
            <w:tcW w:w="21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35FFDBB" w14:textId="77777777" w:rsidR="00332AE2" w:rsidRPr="000A61B8" w:rsidRDefault="00000000" w:rsidP="000A61B8">
            <w:r w:rsidRPr="000A61B8">
              <w:rPr>
                <w:color w:val="000000"/>
              </w:rPr>
              <w:t>Annual</w:t>
            </w:r>
          </w:p>
        </w:tc>
      </w:tr>
      <w:tr w:rsidR="00332AE2" w:rsidRPr="000A61B8" w14:paraId="057FD8C1" w14:textId="77777777">
        <w:tc>
          <w:tcPr>
            <w:tcW w:w="32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457C22B" w14:textId="77777777" w:rsidR="00332AE2" w:rsidRPr="000A61B8" w:rsidRDefault="00000000" w:rsidP="000A61B8">
            <w:r w:rsidRPr="000A61B8">
              <w:rPr>
                <w:color w:val="000000"/>
              </w:rPr>
              <w:t>Onboarding feedback (30/60/90)</w:t>
            </w:r>
          </w:p>
        </w:tc>
        <w:tc>
          <w:tcPr>
            <w:tcW w:w="17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25C0B461" w14:textId="77777777" w:rsidR="00332AE2" w:rsidRPr="000A61B8" w:rsidRDefault="00000000" w:rsidP="000A61B8">
            <w:r w:rsidRPr="000A61B8">
              <w:rPr>
                <w:color w:val="000000"/>
              </w:rPr>
              <w:t>Not tracked</w:t>
            </w:r>
          </w:p>
        </w:tc>
        <w:tc>
          <w:tcPr>
            <w:tcW w:w="230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6CD4AF06" w14:textId="77777777" w:rsidR="00332AE2" w:rsidRPr="000A61B8" w:rsidRDefault="00000000" w:rsidP="000A61B8">
            <w:r w:rsidRPr="000A61B8">
              <w:rPr>
                <w:color w:val="000000"/>
              </w:rPr>
              <w:t>≥4/5</w:t>
            </w:r>
          </w:p>
        </w:tc>
        <w:tc>
          <w:tcPr>
            <w:tcW w:w="2160" w:type="dxa"/>
            <w:tcBorders>
              <w:top w:val="single" w:sz="1" w:space="0" w:color="BFBFBF"/>
              <w:left w:val="single" w:sz="1" w:space="0" w:color="BFBFBF"/>
              <w:bottom w:val="single" w:sz="1" w:space="0" w:color="BFBFBF"/>
              <w:right w:val="single" w:sz="1" w:space="0" w:color="BFBFBF"/>
            </w:tcBorders>
            <w:shd w:val="clear" w:color="auto" w:fill="FFFFFF"/>
            <w:tcMar>
              <w:top w:w="80" w:type="dxa"/>
              <w:left w:w="120" w:type="dxa"/>
              <w:bottom w:w="80" w:type="dxa"/>
              <w:right w:w="120" w:type="dxa"/>
            </w:tcMar>
          </w:tcPr>
          <w:p w14:paraId="364B6574" w14:textId="77777777" w:rsidR="00332AE2" w:rsidRPr="000A61B8" w:rsidRDefault="00000000" w:rsidP="000A61B8">
            <w:r w:rsidRPr="000A61B8">
              <w:rPr>
                <w:color w:val="000000"/>
              </w:rPr>
              <w:t>Quarterly</w:t>
            </w:r>
          </w:p>
        </w:tc>
      </w:tr>
    </w:tbl>
    <w:p w14:paraId="14AB0DC7" w14:textId="739DF22A" w:rsidR="00332AE2" w:rsidRPr="000A61B8" w:rsidRDefault="00000000" w:rsidP="000A61B8">
      <w:pPr>
        <w:spacing w:before="60" w:after="200"/>
      </w:pPr>
      <w:r w:rsidRPr="000A61B8">
        <w:rPr>
          <w:i/>
          <w:iCs/>
          <w:sz w:val="20"/>
          <w:szCs w:val="20"/>
        </w:rPr>
        <w:t>Table 3: Outcome dashboard for the human capital blueprint</w:t>
      </w:r>
    </w:p>
    <w:p w14:paraId="013C3E79" w14:textId="1001D353" w:rsidR="00332AE2" w:rsidRPr="000A61B8" w:rsidRDefault="00A341E1" w:rsidP="000A61B8">
      <w:pPr>
        <w:spacing w:after="160"/>
      </w:pPr>
      <w:r w:rsidRPr="000A61B8">
        <w:t>The HR business partner is responsible for the dashboard, which is reported to the Board quarterly, and line managers are responsible for measures related to ramping up and onboarding feedback, as well as the people-analytics lead responsible for engagement and mobility data, and talent acquisition for the retention tracker: This division matters because evidence-based HR comes not from data collection, but from the discipline to act on them</w:t>
      </w:r>
      <w:r w:rsidR="00A04665" w:rsidRPr="000A61B8">
        <w:t xml:space="preserve"> </w:t>
      </w:r>
      <w:r w:rsidR="00A04665" w:rsidRPr="000A61B8">
        <w:fldChar w:fldCharType="begin" w:fldLock="1"/>
      </w:r>
      <w:r w:rsidR="00A04665" w:rsidRPr="000A61B8">
        <w:instrText>ADDIN CSL_CITATION {"citationItems":[{"id":"ITEM-1","itemData":{"ISSN":"1534-4843","abstract":"Although people analytics is a fast-emerging field with importance to HRD, HRD researchers still lack a comprehensive understanding of it. This study examines the current body of knowledge in people analytics through the lens of human resource (HR) development by performing an integrative literature review of 91 articles. This study identifies five categories of knowledge: (1) definitions and boundaries of terms, (2) building blocks of people analytics in organizations, (3) types of analytics, (4) ethical issues related to people analytics, and (5) applications of people analytics to the HRD field. This study makes theoretical and practical contributions to the field of HR development by exploring the current state of people analytics and people analytics’ application to HR development practice. It also enhances scholars’ understanding of people analytics within HR development boundaries and provides insights for future research. Finally, this study provides practical guidance for HR development practitioners seeking to leverage people analytics in their work.","author":[{"dropping-particle":"","family":"Lee","given":"Jae Young","non-dropping-particle":"","parse-names":false,"suffix":""},{"dropping-particle":"","family":"Lee","given":"Yunsoo","non-dropping-particle":"","parse-names":false,"suffix":""}],"container-title":"Human Resource Development Review","id":"ITEM-1","issue":"1","issued":{"date-parts":[["2024","3","2"]]},"page":"58-87","title":"Integrative Literature Review on People Analytics and Implications From the Perspective of Human Resource Development","type":"article-journal","volume":"23"},"uris":["http://www.mendeley.com/documents/?uuid=834bf4ee-cc97-496a-bb59-a3d07558591a"]}],"mendeley":{"formattedCitation":"(Lee and Lee, 2024)","plainTextFormattedCitation":"(Lee and Lee, 2024)","previouslyFormattedCitation":"(Lee and Lee, 2024)"},"properties":{"noteIndex":0},"schema":"https://github.com/citation-style-language/schema/raw/master/csl-citation.json"}</w:instrText>
      </w:r>
      <w:r w:rsidR="00A04665" w:rsidRPr="000A61B8">
        <w:fldChar w:fldCharType="separate"/>
      </w:r>
      <w:r w:rsidR="00A04665" w:rsidRPr="000A61B8">
        <w:rPr>
          <w:noProof/>
        </w:rPr>
        <w:t>(Lee and Lee, 2024)</w:t>
      </w:r>
      <w:r w:rsidR="00A04665" w:rsidRPr="000A61B8">
        <w:fldChar w:fldCharType="end"/>
      </w:r>
      <w:r w:rsidRPr="000A61B8">
        <w:t>. In the event of a missed target, Helios should conduct a structured review instead of just repeating the goal, pinpointing the cause from 30/60/90 and exit interview data, test a targeted countermeasure in the impacted population or site, and re-measure at the next review date before scaling up: If one is missing or failing to engage or retain regularly, then there is a need to reconsider the fundamentals of the lever rather than making small changes.</w:t>
      </w:r>
    </w:p>
    <w:p w14:paraId="7F355DC1" w14:textId="77777777" w:rsidR="00332AE2" w:rsidRPr="000A61B8" w:rsidRDefault="00000000" w:rsidP="000A61B8">
      <w:pPr>
        <w:pStyle w:val="Heading1"/>
        <w:jc w:val="left"/>
      </w:pPr>
      <w:bookmarkStart w:id="35" w:name="_Toc232428863"/>
      <w:bookmarkStart w:id="36" w:name="_Toc232428905"/>
      <w:bookmarkStart w:id="37" w:name="_Toc232514251"/>
      <w:r w:rsidRPr="000A61B8">
        <w:t>4. Task C: Reflective Report</w:t>
      </w:r>
      <w:bookmarkEnd w:id="35"/>
      <w:bookmarkEnd w:id="36"/>
      <w:bookmarkEnd w:id="37"/>
    </w:p>
    <w:p w14:paraId="3D5A9EFD" w14:textId="77777777" w:rsidR="00332AE2" w:rsidRPr="000A61B8" w:rsidRDefault="00000000" w:rsidP="000A61B8">
      <w:pPr>
        <w:pStyle w:val="Heading2"/>
        <w:jc w:val="left"/>
      </w:pPr>
      <w:bookmarkStart w:id="38" w:name="_Toc232428864"/>
      <w:bookmarkStart w:id="39" w:name="_Toc232428906"/>
      <w:bookmarkStart w:id="40" w:name="_Toc232514252"/>
      <w:r w:rsidRPr="000A61B8">
        <w:t>4.1 Augmenting, not outsourcing, human judgement</w:t>
      </w:r>
      <w:bookmarkEnd w:id="38"/>
      <w:bookmarkEnd w:id="39"/>
      <w:bookmarkEnd w:id="40"/>
    </w:p>
    <w:p w14:paraId="58922840" w14:textId="73EB39C3" w:rsidR="00332AE2" w:rsidRPr="000A61B8" w:rsidRDefault="007A01BF" w:rsidP="000A61B8">
      <w:pPr>
        <w:spacing w:after="160"/>
      </w:pPr>
      <w:r w:rsidRPr="000A61B8">
        <w:lastRenderedPageBreak/>
        <w:t>I will use AI to complement and not replace my judgment. The HR literature has a new phrase for that: automation to augmentation, whereby AI takes care of pattern finding and the human players make contextual and ethical decisions in a human-</w:t>
      </w:r>
      <w:proofErr w:type="spellStart"/>
      <w:r w:rsidRPr="000A61B8">
        <w:t>centred</w:t>
      </w:r>
      <w:proofErr w:type="spellEnd"/>
      <w:r w:rsidRPr="000A61B8">
        <w:t xml:space="preserve"> model of the HR model</w:t>
      </w:r>
      <w:r w:rsidR="00A04665" w:rsidRPr="000A61B8">
        <w:t xml:space="preserve"> </w:t>
      </w:r>
      <w:r w:rsidR="00A04665" w:rsidRPr="000A61B8">
        <w:fldChar w:fldCharType="begin" w:fldLock="1"/>
      </w:r>
      <w:r w:rsidR="00A04665" w:rsidRPr="000A61B8">
        <w:instrText>ADDIN CSL_CITATION {"citationItems":[{"id":"ITEM-1","itemData":{"ISBN":"9789220428610","author":[{"dropping-particle":"","family":"Berg","given":"Janine","non-dropping-particle":"","parse-names":false,"suffix":""},{"dropping-particle":"","family":"Johnston","given":"Hannah","non-dropping-particle":"","parse-names":false,"suffix":""}],"id":"ITEM-1","issued":{"date-parts":[["2025"]]},"publisher":"ILO","publisher-place":"Geneva","title":"AI in human resource management","type":"book"},"uris":["http://www.mendeley.com/documents/?uuid=431d6c91-c851-482e-b9b8-9eab678138b6"]}],"mendeley":{"formattedCitation":"(Berg and Johnston, 2025)","plainTextFormattedCitation":"(Berg and Johnston, 2025)","previouslyFormattedCitation":"(Berg and Johnston, 2025)"},"properties":{"noteIndex":0},"schema":"https://github.com/citation-style-language/schema/raw/master/csl-citation.json"}</w:instrText>
      </w:r>
      <w:r w:rsidR="00A04665" w:rsidRPr="000A61B8">
        <w:fldChar w:fldCharType="separate"/>
      </w:r>
      <w:r w:rsidR="00A04665" w:rsidRPr="000A61B8">
        <w:rPr>
          <w:noProof/>
        </w:rPr>
        <w:t>(Berg and Johnston, 2025)</w:t>
      </w:r>
      <w:r w:rsidR="00A04665" w:rsidRPr="000A61B8">
        <w:fldChar w:fldCharType="end"/>
      </w:r>
      <w:r w:rsidRPr="000A61B8">
        <w:t>. This is important because people often react differently to AI: some studies indicate that having humans in the loop reduces the risk of bias and promotes procedural justice when making decisions with AI systems, and others point to what has been called algorithm aversion-joy, which refers to the tendency to rely excessively on AI for difficult decisions while giving up on it once a visible mistake occurs. For myself, my downside is a lack of critical evaluation of the quantitative output of a clean AI system. So, my protection is to treat the recommendations I'm given on selecting or exiting from a human being as a hypothesis that I wish to test, have an individual in the loop for choices that involve people, and record my reasoning for each call. Another profound finding from the systematic evidence on AI in HRM is that algorithms can decrease certain biases and increase others, making oversight essential</w:t>
      </w:r>
      <w:r w:rsidR="00A04665" w:rsidRPr="000A61B8">
        <w:t xml:space="preserve"> </w:t>
      </w:r>
      <w:r w:rsidR="00A04665" w:rsidRPr="000A61B8">
        <w:fldChar w:fldCharType="begin" w:fldLock="1"/>
      </w:r>
      <w:r w:rsidR="00A04665" w:rsidRPr="000A61B8">
        <w:instrText>ADDIN CSL_CITATION {"citationItems":[{"id":"ITEM-1","itemData":{"ISSN":"2444569X","author":[{"dropping-particle":"","family":"Úbeda-García","given":"Mercedes","non-dropping-particle":"","parse-names":false,"suffix":""},{"dropping-particle":"","family":"Marco-Lajara","given":"Bartolomé","non-dropping-particle":"","parse-names":false,"suffix":""},{"dropping-particle":"","family":"Zaragoza-Sáez","given":"Patrocinio C.","non-dropping-particle":"","parse-names":false,"suffix":""},{"dropping-particle":"","family":"Poveda-Pareja","given":"Esther","non-dropping-particle":"","parse-names":false,"suffix":""}],"container-title":"Journal of Innovation &amp; Knowledge","id":"ITEM-1","issue":"6","issued":{"date-parts":[["2025","11"]]},"page":"100809","title":"Artificial intelligence, knowledge and human resource management: A systematic literature review of theoretical tensions and strategic implications","type":"article-journal","volume":"10"},"uris":["http://www.mendeley.com/documents/?uuid=2c5b8dbf-89fe-48d1-b45f-4a8d8d13793d"]}],"mendeley":{"formattedCitation":"(Úbeda-García &lt;i&gt;et al.&lt;/i&gt;, 2025)","plainTextFormattedCitation":"(Úbeda-García et al., 2025)","previouslyFormattedCitation":"(Úbeda-García &lt;i&gt;et al.&lt;/i&gt;, 2025)"},"properties":{"noteIndex":0},"schema":"https://github.com/citation-style-language/schema/raw/master/csl-citation.json"}</w:instrText>
      </w:r>
      <w:r w:rsidR="00A04665" w:rsidRPr="000A61B8">
        <w:fldChar w:fldCharType="separate"/>
      </w:r>
      <w:r w:rsidR="00A04665" w:rsidRPr="000A61B8">
        <w:rPr>
          <w:noProof/>
        </w:rPr>
        <w:t xml:space="preserve">(Úbeda-García </w:t>
      </w:r>
      <w:r w:rsidR="00A04665" w:rsidRPr="000A61B8">
        <w:rPr>
          <w:i/>
          <w:noProof/>
        </w:rPr>
        <w:t>et al.</w:t>
      </w:r>
      <w:r w:rsidR="00A04665" w:rsidRPr="000A61B8">
        <w:rPr>
          <w:noProof/>
        </w:rPr>
        <w:t>, 2025)</w:t>
      </w:r>
      <w:r w:rsidR="00A04665" w:rsidRPr="000A61B8">
        <w:fldChar w:fldCharType="end"/>
      </w:r>
      <w:r w:rsidRPr="000A61B8">
        <w:t>. A bigger hazard that I need to be aware of is automation complacency, where a convenient suggestion surreptitiously supplants investigation, and so also labeling that bias is a safeguard. In other words, while AI can assist HR decision making, it can re-create and even exacerbate bias when humans are lax in their monitoring, and an examination of the ethics of AI in HRM says that bias and privacy issues continue to plague algorithmic decision making unless firms use explainable models and incorporate human oversight</w:t>
      </w:r>
      <w:r w:rsidR="00A04665" w:rsidRPr="000A61B8">
        <w:t xml:space="preserve"> </w:t>
      </w:r>
      <w:r w:rsidR="00A04665" w:rsidRPr="000A61B8">
        <w:fldChar w:fldCharType="begin" w:fldLock="1"/>
      </w:r>
      <w:r w:rsidR="00A04665" w:rsidRPr="000A61B8">
        <w:instrText>ADDIN CSL_CITATION {"citationItems":[{"id":"ITEM-1","itemData":{"ISSN":"0958-5192","author":[{"dropping-particle":"","family":"Soleimani","given":"Melika","non-dropping-particle":"","parse-names":false,"suffix":""},{"dropping-particle":"","family":"Intezari","given":"Ali","non-dropping-particle":"","parse-names":false,"suffix":""},{"dropping-particle":"","family":"Arrowsmith","given":"James","non-dropping-particle":"","parse-names":false,"suffix":""},{"dropping-particle":"","family":"Pauleen","given":"David J.","non-dropping-particle":"","parse-names":false,"suffix":""},{"dropping-particle":"","family":"Taskin","given":"Nazim","non-dropping-particle":"","parse-names":false,"suffix":""}],"container-title":"The International Journal of Human Resource Management","id":"ITEM-1","issue":"14","issued":{"date-parts":[["2025","8","6"]]},"page":"2480-2515","title":"Reducing AI bias in recruitment and selection: an integrative grounded approach","type":"article-journal","volume":"36"},"uris":["http://www.mendeley.com/documents/?uuid=39e7ad81-1d45-446d-88e6-2ae01634f953"]}],"mendeley":{"formattedCitation":"(Soleimani &lt;i&gt;et al.&lt;/i&gt;, 2025)","plainTextFormattedCitation":"(Soleimani et al., 2025)","previouslyFormattedCitation":"(Soleimani &lt;i&gt;et al.&lt;/i&gt;, 2025)"},"properties":{"noteIndex":0},"schema":"https://github.com/citation-style-language/schema/raw/master/csl-citation.json"}</w:instrText>
      </w:r>
      <w:r w:rsidR="00A04665" w:rsidRPr="000A61B8">
        <w:fldChar w:fldCharType="separate"/>
      </w:r>
      <w:r w:rsidR="00A04665" w:rsidRPr="000A61B8">
        <w:rPr>
          <w:noProof/>
        </w:rPr>
        <w:t xml:space="preserve">(Soleimani </w:t>
      </w:r>
      <w:r w:rsidR="00A04665" w:rsidRPr="000A61B8">
        <w:rPr>
          <w:i/>
          <w:noProof/>
        </w:rPr>
        <w:t>et al.</w:t>
      </w:r>
      <w:r w:rsidR="00A04665" w:rsidRPr="000A61B8">
        <w:rPr>
          <w:noProof/>
        </w:rPr>
        <w:t>, 2025)</w:t>
      </w:r>
      <w:r w:rsidR="00A04665" w:rsidRPr="000A61B8">
        <w:fldChar w:fldCharType="end"/>
      </w:r>
      <w:r w:rsidRPr="000A61B8">
        <w:t xml:space="preserve">. </w:t>
      </w:r>
    </w:p>
    <w:p w14:paraId="7A1EFF01" w14:textId="77777777" w:rsidR="00332AE2" w:rsidRPr="000A61B8" w:rsidRDefault="00000000" w:rsidP="000A61B8">
      <w:pPr>
        <w:pStyle w:val="Heading2"/>
        <w:jc w:val="left"/>
      </w:pPr>
      <w:bookmarkStart w:id="41" w:name="_Toc232428865"/>
      <w:bookmarkStart w:id="42" w:name="_Toc232428907"/>
      <w:bookmarkStart w:id="43" w:name="_Toc232514253"/>
      <w:r w:rsidRPr="000A61B8">
        <w:t>4.2 A personal capability development plan</w:t>
      </w:r>
      <w:bookmarkEnd w:id="41"/>
      <w:bookmarkEnd w:id="42"/>
      <w:bookmarkEnd w:id="43"/>
    </w:p>
    <w:p w14:paraId="1229CED0" w14:textId="7BD018F1" w:rsidR="00332AE2" w:rsidRPr="000A61B8" w:rsidRDefault="007A01BF" w:rsidP="000A61B8">
      <w:pPr>
        <w:spacing w:after="160"/>
      </w:pPr>
      <w:r w:rsidRPr="000A61B8">
        <w:t>I have four capabilities and I'm working from a realistic understanding of what I am incapable of. For data literacy, I will be able to read basic dashboards but feel fairly uncertain about predictive people-analytics; thus, I will be working on open datasets, doing some work with people analytics, and will look for feedback from a mentor on a monthly basis on how I am interpreting the data</w:t>
      </w:r>
      <w:r w:rsidR="00A04665" w:rsidRPr="000A61B8">
        <w:t xml:space="preserve"> </w:t>
      </w:r>
      <w:r w:rsidR="00A04665" w:rsidRPr="000A61B8">
        <w:fldChar w:fldCharType="begin" w:fldLock="1"/>
      </w:r>
      <w:r w:rsidR="00A04665" w:rsidRPr="000A61B8">
        <w:instrText>ADDIN CSL_CITATION {"citationItems":[{"id":"ITEM-1","itemData":{"author":[{"dropping-particle":"","family":"World Economic Forum","given":"","non-dropping-particle":"","parse-names":false,"suffix":""}],"id":"ITEM-1","issued":{"date-parts":[["2025"]]},"title":"The Future of Jobs Report 2025","type":"article-journal"},"uris":["http://www.mendeley.com/documents/?uuid=c38495fc-b14b-41fd-8310-117bba072b98"]}],"mendeley":{"formattedCitation":"(World Economic Forum, 2025)","plainTextFormattedCitation":"(World Economic Forum, 2025)","previouslyFormattedCitation":"(World Economic Forum, 2025)"},"properties":{"noteIndex":0},"schema":"https://github.com/citation-style-language/schema/raw/master/csl-citation.json"}</w:instrText>
      </w:r>
      <w:r w:rsidR="00A04665" w:rsidRPr="000A61B8">
        <w:fldChar w:fldCharType="separate"/>
      </w:r>
      <w:r w:rsidR="00A04665" w:rsidRPr="000A61B8">
        <w:rPr>
          <w:noProof/>
        </w:rPr>
        <w:t>(World Economic Forum, 2025)</w:t>
      </w:r>
      <w:r w:rsidR="00A04665" w:rsidRPr="000A61B8">
        <w:fldChar w:fldCharType="end"/>
      </w:r>
      <w:r w:rsidRPr="000A61B8">
        <w:t xml:space="preserve">. In HR, I am not able to audit for bias, so I would need to wait and take part in a live audit, and go through responsible-AI training before using any tool for a selection decision. For </w:t>
      </w:r>
      <w:r w:rsidRPr="000A61B8">
        <w:lastRenderedPageBreak/>
        <w:t>strategic influencing I will work on presenting data and increase my time on a higher and higher level of influencing stretch presentations by ensuring an executive sponsor to get closer to the role of a strategic partner. My experience with global mobility is primarily a one-country experience, and I will work towards developing comparative employment-law and cross-cultural competencies across Helios' London, Berlin and Singapore locations via structured virtual rotation, seeing each location as a constant, ongoing, lifetime learning experience and reviewing progress with each quarter.</w:t>
      </w:r>
    </w:p>
    <w:p w14:paraId="68EFC85E" w14:textId="77777777" w:rsidR="00332AE2" w:rsidRPr="000A61B8" w:rsidRDefault="00000000" w:rsidP="000A61B8">
      <w:pPr>
        <w:pStyle w:val="Heading1"/>
        <w:jc w:val="left"/>
      </w:pPr>
      <w:bookmarkStart w:id="44" w:name="_Toc232428866"/>
      <w:bookmarkStart w:id="45" w:name="_Toc232428908"/>
      <w:bookmarkStart w:id="46" w:name="_Toc232514254"/>
      <w:r w:rsidRPr="000A61B8">
        <w:t>5. Conclusion</w:t>
      </w:r>
      <w:bookmarkEnd w:id="44"/>
      <w:bookmarkEnd w:id="45"/>
      <w:bookmarkEnd w:id="46"/>
    </w:p>
    <w:p w14:paraId="51E6B0F0" w14:textId="08D89E3E" w:rsidR="00A04665" w:rsidRPr="000A61B8" w:rsidRDefault="007A01BF" w:rsidP="000A61B8">
      <w:pPr>
        <w:spacing w:after="160"/>
      </w:pPr>
      <w:r w:rsidRPr="000A61B8">
        <w:t xml:space="preserve">Helios is not a </w:t>
      </w:r>
      <w:proofErr w:type="spellStart"/>
      <w:r w:rsidRPr="000A61B8">
        <w:t>programme</w:t>
      </w:r>
      <w:proofErr w:type="spellEnd"/>
      <w:r w:rsidRPr="000A61B8">
        <w:t xml:space="preserve"> that needs to be renewed, it needs an architecture that is more coherent. Reconstructing entry as identity work creates engaged, ethical and activist citizens; re-imagining work as job crafting and the skills marketplace unleashes intrinsic motivation and innovation that the firm sells; and augmenting human-judgement with carefully modified and controlled AI ensures fairness and competence. These moves need to be one unified system, with clear indicators of success, and they can help to shorten the ramp-up, speed engagement, and hold the graduates who are the future of Helios.</w:t>
      </w:r>
    </w:p>
    <w:p w14:paraId="793B5CA7" w14:textId="77777777" w:rsidR="00A04665" w:rsidRPr="000A61B8" w:rsidRDefault="00A04665" w:rsidP="000A61B8">
      <w:r w:rsidRPr="000A61B8">
        <w:br w:type="page"/>
      </w:r>
    </w:p>
    <w:p w14:paraId="68A82624" w14:textId="15CC110B" w:rsidR="00A04665" w:rsidRPr="000A61B8" w:rsidRDefault="00A04665" w:rsidP="000A61B8">
      <w:pPr>
        <w:pStyle w:val="Heading1"/>
      </w:pPr>
      <w:bookmarkStart w:id="47" w:name="_Toc232514255"/>
      <w:r w:rsidRPr="000A61B8">
        <w:lastRenderedPageBreak/>
        <w:t>6. References</w:t>
      </w:r>
      <w:bookmarkEnd w:id="47"/>
    </w:p>
    <w:p w14:paraId="152B9E79" w14:textId="72684512" w:rsidR="00C6022D" w:rsidRPr="000A61B8" w:rsidRDefault="00C6022D" w:rsidP="000A61B8">
      <w:pPr>
        <w:widowControl w:val="0"/>
        <w:autoSpaceDE w:val="0"/>
        <w:autoSpaceDN w:val="0"/>
        <w:adjustRightInd w:val="0"/>
        <w:spacing w:after="160"/>
        <w:rPr>
          <w:noProof/>
        </w:rPr>
      </w:pPr>
      <w:r w:rsidRPr="000A61B8">
        <w:fldChar w:fldCharType="begin" w:fldLock="1"/>
      </w:r>
      <w:r w:rsidRPr="000A61B8">
        <w:instrText xml:space="preserve">ADDIN Mendeley Bibliography CSL_BIBLIOGRAPHY </w:instrText>
      </w:r>
      <w:r w:rsidRPr="000A61B8">
        <w:fldChar w:fldCharType="separate"/>
      </w:r>
      <w:r w:rsidRPr="000A61B8">
        <w:rPr>
          <w:noProof/>
        </w:rPr>
        <w:t xml:space="preserve">Afshari, L. (2023) “Identification through meaning-making: identity enactment towards organizational commitment,” </w:t>
      </w:r>
      <w:r w:rsidRPr="000A61B8">
        <w:rPr>
          <w:i/>
          <w:iCs/>
          <w:noProof/>
        </w:rPr>
        <w:t>Human Resource Development International</w:t>
      </w:r>
      <w:r w:rsidRPr="000A61B8">
        <w:rPr>
          <w:noProof/>
        </w:rPr>
        <w:t xml:space="preserve">, 26(1), pp. 7–28. Available at: </w:t>
      </w:r>
      <w:hyperlink r:id="rId11" w:history="1">
        <w:r w:rsidRPr="000A61B8">
          <w:rPr>
            <w:rStyle w:val="Hyperlink"/>
            <w:noProof/>
          </w:rPr>
          <w:t>https://www.tandfonline.com/doi/abs/10.1080/13678868.2021.1996171</w:t>
        </w:r>
      </w:hyperlink>
    </w:p>
    <w:p w14:paraId="456B4DB7" w14:textId="0D2D2FE2" w:rsidR="00C6022D" w:rsidRPr="000A61B8" w:rsidRDefault="00C6022D" w:rsidP="000A61B8">
      <w:pPr>
        <w:widowControl w:val="0"/>
        <w:autoSpaceDE w:val="0"/>
        <w:autoSpaceDN w:val="0"/>
        <w:adjustRightInd w:val="0"/>
        <w:spacing w:after="160"/>
        <w:rPr>
          <w:noProof/>
        </w:rPr>
      </w:pPr>
      <w:r w:rsidRPr="000A61B8">
        <w:rPr>
          <w:noProof/>
        </w:rPr>
        <w:t xml:space="preserve">Bauer, T.N. </w:t>
      </w:r>
      <w:r w:rsidRPr="000A61B8">
        <w:rPr>
          <w:i/>
          <w:iCs/>
          <w:noProof/>
        </w:rPr>
        <w:t>et al.</w:t>
      </w:r>
      <w:r w:rsidRPr="000A61B8">
        <w:rPr>
          <w:noProof/>
        </w:rPr>
        <w:t xml:space="preserve"> (2025) “New Horizons for Newcomer Organizational Socialization: A Review, Meta-Analysis, and Future Research Directions,” </w:t>
      </w:r>
      <w:r w:rsidRPr="000A61B8">
        <w:rPr>
          <w:i/>
          <w:iCs/>
          <w:noProof/>
        </w:rPr>
        <w:t>Journal of Management</w:t>
      </w:r>
      <w:r w:rsidRPr="000A61B8">
        <w:rPr>
          <w:noProof/>
        </w:rPr>
        <w:t xml:space="preserve">, 51(1), pp. 344–382. Available at: </w:t>
      </w:r>
      <w:hyperlink r:id="rId12" w:history="1">
        <w:r w:rsidRPr="000A61B8">
          <w:rPr>
            <w:rStyle w:val="Hyperlink"/>
            <w:noProof/>
          </w:rPr>
          <w:t>https://journals.sagepub.com/doi/10.1177/01492063241277168</w:t>
        </w:r>
      </w:hyperlink>
    </w:p>
    <w:p w14:paraId="40914371" w14:textId="07E2F47C" w:rsidR="00C6022D" w:rsidRPr="000A61B8" w:rsidRDefault="00C6022D" w:rsidP="000A61B8">
      <w:pPr>
        <w:widowControl w:val="0"/>
        <w:autoSpaceDE w:val="0"/>
        <w:autoSpaceDN w:val="0"/>
        <w:adjustRightInd w:val="0"/>
        <w:spacing w:after="160"/>
        <w:rPr>
          <w:noProof/>
        </w:rPr>
      </w:pPr>
      <w:r w:rsidRPr="000A61B8">
        <w:rPr>
          <w:noProof/>
        </w:rPr>
        <w:t xml:space="preserve">Berg, J. and Johnston, H. (2025) </w:t>
      </w:r>
      <w:r w:rsidRPr="000A61B8">
        <w:rPr>
          <w:i/>
          <w:iCs/>
          <w:noProof/>
        </w:rPr>
        <w:t>AI in human resource management</w:t>
      </w:r>
      <w:r w:rsidRPr="000A61B8">
        <w:rPr>
          <w:noProof/>
        </w:rPr>
        <w:t xml:space="preserve">. Geneva: ILO. Available at: </w:t>
      </w:r>
      <w:hyperlink r:id="rId13" w:history="1">
        <w:r w:rsidRPr="000A61B8">
          <w:rPr>
            <w:rStyle w:val="Hyperlink"/>
            <w:noProof/>
          </w:rPr>
          <w:t>https://researchrepository.ilo.org/esploro/outputs/encyclopediaEntry/995677773002676</w:t>
        </w:r>
      </w:hyperlink>
    </w:p>
    <w:p w14:paraId="1FD5175A" w14:textId="3FDC9F5C" w:rsidR="00C6022D" w:rsidRPr="000A61B8" w:rsidRDefault="00C6022D" w:rsidP="000A61B8">
      <w:pPr>
        <w:widowControl w:val="0"/>
        <w:autoSpaceDE w:val="0"/>
        <w:autoSpaceDN w:val="0"/>
        <w:adjustRightInd w:val="0"/>
        <w:spacing w:after="160"/>
        <w:rPr>
          <w:noProof/>
        </w:rPr>
      </w:pPr>
      <w:r w:rsidRPr="000A61B8">
        <w:rPr>
          <w:noProof/>
        </w:rPr>
        <w:t xml:space="preserve">BR (2024) “Five Years On: Corporate Purpose and Profit.” Available at: </w:t>
      </w:r>
      <w:hyperlink r:id="rId14" w:history="1">
        <w:r w:rsidRPr="000A61B8">
          <w:rPr>
            <w:rStyle w:val="Hyperlink"/>
            <w:noProof/>
          </w:rPr>
          <w:t>https://www.businessroundtable.org/five-years-on-corporate-purpose-and-profit</w:t>
        </w:r>
      </w:hyperlink>
    </w:p>
    <w:p w14:paraId="4CED8E3E" w14:textId="7BD0CB81" w:rsidR="00C6022D" w:rsidRPr="000A61B8" w:rsidRDefault="00C6022D" w:rsidP="000A61B8">
      <w:pPr>
        <w:widowControl w:val="0"/>
        <w:autoSpaceDE w:val="0"/>
        <w:autoSpaceDN w:val="0"/>
        <w:adjustRightInd w:val="0"/>
        <w:spacing w:after="160"/>
        <w:rPr>
          <w:noProof/>
        </w:rPr>
      </w:pPr>
      <w:r w:rsidRPr="000A61B8">
        <w:rPr>
          <w:noProof/>
        </w:rPr>
        <w:t xml:space="preserve">Cho, W., Choi, S. and Choi, H. (2023) “Human Resources Analytics for Public Personnel Management: Concepts, Cases, and Caveats,” </w:t>
      </w:r>
      <w:r w:rsidRPr="000A61B8">
        <w:rPr>
          <w:i/>
          <w:iCs/>
          <w:noProof/>
        </w:rPr>
        <w:t>Administrative Sciences</w:t>
      </w:r>
      <w:r w:rsidRPr="000A61B8">
        <w:rPr>
          <w:noProof/>
        </w:rPr>
        <w:t xml:space="preserve">, 13(2), p. 41. Available at: </w:t>
      </w:r>
      <w:hyperlink r:id="rId15" w:history="1">
        <w:r w:rsidRPr="000A61B8">
          <w:rPr>
            <w:rStyle w:val="Hyperlink"/>
            <w:noProof/>
          </w:rPr>
          <w:t>https://www.mdpi.com/2076-3387/13/2/41</w:t>
        </w:r>
      </w:hyperlink>
    </w:p>
    <w:p w14:paraId="5076C35A" w14:textId="03AF64B5" w:rsidR="00C6022D" w:rsidRPr="000A61B8" w:rsidRDefault="00C6022D" w:rsidP="000A61B8">
      <w:pPr>
        <w:widowControl w:val="0"/>
        <w:autoSpaceDE w:val="0"/>
        <w:autoSpaceDN w:val="0"/>
        <w:adjustRightInd w:val="0"/>
        <w:spacing w:after="160"/>
        <w:rPr>
          <w:noProof/>
        </w:rPr>
      </w:pPr>
      <w:r w:rsidRPr="000A61B8">
        <w:rPr>
          <w:noProof/>
        </w:rPr>
        <w:t xml:space="preserve">Cotič, L.P. </w:t>
      </w:r>
      <w:r w:rsidRPr="000A61B8">
        <w:rPr>
          <w:i/>
          <w:iCs/>
          <w:noProof/>
        </w:rPr>
        <w:t>et al.</w:t>
      </w:r>
      <w:r w:rsidRPr="000A61B8">
        <w:rPr>
          <w:noProof/>
        </w:rPr>
        <w:t xml:space="preserve"> (2025) “Job Characteristics for Work Engagement: Autonomy, Feedback, Skill Variety, Task Identity, and Task Significance,” </w:t>
      </w:r>
      <w:r w:rsidRPr="000A61B8">
        <w:rPr>
          <w:i/>
          <w:iCs/>
          <w:noProof/>
        </w:rPr>
        <w:t>Global Business and Organizational Excellence</w:t>
      </w:r>
      <w:r w:rsidRPr="000A61B8">
        <w:rPr>
          <w:noProof/>
        </w:rPr>
        <w:t xml:space="preserve">, 44(5), pp. 75–85. Available at: </w:t>
      </w:r>
      <w:hyperlink r:id="rId16" w:history="1">
        <w:r w:rsidRPr="000A61B8">
          <w:rPr>
            <w:rStyle w:val="Hyperlink"/>
            <w:noProof/>
          </w:rPr>
          <w:t>https://onlinelibrary.wiley.com/doi/10.1002/joe.22295</w:t>
        </w:r>
      </w:hyperlink>
    </w:p>
    <w:p w14:paraId="773143EF" w14:textId="0B15682C" w:rsidR="00C6022D" w:rsidRPr="000A61B8" w:rsidRDefault="00C6022D" w:rsidP="000A61B8">
      <w:pPr>
        <w:widowControl w:val="0"/>
        <w:autoSpaceDE w:val="0"/>
        <w:autoSpaceDN w:val="0"/>
        <w:adjustRightInd w:val="0"/>
        <w:spacing w:after="160"/>
        <w:rPr>
          <w:noProof/>
        </w:rPr>
      </w:pPr>
      <w:r w:rsidRPr="000A61B8">
        <w:rPr>
          <w:noProof/>
        </w:rPr>
        <w:t xml:space="preserve">Didion, E. </w:t>
      </w:r>
      <w:r w:rsidRPr="000A61B8">
        <w:rPr>
          <w:i/>
          <w:iCs/>
          <w:noProof/>
        </w:rPr>
        <w:t>et al.</w:t>
      </w:r>
      <w:r w:rsidRPr="000A61B8">
        <w:rPr>
          <w:noProof/>
        </w:rPr>
        <w:t xml:space="preserve"> (2024) “Mapping the organizational socialization and onboarding literature: a bibliometric analysis of the field,” </w:t>
      </w:r>
      <w:r w:rsidRPr="000A61B8">
        <w:rPr>
          <w:i/>
          <w:iCs/>
          <w:noProof/>
        </w:rPr>
        <w:t>Cogent Business &amp; Management</w:t>
      </w:r>
      <w:r w:rsidRPr="000A61B8">
        <w:rPr>
          <w:noProof/>
        </w:rPr>
        <w:t xml:space="preserve">, 11(1). Available at: </w:t>
      </w:r>
      <w:hyperlink r:id="rId17" w:history="1">
        <w:r w:rsidRPr="000A61B8">
          <w:rPr>
            <w:rStyle w:val="Hyperlink"/>
            <w:noProof/>
          </w:rPr>
          <w:t>https://www.tandfonline.com/doi/full/10.1080/23311975.2024.2337957</w:t>
        </w:r>
      </w:hyperlink>
    </w:p>
    <w:p w14:paraId="38082BC6" w14:textId="22CF5327" w:rsidR="00C6022D" w:rsidRPr="000A61B8" w:rsidRDefault="00C6022D" w:rsidP="000A61B8">
      <w:pPr>
        <w:widowControl w:val="0"/>
        <w:autoSpaceDE w:val="0"/>
        <w:autoSpaceDN w:val="0"/>
        <w:adjustRightInd w:val="0"/>
        <w:spacing w:after="160"/>
        <w:rPr>
          <w:noProof/>
        </w:rPr>
      </w:pPr>
      <w:r w:rsidRPr="000A61B8">
        <w:rPr>
          <w:noProof/>
        </w:rPr>
        <w:t xml:space="preserve">Eaton, K. </w:t>
      </w:r>
      <w:r w:rsidRPr="000A61B8">
        <w:rPr>
          <w:i/>
          <w:iCs/>
          <w:noProof/>
        </w:rPr>
        <w:t>et al.</w:t>
      </w:r>
      <w:r w:rsidRPr="000A61B8">
        <w:rPr>
          <w:noProof/>
        </w:rPr>
        <w:t xml:space="preserve"> (2023) “Navigating the end of jobs.” Available at: </w:t>
      </w:r>
      <w:hyperlink r:id="rId18" w:history="1">
        <w:r w:rsidRPr="000A61B8">
          <w:rPr>
            <w:rStyle w:val="Hyperlink"/>
            <w:noProof/>
          </w:rPr>
          <w:t>https://www.deloitte.com/us/en/insights/topics/talent/human-capital-trends/2023/skills-based-model-end-of-jobs.html</w:t>
        </w:r>
      </w:hyperlink>
    </w:p>
    <w:p w14:paraId="2C841FD3" w14:textId="7E6856EF" w:rsidR="00C6022D" w:rsidRPr="000A61B8" w:rsidRDefault="00C6022D" w:rsidP="000A61B8">
      <w:pPr>
        <w:widowControl w:val="0"/>
        <w:autoSpaceDE w:val="0"/>
        <w:autoSpaceDN w:val="0"/>
        <w:adjustRightInd w:val="0"/>
        <w:spacing w:after="160"/>
        <w:rPr>
          <w:noProof/>
        </w:rPr>
      </w:pPr>
      <w:r w:rsidRPr="000A61B8">
        <w:rPr>
          <w:noProof/>
        </w:rPr>
        <w:t xml:space="preserve">Frögéli, E., Jenner, B. and Gustavsson, P. (2023) “Effectiveness of formal onboarding </w:t>
      </w:r>
      <w:r w:rsidRPr="000A61B8">
        <w:rPr>
          <w:noProof/>
        </w:rPr>
        <w:lastRenderedPageBreak/>
        <w:t xml:space="preserve">for facilitating organizational socialization: A systematic review.” Available at: </w:t>
      </w:r>
      <w:hyperlink r:id="rId19" w:history="1">
        <w:r w:rsidRPr="000A61B8">
          <w:rPr>
            <w:rStyle w:val="Hyperlink"/>
            <w:noProof/>
          </w:rPr>
          <w:t>https://journals.plos.org/plosone/article?id=10.1371/journal.pone.0281823</w:t>
        </w:r>
      </w:hyperlink>
    </w:p>
    <w:p w14:paraId="63C5B3C6" w14:textId="19FEBC8C" w:rsidR="00C6022D" w:rsidRPr="000A61B8" w:rsidRDefault="00C6022D" w:rsidP="000A61B8">
      <w:pPr>
        <w:widowControl w:val="0"/>
        <w:autoSpaceDE w:val="0"/>
        <w:autoSpaceDN w:val="0"/>
        <w:adjustRightInd w:val="0"/>
        <w:spacing w:after="160"/>
        <w:rPr>
          <w:noProof/>
        </w:rPr>
      </w:pPr>
      <w:r w:rsidRPr="000A61B8">
        <w:rPr>
          <w:noProof/>
        </w:rPr>
        <w:t xml:space="preserve">Gallup (2026) “State of the Global Workplace 2026.” Available at: </w:t>
      </w:r>
      <w:hyperlink r:id="rId20" w:history="1">
        <w:r w:rsidRPr="000A61B8">
          <w:rPr>
            <w:rStyle w:val="Hyperlink"/>
            <w:noProof/>
          </w:rPr>
          <w:t>https://www.gallup.com/workplace/349484/state-of-the-global-workplace.aspx</w:t>
        </w:r>
      </w:hyperlink>
    </w:p>
    <w:p w14:paraId="328E8FC4" w14:textId="1253D60B" w:rsidR="00C6022D" w:rsidRPr="000A61B8" w:rsidRDefault="00C6022D" w:rsidP="000A61B8">
      <w:pPr>
        <w:widowControl w:val="0"/>
        <w:autoSpaceDE w:val="0"/>
        <w:autoSpaceDN w:val="0"/>
        <w:adjustRightInd w:val="0"/>
        <w:spacing w:after="160"/>
        <w:rPr>
          <w:noProof/>
        </w:rPr>
      </w:pPr>
      <w:r w:rsidRPr="000A61B8">
        <w:rPr>
          <w:noProof/>
        </w:rPr>
        <w:t xml:space="preserve">Gruman, J.A., Saks, A.M. and Zweig, D.I. (2006) “Organizational socialization tactics and newcomer proactive behaviors: An integrative study,” </w:t>
      </w:r>
      <w:r w:rsidRPr="000A61B8">
        <w:rPr>
          <w:i/>
          <w:iCs/>
          <w:noProof/>
        </w:rPr>
        <w:t>Journal of Vocational Behavior</w:t>
      </w:r>
      <w:r w:rsidRPr="000A61B8">
        <w:rPr>
          <w:noProof/>
        </w:rPr>
        <w:t xml:space="preserve">, 69(1), pp. 90–104. Available at: </w:t>
      </w:r>
      <w:hyperlink r:id="rId21" w:history="1">
        <w:r w:rsidRPr="000A61B8">
          <w:rPr>
            <w:rStyle w:val="Hyperlink"/>
            <w:noProof/>
          </w:rPr>
          <w:t>https://www.sciencedirect.com/science/article/abs/pii/S0001879106000273</w:t>
        </w:r>
      </w:hyperlink>
    </w:p>
    <w:p w14:paraId="222E2E11" w14:textId="2F5FD524" w:rsidR="00C6022D" w:rsidRPr="000A61B8" w:rsidRDefault="00C6022D" w:rsidP="000A61B8">
      <w:pPr>
        <w:widowControl w:val="0"/>
        <w:autoSpaceDE w:val="0"/>
        <w:autoSpaceDN w:val="0"/>
        <w:adjustRightInd w:val="0"/>
        <w:spacing w:after="160"/>
        <w:rPr>
          <w:noProof/>
        </w:rPr>
      </w:pPr>
      <w:r w:rsidRPr="000A61B8">
        <w:rPr>
          <w:noProof/>
        </w:rPr>
        <w:t xml:space="preserve">Güçlü Nergiz, H. and Unsal-Akbiyik, B.S. (2024) “Job Crafting, Task Performance, and Employability: The Role of Work Engagement,” </w:t>
      </w:r>
      <w:r w:rsidRPr="000A61B8">
        <w:rPr>
          <w:i/>
          <w:iCs/>
          <w:noProof/>
        </w:rPr>
        <w:t>Sage Open</w:t>
      </w:r>
      <w:r w:rsidRPr="000A61B8">
        <w:rPr>
          <w:noProof/>
        </w:rPr>
        <w:t xml:space="preserve">, 14(3). Available at: </w:t>
      </w:r>
      <w:hyperlink r:id="rId22" w:history="1">
        <w:r w:rsidRPr="000A61B8">
          <w:rPr>
            <w:rStyle w:val="Hyperlink"/>
            <w:noProof/>
          </w:rPr>
          <w:t>https://journals.sagepub.com/doi/10.1177/21582440241271125</w:t>
        </w:r>
      </w:hyperlink>
    </w:p>
    <w:p w14:paraId="60AA102D" w14:textId="07E69891" w:rsidR="00C6022D" w:rsidRPr="000A61B8" w:rsidRDefault="00C6022D" w:rsidP="000A61B8">
      <w:pPr>
        <w:widowControl w:val="0"/>
        <w:autoSpaceDE w:val="0"/>
        <w:autoSpaceDN w:val="0"/>
        <w:adjustRightInd w:val="0"/>
        <w:spacing w:after="160"/>
        <w:rPr>
          <w:noProof/>
        </w:rPr>
      </w:pPr>
      <w:r w:rsidRPr="000A61B8">
        <w:rPr>
          <w:noProof/>
        </w:rPr>
        <w:t xml:space="preserve">Harrison, J.S., Phillips, R.A. and Freeman, R.E. (2020) “On the 2019 Business Roundtable ‘Statement on the Purpose of a Corporation,’” </w:t>
      </w:r>
      <w:r w:rsidRPr="000A61B8">
        <w:rPr>
          <w:i/>
          <w:iCs/>
          <w:noProof/>
        </w:rPr>
        <w:t>Journal of Management</w:t>
      </w:r>
      <w:r w:rsidRPr="000A61B8">
        <w:rPr>
          <w:noProof/>
        </w:rPr>
        <w:t xml:space="preserve">, 46(7), pp. 1223–1237. Available at: </w:t>
      </w:r>
      <w:hyperlink r:id="rId23" w:history="1">
        <w:r w:rsidRPr="000A61B8">
          <w:rPr>
            <w:rStyle w:val="Hyperlink"/>
            <w:noProof/>
          </w:rPr>
          <w:t>https://journals.sagepub.com/doi/10.1177/0149206319892669</w:t>
        </w:r>
      </w:hyperlink>
    </w:p>
    <w:p w14:paraId="773B6B8E" w14:textId="63B5CC1B" w:rsidR="00C6022D" w:rsidRPr="000A61B8" w:rsidRDefault="00C6022D" w:rsidP="000A61B8">
      <w:pPr>
        <w:widowControl w:val="0"/>
        <w:autoSpaceDE w:val="0"/>
        <w:autoSpaceDN w:val="0"/>
        <w:adjustRightInd w:val="0"/>
        <w:spacing w:after="160"/>
        <w:rPr>
          <w:noProof/>
        </w:rPr>
      </w:pPr>
      <w:r w:rsidRPr="000A61B8">
        <w:rPr>
          <w:noProof/>
        </w:rPr>
        <w:t xml:space="preserve">Lee, J.Y. and Lee, Y. (2024) “Integrative Literature Review on People Analytics and Implications From the Perspective of Human Resource Development,” </w:t>
      </w:r>
      <w:r w:rsidRPr="000A61B8">
        <w:rPr>
          <w:i/>
          <w:iCs/>
          <w:noProof/>
        </w:rPr>
        <w:t>Human Resource Development Review</w:t>
      </w:r>
      <w:r w:rsidRPr="000A61B8">
        <w:rPr>
          <w:noProof/>
        </w:rPr>
        <w:t xml:space="preserve">, 23(1), pp. 58–87. Available at: </w:t>
      </w:r>
      <w:hyperlink r:id="rId24" w:history="1">
        <w:r w:rsidRPr="000A61B8">
          <w:rPr>
            <w:rStyle w:val="Hyperlink"/>
            <w:noProof/>
          </w:rPr>
          <w:t>https://journals.sagepub.com/doi/10.1177/15344843231217181</w:t>
        </w:r>
      </w:hyperlink>
    </w:p>
    <w:p w14:paraId="3D9A254A" w14:textId="166229CC" w:rsidR="00C6022D" w:rsidRPr="000A61B8" w:rsidRDefault="00C6022D" w:rsidP="000A61B8">
      <w:pPr>
        <w:widowControl w:val="0"/>
        <w:autoSpaceDE w:val="0"/>
        <w:autoSpaceDN w:val="0"/>
        <w:adjustRightInd w:val="0"/>
        <w:spacing w:after="160"/>
        <w:rPr>
          <w:noProof/>
        </w:rPr>
      </w:pPr>
      <w:r w:rsidRPr="000A61B8">
        <w:rPr>
          <w:noProof/>
        </w:rPr>
        <w:t xml:space="preserve">McAnally, K. and Hagger, M.S. (2024) “Self-Determination Theory and Workplace Outcomes: A Conceptual Review and Future Research Directions,” </w:t>
      </w:r>
      <w:r w:rsidRPr="000A61B8">
        <w:rPr>
          <w:i/>
          <w:iCs/>
          <w:noProof/>
        </w:rPr>
        <w:t>Behavioral Sciences</w:t>
      </w:r>
      <w:r w:rsidRPr="000A61B8">
        <w:rPr>
          <w:noProof/>
        </w:rPr>
        <w:t xml:space="preserve">, 14(6), p. 428. Available at: </w:t>
      </w:r>
      <w:hyperlink r:id="rId25" w:history="1">
        <w:r w:rsidRPr="000A61B8">
          <w:rPr>
            <w:rStyle w:val="Hyperlink"/>
            <w:noProof/>
          </w:rPr>
          <w:t>https://www.mdpi.com/2076-328X/14/6/428</w:t>
        </w:r>
      </w:hyperlink>
    </w:p>
    <w:p w14:paraId="5D9567B7" w14:textId="74C1B132" w:rsidR="00C6022D" w:rsidRPr="000A61B8" w:rsidRDefault="00C6022D" w:rsidP="000A61B8">
      <w:pPr>
        <w:widowControl w:val="0"/>
        <w:autoSpaceDE w:val="0"/>
        <w:autoSpaceDN w:val="0"/>
        <w:adjustRightInd w:val="0"/>
        <w:spacing w:after="160"/>
        <w:rPr>
          <w:noProof/>
        </w:rPr>
      </w:pPr>
      <w:r w:rsidRPr="000A61B8">
        <w:rPr>
          <w:noProof/>
        </w:rPr>
        <w:t xml:space="preserve">McKinsey And Company (2022) “Taking a skills-based approach to building the future workforce.” Available at: </w:t>
      </w:r>
      <w:hyperlink r:id="rId26" w:history="1">
        <w:r w:rsidRPr="000A61B8">
          <w:rPr>
            <w:rStyle w:val="Hyperlink"/>
            <w:noProof/>
          </w:rPr>
          <w:t>https://www.mckinsey.com/capabilities/people-and-organizational-performance/our-insights/taking-a-skills-based-approach-to-building-the-future-workforce</w:t>
        </w:r>
      </w:hyperlink>
    </w:p>
    <w:p w14:paraId="47B8BD88" w14:textId="7A4778CF" w:rsidR="00C6022D" w:rsidRPr="000A61B8" w:rsidRDefault="00C6022D" w:rsidP="000A61B8">
      <w:pPr>
        <w:widowControl w:val="0"/>
        <w:autoSpaceDE w:val="0"/>
        <w:autoSpaceDN w:val="0"/>
        <w:adjustRightInd w:val="0"/>
        <w:spacing w:after="160"/>
        <w:rPr>
          <w:noProof/>
        </w:rPr>
      </w:pPr>
      <w:r w:rsidRPr="000A61B8">
        <w:rPr>
          <w:noProof/>
        </w:rPr>
        <w:t xml:space="preserve">Robledo, E., Zappalà, S. and Topa, G. (2019) “Job Crafting as a Mediator between Work Engagement and Wellbeing Outcomes: A Time-Lagged Study,” </w:t>
      </w:r>
      <w:r w:rsidRPr="000A61B8">
        <w:rPr>
          <w:i/>
          <w:iCs/>
          <w:noProof/>
        </w:rPr>
        <w:t xml:space="preserve">International </w:t>
      </w:r>
      <w:r w:rsidRPr="000A61B8">
        <w:rPr>
          <w:i/>
          <w:iCs/>
          <w:noProof/>
        </w:rPr>
        <w:lastRenderedPageBreak/>
        <w:t>Journal of Environmental Research and Public Health</w:t>
      </w:r>
      <w:r w:rsidRPr="000A61B8">
        <w:rPr>
          <w:noProof/>
        </w:rPr>
        <w:t xml:space="preserve">, 16(8), p. 1376. Available at: </w:t>
      </w:r>
      <w:hyperlink r:id="rId27" w:history="1">
        <w:r w:rsidRPr="000A61B8">
          <w:rPr>
            <w:rStyle w:val="Hyperlink"/>
            <w:noProof/>
          </w:rPr>
          <w:t>https://pmc.ncbi.nlm.nih.gov/articles/PMC6517865/</w:t>
        </w:r>
      </w:hyperlink>
    </w:p>
    <w:p w14:paraId="154BF362" w14:textId="01936091" w:rsidR="00C6022D" w:rsidRPr="000A61B8" w:rsidRDefault="00C6022D" w:rsidP="000A61B8">
      <w:pPr>
        <w:widowControl w:val="0"/>
        <w:autoSpaceDE w:val="0"/>
        <w:autoSpaceDN w:val="0"/>
        <w:adjustRightInd w:val="0"/>
        <w:spacing w:after="160"/>
        <w:rPr>
          <w:noProof/>
        </w:rPr>
      </w:pPr>
      <w:r w:rsidRPr="000A61B8">
        <w:rPr>
          <w:noProof/>
        </w:rPr>
        <w:t xml:space="preserve">S, D. and Christopher, B.P. (2024) “A decadal review of organizational identification: insights from bibliometric analysis and content analysis.” Available at: </w:t>
      </w:r>
      <w:hyperlink r:id="rId28" w:history="1">
        <w:r w:rsidRPr="000A61B8">
          <w:rPr>
            <w:rStyle w:val="Hyperlink"/>
            <w:noProof/>
          </w:rPr>
          <w:t>https://www.nature.com/articles/s41599-024-03990-7</w:t>
        </w:r>
      </w:hyperlink>
    </w:p>
    <w:p w14:paraId="5616E04B" w14:textId="77777777" w:rsidR="00C6022D" w:rsidRPr="000A61B8" w:rsidRDefault="00C6022D" w:rsidP="000A61B8">
      <w:pPr>
        <w:widowControl w:val="0"/>
        <w:autoSpaceDE w:val="0"/>
        <w:autoSpaceDN w:val="0"/>
        <w:adjustRightInd w:val="0"/>
        <w:spacing w:after="160"/>
        <w:rPr>
          <w:noProof/>
        </w:rPr>
      </w:pPr>
    </w:p>
    <w:p w14:paraId="1DC4BC70" w14:textId="61ECD792" w:rsidR="00C6022D" w:rsidRPr="000A61B8" w:rsidRDefault="00C6022D" w:rsidP="000A61B8">
      <w:pPr>
        <w:widowControl w:val="0"/>
        <w:autoSpaceDE w:val="0"/>
        <w:autoSpaceDN w:val="0"/>
        <w:adjustRightInd w:val="0"/>
        <w:spacing w:after="160"/>
        <w:rPr>
          <w:noProof/>
        </w:rPr>
      </w:pPr>
      <w:r w:rsidRPr="000A61B8">
        <w:rPr>
          <w:noProof/>
        </w:rPr>
        <w:t xml:space="preserve">Saleh, R.H., Durugbo, C.M. and Almahamid, S.M. (2023) “What makes innovation ambidexterity manageable: a systematic review, multi-level model and future challenges,” </w:t>
      </w:r>
      <w:r w:rsidRPr="000A61B8">
        <w:rPr>
          <w:i/>
          <w:iCs/>
          <w:noProof/>
        </w:rPr>
        <w:t>Review of Managerial Science</w:t>
      </w:r>
      <w:r w:rsidRPr="000A61B8">
        <w:rPr>
          <w:noProof/>
        </w:rPr>
        <w:t xml:space="preserve">, 17(8), pp. 3013–3056. Available at: </w:t>
      </w:r>
      <w:hyperlink r:id="rId29" w:history="1">
        <w:r w:rsidRPr="000A61B8">
          <w:rPr>
            <w:rStyle w:val="Hyperlink"/>
            <w:noProof/>
          </w:rPr>
          <w:t>https://pmc.ncbi.nlm.nih.gov/articles/PMC10202361/</w:t>
        </w:r>
      </w:hyperlink>
    </w:p>
    <w:p w14:paraId="1F7DD341" w14:textId="69277BF2" w:rsidR="00C6022D" w:rsidRPr="000A61B8" w:rsidRDefault="00C6022D" w:rsidP="000A61B8">
      <w:pPr>
        <w:widowControl w:val="0"/>
        <w:autoSpaceDE w:val="0"/>
        <w:autoSpaceDN w:val="0"/>
        <w:adjustRightInd w:val="0"/>
        <w:spacing w:after="160"/>
        <w:rPr>
          <w:noProof/>
        </w:rPr>
      </w:pPr>
      <w:r w:rsidRPr="000A61B8">
        <w:rPr>
          <w:noProof/>
        </w:rPr>
        <w:t xml:space="preserve">Soares, M.E. and Mosquera, P. (2019) “Fostering work engagement: The role of the psychological contract,” </w:t>
      </w:r>
      <w:r w:rsidRPr="000A61B8">
        <w:rPr>
          <w:i/>
          <w:iCs/>
          <w:noProof/>
        </w:rPr>
        <w:t>Journal of Business Research</w:t>
      </w:r>
      <w:r w:rsidRPr="000A61B8">
        <w:rPr>
          <w:noProof/>
        </w:rPr>
        <w:t xml:space="preserve">, 101, pp. 469–476. Available at: </w:t>
      </w:r>
      <w:hyperlink r:id="rId30" w:history="1">
        <w:r w:rsidRPr="000A61B8">
          <w:rPr>
            <w:rStyle w:val="Hyperlink"/>
            <w:noProof/>
          </w:rPr>
          <w:t>https://www.sciencedirect.com/science/article/abs/pii/S0148296319300037</w:t>
        </w:r>
      </w:hyperlink>
    </w:p>
    <w:p w14:paraId="391E31CA" w14:textId="30174FA3" w:rsidR="00C6022D" w:rsidRPr="000A61B8" w:rsidRDefault="00C6022D" w:rsidP="000A61B8">
      <w:pPr>
        <w:widowControl w:val="0"/>
        <w:autoSpaceDE w:val="0"/>
        <w:autoSpaceDN w:val="0"/>
        <w:adjustRightInd w:val="0"/>
        <w:spacing w:after="160"/>
        <w:rPr>
          <w:noProof/>
        </w:rPr>
      </w:pPr>
      <w:r w:rsidRPr="000A61B8">
        <w:rPr>
          <w:noProof/>
        </w:rPr>
        <w:t xml:space="preserve">Soleimani, M. </w:t>
      </w:r>
      <w:r w:rsidRPr="000A61B8">
        <w:rPr>
          <w:i/>
          <w:iCs/>
          <w:noProof/>
        </w:rPr>
        <w:t>et al.</w:t>
      </w:r>
      <w:r w:rsidRPr="000A61B8">
        <w:rPr>
          <w:noProof/>
        </w:rPr>
        <w:t xml:space="preserve"> (2025) “Reducing AI bias in recruitment and selection: an integrative grounded approach,” </w:t>
      </w:r>
      <w:r w:rsidRPr="000A61B8">
        <w:rPr>
          <w:i/>
          <w:iCs/>
          <w:noProof/>
        </w:rPr>
        <w:t>The International Journal of Human Resource Management</w:t>
      </w:r>
      <w:r w:rsidRPr="000A61B8">
        <w:rPr>
          <w:noProof/>
        </w:rPr>
        <w:t xml:space="preserve">, 36(14), pp. 2480–2515. Available at: </w:t>
      </w:r>
      <w:hyperlink r:id="rId31" w:history="1">
        <w:r w:rsidRPr="000A61B8">
          <w:rPr>
            <w:rStyle w:val="Hyperlink"/>
            <w:noProof/>
          </w:rPr>
          <w:t>https://www.tandfonline.com/doi/full/10.1080/09585192.2025.2480617</w:t>
        </w:r>
      </w:hyperlink>
    </w:p>
    <w:p w14:paraId="5668EFAB" w14:textId="3F7BE8EC" w:rsidR="00C6022D" w:rsidRPr="000A61B8" w:rsidRDefault="00C6022D" w:rsidP="000A61B8">
      <w:pPr>
        <w:widowControl w:val="0"/>
        <w:autoSpaceDE w:val="0"/>
        <w:autoSpaceDN w:val="0"/>
        <w:adjustRightInd w:val="0"/>
        <w:spacing w:after="160"/>
        <w:rPr>
          <w:noProof/>
        </w:rPr>
      </w:pPr>
      <w:r w:rsidRPr="000A61B8">
        <w:rPr>
          <w:noProof/>
        </w:rPr>
        <w:t xml:space="preserve">Stankevičiūtė, Ž. and Kalvaitienė, J. (2023) “Human resource business partner role in respect to internal corporate social responsibility: The case of banking sector,” </w:t>
      </w:r>
      <w:r w:rsidRPr="000A61B8">
        <w:rPr>
          <w:i/>
          <w:iCs/>
          <w:noProof/>
        </w:rPr>
        <w:t>Human Systems Management</w:t>
      </w:r>
      <w:r w:rsidRPr="000A61B8">
        <w:rPr>
          <w:noProof/>
        </w:rPr>
        <w:t>, 43(3), pp. 355–371. Available at:</w:t>
      </w:r>
      <w:hyperlink r:id="rId32" w:history="1">
        <w:r w:rsidRPr="000A61B8">
          <w:rPr>
            <w:rStyle w:val="Hyperlink"/>
            <w:noProof/>
          </w:rPr>
          <w:t xml:space="preserve"> https://journals.sagepub.com/doi/10.3233/HSM-230113</w:t>
        </w:r>
      </w:hyperlink>
    </w:p>
    <w:p w14:paraId="12BF526F" w14:textId="43C0DFBB" w:rsidR="00C6022D" w:rsidRPr="000A61B8" w:rsidRDefault="00C6022D" w:rsidP="000A61B8">
      <w:pPr>
        <w:widowControl w:val="0"/>
        <w:autoSpaceDE w:val="0"/>
        <w:autoSpaceDN w:val="0"/>
        <w:adjustRightInd w:val="0"/>
        <w:spacing w:after="160"/>
        <w:rPr>
          <w:noProof/>
        </w:rPr>
      </w:pPr>
      <w:r w:rsidRPr="000A61B8">
        <w:rPr>
          <w:noProof/>
        </w:rPr>
        <w:t xml:space="preserve">Suhandiah, S. </w:t>
      </w:r>
      <w:r w:rsidRPr="000A61B8">
        <w:rPr>
          <w:i/>
          <w:iCs/>
          <w:noProof/>
        </w:rPr>
        <w:t>et al.</w:t>
      </w:r>
      <w:r w:rsidRPr="000A61B8">
        <w:rPr>
          <w:noProof/>
        </w:rPr>
        <w:t xml:space="preserve"> (2023) “Autonomy and feedback on innovative work behavior: The role of resilience as a mediating factor in Indonesian Islamic banks,” </w:t>
      </w:r>
      <w:r w:rsidRPr="000A61B8">
        <w:rPr>
          <w:i/>
          <w:iCs/>
          <w:noProof/>
        </w:rPr>
        <w:t>Cogent Business &amp; Management</w:t>
      </w:r>
      <w:r w:rsidRPr="000A61B8">
        <w:rPr>
          <w:noProof/>
        </w:rPr>
        <w:t xml:space="preserve">, 10(1). Available at: </w:t>
      </w:r>
      <w:hyperlink r:id="rId33" w:history="1">
        <w:r w:rsidRPr="000A61B8">
          <w:rPr>
            <w:rStyle w:val="Hyperlink"/>
            <w:noProof/>
          </w:rPr>
          <w:t>https://www.tandfonline.com/doi/full/10.1080/23311975.2023.2178364</w:t>
        </w:r>
      </w:hyperlink>
    </w:p>
    <w:p w14:paraId="50CA2199" w14:textId="4D30AA80" w:rsidR="00C6022D" w:rsidRPr="000A61B8" w:rsidRDefault="00C6022D" w:rsidP="000A61B8">
      <w:pPr>
        <w:widowControl w:val="0"/>
        <w:autoSpaceDE w:val="0"/>
        <w:autoSpaceDN w:val="0"/>
        <w:adjustRightInd w:val="0"/>
        <w:spacing w:after="160"/>
        <w:rPr>
          <w:noProof/>
        </w:rPr>
      </w:pPr>
      <w:r w:rsidRPr="000A61B8">
        <w:rPr>
          <w:noProof/>
        </w:rPr>
        <w:t xml:space="preserve">Úbeda-García, M. </w:t>
      </w:r>
      <w:r w:rsidRPr="000A61B8">
        <w:rPr>
          <w:i/>
          <w:iCs/>
          <w:noProof/>
        </w:rPr>
        <w:t>et al.</w:t>
      </w:r>
      <w:r w:rsidRPr="000A61B8">
        <w:rPr>
          <w:noProof/>
        </w:rPr>
        <w:t xml:space="preserve"> (2025) “Artificial intelligence, knowledge and human resource management: A systematic literature review of theoretical tensions and strategic implications,” </w:t>
      </w:r>
      <w:r w:rsidRPr="000A61B8">
        <w:rPr>
          <w:i/>
          <w:iCs/>
          <w:noProof/>
        </w:rPr>
        <w:t>Journal of Innovation &amp; Knowledge</w:t>
      </w:r>
      <w:r w:rsidRPr="000A61B8">
        <w:rPr>
          <w:noProof/>
        </w:rPr>
        <w:t xml:space="preserve">, 10(6), p. 100809. Available at: </w:t>
      </w:r>
      <w:hyperlink r:id="rId34" w:history="1">
        <w:r w:rsidRPr="000A61B8">
          <w:rPr>
            <w:rStyle w:val="Hyperlink"/>
            <w:noProof/>
          </w:rPr>
          <w:t>https://www.sciencedirect.com/science/article/pii/S2444569X25001544</w:t>
        </w:r>
      </w:hyperlink>
    </w:p>
    <w:p w14:paraId="7577CA0A" w14:textId="24D4494B" w:rsidR="00C6022D" w:rsidRPr="000A61B8" w:rsidRDefault="00C6022D" w:rsidP="000A61B8">
      <w:pPr>
        <w:widowControl w:val="0"/>
        <w:autoSpaceDE w:val="0"/>
        <w:autoSpaceDN w:val="0"/>
        <w:adjustRightInd w:val="0"/>
        <w:spacing w:after="160"/>
        <w:rPr>
          <w:noProof/>
        </w:rPr>
      </w:pPr>
      <w:r w:rsidRPr="000A61B8">
        <w:rPr>
          <w:noProof/>
        </w:rPr>
        <w:t xml:space="preserve">University of Phoenix (2023) “University of Phoenix and Executive Networks Share Findings on Internal Talent Mobility as a New Business Imperative.” Available at: </w:t>
      </w:r>
      <w:hyperlink r:id="rId35" w:history="1">
        <w:r w:rsidRPr="000A61B8">
          <w:rPr>
            <w:rStyle w:val="Hyperlink"/>
            <w:noProof/>
          </w:rPr>
          <w:t>https://markets.financialcontent.com/worldnow.ktul/article/bizwire-2023-3-6-university-of-phoenix-and-executive-networks-share-findings-on-internal-talent-mobility-as-a-new-business-imperative</w:t>
        </w:r>
      </w:hyperlink>
    </w:p>
    <w:p w14:paraId="21C41657" w14:textId="77777777" w:rsidR="00C6022D" w:rsidRPr="000A61B8" w:rsidRDefault="00C6022D" w:rsidP="000A61B8">
      <w:pPr>
        <w:widowControl w:val="0"/>
        <w:autoSpaceDE w:val="0"/>
        <w:autoSpaceDN w:val="0"/>
        <w:adjustRightInd w:val="0"/>
        <w:spacing w:after="160"/>
        <w:rPr>
          <w:noProof/>
        </w:rPr>
      </w:pPr>
    </w:p>
    <w:p w14:paraId="0F8ECB36" w14:textId="46A7786F" w:rsidR="00C6022D" w:rsidRPr="000A61B8" w:rsidRDefault="00C6022D" w:rsidP="000A61B8">
      <w:pPr>
        <w:widowControl w:val="0"/>
        <w:autoSpaceDE w:val="0"/>
        <w:autoSpaceDN w:val="0"/>
        <w:adjustRightInd w:val="0"/>
        <w:spacing w:after="160"/>
        <w:rPr>
          <w:noProof/>
        </w:rPr>
      </w:pPr>
      <w:r w:rsidRPr="000A61B8">
        <w:rPr>
          <w:noProof/>
        </w:rPr>
        <w:t xml:space="preserve">World Economic Forum (2025) “The Future of Jobs Report 2025.” Available at: </w:t>
      </w:r>
      <w:hyperlink r:id="rId36" w:history="1">
        <w:r w:rsidRPr="000A61B8">
          <w:rPr>
            <w:rStyle w:val="Hyperlink"/>
            <w:noProof/>
          </w:rPr>
          <w:t>https://www.weforum.org/publications/the-future-of-jobs-report-2025/</w:t>
        </w:r>
      </w:hyperlink>
    </w:p>
    <w:p w14:paraId="2F025DE3" w14:textId="7A08A16F" w:rsidR="00332AE2" w:rsidRPr="000A61B8" w:rsidRDefault="00C6022D" w:rsidP="000A61B8">
      <w:pPr>
        <w:spacing w:after="160"/>
      </w:pPr>
      <w:r w:rsidRPr="000A61B8">
        <w:fldChar w:fldCharType="end"/>
      </w:r>
    </w:p>
    <w:sectPr w:rsidR="00332AE2" w:rsidRPr="000A61B8" w:rsidSect="008B2130">
      <w:footerReference w:type="default" r:id="rId3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DF168" w14:textId="77777777" w:rsidR="00EA654B" w:rsidRDefault="00EA654B">
      <w:pPr>
        <w:spacing w:line="240" w:lineRule="auto"/>
      </w:pPr>
      <w:r>
        <w:separator/>
      </w:r>
    </w:p>
  </w:endnote>
  <w:endnote w:type="continuationSeparator" w:id="0">
    <w:p w14:paraId="50214D8E" w14:textId="77777777" w:rsidR="00EA654B" w:rsidRDefault="00EA65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DD63C" w14:textId="344BC04D" w:rsidR="00C6022D" w:rsidRDefault="00C6022D">
    <w:pPr>
      <w:pStyle w:val="Footer"/>
      <w:jc w:val="right"/>
    </w:pPr>
  </w:p>
  <w:p w14:paraId="6061D5EE" w14:textId="5BFE9097" w:rsidR="00332AE2" w:rsidRDefault="00332AE2">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893267"/>
      <w:docPartObj>
        <w:docPartGallery w:val="Page Numbers (Bottom of Page)"/>
        <w:docPartUnique/>
      </w:docPartObj>
    </w:sdtPr>
    <w:sdtEndPr>
      <w:rPr>
        <w:noProof/>
      </w:rPr>
    </w:sdtEndPr>
    <w:sdtContent>
      <w:p w14:paraId="444E7AB6" w14:textId="77777777" w:rsidR="00C6022D" w:rsidRDefault="00C602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C65F01" w14:textId="77777777" w:rsidR="00C6022D" w:rsidRDefault="00C6022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5CEA4" w14:textId="77777777" w:rsidR="00EA654B" w:rsidRDefault="00EA654B">
      <w:pPr>
        <w:spacing w:line="240" w:lineRule="auto"/>
      </w:pPr>
      <w:r>
        <w:separator/>
      </w:r>
    </w:p>
  </w:footnote>
  <w:footnote w:type="continuationSeparator" w:id="0">
    <w:p w14:paraId="50302944" w14:textId="77777777" w:rsidR="00EA654B" w:rsidRDefault="00EA65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05D45"/>
    <w:multiLevelType w:val="hybridMultilevel"/>
    <w:tmpl w:val="9ABC981C"/>
    <w:lvl w:ilvl="0" w:tplc="0F70C13E">
      <w:start w:val="1"/>
      <w:numFmt w:val="bullet"/>
      <w:lvlText w:val="●"/>
      <w:lvlJc w:val="left"/>
      <w:pPr>
        <w:ind w:left="720" w:hanging="360"/>
      </w:pPr>
    </w:lvl>
    <w:lvl w:ilvl="1" w:tplc="E1C0324A">
      <w:start w:val="1"/>
      <w:numFmt w:val="bullet"/>
      <w:lvlText w:val="○"/>
      <w:lvlJc w:val="left"/>
      <w:pPr>
        <w:ind w:left="1440" w:hanging="360"/>
      </w:pPr>
    </w:lvl>
    <w:lvl w:ilvl="2" w:tplc="86782DDC">
      <w:start w:val="1"/>
      <w:numFmt w:val="bullet"/>
      <w:lvlText w:val="■"/>
      <w:lvlJc w:val="left"/>
      <w:pPr>
        <w:ind w:left="2160" w:hanging="360"/>
      </w:pPr>
    </w:lvl>
    <w:lvl w:ilvl="3" w:tplc="A8240F52">
      <w:start w:val="1"/>
      <w:numFmt w:val="bullet"/>
      <w:lvlText w:val="●"/>
      <w:lvlJc w:val="left"/>
      <w:pPr>
        <w:ind w:left="2880" w:hanging="360"/>
      </w:pPr>
    </w:lvl>
    <w:lvl w:ilvl="4" w:tplc="3AB22646">
      <w:start w:val="1"/>
      <w:numFmt w:val="bullet"/>
      <w:lvlText w:val="○"/>
      <w:lvlJc w:val="left"/>
      <w:pPr>
        <w:ind w:left="3600" w:hanging="360"/>
      </w:pPr>
    </w:lvl>
    <w:lvl w:ilvl="5" w:tplc="C4BE3704">
      <w:start w:val="1"/>
      <w:numFmt w:val="bullet"/>
      <w:lvlText w:val="■"/>
      <w:lvlJc w:val="left"/>
      <w:pPr>
        <w:ind w:left="4320" w:hanging="360"/>
      </w:pPr>
    </w:lvl>
    <w:lvl w:ilvl="6" w:tplc="032AE346">
      <w:start w:val="1"/>
      <w:numFmt w:val="bullet"/>
      <w:lvlText w:val="●"/>
      <w:lvlJc w:val="left"/>
      <w:pPr>
        <w:ind w:left="5040" w:hanging="360"/>
      </w:pPr>
    </w:lvl>
    <w:lvl w:ilvl="7" w:tplc="B9A44784">
      <w:start w:val="1"/>
      <w:numFmt w:val="bullet"/>
      <w:lvlText w:val="●"/>
      <w:lvlJc w:val="left"/>
      <w:pPr>
        <w:ind w:left="5760" w:hanging="360"/>
      </w:pPr>
    </w:lvl>
    <w:lvl w:ilvl="8" w:tplc="EE724CEE">
      <w:start w:val="1"/>
      <w:numFmt w:val="bullet"/>
      <w:lvlText w:val="●"/>
      <w:lvlJc w:val="left"/>
      <w:pPr>
        <w:ind w:left="6480" w:hanging="360"/>
      </w:pPr>
    </w:lvl>
  </w:abstractNum>
  <w:num w:numId="1" w16cid:durableId="295730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AE2"/>
    <w:rsid w:val="000A61B8"/>
    <w:rsid w:val="001315BB"/>
    <w:rsid w:val="001352D7"/>
    <w:rsid w:val="00205FB8"/>
    <w:rsid w:val="002175DD"/>
    <w:rsid w:val="00286ECC"/>
    <w:rsid w:val="00332AE2"/>
    <w:rsid w:val="004D5FCF"/>
    <w:rsid w:val="004E0480"/>
    <w:rsid w:val="004E619B"/>
    <w:rsid w:val="005634EA"/>
    <w:rsid w:val="00603A3F"/>
    <w:rsid w:val="006673B3"/>
    <w:rsid w:val="00695DF4"/>
    <w:rsid w:val="00720977"/>
    <w:rsid w:val="00765C07"/>
    <w:rsid w:val="007A01BF"/>
    <w:rsid w:val="007D2B70"/>
    <w:rsid w:val="007F1ED4"/>
    <w:rsid w:val="008776FB"/>
    <w:rsid w:val="008B2130"/>
    <w:rsid w:val="00A04665"/>
    <w:rsid w:val="00A14991"/>
    <w:rsid w:val="00A341E1"/>
    <w:rsid w:val="00AC78F5"/>
    <w:rsid w:val="00AF2614"/>
    <w:rsid w:val="00B16B7C"/>
    <w:rsid w:val="00B22633"/>
    <w:rsid w:val="00BC5E58"/>
    <w:rsid w:val="00C6022D"/>
    <w:rsid w:val="00C640E6"/>
    <w:rsid w:val="00D82C4B"/>
    <w:rsid w:val="00D87A1C"/>
    <w:rsid w:val="00DA05E4"/>
    <w:rsid w:val="00DB07F0"/>
    <w:rsid w:val="00E52FDA"/>
    <w:rsid w:val="00EA654B"/>
    <w:rsid w:val="00EF129F"/>
    <w:rsid w:val="00F15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4C379"/>
  <w15:docId w15:val="{C5E79E02-D2FC-48ED-8EEB-5526490E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utoRedefine/>
    <w:uiPriority w:val="9"/>
    <w:qFormat/>
    <w:rsid w:val="000A61B8"/>
    <w:pPr>
      <w:spacing w:before="240" w:after="160"/>
      <w:jc w:val="both"/>
      <w:outlineLvl w:val="0"/>
    </w:pPr>
    <w:rPr>
      <w:b/>
      <w:bCs/>
      <w:color w:val="000000" w:themeColor="text1"/>
      <w:sz w:val="32"/>
      <w:szCs w:val="32"/>
    </w:rPr>
  </w:style>
  <w:style w:type="paragraph" w:styleId="Heading2">
    <w:name w:val="heading 2"/>
    <w:autoRedefine/>
    <w:uiPriority w:val="9"/>
    <w:unhideWhenUsed/>
    <w:qFormat/>
    <w:rsid w:val="000A61B8"/>
    <w:pPr>
      <w:spacing w:before="160" w:after="120"/>
      <w:jc w:val="both"/>
      <w:outlineLvl w:val="1"/>
    </w:pPr>
    <w:rPr>
      <w:b/>
      <w:bCs/>
      <w:color w:val="538135" w:themeColor="accent6" w:themeShade="BF"/>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utoRedefine/>
    <w:uiPriority w:val="10"/>
    <w:qFormat/>
    <w:rsid w:val="00C6022D"/>
    <w:pPr>
      <w:jc w:val="both"/>
    </w:pPr>
    <w:rPr>
      <w:rFonts w:ascii="Times New Roman" w:hAnsi="Times New Roman"/>
      <w:b/>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6022D"/>
    <w:pPr>
      <w:tabs>
        <w:tab w:val="right" w:leader="dot" w:pos="9350"/>
      </w:tabs>
      <w:spacing w:after="100"/>
    </w:pPr>
    <w:rPr>
      <w:rFonts w:ascii="Times New Roman" w:hAnsi="Times New Roman" w:cs="Times New Roman"/>
      <w:noProof/>
    </w:rPr>
  </w:style>
  <w:style w:type="paragraph" w:styleId="TOC2">
    <w:name w:val="toc 2"/>
    <w:basedOn w:val="Normal"/>
    <w:next w:val="Normal"/>
    <w:autoRedefine/>
    <w:uiPriority w:val="39"/>
    <w:unhideWhenUsed/>
    <w:rsid w:val="007F1ED4"/>
    <w:pPr>
      <w:spacing w:after="100"/>
      <w:ind w:left="240"/>
    </w:pPr>
  </w:style>
  <w:style w:type="paragraph" w:styleId="Header">
    <w:name w:val="header"/>
    <w:basedOn w:val="Normal"/>
    <w:link w:val="HeaderChar"/>
    <w:uiPriority w:val="99"/>
    <w:unhideWhenUsed/>
    <w:rsid w:val="007A01BF"/>
    <w:pPr>
      <w:tabs>
        <w:tab w:val="center" w:pos="4680"/>
        <w:tab w:val="right" w:pos="9360"/>
      </w:tabs>
      <w:spacing w:line="240" w:lineRule="auto"/>
    </w:pPr>
  </w:style>
  <w:style w:type="character" w:customStyle="1" w:styleId="HeaderChar">
    <w:name w:val="Header Char"/>
    <w:basedOn w:val="DefaultParagraphFont"/>
    <w:link w:val="Header"/>
    <w:uiPriority w:val="99"/>
    <w:rsid w:val="007A01BF"/>
  </w:style>
  <w:style w:type="paragraph" w:styleId="Footer">
    <w:name w:val="footer"/>
    <w:basedOn w:val="Normal"/>
    <w:link w:val="FooterChar"/>
    <w:uiPriority w:val="99"/>
    <w:unhideWhenUsed/>
    <w:rsid w:val="007A01BF"/>
    <w:pPr>
      <w:tabs>
        <w:tab w:val="center" w:pos="4680"/>
        <w:tab w:val="right" w:pos="9360"/>
      </w:tabs>
      <w:spacing w:line="240" w:lineRule="auto"/>
    </w:pPr>
  </w:style>
  <w:style w:type="character" w:customStyle="1" w:styleId="FooterChar">
    <w:name w:val="Footer Char"/>
    <w:basedOn w:val="DefaultParagraphFont"/>
    <w:link w:val="Footer"/>
    <w:uiPriority w:val="99"/>
    <w:rsid w:val="007A01BF"/>
  </w:style>
  <w:style w:type="paragraph" w:styleId="TOCHeading">
    <w:name w:val="TOC Heading"/>
    <w:basedOn w:val="Heading1"/>
    <w:next w:val="Normal"/>
    <w:uiPriority w:val="39"/>
    <w:unhideWhenUsed/>
    <w:qFormat/>
    <w:rsid w:val="007A01BF"/>
    <w:pPr>
      <w:keepNext/>
      <w:keepLines/>
      <w:spacing w:after="0" w:line="259" w:lineRule="auto"/>
      <w:outlineLvl w:val="9"/>
    </w:pPr>
    <w:rPr>
      <w:rFonts w:asciiTheme="majorHAnsi" w:eastAsiaTheme="majorEastAsia" w:hAnsiTheme="majorHAnsi" w:cstheme="majorBidi"/>
      <w:b w:val="0"/>
      <w:bCs w:val="0"/>
      <w:color w:val="2F5496" w:themeColor="accent1" w:themeShade="BF"/>
    </w:rPr>
  </w:style>
  <w:style w:type="character" w:styleId="UnresolvedMention">
    <w:name w:val="Unresolved Mention"/>
    <w:basedOn w:val="DefaultParagraphFont"/>
    <w:uiPriority w:val="99"/>
    <w:semiHidden/>
    <w:unhideWhenUsed/>
    <w:rsid w:val="007A01BF"/>
    <w:rPr>
      <w:color w:val="605E5C"/>
      <w:shd w:val="clear" w:color="auto" w:fill="E1DFDD"/>
    </w:rPr>
  </w:style>
  <w:style w:type="character" w:styleId="FollowedHyperlink">
    <w:name w:val="FollowedHyperlink"/>
    <w:basedOn w:val="DefaultParagraphFont"/>
    <w:uiPriority w:val="99"/>
    <w:semiHidden/>
    <w:unhideWhenUsed/>
    <w:rsid w:val="007A01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repository.ilo.org/esploro/outputs/encyclopediaEntry/995677773002676" TargetMode="External"/><Relationship Id="rId18" Type="http://schemas.openxmlformats.org/officeDocument/2006/relationships/hyperlink" Target="https://www.deloitte.com/us/en/insights/topics/talent/human-capital-trends/2023/skills-based-model-end-of-jobs.html" TargetMode="External"/><Relationship Id="rId26" Type="http://schemas.openxmlformats.org/officeDocument/2006/relationships/hyperlink" Target="https://www.mckinsey.com/capabilities/people-and-organizational-performance/our-insights/taking-a-skills-based-approach-to-building-the-future-workforc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iencedirect.com/science/article/abs/pii/S0001879106000273" TargetMode="External"/><Relationship Id="rId34" Type="http://schemas.openxmlformats.org/officeDocument/2006/relationships/hyperlink" Target="https://www.sciencedirect.com/science/article/pii/S2444569X25001544" TargetMode="External"/><Relationship Id="rId7" Type="http://schemas.openxmlformats.org/officeDocument/2006/relationships/endnotes" Target="endnotes.xml"/><Relationship Id="rId12" Type="http://schemas.openxmlformats.org/officeDocument/2006/relationships/hyperlink" Target="https://journals.sagepub.com/doi/10.1177/01492063241277168" TargetMode="External"/><Relationship Id="rId17" Type="http://schemas.openxmlformats.org/officeDocument/2006/relationships/hyperlink" Target="https://www.tandfonline.com/doi/full/10.1080/23311975.2024.2337957" TargetMode="External"/><Relationship Id="rId25" Type="http://schemas.openxmlformats.org/officeDocument/2006/relationships/hyperlink" Target="https://www.mdpi.com/2076-328X/14/6/428" TargetMode="External"/><Relationship Id="rId33" Type="http://schemas.openxmlformats.org/officeDocument/2006/relationships/hyperlink" Target="https://www.tandfonline.com/doi/full/10.1080/23311975.2023.217836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nlinelibrary.wiley.com/doi/10.1002/joe.22295" TargetMode="External"/><Relationship Id="rId20" Type="http://schemas.openxmlformats.org/officeDocument/2006/relationships/hyperlink" Target="https://www.gallup.com/workplace/349484/state-of-the-global-workplace.aspx" TargetMode="External"/><Relationship Id="rId29" Type="http://schemas.openxmlformats.org/officeDocument/2006/relationships/hyperlink" Target="https://pmc.ncbi.nlm.nih.gov/articles/PMC102023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13678868.2021.1996171" TargetMode="External"/><Relationship Id="rId24" Type="http://schemas.openxmlformats.org/officeDocument/2006/relationships/hyperlink" Target="https://journals.sagepub.com/doi/10.1177/15344843231217181" TargetMode="External"/><Relationship Id="rId32" Type="http://schemas.openxmlformats.org/officeDocument/2006/relationships/hyperlink" Target="%20https:/journals.sagepub.com/doi/10.3233/HSM-230113"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dpi.com/2076-3387/13/2/41" TargetMode="External"/><Relationship Id="rId23" Type="http://schemas.openxmlformats.org/officeDocument/2006/relationships/hyperlink" Target="https://journals.sagepub.com/doi/10.1177/0149206319892669" TargetMode="External"/><Relationship Id="rId28" Type="http://schemas.openxmlformats.org/officeDocument/2006/relationships/hyperlink" Target="https://www.nature.com/articles/s41599-024-03990-7" TargetMode="External"/><Relationship Id="rId36" Type="http://schemas.openxmlformats.org/officeDocument/2006/relationships/hyperlink" Target="https://www.weforum.org/publications/the-future-of-jobs-report-2025/" TargetMode="External"/><Relationship Id="rId10" Type="http://schemas.openxmlformats.org/officeDocument/2006/relationships/footer" Target="footer1.xml"/><Relationship Id="rId19" Type="http://schemas.openxmlformats.org/officeDocument/2006/relationships/hyperlink" Target="https://journals.plos.org/plosone/article?id=10.1371/journal.pone.0281823" TargetMode="External"/><Relationship Id="rId31" Type="http://schemas.openxmlformats.org/officeDocument/2006/relationships/hyperlink" Target="https://www.tandfonline.com/doi/full/10.1080/09585192.2025.2480617"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usinessroundtable.org/five-years-on-corporate-purpose-and-profit" TargetMode="External"/><Relationship Id="rId22" Type="http://schemas.openxmlformats.org/officeDocument/2006/relationships/hyperlink" Target="https://journals.sagepub.com/doi/10.1177/21582440241271125" TargetMode="External"/><Relationship Id="rId27" Type="http://schemas.openxmlformats.org/officeDocument/2006/relationships/hyperlink" Target="https://pmc.ncbi.nlm.nih.gov/articles/PMC6517865/" TargetMode="External"/><Relationship Id="rId30" Type="http://schemas.openxmlformats.org/officeDocument/2006/relationships/hyperlink" Target="https://www.sciencedirect.com/science/article/abs/pii/S0148296319300037" TargetMode="External"/><Relationship Id="rId35" Type="http://schemas.openxmlformats.org/officeDocument/2006/relationships/hyperlink" Target="https://markets.financialcontent.com/worldnow.ktul/article/bizwire-2023-3-6-university-of-phoenix-and-executive-networks-share-findings-on-internal-talent-mobility-as-a-new-business-impera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EAF3F-DEAC-4C3F-AB15-3C7FF3909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17</Pages>
  <Words>10196</Words>
  <Characters>58119</Characters>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2026-06-15T08:15:00Z</dcterms:created>
  <dcterms:modified xsi:type="dcterms:W3CDTF">2026-06-16T09:12:00Z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AMA Manual of Style 11th edition</vt:lpwstr>
  </property>
  <property fmtid="{D5CDD505-2E9C-101B-9397-08002B2CF9AE}" pid="4" name="Mendeley Recent Style Id 1_1">
    <vt:lpwstr>http://www.zotero.org/styles/apa</vt:lpwstr>
  </property>
  <property fmtid="{D5CDD505-2E9C-101B-9397-08002B2CF9AE}" pid="5" name="Mendeley Recent Style Name 1_1">
    <vt:lpwstr>APA Style 7th edition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APSA Style Manual revised 2018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ASA Style Guide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18th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(author-date/Harvard)</vt:lpwstr>
  </property>
  <property fmtid="{D5CDD505-2E9C-101B-9397-08002B2CF9AE}" pid="14" name="Mendeley Recent Style Id 6_1">
    <vt:lpwstr>http://www.zotero.org/styles/ieee</vt:lpwstr>
  </property>
  <property fmtid="{D5CDD505-2E9C-101B-9397-08002B2CF9AE}" pid="15" name="Mendeley Recent Style Name 6_1">
    <vt:lpwstr>IEEE Reference Guide version 11.29.2023</vt:lpwstr>
  </property>
  <property fmtid="{D5CDD505-2E9C-101B-9397-08002B2CF9AE}" pid="16" name="Mendeley Recent Style Id 7_1">
    <vt:lpwstr>http://www.zotero.org/styles/modern-language-association</vt:lpwstr>
  </property>
  <property fmtid="{D5CDD505-2E9C-101B-9397-08002B2CF9AE}" pid="17" name="Mendeley Recent Style Name 7_1">
    <vt:lpwstr>MLA Handbook 9th edition (in-text citations)</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b39295ab-42aa-3e58-87c7-9581cea84bba</vt:lpwstr>
  </property>
  <property fmtid="{D5CDD505-2E9C-101B-9397-08002B2CF9AE}" pid="24" name="Mendeley Citation Style_1">
    <vt:lpwstr>http://www.zotero.org/styles/harvard-cite-them-right</vt:lpwstr>
  </property>
  <property fmtid="{D5CDD505-2E9C-101B-9397-08002B2CF9AE}" pid="25" name="GrammarlyDocumentId">
    <vt:lpwstr>5a88ee10-94dc-41fa-8b75-67d4a900758f</vt:lpwstr>
  </property>
</Properties>
</file>