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3F0C" w:rsidRDefault="004D133C" w:rsidP="00536F6B">
      <w:pPr>
        <w:spacing w:line="480" w:lineRule="auto"/>
        <w:jc w:val="center"/>
        <w:rPr>
          <w:b/>
          <w:u w:val="single"/>
        </w:rPr>
      </w:pPr>
      <w:r>
        <w:rPr>
          <w:b/>
          <w:u w:val="single"/>
        </w:rPr>
        <w:t xml:space="preserve"> M</w:t>
      </w:r>
      <w:r w:rsidR="00541B1C">
        <w:rPr>
          <w:b/>
          <w:u w:val="single"/>
        </w:rPr>
        <w:t>apping the Medieval Identity</w:t>
      </w:r>
      <w:r w:rsidR="00B218A3">
        <w:rPr>
          <w:b/>
          <w:u w:val="single"/>
        </w:rPr>
        <w:t xml:space="preserve">: An </w:t>
      </w:r>
      <w:r w:rsidR="003D2096">
        <w:rPr>
          <w:b/>
          <w:u w:val="single"/>
        </w:rPr>
        <w:t>Exploration of The Cosmos, The I</w:t>
      </w:r>
      <w:r w:rsidR="00B218A3">
        <w:rPr>
          <w:b/>
          <w:u w:val="single"/>
        </w:rPr>
        <w:t xml:space="preserve">ndividual, and The Destination in the Art and Literature of </w:t>
      </w:r>
      <w:r w:rsidR="00536F6B">
        <w:rPr>
          <w:b/>
          <w:u w:val="single"/>
        </w:rPr>
        <w:t>Western Europe</w:t>
      </w:r>
      <w:r w:rsidR="00B218A3">
        <w:rPr>
          <w:b/>
          <w:u w:val="single"/>
        </w:rPr>
        <w:t xml:space="preserve"> in the Middle Ages</w:t>
      </w:r>
      <w:r w:rsidR="00536F6B">
        <w:rPr>
          <w:b/>
          <w:u w:val="single"/>
        </w:rPr>
        <w:t>. A reflective report.</w:t>
      </w:r>
    </w:p>
    <w:p w:rsidR="00320E1E" w:rsidRDefault="00320E1E" w:rsidP="00536F6B">
      <w:pPr>
        <w:spacing w:line="480" w:lineRule="auto"/>
      </w:pPr>
    </w:p>
    <w:p w:rsidR="007A7B20" w:rsidRDefault="007A7B20" w:rsidP="00BF0BC6">
      <w:pPr>
        <w:spacing w:line="480" w:lineRule="auto"/>
        <w:jc w:val="both"/>
      </w:pPr>
      <w:r>
        <w:t xml:space="preserve">The intention of my dissertation is to use the aesthetic and literary culture of medieval western </w:t>
      </w:r>
      <w:r w:rsidR="00BF0BC6">
        <w:t>Europe</w:t>
      </w:r>
      <w:r>
        <w:t xml:space="preserve"> to examine how the medieval people</w:t>
      </w:r>
      <w:r>
        <w:t xml:space="preserve"> understood themselves in relation to their understanding of the physical and spiritual geography </w:t>
      </w:r>
      <w:r w:rsidR="00EE5CE8">
        <w:t xml:space="preserve">that they, as individuals in habited. At the heart of this dissertation lies a question: what was the world and what did it mean to be a person within it. </w:t>
      </w:r>
      <w:r>
        <w:t xml:space="preserve">The dissertation will suggest that the middle ages can be viewed as a period defined by movement and consequently the essay will take the form of a journey. This journey will be split into four sections. </w:t>
      </w:r>
    </w:p>
    <w:p w:rsidR="00BF0BC6" w:rsidRDefault="00BF0BC6" w:rsidP="00BF0BC6">
      <w:pPr>
        <w:spacing w:line="480" w:lineRule="auto"/>
        <w:jc w:val="both"/>
      </w:pPr>
    </w:p>
    <w:p w:rsidR="007A7B20" w:rsidRDefault="007A7B20" w:rsidP="00BF0BC6">
      <w:pPr>
        <w:spacing w:line="480" w:lineRule="auto"/>
        <w:jc w:val="both"/>
      </w:pPr>
      <w:r>
        <w:t xml:space="preserve">The first section will be an exploration of how the people of the middle ages viewed the world around them.  </w:t>
      </w:r>
      <w:r w:rsidR="00EE5CE8">
        <w:t>It will be chiefly a study of medieval maps and accounts of the world beyond the bounds of Christendom. I will explore the idea of the geography of chaos, whereby the centre of the map was the most Christian</w:t>
      </w:r>
      <w:r w:rsidR="000E5AC3">
        <w:t xml:space="preserve"> and</w:t>
      </w:r>
      <w:r w:rsidR="00EE5CE8">
        <w:t xml:space="preserve"> the closest to goodness and that the further from the centre one moves the more unusual the world becomes. The idea that physical geography could represent virtue </w:t>
      </w:r>
      <w:r w:rsidR="000E5AC3">
        <w:t>is something I will revisit in the third section in relation to pilgrimage, conquest and Holy War and, also, in the fourth section in relation to ideas of home.</w:t>
      </w:r>
    </w:p>
    <w:p w:rsidR="007A7B20" w:rsidRDefault="007A7B20" w:rsidP="00BF0BC6">
      <w:pPr>
        <w:spacing w:line="480" w:lineRule="auto"/>
        <w:jc w:val="both"/>
      </w:pPr>
    </w:p>
    <w:p w:rsidR="007A7B20" w:rsidRDefault="007A7B20" w:rsidP="00BF0BC6">
      <w:pPr>
        <w:spacing w:line="480" w:lineRule="auto"/>
        <w:jc w:val="both"/>
      </w:pPr>
      <w:r>
        <w:t>The second section will focus on the voice of the individual in medieval art and literature and will investigate and compare the differing ways that individuality was articulated in creative expression.</w:t>
      </w:r>
      <w:r w:rsidR="000E5AC3">
        <w:t xml:space="preserve"> I intend to explore how the medieval people categorised their own identity and significance in the cosmos. I will also look at what the it meant to be an integrated physical and spiritual being as a comparison with the cosmological integration of the physical and the spiritual.</w:t>
      </w:r>
    </w:p>
    <w:p w:rsidR="007A7B20" w:rsidRDefault="007A7B20" w:rsidP="00BF0BC6">
      <w:pPr>
        <w:spacing w:line="480" w:lineRule="auto"/>
        <w:jc w:val="both"/>
      </w:pPr>
    </w:p>
    <w:p w:rsidR="007A7B20" w:rsidRDefault="007A7B20" w:rsidP="00BF0BC6">
      <w:pPr>
        <w:spacing w:line="480" w:lineRule="auto"/>
        <w:jc w:val="both"/>
      </w:pPr>
      <w:r>
        <w:lastRenderedPageBreak/>
        <w:t>The third section will examine they ways in which the individual interacts with the cosmos in terms of movement and journey (pilgrimage, conquest and procession).</w:t>
      </w:r>
      <w:r w:rsidR="00BF0BC6">
        <w:t xml:space="preserve"> I will examine the different ways that movement and journey were exhibited in medieval culture and will focus on the three themes of pilgrimage, conquest and procession, </w:t>
      </w:r>
      <w:proofErr w:type="gramStart"/>
      <w:r w:rsidR="00BF0BC6">
        <w:t>in order to</w:t>
      </w:r>
      <w:proofErr w:type="gramEnd"/>
      <w:r w:rsidR="00BF0BC6">
        <w:t xml:space="preserve"> explore the various ways journey and movement exhibited themselves as cultural values.</w:t>
      </w:r>
    </w:p>
    <w:p w:rsidR="007A7B20" w:rsidRDefault="007A7B20" w:rsidP="00BF0BC6">
      <w:pPr>
        <w:spacing w:line="480" w:lineRule="auto"/>
        <w:jc w:val="both"/>
      </w:pPr>
    </w:p>
    <w:p w:rsidR="007A7B20" w:rsidRDefault="007A7B20" w:rsidP="00BF0BC6">
      <w:pPr>
        <w:spacing w:line="480" w:lineRule="auto"/>
        <w:jc w:val="both"/>
      </w:pPr>
      <w:r>
        <w:t xml:space="preserve">The fourth and final section will act as a conclusion of sorts and will explore ideas of home, destination and eschatology. If indeed the medieval period can be said to be one defined by movement then discussions regarding the idea of home are sure to be complicated. My essay will explore notions of home as a community, a physical location and an eschatological destination and will posit that in many cases it existed as all three.   </w:t>
      </w:r>
    </w:p>
    <w:p w:rsidR="003176E3" w:rsidRDefault="003176E3" w:rsidP="00BF0BC6">
      <w:pPr>
        <w:spacing w:line="480" w:lineRule="auto"/>
        <w:jc w:val="both"/>
      </w:pPr>
    </w:p>
    <w:p w:rsidR="00BE7783" w:rsidRDefault="00D0224A" w:rsidP="00BF0BC6">
      <w:pPr>
        <w:spacing w:line="480" w:lineRule="auto"/>
        <w:jc w:val="both"/>
      </w:pPr>
      <w:r>
        <w:t>My chief concerns for this essay are</w:t>
      </w:r>
      <w:r w:rsidR="00FA3A23">
        <w:t xml:space="preserve"> regarding finding the correct sources and ensuring that they are relevant to my hypothesis.</w:t>
      </w:r>
      <w:r>
        <w:t xml:space="preserve"> </w:t>
      </w:r>
      <w:r w:rsidR="00FA3A23">
        <w:t>Finding and</w:t>
      </w:r>
      <w:r w:rsidR="00221C87">
        <w:t xml:space="preserve"> gaining access to the images and translations which </w:t>
      </w:r>
      <w:r w:rsidR="00FA3A23">
        <w:t xml:space="preserve">form the core of this essay have been a bit of an obstacle. Given the relatively obscure nature of my question it has been unsurprisingly difficult to find academic signposts towards specific source materials. </w:t>
      </w:r>
      <w:r w:rsidR="00EE5CE8">
        <w:t>Often,</w:t>
      </w:r>
      <w:r w:rsidR="00FA3A23">
        <w:t xml:space="preserve"> I require only a small section of a larger work and spending days reading </w:t>
      </w:r>
      <w:r w:rsidR="00FA3A23" w:rsidRPr="00EE5CE8">
        <w:rPr>
          <w:i/>
        </w:rPr>
        <w:t>City of God</w:t>
      </w:r>
      <w:r w:rsidR="00FA3A23">
        <w:t xml:space="preserve"> (for example) </w:t>
      </w:r>
      <w:proofErr w:type="gramStart"/>
      <w:r w:rsidR="00FA3A23">
        <w:t>in order to</w:t>
      </w:r>
      <w:proofErr w:type="gramEnd"/>
      <w:r w:rsidR="00FA3A23">
        <w:t xml:space="preserve"> find one helpful paragraph is both frustrating and a poor use of time. On the other side I equally am worried </w:t>
      </w:r>
      <w:r w:rsidR="00FA3A23">
        <w:t>that I have too many sources to draw from and</w:t>
      </w:r>
      <w:r w:rsidR="00EE5CE8">
        <w:t xml:space="preserve"> that,</w:t>
      </w:r>
      <w:r w:rsidR="00FA3A23">
        <w:t xml:space="preserve"> </w:t>
      </w:r>
      <w:proofErr w:type="gramStart"/>
      <w:r w:rsidR="00FA3A23">
        <w:t>in an attempt to</w:t>
      </w:r>
      <w:proofErr w:type="gramEnd"/>
      <w:r w:rsidR="00FA3A23">
        <w:t xml:space="preserve"> cover everything</w:t>
      </w:r>
      <w:r w:rsidR="00EE5CE8">
        <w:t>,</w:t>
      </w:r>
      <w:r w:rsidR="00FA3A23">
        <w:t xml:space="preserve"> I will end up muddling the message. I have attempted to address this concern by picking a key primary text and a key primary image for each section. I will then supplement the core texts</w:t>
      </w:r>
      <w:r w:rsidR="00EE5CE8">
        <w:t xml:space="preserve"> and images with other examples to use in reference towards the key primary sources.</w:t>
      </w:r>
    </w:p>
    <w:p w:rsidR="00BE7783" w:rsidRDefault="00BE7783" w:rsidP="00BF0BC6">
      <w:pPr>
        <w:spacing w:line="480" w:lineRule="auto"/>
        <w:jc w:val="both"/>
      </w:pPr>
    </w:p>
    <w:p w:rsidR="003176E3" w:rsidRDefault="00BE7783" w:rsidP="00BF0BC6">
      <w:pPr>
        <w:spacing w:line="480" w:lineRule="auto"/>
        <w:jc w:val="both"/>
      </w:pPr>
      <w:r>
        <w:lastRenderedPageBreak/>
        <w:t>The primary literary sources that I have chosen are ones that reveal as much about the author as the subject. Many of my sources appear very distant from each other in location, time period and subject matter</w:t>
      </w:r>
      <w:r w:rsidR="000E5AC3">
        <w:t xml:space="preserve">. </w:t>
      </w:r>
      <w:r>
        <w:t>While, on the surface, there may appear very few links that one could draw between, for example, Margery Kempe</w:t>
      </w:r>
      <w:r>
        <w:rPr>
          <w:rStyle w:val="FootnoteReference"/>
        </w:rPr>
        <w:footnoteReference w:id="1"/>
      </w:r>
      <w:r>
        <w:t xml:space="preserve"> and </w:t>
      </w:r>
      <w:proofErr w:type="spellStart"/>
      <w:r>
        <w:t>Oderic</w:t>
      </w:r>
      <w:proofErr w:type="spellEnd"/>
      <w:r>
        <w:t xml:space="preserve"> Vitalis</w:t>
      </w:r>
      <w:r>
        <w:rPr>
          <w:rStyle w:val="FootnoteReference"/>
        </w:rPr>
        <w:footnoteReference w:id="2"/>
      </w:r>
      <w:r>
        <w:t xml:space="preserve">, I will use both to examine both how they viewed themselves as individuals and, further, how they viewed their own cultural context. I will use the </w:t>
      </w:r>
      <w:r w:rsidR="00BF0BC6">
        <w:t>Anglo-Saxon</w:t>
      </w:r>
      <w:r>
        <w:t xml:space="preserve"> poem The Wanderer</w:t>
      </w:r>
      <w:r>
        <w:rPr>
          <w:rStyle w:val="FootnoteReference"/>
        </w:rPr>
        <w:footnoteReference w:id="3"/>
      </w:r>
      <w:r>
        <w:t>, Dudo of St Quentin’s account of the Normans</w:t>
      </w:r>
      <w:r w:rsidR="00BF0BC6">
        <w:rPr>
          <w:rStyle w:val="FootnoteReference"/>
        </w:rPr>
        <w:footnoteReference w:id="4"/>
      </w:r>
      <w:r>
        <w:t xml:space="preserve"> and Dante’s Inferno</w:t>
      </w:r>
      <w:r w:rsidR="00BF0BC6">
        <w:rPr>
          <w:rStyle w:val="FootnoteReference"/>
        </w:rPr>
        <w:footnoteReference w:id="5"/>
      </w:r>
      <w:r>
        <w:t xml:space="preserve"> to explore themes of movement, home and displacement. Other sources include Otto of </w:t>
      </w:r>
      <w:proofErr w:type="spellStart"/>
      <w:r>
        <w:t>Freising</w:t>
      </w:r>
      <w:proofErr w:type="spellEnd"/>
      <w:r>
        <w:rPr>
          <w:rStyle w:val="FootnoteReference"/>
        </w:rPr>
        <w:footnoteReference w:id="6"/>
      </w:r>
      <w:r>
        <w:t xml:space="preserve"> and Augustine of Hippo</w:t>
      </w:r>
      <w:r>
        <w:rPr>
          <w:rStyle w:val="FootnoteReference"/>
        </w:rPr>
        <w:footnoteReference w:id="7"/>
      </w:r>
      <w:r>
        <w:t xml:space="preserve">, </w:t>
      </w:r>
      <w:r w:rsidR="00BF0BC6">
        <w:t>whose</w:t>
      </w:r>
      <w:r>
        <w:t xml:space="preserve"> writings, though centuries apart, both reveal something of the inner theological turmoil they felt over their positions as individuals in the context of a physical and spiritual cosmology.</w:t>
      </w:r>
    </w:p>
    <w:p w:rsidR="00C44FF6" w:rsidRDefault="00C44FF6" w:rsidP="00BF0BC6">
      <w:pPr>
        <w:spacing w:line="480" w:lineRule="auto"/>
        <w:jc w:val="both"/>
      </w:pPr>
    </w:p>
    <w:p w:rsidR="00221C87" w:rsidRDefault="00C44FF6" w:rsidP="00BF0BC6">
      <w:pPr>
        <w:spacing w:line="480" w:lineRule="auto"/>
        <w:jc w:val="both"/>
      </w:pPr>
      <w:r>
        <w:t>The primary images I have chosen are</w:t>
      </w:r>
      <w:r w:rsidR="000E5AC3">
        <w:t xml:space="preserve"> to be</w:t>
      </w:r>
      <w:r>
        <w:t xml:space="preserve"> used to give further breadth to the ideas and issues that are highlighted in my analysis of the texts</w:t>
      </w:r>
      <w:r w:rsidR="007A7E05">
        <w:t>. The M</w:t>
      </w:r>
      <w:r w:rsidR="002903FA">
        <w:t xml:space="preserve">ap </w:t>
      </w:r>
      <w:r w:rsidR="007A7E05">
        <w:t>P</w:t>
      </w:r>
      <w:r w:rsidR="002903FA">
        <w:t>salter</w:t>
      </w:r>
      <w:r w:rsidR="002903FA">
        <w:rPr>
          <w:rStyle w:val="FootnoteReference"/>
        </w:rPr>
        <w:footnoteReference w:id="8"/>
      </w:r>
      <w:r w:rsidR="002903FA">
        <w:t xml:space="preserve"> and other examples of medieval maps provide </w:t>
      </w:r>
      <w:r w:rsidR="007A7E05">
        <w:t>excellent</w:t>
      </w:r>
      <w:r w:rsidR="002903FA">
        <w:t xml:space="preserve"> </w:t>
      </w:r>
      <w:r w:rsidR="007A7E05">
        <w:t>imagery</w:t>
      </w:r>
      <w:r w:rsidR="002903FA">
        <w:t xml:space="preserve"> for the hopes and fears </w:t>
      </w:r>
      <w:r w:rsidR="007A7E05">
        <w:t>at the heart of the medieval identity.</w:t>
      </w:r>
      <w:r w:rsidR="00EE5CE8">
        <w:t xml:space="preserve"> </w:t>
      </w:r>
      <w:r w:rsidR="00221C87">
        <w:t xml:space="preserve">It is my intention to use images as a demonstration of the dexterity and flexibility of the medieval imagination in its ability to integrate several layered values and anxieties into a cohesive belief system. Often it appears that </w:t>
      </w:r>
      <w:r w:rsidR="000E5AC3">
        <w:t xml:space="preserve">much of medieval aesthetic culture is </w:t>
      </w:r>
      <w:r w:rsidR="003F7400">
        <w:t>paradoxical,</w:t>
      </w:r>
      <w:r w:rsidR="000E5AC3">
        <w:t xml:space="preserve"> but this essay will suggest that the </w:t>
      </w:r>
      <w:r w:rsidR="000E5AC3">
        <w:lastRenderedPageBreak/>
        <w:t>integrated nature of both the medieval cosmology and the medieval identity</w:t>
      </w:r>
      <w:r w:rsidR="00BF0BC6">
        <w:t>,</w:t>
      </w:r>
      <w:r w:rsidR="000E5AC3">
        <w:t xml:space="preserve"> in terms of the physical and the spiritual,</w:t>
      </w:r>
      <w:r w:rsidR="00BF0BC6">
        <w:t xml:space="preserve"> provide an interpretive lens for the art and architecture of the period.</w:t>
      </w:r>
    </w:p>
    <w:p w:rsidR="00221C87" w:rsidRDefault="00221C87" w:rsidP="00BF0BC6">
      <w:pPr>
        <w:spacing w:line="480" w:lineRule="auto"/>
        <w:jc w:val="both"/>
      </w:pPr>
    </w:p>
    <w:p w:rsidR="009A73C8" w:rsidRDefault="009A73C8" w:rsidP="00BF0BC6">
      <w:pPr>
        <w:spacing w:line="480" w:lineRule="auto"/>
        <w:jc w:val="both"/>
      </w:pPr>
      <w:r>
        <w:t>The subject of identity in the middle ages is, of course, by no means original. Indeed</w:t>
      </w:r>
      <w:r w:rsidR="003A169E">
        <w:t>,</w:t>
      </w:r>
      <w:r>
        <w:t xml:space="preserve"> many of my key secondary sources are entire books formed around providing a comprehensive overview of the medieval identity. However, my dissertation aims to explore the formation of medieval identity in terms of the macro (the medieval understanding of the physical and spiritual space they occupied) and the micro (in their personal expressions or accounts of their position</w:t>
      </w:r>
      <w:r w:rsidR="00F860C2">
        <w:t xml:space="preserve"> in the world). I will go on to</w:t>
      </w:r>
      <w:r>
        <w:t xml:space="preserve"> suggest that</w:t>
      </w:r>
      <w:r w:rsidR="00F860C2">
        <w:t>,</w:t>
      </w:r>
      <w:r>
        <w:t xml:space="preserve"> despite their ostensible lack of a ‘scientific’</w:t>
      </w:r>
      <w:r>
        <w:rPr>
          <w:rStyle w:val="FootnoteReference"/>
        </w:rPr>
        <w:footnoteReference w:id="9"/>
      </w:r>
      <w:r>
        <w:t xml:space="preserve"> understanding</w:t>
      </w:r>
      <w:r w:rsidR="00F860C2">
        <w:t>,</w:t>
      </w:r>
      <w:r>
        <w:t xml:space="preserve"> </w:t>
      </w:r>
      <w:r w:rsidR="00F860C2">
        <w:t>the medieval cosmos was crafted in the context of their religious and societal values and that their identity was crafted in the context of their cosmos. The</w:t>
      </w:r>
      <w:r w:rsidR="003D2096">
        <w:t>re</w:t>
      </w:r>
      <w:r w:rsidR="00F860C2">
        <w:t xml:space="preserve"> is a consequent circle of </w:t>
      </w:r>
      <w:r w:rsidR="003D2096">
        <w:t>constructed cosmos influencing constructed cultural values which in turn influence</w:t>
      </w:r>
      <w:r w:rsidR="00C44FF6">
        <w:t>d</w:t>
      </w:r>
      <w:r w:rsidR="003D2096">
        <w:t xml:space="preserve"> the constructed identity of the individual.</w:t>
      </w:r>
      <w:r w:rsidR="00F860C2">
        <w:t xml:space="preserve"> </w:t>
      </w:r>
      <w:r w:rsidR="003D2096">
        <w:t xml:space="preserve">The dissertation will go on the explore the notion that these ideas are further complicated by </w:t>
      </w:r>
      <w:r w:rsidR="00C44FF6">
        <w:t xml:space="preserve">the fact that the divide between the spiritual and the </w:t>
      </w:r>
      <w:r w:rsidR="00221C87">
        <w:t xml:space="preserve">physical was a far </w:t>
      </w:r>
      <w:r w:rsidR="00EE5CE8">
        <w:t>subtler</w:t>
      </w:r>
      <w:r w:rsidR="00221C87">
        <w:t xml:space="preserve"> entity in the medieval period and will use a selection of medieval maps to demonstrate the confluence of the religious and the geographical and the consequent effect of this on the medieval world view.</w:t>
      </w:r>
    </w:p>
    <w:p w:rsidR="00187DC2" w:rsidRDefault="00187DC2" w:rsidP="00BF0BC6">
      <w:pPr>
        <w:spacing w:line="480" w:lineRule="auto"/>
        <w:jc w:val="both"/>
      </w:pPr>
    </w:p>
    <w:p w:rsidR="00C44FF6" w:rsidRDefault="00C44FF6" w:rsidP="00BF0BC6">
      <w:pPr>
        <w:spacing w:line="480" w:lineRule="auto"/>
        <w:jc w:val="both"/>
      </w:pPr>
      <w:r>
        <w:t xml:space="preserve">It would be possible to criticise </w:t>
      </w:r>
      <w:r w:rsidR="002903FA">
        <w:t xml:space="preserve">the premise of this essay as being too broad in its sources and time </w:t>
      </w:r>
      <w:r w:rsidR="007A7B20">
        <w:t>line,</w:t>
      </w:r>
      <w:r w:rsidR="002903FA">
        <w:t xml:space="preserve"> </w:t>
      </w:r>
      <w:r>
        <w:t xml:space="preserve">but it is my suggestion that, if done responsibly, broad strokes can be applied to the Middle Ages in terms of the ways that identity developed. I will suggest that across the period, </w:t>
      </w:r>
      <w:r w:rsidR="002903FA">
        <w:t xml:space="preserve">though perhaps not rigidly, identity was in many cases constructed around themes of loss, displacement and the fear of </w:t>
      </w:r>
      <w:r w:rsidR="002903FA">
        <w:lastRenderedPageBreak/>
        <w:t>‘the other’ and that, consequentially, this lack of security was softened in the rise of individualism and the hope of a heavenly home.</w:t>
      </w:r>
    </w:p>
    <w:p w:rsidR="00C44FF6" w:rsidRDefault="00C44FF6" w:rsidP="00C44FF6">
      <w:pPr>
        <w:spacing w:line="480" w:lineRule="auto"/>
      </w:pPr>
    </w:p>
    <w:p w:rsidR="003F7400" w:rsidRDefault="003F7400" w:rsidP="00C44FF6">
      <w:pPr>
        <w:spacing w:line="480" w:lineRule="auto"/>
        <w:rPr>
          <w:b/>
          <w:u w:val="single"/>
        </w:rPr>
      </w:pPr>
    </w:p>
    <w:p w:rsidR="003F7400" w:rsidRDefault="003F7400" w:rsidP="00C44FF6">
      <w:pPr>
        <w:spacing w:line="480" w:lineRule="auto"/>
        <w:rPr>
          <w:b/>
          <w:u w:val="single"/>
        </w:rPr>
      </w:pPr>
    </w:p>
    <w:p w:rsidR="003F7400" w:rsidRDefault="003F7400" w:rsidP="00C44FF6">
      <w:pPr>
        <w:spacing w:line="480" w:lineRule="auto"/>
        <w:rPr>
          <w:b/>
          <w:u w:val="single"/>
        </w:rPr>
      </w:pPr>
    </w:p>
    <w:p w:rsidR="003F7400" w:rsidRDefault="003F7400" w:rsidP="00C44FF6">
      <w:pPr>
        <w:spacing w:line="480" w:lineRule="auto"/>
        <w:rPr>
          <w:b/>
          <w:u w:val="single"/>
        </w:rPr>
      </w:pPr>
    </w:p>
    <w:p w:rsidR="003F7400" w:rsidRDefault="003F7400" w:rsidP="00C44FF6">
      <w:pPr>
        <w:spacing w:line="480" w:lineRule="auto"/>
        <w:rPr>
          <w:b/>
          <w:u w:val="single"/>
        </w:rPr>
      </w:pPr>
    </w:p>
    <w:p w:rsidR="003F7400" w:rsidRDefault="003F7400" w:rsidP="00C44FF6">
      <w:pPr>
        <w:spacing w:line="480" w:lineRule="auto"/>
        <w:rPr>
          <w:b/>
          <w:u w:val="single"/>
        </w:rPr>
      </w:pPr>
    </w:p>
    <w:p w:rsidR="003F7400" w:rsidRDefault="003F7400" w:rsidP="00C44FF6">
      <w:pPr>
        <w:spacing w:line="480" w:lineRule="auto"/>
        <w:rPr>
          <w:b/>
          <w:u w:val="single"/>
        </w:rPr>
      </w:pPr>
    </w:p>
    <w:p w:rsidR="003F7400" w:rsidRDefault="003F7400" w:rsidP="00C44FF6">
      <w:pPr>
        <w:spacing w:line="480" w:lineRule="auto"/>
        <w:rPr>
          <w:b/>
          <w:u w:val="single"/>
        </w:rPr>
      </w:pPr>
    </w:p>
    <w:p w:rsidR="003F7400" w:rsidRDefault="003F7400" w:rsidP="00C44FF6">
      <w:pPr>
        <w:spacing w:line="480" w:lineRule="auto"/>
        <w:rPr>
          <w:b/>
          <w:u w:val="single"/>
        </w:rPr>
      </w:pPr>
    </w:p>
    <w:p w:rsidR="003F7400" w:rsidRDefault="003F7400" w:rsidP="00C44FF6">
      <w:pPr>
        <w:spacing w:line="480" w:lineRule="auto"/>
        <w:rPr>
          <w:b/>
          <w:u w:val="single"/>
        </w:rPr>
      </w:pPr>
    </w:p>
    <w:p w:rsidR="003F7400" w:rsidRDefault="003F7400" w:rsidP="00C44FF6">
      <w:pPr>
        <w:spacing w:line="480" w:lineRule="auto"/>
        <w:rPr>
          <w:b/>
          <w:u w:val="single"/>
        </w:rPr>
      </w:pPr>
    </w:p>
    <w:p w:rsidR="003F7400" w:rsidRDefault="003F7400" w:rsidP="00C44FF6">
      <w:pPr>
        <w:spacing w:line="480" w:lineRule="auto"/>
        <w:rPr>
          <w:b/>
          <w:u w:val="single"/>
        </w:rPr>
      </w:pPr>
    </w:p>
    <w:p w:rsidR="003F7400" w:rsidRDefault="003F7400" w:rsidP="00C44FF6">
      <w:pPr>
        <w:spacing w:line="480" w:lineRule="auto"/>
        <w:rPr>
          <w:b/>
          <w:u w:val="single"/>
        </w:rPr>
      </w:pPr>
    </w:p>
    <w:p w:rsidR="003F7400" w:rsidRDefault="003F7400" w:rsidP="00C44FF6">
      <w:pPr>
        <w:spacing w:line="480" w:lineRule="auto"/>
        <w:rPr>
          <w:b/>
          <w:u w:val="single"/>
        </w:rPr>
      </w:pPr>
    </w:p>
    <w:p w:rsidR="003F7400" w:rsidRDefault="003F7400" w:rsidP="00C44FF6">
      <w:pPr>
        <w:spacing w:line="480" w:lineRule="auto"/>
        <w:rPr>
          <w:b/>
          <w:u w:val="single"/>
        </w:rPr>
      </w:pPr>
    </w:p>
    <w:p w:rsidR="003F7400" w:rsidRDefault="003F7400" w:rsidP="00C44FF6">
      <w:pPr>
        <w:spacing w:line="480" w:lineRule="auto"/>
        <w:rPr>
          <w:b/>
          <w:u w:val="single"/>
        </w:rPr>
      </w:pPr>
    </w:p>
    <w:p w:rsidR="003F7400" w:rsidRDefault="003F7400" w:rsidP="00C44FF6">
      <w:pPr>
        <w:spacing w:line="480" w:lineRule="auto"/>
        <w:rPr>
          <w:b/>
          <w:u w:val="single"/>
        </w:rPr>
      </w:pPr>
    </w:p>
    <w:p w:rsidR="00547960" w:rsidRPr="00C44FF6" w:rsidRDefault="00547960" w:rsidP="00C44FF6">
      <w:pPr>
        <w:spacing w:line="480" w:lineRule="auto"/>
      </w:pPr>
      <w:bookmarkStart w:id="0" w:name="_GoBack"/>
      <w:bookmarkEnd w:id="0"/>
      <w:r>
        <w:rPr>
          <w:b/>
          <w:u w:val="single"/>
        </w:rPr>
        <w:lastRenderedPageBreak/>
        <w:t>Bibliography</w:t>
      </w:r>
    </w:p>
    <w:p w:rsidR="00547960" w:rsidRDefault="00547960" w:rsidP="00547960">
      <w:pPr>
        <w:jc w:val="both"/>
        <w:rPr>
          <w:b/>
          <w:u w:val="single"/>
        </w:rPr>
      </w:pPr>
    </w:p>
    <w:p w:rsidR="00547960" w:rsidRDefault="007A7B20" w:rsidP="00547960">
      <w:pPr>
        <w:jc w:val="both"/>
        <w:rPr>
          <w:b/>
          <w:u w:val="single"/>
        </w:rPr>
      </w:pPr>
      <w:r>
        <w:rPr>
          <w:b/>
        </w:rPr>
        <w:t xml:space="preserve">Key </w:t>
      </w:r>
      <w:r w:rsidR="00547960">
        <w:rPr>
          <w:b/>
        </w:rPr>
        <w:t>Primary sources</w:t>
      </w:r>
      <w:r w:rsidR="00696D38">
        <w:rPr>
          <w:b/>
          <w:u w:val="single"/>
        </w:rPr>
        <w:t xml:space="preserve"> </w:t>
      </w:r>
    </w:p>
    <w:p w:rsidR="00342BE6" w:rsidRDefault="00342BE6" w:rsidP="00547960">
      <w:pPr>
        <w:jc w:val="both"/>
        <w:rPr>
          <w:sz w:val="18"/>
          <w:szCs w:val="18"/>
        </w:rPr>
      </w:pPr>
      <w:bookmarkStart w:id="1" w:name="_Hlk499255578"/>
      <w:r>
        <w:rPr>
          <w:i/>
          <w:sz w:val="18"/>
          <w:szCs w:val="18"/>
        </w:rPr>
        <w:t xml:space="preserve">The Wanderer. </w:t>
      </w:r>
      <w:r>
        <w:rPr>
          <w:sz w:val="18"/>
          <w:szCs w:val="18"/>
        </w:rPr>
        <w:t xml:space="preserve">Translated by Kevin Crossley Holland, in </w:t>
      </w:r>
      <w:r>
        <w:rPr>
          <w:i/>
          <w:sz w:val="18"/>
          <w:szCs w:val="18"/>
        </w:rPr>
        <w:t>The Anglo-Saxon World</w:t>
      </w:r>
      <w:r w:rsidR="008A3754">
        <w:rPr>
          <w:i/>
          <w:sz w:val="18"/>
          <w:szCs w:val="18"/>
        </w:rPr>
        <w:t xml:space="preserve"> </w:t>
      </w:r>
      <w:r w:rsidR="008A3754">
        <w:rPr>
          <w:sz w:val="18"/>
          <w:szCs w:val="18"/>
        </w:rPr>
        <w:t>(Woodbridge: The Boydell Press, 1982)</w:t>
      </w:r>
    </w:p>
    <w:p w:rsidR="0040545C" w:rsidRPr="0040545C" w:rsidRDefault="0040545C" w:rsidP="00547960">
      <w:pPr>
        <w:jc w:val="both"/>
        <w:rPr>
          <w:sz w:val="18"/>
          <w:szCs w:val="18"/>
        </w:rPr>
      </w:pPr>
      <w:bookmarkStart w:id="2" w:name="_Hlk499255629"/>
      <w:bookmarkEnd w:id="1"/>
      <w:r>
        <w:rPr>
          <w:i/>
          <w:sz w:val="18"/>
          <w:szCs w:val="18"/>
        </w:rPr>
        <w:t xml:space="preserve">The Map Psalter. </w:t>
      </w:r>
      <w:r>
        <w:rPr>
          <w:sz w:val="18"/>
          <w:szCs w:val="18"/>
        </w:rPr>
        <w:t>The British Library, Add MS 28681, ff.9 r-v</w:t>
      </w:r>
    </w:p>
    <w:bookmarkEnd w:id="2"/>
    <w:p w:rsidR="00236139" w:rsidRDefault="00236139" w:rsidP="00547960">
      <w:pPr>
        <w:jc w:val="both"/>
        <w:rPr>
          <w:sz w:val="18"/>
          <w:szCs w:val="18"/>
        </w:rPr>
      </w:pPr>
      <w:r>
        <w:rPr>
          <w:sz w:val="18"/>
          <w:szCs w:val="18"/>
        </w:rPr>
        <w:t xml:space="preserve">Augustine, </w:t>
      </w:r>
      <w:r>
        <w:rPr>
          <w:i/>
          <w:sz w:val="18"/>
          <w:szCs w:val="18"/>
        </w:rPr>
        <w:t>City of God</w:t>
      </w:r>
      <w:r>
        <w:rPr>
          <w:sz w:val="18"/>
          <w:szCs w:val="18"/>
        </w:rPr>
        <w:t xml:space="preserve">. Translated by Henry </w:t>
      </w:r>
      <w:proofErr w:type="spellStart"/>
      <w:r>
        <w:rPr>
          <w:sz w:val="18"/>
          <w:szCs w:val="18"/>
        </w:rPr>
        <w:t>Bettenson</w:t>
      </w:r>
      <w:proofErr w:type="spellEnd"/>
      <w:r>
        <w:rPr>
          <w:sz w:val="18"/>
          <w:szCs w:val="18"/>
        </w:rPr>
        <w:t>, (</w:t>
      </w:r>
      <w:proofErr w:type="spellStart"/>
      <w:r>
        <w:rPr>
          <w:sz w:val="18"/>
          <w:szCs w:val="18"/>
        </w:rPr>
        <w:t>Hammondsworth</w:t>
      </w:r>
      <w:proofErr w:type="spellEnd"/>
      <w:r>
        <w:rPr>
          <w:sz w:val="18"/>
          <w:szCs w:val="18"/>
        </w:rPr>
        <w:t>: Penguin Books, 1972</w:t>
      </w:r>
      <w:r w:rsidR="0040545C">
        <w:rPr>
          <w:sz w:val="18"/>
          <w:szCs w:val="18"/>
        </w:rPr>
        <w:t>)</w:t>
      </w:r>
    </w:p>
    <w:p w:rsidR="0040545C" w:rsidRDefault="0040545C" w:rsidP="00547960">
      <w:pPr>
        <w:jc w:val="both"/>
        <w:rPr>
          <w:sz w:val="18"/>
          <w:szCs w:val="18"/>
        </w:rPr>
      </w:pPr>
      <w:bookmarkStart w:id="3" w:name="_Hlk499255954"/>
      <w:r>
        <w:rPr>
          <w:sz w:val="18"/>
          <w:szCs w:val="18"/>
        </w:rPr>
        <w:t xml:space="preserve">Dante Alighieri, </w:t>
      </w:r>
      <w:r>
        <w:rPr>
          <w:i/>
          <w:sz w:val="18"/>
          <w:szCs w:val="18"/>
        </w:rPr>
        <w:t>Inferno: The Divine Comedy I.</w:t>
      </w:r>
      <w:r>
        <w:rPr>
          <w:sz w:val="18"/>
          <w:szCs w:val="18"/>
        </w:rPr>
        <w:t xml:space="preserve"> Translated by Robin Kirkpatrick (London: Penguin Classics, 2010)</w:t>
      </w:r>
    </w:p>
    <w:p w:rsidR="00A068D6" w:rsidRPr="003F7400" w:rsidRDefault="00A068D6" w:rsidP="00547960">
      <w:pPr>
        <w:jc w:val="both"/>
        <w:rPr>
          <w:sz w:val="18"/>
          <w:szCs w:val="18"/>
        </w:rPr>
      </w:pPr>
      <w:bookmarkStart w:id="4" w:name="_Hlk499255881"/>
      <w:bookmarkEnd w:id="3"/>
      <w:r>
        <w:rPr>
          <w:sz w:val="18"/>
          <w:szCs w:val="18"/>
        </w:rPr>
        <w:t xml:space="preserve">Dudo of St Quentin, </w:t>
      </w:r>
      <w:r>
        <w:rPr>
          <w:i/>
          <w:sz w:val="18"/>
          <w:szCs w:val="18"/>
        </w:rPr>
        <w:t>History of the Normans</w:t>
      </w:r>
      <w:r w:rsidR="003F7400">
        <w:rPr>
          <w:sz w:val="18"/>
          <w:szCs w:val="18"/>
        </w:rPr>
        <w:t>. Translated by Eric Christiansen (Woodbridge: The Boydell Press, 1998)</w:t>
      </w:r>
    </w:p>
    <w:p w:rsidR="00696D38" w:rsidRDefault="00236139" w:rsidP="00547960">
      <w:pPr>
        <w:jc w:val="both"/>
        <w:rPr>
          <w:sz w:val="18"/>
          <w:szCs w:val="18"/>
        </w:rPr>
      </w:pPr>
      <w:bookmarkStart w:id="5" w:name="_Hlk499255691"/>
      <w:bookmarkEnd w:id="4"/>
      <w:r>
        <w:rPr>
          <w:sz w:val="18"/>
          <w:szCs w:val="18"/>
        </w:rPr>
        <w:t xml:space="preserve">Margery Kemp, </w:t>
      </w:r>
      <w:r>
        <w:rPr>
          <w:i/>
          <w:sz w:val="18"/>
          <w:szCs w:val="18"/>
        </w:rPr>
        <w:t>The Book of Margery Kempe</w:t>
      </w:r>
      <w:r>
        <w:rPr>
          <w:sz w:val="18"/>
          <w:szCs w:val="18"/>
        </w:rPr>
        <w:t xml:space="preserve">. Translated by B.A. </w:t>
      </w:r>
      <w:proofErr w:type="spellStart"/>
      <w:r>
        <w:rPr>
          <w:sz w:val="18"/>
          <w:szCs w:val="18"/>
        </w:rPr>
        <w:t>Windeatt</w:t>
      </w:r>
      <w:proofErr w:type="spellEnd"/>
      <w:r>
        <w:rPr>
          <w:sz w:val="18"/>
          <w:szCs w:val="18"/>
        </w:rPr>
        <w:t>, (London: Penguin Books, 1994</w:t>
      </w:r>
      <w:r w:rsidR="00696D38" w:rsidRPr="00696D38">
        <w:rPr>
          <w:sz w:val="18"/>
          <w:szCs w:val="18"/>
        </w:rPr>
        <w:t>)</w:t>
      </w:r>
    </w:p>
    <w:p w:rsidR="00B218A3" w:rsidRDefault="00A068D6" w:rsidP="00547960">
      <w:pPr>
        <w:jc w:val="both"/>
        <w:rPr>
          <w:iCs/>
          <w:sz w:val="18"/>
          <w:szCs w:val="18"/>
        </w:rPr>
      </w:pPr>
      <w:bookmarkStart w:id="6" w:name="_Hlk499255965"/>
      <w:bookmarkEnd w:id="5"/>
      <w:proofErr w:type="gramStart"/>
      <w:r>
        <w:rPr>
          <w:iCs/>
          <w:sz w:val="18"/>
          <w:szCs w:val="18"/>
        </w:rPr>
        <w:t>Otto</w:t>
      </w:r>
      <w:proofErr w:type="gramEnd"/>
      <w:r>
        <w:rPr>
          <w:iCs/>
          <w:sz w:val="18"/>
          <w:szCs w:val="18"/>
        </w:rPr>
        <w:t xml:space="preserve"> I, Bishop of </w:t>
      </w:r>
      <w:proofErr w:type="spellStart"/>
      <w:r>
        <w:rPr>
          <w:iCs/>
          <w:sz w:val="18"/>
          <w:szCs w:val="18"/>
        </w:rPr>
        <w:t>Freising</w:t>
      </w:r>
      <w:proofErr w:type="spellEnd"/>
      <w:r>
        <w:rPr>
          <w:iCs/>
          <w:sz w:val="18"/>
          <w:szCs w:val="18"/>
        </w:rPr>
        <w:t xml:space="preserve">, </w:t>
      </w:r>
      <w:r w:rsidR="003A6639">
        <w:rPr>
          <w:i/>
          <w:iCs/>
          <w:sz w:val="18"/>
          <w:szCs w:val="18"/>
        </w:rPr>
        <w:t>The Two Cities: A</w:t>
      </w:r>
      <w:r w:rsidR="00B218A3" w:rsidRPr="00B218A3">
        <w:rPr>
          <w:i/>
          <w:iCs/>
          <w:sz w:val="18"/>
          <w:szCs w:val="18"/>
        </w:rPr>
        <w:t xml:space="preserve"> chronicle of universal history to the year 1146 A.D</w:t>
      </w:r>
      <w:r>
        <w:rPr>
          <w:i/>
          <w:iCs/>
          <w:sz w:val="18"/>
          <w:szCs w:val="18"/>
        </w:rPr>
        <w:t xml:space="preserve">. </w:t>
      </w:r>
      <w:r>
        <w:rPr>
          <w:iCs/>
          <w:sz w:val="18"/>
          <w:szCs w:val="18"/>
        </w:rPr>
        <w:t xml:space="preserve">Translated By C.C. </w:t>
      </w:r>
      <w:proofErr w:type="spellStart"/>
      <w:r>
        <w:rPr>
          <w:iCs/>
          <w:sz w:val="18"/>
          <w:szCs w:val="18"/>
        </w:rPr>
        <w:t>Mierow</w:t>
      </w:r>
      <w:proofErr w:type="spellEnd"/>
      <w:r>
        <w:rPr>
          <w:iCs/>
          <w:sz w:val="18"/>
          <w:szCs w:val="18"/>
        </w:rPr>
        <w:t xml:space="preserve"> (New York: Octagon Books, 1966)</w:t>
      </w:r>
    </w:p>
    <w:p w:rsidR="00B85D35" w:rsidRPr="00B85D35" w:rsidRDefault="00B85D35" w:rsidP="00B85D35">
      <w:pPr>
        <w:ind w:left="1440" w:hanging="1440"/>
        <w:jc w:val="both"/>
        <w:rPr>
          <w:iCs/>
          <w:sz w:val="18"/>
          <w:szCs w:val="18"/>
        </w:rPr>
      </w:pPr>
      <w:bookmarkStart w:id="7" w:name="_Hlk499255724"/>
      <w:bookmarkEnd w:id="6"/>
      <w:proofErr w:type="spellStart"/>
      <w:r>
        <w:rPr>
          <w:iCs/>
          <w:sz w:val="18"/>
          <w:szCs w:val="18"/>
        </w:rPr>
        <w:t>Oderic</w:t>
      </w:r>
      <w:proofErr w:type="spellEnd"/>
      <w:r>
        <w:rPr>
          <w:iCs/>
          <w:sz w:val="18"/>
          <w:szCs w:val="18"/>
        </w:rPr>
        <w:t xml:space="preserve"> Vitalis, </w:t>
      </w:r>
      <w:r>
        <w:rPr>
          <w:i/>
          <w:iCs/>
          <w:sz w:val="18"/>
          <w:szCs w:val="18"/>
        </w:rPr>
        <w:t xml:space="preserve">The Ecclesiastical History of </w:t>
      </w:r>
      <w:proofErr w:type="spellStart"/>
      <w:r>
        <w:rPr>
          <w:i/>
          <w:iCs/>
          <w:sz w:val="18"/>
          <w:szCs w:val="18"/>
        </w:rPr>
        <w:t>Oderic</w:t>
      </w:r>
      <w:proofErr w:type="spellEnd"/>
      <w:r>
        <w:rPr>
          <w:i/>
          <w:iCs/>
          <w:sz w:val="18"/>
          <w:szCs w:val="18"/>
        </w:rPr>
        <w:t xml:space="preserve"> Vitalis.</w:t>
      </w:r>
      <w:r>
        <w:rPr>
          <w:iCs/>
          <w:sz w:val="18"/>
          <w:szCs w:val="18"/>
        </w:rPr>
        <w:t xml:space="preserve"> Translated by M. Chibnall (Oxford: Oxford University Press, 1969-80)</w:t>
      </w:r>
    </w:p>
    <w:bookmarkEnd w:id="7"/>
    <w:p w:rsidR="003A6639" w:rsidRDefault="003A6639" w:rsidP="00547960">
      <w:pPr>
        <w:jc w:val="both"/>
        <w:rPr>
          <w:iCs/>
          <w:sz w:val="18"/>
          <w:szCs w:val="18"/>
        </w:rPr>
      </w:pPr>
    </w:p>
    <w:p w:rsidR="003A6639" w:rsidRDefault="007A7B20" w:rsidP="00547960">
      <w:pPr>
        <w:jc w:val="both"/>
        <w:rPr>
          <w:b/>
          <w:iCs/>
        </w:rPr>
      </w:pPr>
      <w:r>
        <w:rPr>
          <w:b/>
          <w:iCs/>
        </w:rPr>
        <w:t xml:space="preserve">Key </w:t>
      </w:r>
      <w:r w:rsidR="003A6639">
        <w:rPr>
          <w:b/>
          <w:iCs/>
        </w:rPr>
        <w:t>Secondary sources</w:t>
      </w:r>
    </w:p>
    <w:p w:rsidR="004C6AD7" w:rsidRDefault="004C6AD7" w:rsidP="00547960">
      <w:pPr>
        <w:jc w:val="both"/>
        <w:rPr>
          <w:iCs/>
          <w:sz w:val="18"/>
          <w:szCs w:val="18"/>
        </w:rPr>
      </w:pPr>
      <w:proofErr w:type="spellStart"/>
      <w:r>
        <w:rPr>
          <w:iCs/>
          <w:sz w:val="18"/>
          <w:szCs w:val="18"/>
        </w:rPr>
        <w:t>Artz</w:t>
      </w:r>
      <w:proofErr w:type="spellEnd"/>
      <w:r>
        <w:rPr>
          <w:iCs/>
          <w:sz w:val="18"/>
          <w:szCs w:val="18"/>
        </w:rPr>
        <w:t>, F.B.</w:t>
      </w:r>
      <w:r w:rsidR="008F38D8">
        <w:rPr>
          <w:iCs/>
          <w:sz w:val="18"/>
          <w:szCs w:val="18"/>
        </w:rPr>
        <w:t xml:space="preserve">, </w:t>
      </w:r>
      <w:r w:rsidR="008F38D8">
        <w:rPr>
          <w:i/>
          <w:iCs/>
          <w:sz w:val="18"/>
          <w:szCs w:val="18"/>
        </w:rPr>
        <w:t xml:space="preserve">The Mind of the Middle Ages: An Historical Survey A.D. 200-1500 </w:t>
      </w:r>
      <w:r w:rsidR="008F38D8" w:rsidRPr="008F38D8">
        <w:rPr>
          <w:iCs/>
          <w:sz w:val="18"/>
          <w:szCs w:val="18"/>
        </w:rPr>
        <w:t>(Chicago, The University of Chicago Press, 1980)</w:t>
      </w:r>
    </w:p>
    <w:p w:rsidR="008F38D8" w:rsidRDefault="008F38D8" w:rsidP="00547960">
      <w:pPr>
        <w:jc w:val="both"/>
        <w:rPr>
          <w:iCs/>
          <w:sz w:val="18"/>
          <w:szCs w:val="18"/>
        </w:rPr>
      </w:pPr>
      <w:r>
        <w:rPr>
          <w:iCs/>
          <w:sz w:val="18"/>
          <w:szCs w:val="18"/>
        </w:rPr>
        <w:t xml:space="preserve">Barber, M., </w:t>
      </w:r>
      <w:r>
        <w:rPr>
          <w:i/>
          <w:iCs/>
          <w:sz w:val="18"/>
          <w:szCs w:val="18"/>
        </w:rPr>
        <w:t xml:space="preserve">The Two Cities: Medieval Europe 1050-1320 </w:t>
      </w:r>
      <w:r>
        <w:rPr>
          <w:iCs/>
          <w:sz w:val="18"/>
          <w:szCs w:val="18"/>
        </w:rPr>
        <w:t>(Oxon: Routledge, 2004)</w:t>
      </w:r>
    </w:p>
    <w:p w:rsidR="00F27F11" w:rsidRDefault="00F27F11" w:rsidP="00547960">
      <w:pPr>
        <w:jc w:val="both"/>
        <w:rPr>
          <w:iCs/>
          <w:sz w:val="18"/>
          <w:szCs w:val="18"/>
        </w:rPr>
      </w:pPr>
      <w:r>
        <w:rPr>
          <w:iCs/>
          <w:sz w:val="18"/>
          <w:szCs w:val="18"/>
        </w:rPr>
        <w:t xml:space="preserve">Cohen, J.J., </w:t>
      </w:r>
      <w:r>
        <w:rPr>
          <w:i/>
          <w:iCs/>
          <w:sz w:val="18"/>
          <w:szCs w:val="18"/>
        </w:rPr>
        <w:t xml:space="preserve">Medieval Identity Machines </w:t>
      </w:r>
      <w:r>
        <w:rPr>
          <w:iCs/>
          <w:sz w:val="18"/>
          <w:szCs w:val="18"/>
        </w:rPr>
        <w:t>(Minneapolis: University of Minnesota Press, 2003)</w:t>
      </w:r>
    </w:p>
    <w:p w:rsidR="00E405BE" w:rsidRPr="00E405BE" w:rsidRDefault="00E405BE" w:rsidP="00547960">
      <w:pPr>
        <w:jc w:val="both"/>
        <w:rPr>
          <w:iCs/>
          <w:sz w:val="18"/>
          <w:szCs w:val="18"/>
        </w:rPr>
      </w:pPr>
      <w:r>
        <w:rPr>
          <w:iCs/>
          <w:sz w:val="18"/>
          <w:szCs w:val="18"/>
        </w:rPr>
        <w:t xml:space="preserve">Edson, E., </w:t>
      </w:r>
      <w:r>
        <w:rPr>
          <w:i/>
          <w:iCs/>
          <w:sz w:val="18"/>
          <w:szCs w:val="18"/>
        </w:rPr>
        <w:t xml:space="preserve">Mapping Time and Space: How Medieval Mapmakers Viewed their World </w:t>
      </w:r>
      <w:r>
        <w:rPr>
          <w:iCs/>
          <w:sz w:val="18"/>
          <w:szCs w:val="18"/>
        </w:rPr>
        <w:t>(London, The British Library, 1997)</w:t>
      </w:r>
    </w:p>
    <w:p w:rsidR="00F27F11" w:rsidRPr="00F27F11" w:rsidRDefault="00F27F11" w:rsidP="00547960">
      <w:pPr>
        <w:jc w:val="both"/>
        <w:rPr>
          <w:iCs/>
          <w:sz w:val="18"/>
          <w:szCs w:val="18"/>
        </w:rPr>
      </w:pPr>
      <w:r>
        <w:rPr>
          <w:iCs/>
          <w:sz w:val="18"/>
          <w:szCs w:val="18"/>
        </w:rPr>
        <w:t xml:space="preserve">Erikson, C., </w:t>
      </w:r>
      <w:r>
        <w:rPr>
          <w:i/>
          <w:iCs/>
          <w:sz w:val="18"/>
          <w:szCs w:val="18"/>
        </w:rPr>
        <w:t xml:space="preserve">The Medieval Vision </w:t>
      </w:r>
      <w:r>
        <w:rPr>
          <w:iCs/>
          <w:sz w:val="18"/>
          <w:szCs w:val="18"/>
        </w:rPr>
        <w:t>(New York: Oxford University Press, 1976)</w:t>
      </w:r>
    </w:p>
    <w:p w:rsidR="00F27F11" w:rsidRDefault="00F27F11" w:rsidP="00547960">
      <w:pPr>
        <w:jc w:val="both"/>
        <w:rPr>
          <w:iCs/>
          <w:sz w:val="18"/>
          <w:szCs w:val="18"/>
        </w:rPr>
      </w:pPr>
      <w:r>
        <w:rPr>
          <w:iCs/>
          <w:sz w:val="18"/>
          <w:szCs w:val="18"/>
        </w:rPr>
        <w:t xml:space="preserve">Friedman, J., </w:t>
      </w:r>
      <w:r>
        <w:rPr>
          <w:i/>
          <w:iCs/>
          <w:sz w:val="18"/>
          <w:szCs w:val="18"/>
        </w:rPr>
        <w:t xml:space="preserve">The Monstrous Races in Medieval Art and Thought </w:t>
      </w:r>
      <w:r>
        <w:rPr>
          <w:iCs/>
          <w:sz w:val="18"/>
          <w:szCs w:val="18"/>
        </w:rPr>
        <w:t>(Cambridge, MA: Harvard University Press, 1981)</w:t>
      </w:r>
    </w:p>
    <w:p w:rsidR="00E405BE" w:rsidRPr="00E405BE" w:rsidRDefault="00E405BE" w:rsidP="00547960">
      <w:pPr>
        <w:jc w:val="both"/>
        <w:rPr>
          <w:iCs/>
          <w:sz w:val="18"/>
          <w:szCs w:val="18"/>
        </w:rPr>
      </w:pPr>
      <w:r>
        <w:rPr>
          <w:iCs/>
          <w:sz w:val="18"/>
          <w:szCs w:val="18"/>
        </w:rPr>
        <w:t xml:space="preserve">Harvey, P.D.A., </w:t>
      </w:r>
      <w:r>
        <w:rPr>
          <w:i/>
          <w:iCs/>
          <w:sz w:val="18"/>
          <w:szCs w:val="18"/>
        </w:rPr>
        <w:t xml:space="preserve">The Hereford World Map: Medieval World Maps and their Context </w:t>
      </w:r>
      <w:r>
        <w:rPr>
          <w:iCs/>
          <w:sz w:val="18"/>
          <w:szCs w:val="18"/>
        </w:rPr>
        <w:t>(London: The British Library, 2006)</w:t>
      </w:r>
    </w:p>
    <w:p w:rsidR="003A6639" w:rsidRDefault="00272151" w:rsidP="00547960">
      <w:pPr>
        <w:jc w:val="both"/>
        <w:rPr>
          <w:iCs/>
          <w:sz w:val="18"/>
          <w:szCs w:val="18"/>
        </w:rPr>
      </w:pPr>
      <w:r>
        <w:rPr>
          <w:iCs/>
          <w:sz w:val="18"/>
          <w:szCs w:val="18"/>
        </w:rPr>
        <w:t>Morris, C</w:t>
      </w:r>
      <w:r w:rsidR="004C6AD7">
        <w:rPr>
          <w:iCs/>
          <w:sz w:val="18"/>
          <w:szCs w:val="18"/>
        </w:rPr>
        <w:t xml:space="preserve">., </w:t>
      </w:r>
      <w:r w:rsidR="004C6AD7">
        <w:rPr>
          <w:i/>
          <w:iCs/>
          <w:sz w:val="18"/>
          <w:szCs w:val="18"/>
        </w:rPr>
        <w:t>The Discovery of the Individual: 1050 – 1200</w:t>
      </w:r>
      <w:r w:rsidR="004C6AD7">
        <w:rPr>
          <w:iCs/>
          <w:sz w:val="18"/>
          <w:szCs w:val="18"/>
        </w:rPr>
        <w:t xml:space="preserve"> (New York: Harper and Row, 1973)</w:t>
      </w:r>
    </w:p>
    <w:p w:rsidR="008F38D8" w:rsidRDefault="008F38D8" w:rsidP="00547960">
      <w:pPr>
        <w:jc w:val="both"/>
        <w:rPr>
          <w:iCs/>
          <w:sz w:val="18"/>
          <w:szCs w:val="18"/>
        </w:rPr>
      </w:pPr>
      <w:r>
        <w:rPr>
          <w:iCs/>
          <w:sz w:val="18"/>
          <w:szCs w:val="18"/>
        </w:rPr>
        <w:t xml:space="preserve">Southern, R.W. </w:t>
      </w:r>
      <w:r>
        <w:rPr>
          <w:i/>
          <w:iCs/>
          <w:sz w:val="18"/>
          <w:szCs w:val="18"/>
        </w:rPr>
        <w:t xml:space="preserve">The Making of the Middle Ages </w:t>
      </w:r>
      <w:r>
        <w:rPr>
          <w:iCs/>
          <w:sz w:val="18"/>
          <w:szCs w:val="18"/>
        </w:rPr>
        <w:t xml:space="preserve">(London: </w:t>
      </w:r>
      <w:proofErr w:type="spellStart"/>
      <w:r>
        <w:rPr>
          <w:iCs/>
          <w:sz w:val="18"/>
          <w:szCs w:val="18"/>
        </w:rPr>
        <w:t>Hutchkinson</w:t>
      </w:r>
      <w:proofErr w:type="spellEnd"/>
      <w:r>
        <w:rPr>
          <w:iCs/>
          <w:sz w:val="18"/>
          <w:szCs w:val="18"/>
        </w:rPr>
        <w:t xml:space="preserve"> and co.,1978)</w:t>
      </w:r>
    </w:p>
    <w:p w:rsidR="008F38D8" w:rsidRPr="00F27F11" w:rsidRDefault="008F38D8" w:rsidP="00547960">
      <w:pPr>
        <w:jc w:val="both"/>
        <w:rPr>
          <w:iCs/>
          <w:sz w:val="18"/>
          <w:szCs w:val="18"/>
        </w:rPr>
      </w:pPr>
      <w:r>
        <w:rPr>
          <w:iCs/>
          <w:sz w:val="18"/>
          <w:szCs w:val="18"/>
        </w:rPr>
        <w:t xml:space="preserve">Southern, R.W. </w:t>
      </w:r>
      <w:r w:rsidR="00F27F11">
        <w:rPr>
          <w:i/>
          <w:iCs/>
          <w:sz w:val="18"/>
          <w:szCs w:val="18"/>
        </w:rPr>
        <w:t xml:space="preserve">Western Society and the Church in the Middle Ages </w:t>
      </w:r>
      <w:r w:rsidR="00F27F11">
        <w:rPr>
          <w:iCs/>
          <w:sz w:val="18"/>
          <w:szCs w:val="18"/>
        </w:rPr>
        <w:t>(London: Penguin Books, 1988)</w:t>
      </w:r>
    </w:p>
    <w:p w:rsidR="004C6AD7" w:rsidRPr="004C6AD7" w:rsidRDefault="004C6AD7" w:rsidP="00547960">
      <w:pPr>
        <w:jc w:val="both"/>
        <w:rPr>
          <w:iCs/>
          <w:sz w:val="18"/>
          <w:szCs w:val="18"/>
        </w:rPr>
      </w:pPr>
    </w:p>
    <w:p w:rsidR="00A068D6" w:rsidRPr="00A068D6" w:rsidRDefault="00A068D6" w:rsidP="00547960">
      <w:pPr>
        <w:jc w:val="both"/>
        <w:rPr>
          <w:i/>
          <w:iCs/>
          <w:sz w:val="18"/>
          <w:szCs w:val="18"/>
        </w:rPr>
      </w:pPr>
    </w:p>
    <w:sectPr w:rsidR="00A068D6" w:rsidRPr="00A068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3DD2" w:rsidRDefault="00AC3DD2" w:rsidP="009A73C8">
      <w:pPr>
        <w:spacing w:after="0" w:line="240" w:lineRule="auto"/>
      </w:pPr>
      <w:r>
        <w:separator/>
      </w:r>
    </w:p>
  </w:endnote>
  <w:endnote w:type="continuationSeparator" w:id="0">
    <w:p w:rsidR="00AC3DD2" w:rsidRDefault="00AC3DD2" w:rsidP="009A73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3DD2" w:rsidRDefault="00AC3DD2" w:rsidP="009A73C8">
      <w:pPr>
        <w:spacing w:after="0" w:line="240" w:lineRule="auto"/>
      </w:pPr>
      <w:r>
        <w:separator/>
      </w:r>
    </w:p>
  </w:footnote>
  <w:footnote w:type="continuationSeparator" w:id="0">
    <w:p w:rsidR="00AC3DD2" w:rsidRDefault="00AC3DD2" w:rsidP="009A73C8">
      <w:pPr>
        <w:spacing w:after="0" w:line="240" w:lineRule="auto"/>
      </w:pPr>
      <w:r>
        <w:continuationSeparator/>
      </w:r>
    </w:p>
  </w:footnote>
  <w:footnote w:id="1">
    <w:p w:rsidR="00BE7783" w:rsidRPr="003F7400" w:rsidRDefault="00BE7783" w:rsidP="003F7400">
      <w:pPr>
        <w:spacing w:line="240" w:lineRule="auto"/>
        <w:jc w:val="both"/>
        <w:rPr>
          <w:sz w:val="18"/>
          <w:szCs w:val="18"/>
        </w:rPr>
      </w:pPr>
      <w:r>
        <w:rPr>
          <w:rStyle w:val="FootnoteReference"/>
        </w:rPr>
        <w:footnoteRef/>
      </w:r>
      <w:r w:rsidR="003F7400">
        <w:rPr>
          <w:sz w:val="18"/>
          <w:szCs w:val="18"/>
        </w:rPr>
        <w:t xml:space="preserve">Margery Kemp, </w:t>
      </w:r>
      <w:r w:rsidR="003F7400">
        <w:rPr>
          <w:i/>
          <w:sz w:val="18"/>
          <w:szCs w:val="18"/>
        </w:rPr>
        <w:t>The Book of Margery Kempe</w:t>
      </w:r>
      <w:r w:rsidR="003F7400">
        <w:rPr>
          <w:sz w:val="18"/>
          <w:szCs w:val="18"/>
        </w:rPr>
        <w:t xml:space="preserve">. Translated by B.A. </w:t>
      </w:r>
      <w:proofErr w:type="spellStart"/>
      <w:r w:rsidR="003F7400">
        <w:rPr>
          <w:sz w:val="18"/>
          <w:szCs w:val="18"/>
        </w:rPr>
        <w:t>Windeatt</w:t>
      </w:r>
      <w:proofErr w:type="spellEnd"/>
      <w:r w:rsidR="003F7400">
        <w:rPr>
          <w:sz w:val="18"/>
          <w:szCs w:val="18"/>
        </w:rPr>
        <w:t>, (London: Penguin Books, 1994</w:t>
      </w:r>
      <w:r w:rsidR="003F7400" w:rsidRPr="00696D38">
        <w:rPr>
          <w:sz w:val="18"/>
          <w:szCs w:val="18"/>
        </w:rPr>
        <w:t>)</w:t>
      </w:r>
      <w:r>
        <w:t xml:space="preserve"> </w:t>
      </w:r>
    </w:p>
  </w:footnote>
  <w:footnote w:id="2">
    <w:p w:rsidR="00BE7783" w:rsidRPr="003F7400" w:rsidRDefault="00BE7783" w:rsidP="003F7400">
      <w:pPr>
        <w:spacing w:line="240" w:lineRule="auto"/>
        <w:ind w:left="1440" w:hanging="1440"/>
        <w:jc w:val="both"/>
        <w:rPr>
          <w:iCs/>
          <w:sz w:val="18"/>
          <w:szCs w:val="18"/>
        </w:rPr>
      </w:pPr>
      <w:r>
        <w:rPr>
          <w:rStyle w:val="FootnoteReference"/>
        </w:rPr>
        <w:footnoteRef/>
      </w:r>
      <w:r>
        <w:t xml:space="preserve"> </w:t>
      </w:r>
      <w:proofErr w:type="spellStart"/>
      <w:r w:rsidR="003F7400">
        <w:rPr>
          <w:iCs/>
          <w:sz w:val="18"/>
          <w:szCs w:val="18"/>
        </w:rPr>
        <w:t>Oderic</w:t>
      </w:r>
      <w:proofErr w:type="spellEnd"/>
      <w:r w:rsidR="003F7400">
        <w:rPr>
          <w:iCs/>
          <w:sz w:val="18"/>
          <w:szCs w:val="18"/>
        </w:rPr>
        <w:t xml:space="preserve"> Vitalis, </w:t>
      </w:r>
      <w:r w:rsidR="003F7400">
        <w:rPr>
          <w:i/>
          <w:iCs/>
          <w:sz w:val="18"/>
          <w:szCs w:val="18"/>
        </w:rPr>
        <w:t xml:space="preserve">The Ecclesiastical History of </w:t>
      </w:r>
      <w:proofErr w:type="spellStart"/>
      <w:r w:rsidR="003F7400">
        <w:rPr>
          <w:i/>
          <w:iCs/>
          <w:sz w:val="18"/>
          <w:szCs w:val="18"/>
        </w:rPr>
        <w:t>Oderic</w:t>
      </w:r>
      <w:proofErr w:type="spellEnd"/>
      <w:r w:rsidR="003F7400">
        <w:rPr>
          <w:i/>
          <w:iCs/>
          <w:sz w:val="18"/>
          <w:szCs w:val="18"/>
        </w:rPr>
        <w:t xml:space="preserve"> Vitalis.</w:t>
      </w:r>
      <w:r w:rsidR="003F7400">
        <w:rPr>
          <w:iCs/>
          <w:sz w:val="18"/>
          <w:szCs w:val="18"/>
        </w:rPr>
        <w:t xml:space="preserve"> Translated by M. Chibnall (Oxford: Oxford University Press, 1969-80)</w:t>
      </w:r>
    </w:p>
  </w:footnote>
  <w:footnote w:id="3">
    <w:p w:rsidR="00BE7783" w:rsidRPr="003F7400" w:rsidRDefault="00BE7783" w:rsidP="003F7400">
      <w:pPr>
        <w:spacing w:line="240" w:lineRule="auto"/>
        <w:jc w:val="both"/>
        <w:rPr>
          <w:sz w:val="18"/>
          <w:szCs w:val="18"/>
        </w:rPr>
      </w:pPr>
      <w:r>
        <w:rPr>
          <w:rStyle w:val="FootnoteReference"/>
        </w:rPr>
        <w:footnoteRef/>
      </w:r>
      <w:r>
        <w:t xml:space="preserve"> </w:t>
      </w:r>
      <w:r w:rsidR="003F7400">
        <w:rPr>
          <w:i/>
          <w:sz w:val="18"/>
          <w:szCs w:val="18"/>
        </w:rPr>
        <w:t xml:space="preserve">The Wanderer. </w:t>
      </w:r>
      <w:r w:rsidR="003F7400">
        <w:rPr>
          <w:sz w:val="18"/>
          <w:szCs w:val="18"/>
        </w:rPr>
        <w:t xml:space="preserve">Translated by Kevin Crossley Holland, in </w:t>
      </w:r>
      <w:r w:rsidR="003F7400">
        <w:rPr>
          <w:i/>
          <w:sz w:val="18"/>
          <w:szCs w:val="18"/>
        </w:rPr>
        <w:t xml:space="preserve">The Anglo-Saxon World </w:t>
      </w:r>
      <w:r w:rsidR="003F7400">
        <w:rPr>
          <w:sz w:val="18"/>
          <w:szCs w:val="18"/>
        </w:rPr>
        <w:t>(Woodbridge: The Boydell Press, 1982)</w:t>
      </w:r>
    </w:p>
  </w:footnote>
  <w:footnote w:id="4">
    <w:p w:rsidR="00BF0BC6" w:rsidRPr="003F7400" w:rsidRDefault="00BF0BC6" w:rsidP="003F7400">
      <w:pPr>
        <w:spacing w:line="240" w:lineRule="auto"/>
        <w:jc w:val="both"/>
        <w:rPr>
          <w:sz w:val="18"/>
          <w:szCs w:val="18"/>
        </w:rPr>
      </w:pPr>
      <w:r>
        <w:rPr>
          <w:rStyle w:val="FootnoteReference"/>
        </w:rPr>
        <w:footnoteRef/>
      </w:r>
      <w:r>
        <w:t xml:space="preserve"> </w:t>
      </w:r>
      <w:r w:rsidR="003F7400">
        <w:rPr>
          <w:sz w:val="18"/>
          <w:szCs w:val="18"/>
        </w:rPr>
        <w:t xml:space="preserve">Dudo of St Quentin, </w:t>
      </w:r>
      <w:r w:rsidR="003F7400">
        <w:rPr>
          <w:i/>
          <w:sz w:val="18"/>
          <w:szCs w:val="18"/>
        </w:rPr>
        <w:t>History of the Normans</w:t>
      </w:r>
      <w:r w:rsidR="003F7400">
        <w:rPr>
          <w:sz w:val="18"/>
          <w:szCs w:val="18"/>
        </w:rPr>
        <w:t>. Translated by Eric Christiansen (Woodbridge: The Boydell Press, 1998)</w:t>
      </w:r>
    </w:p>
  </w:footnote>
  <w:footnote w:id="5">
    <w:p w:rsidR="00BF0BC6" w:rsidRPr="003F7400" w:rsidRDefault="00BF0BC6" w:rsidP="003F7400">
      <w:pPr>
        <w:spacing w:line="240" w:lineRule="auto"/>
        <w:jc w:val="both"/>
        <w:rPr>
          <w:sz w:val="18"/>
          <w:szCs w:val="18"/>
        </w:rPr>
      </w:pPr>
      <w:r>
        <w:rPr>
          <w:rStyle w:val="FootnoteReference"/>
        </w:rPr>
        <w:footnoteRef/>
      </w:r>
      <w:r>
        <w:t xml:space="preserve"> </w:t>
      </w:r>
      <w:r w:rsidR="003F7400">
        <w:rPr>
          <w:sz w:val="18"/>
          <w:szCs w:val="18"/>
        </w:rPr>
        <w:t xml:space="preserve">Dante Alighieri, </w:t>
      </w:r>
      <w:r w:rsidR="003F7400">
        <w:rPr>
          <w:i/>
          <w:sz w:val="18"/>
          <w:szCs w:val="18"/>
        </w:rPr>
        <w:t>Inferno: The Divine Comedy I.</w:t>
      </w:r>
      <w:r w:rsidR="003F7400">
        <w:rPr>
          <w:sz w:val="18"/>
          <w:szCs w:val="18"/>
        </w:rPr>
        <w:t xml:space="preserve"> Translated by Robin Kirkpatrick (</w:t>
      </w:r>
      <w:r w:rsidR="003F7400">
        <w:rPr>
          <w:sz w:val="18"/>
          <w:szCs w:val="18"/>
        </w:rPr>
        <w:t>London: Penguin Classics, 2010)</w:t>
      </w:r>
    </w:p>
  </w:footnote>
  <w:footnote w:id="6">
    <w:p w:rsidR="00BE7783" w:rsidRPr="003F7400" w:rsidRDefault="00BE7783" w:rsidP="003F7400">
      <w:pPr>
        <w:spacing w:line="240" w:lineRule="auto"/>
        <w:jc w:val="both"/>
        <w:rPr>
          <w:iCs/>
          <w:sz w:val="18"/>
          <w:szCs w:val="18"/>
        </w:rPr>
      </w:pPr>
      <w:r>
        <w:rPr>
          <w:rStyle w:val="FootnoteReference"/>
        </w:rPr>
        <w:footnoteRef/>
      </w:r>
      <w:r>
        <w:t xml:space="preserve"> </w:t>
      </w:r>
      <w:proofErr w:type="gramStart"/>
      <w:r w:rsidR="003F7400">
        <w:rPr>
          <w:iCs/>
          <w:sz w:val="18"/>
          <w:szCs w:val="18"/>
        </w:rPr>
        <w:t>Otto</w:t>
      </w:r>
      <w:proofErr w:type="gramEnd"/>
      <w:r w:rsidR="003F7400">
        <w:rPr>
          <w:iCs/>
          <w:sz w:val="18"/>
          <w:szCs w:val="18"/>
        </w:rPr>
        <w:t xml:space="preserve"> I, Bishop of </w:t>
      </w:r>
      <w:proofErr w:type="spellStart"/>
      <w:r w:rsidR="003F7400">
        <w:rPr>
          <w:iCs/>
          <w:sz w:val="18"/>
          <w:szCs w:val="18"/>
        </w:rPr>
        <w:t>Freising</w:t>
      </w:r>
      <w:proofErr w:type="spellEnd"/>
      <w:r w:rsidR="003F7400">
        <w:rPr>
          <w:iCs/>
          <w:sz w:val="18"/>
          <w:szCs w:val="18"/>
        </w:rPr>
        <w:t xml:space="preserve">, </w:t>
      </w:r>
      <w:r w:rsidR="003F7400">
        <w:rPr>
          <w:i/>
          <w:iCs/>
          <w:sz w:val="18"/>
          <w:szCs w:val="18"/>
        </w:rPr>
        <w:t>The Two Cities: A</w:t>
      </w:r>
      <w:r w:rsidR="003F7400" w:rsidRPr="00B218A3">
        <w:rPr>
          <w:i/>
          <w:iCs/>
          <w:sz w:val="18"/>
          <w:szCs w:val="18"/>
        </w:rPr>
        <w:t xml:space="preserve"> chronicle of universal history to the year 1146 A.D</w:t>
      </w:r>
      <w:r w:rsidR="003F7400">
        <w:rPr>
          <w:i/>
          <w:iCs/>
          <w:sz w:val="18"/>
          <w:szCs w:val="18"/>
        </w:rPr>
        <w:t xml:space="preserve">. </w:t>
      </w:r>
      <w:r w:rsidR="003F7400">
        <w:rPr>
          <w:iCs/>
          <w:sz w:val="18"/>
          <w:szCs w:val="18"/>
        </w:rPr>
        <w:t xml:space="preserve">Translated By C.C. </w:t>
      </w:r>
      <w:proofErr w:type="spellStart"/>
      <w:r w:rsidR="003F7400">
        <w:rPr>
          <w:iCs/>
          <w:sz w:val="18"/>
          <w:szCs w:val="18"/>
        </w:rPr>
        <w:t>Mierow</w:t>
      </w:r>
      <w:proofErr w:type="spellEnd"/>
      <w:r w:rsidR="003F7400">
        <w:rPr>
          <w:iCs/>
          <w:sz w:val="18"/>
          <w:szCs w:val="18"/>
        </w:rPr>
        <w:t xml:space="preserve"> (New York: Octagon Books, 1966)</w:t>
      </w:r>
    </w:p>
  </w:footnote>
  <w:footnote w:id="7">
    <w:p w:rsidR="00BE7783" w:rsidRPr="003F7400" w:rsidRDefault="00BE7783" w:rsidP="003F7400">
      <w:pPr>
        <w:spacing w:line="240" w:lineRule="auto"/>
        <w:jc w:val="both"/>
        <w:rPr>
          <w:sz w:val="18"/>
          <w:szCs w:val="18"/>
        </w:rPr>
      </w:pPr>
      <w:r>
        <w:rPr>
          <w:rStyle w:val="FootnoteReference"/>
        </w:rPr>
        <w:footnoteRef/>
      </w:r>
      <w:r>
        <w:t xml:space="preserve"> </w:t>
      </w:r>
      <w:r w:rsidR="003F7400">
        <w:rPr>
          <w:sz w:val="18"/>
          <w:szCs w:val="18"/>
        </w:rPr>
        <w:t xml:space="preserve">Augustine, </w:t>
      </w:r>
      <w:r w:rsidR="003F7400">
        <w:rPr>
          <w:i/>
          <w:sz w:val="18"/>
          <w:szCs w:val="18"/>
        </w:rPr>
        <w:t>City of God</w:t>
      </w:r>
      <w:r w:rsidR="003F7400">
        <w:rPr>
          <w:sz w:val="18"/>
          <w:szCs w:val="18"/>
        </w:rPr>
        <w:t xml:space="preserve">. Translated by Henry </w:t>
      </w:r>
      <w:proofErr w:type="spellStart"/>
      <w:r w:rsidR="003F7400">
        <w:rPr>
          <w:sz w:val="18"/>
          <w:szCs w:val="18"/>
        </w:rPr>
        <w:t>Bettenson</w:t>
      </w:r>
      <w:proofErr w:type="spellEnd"/>
      <w:r w:rsidR="003F7400">
        <w:rPr>
          <w:sz w:val="18"/>
          <w:szCs w:val="18"/>
        </w:rPr>
        <w:t>, (</w:t>
      </w:r>
      <w:proofErr w:type="spellStart"/>
      <w:r w:rsidR="003F7400">
        <w:rPr>
          <w:sz w:val="18"/>
          <w:szCs w:val="18"/>
        </w:rPr>
        <w:t>Hammondsworth</w:t>
      </w:r>
      <w:proofErr w:type="spellEnd"/>
      <w:r w:rsidR="003F7400">
        <w:rPr>
          <w:sz w:val="18"/>
          <w:szCs w:val="18"/>
        </w:rPr>
        <w:t>: Penguin Books, 1972)</w:t>
      </w:r>
    </w:p>
  </w:footnote>
  <w:footnote w:id="8">
    <w:p w:rsidR="003F7400" w:rsidRPr="0040545C" w:rsidRDefault="002903FA" w:rsidP="003F7400">
      <w:pPr>
        <w:spacing w:line="240" w:lineRule="auto"/>
        <w:jc w:val="both"/>
        <w:rPr>
          <w:sz w:val="18"/>
          <w:szCs w:val="18"/>
        </w:rPr>
      </w:pPr>
      <w:r>
        <w:rPr>
          <w:rStyle w:val="FootnoteReference"/>
        </w:rPr>
        <w:footnoteRef/>
      </w:r>
      <w:r>
        <w:t xml:space="preserve"> </w:t>
      </w:r>
      <w:r w:rsidR="003F7400">
        <w:rPr>
          <w:i/>
          <w:sz w:val="18"/>
          <w:szCs w:val="18"/>
        </w:rPr>
        <w:t xml:space="preserve">The Map Psalter. </w:t>
      </w:r>
      <w:r w:rsidR="003F7400">
        <w:rPr>
          <w:sz w:val="18"/>
          <w:szCs w:val="18"/>
        </w:rPr>
        <w:t>The British Library, Add MS 28681, ff.9 r-v</w:t>
      </w:r>
    </w:p>
    <w:p w:rsidR="002903FA" w:rsidRDefault="002903FA">
      <w:pPr>
        <w:pStyle w:val="FootnoteText"/>
      </w:pPr>
    </w:p>
  </w:footnote>
  <w:footnote w:id="9">
    <w:p w:rsidR="003A169E" w:rsidRPr="00F860C2" w:rsidRDefault="003A169E">
      <w:pPr>
        <w:pStyle w:val="FootnoteText"/>
        <w:rPr>
          <w:sz w:val="16"/>
          <w:szCs w:val="16"/>
        </w:rPr>
      </w:pPr>
      <w:r>
        <w:rPr>
          <w:rStyle w:val="FootnoteReference"/>
        </w:rPr>
        <w:footnoteRef/>
      </w:r>
      <w:r>
        <w:t xml:space="preserve"> </w:t>
      </w:r>
      <w:r>
        <w:rPr>
          <w:sz w:val="16"/>
          <w:szCs w:val="16"/>
        </w:rPr>
        <w:t xml:space="preserve">The word ‘scientific’ in this instance denotes a modern understanding of the cosmos and is not intended to dismiss or patronise the medieval interpretation of the world around us. I would suggest that both the modern and medieval views of the physical world are based on cultural values and </w:t>
      </w:r>
      <w:r w:rsidR="007A7B20">
        <w:rPr>
          <w:sz w:val="16"/>
          <w:szCs w:val="16"/>
        </w:rPr>
        <w:t xml:space="preserve">that therefor there is merit in </w:t>
      </w:r>
      <w:r>
        <w:rPr>
          <w:sz w:val="16"/>
          <w:szCs w:val="16"/>
        </w:rPr>
        <w:t>examining the medieval worldview without cynicism over its</w:t>
      </w:r>
      <w:r w:rsidR="007A7B20">
        <w:rPr>
          <w:sz w:val="16"/>
          <w:szCs w:val="16"/>
        </w:rPr>
        <w:t xml:space="preserve"> evident</w:t>
      </w:r>
      <w:r>
        <w:rPr>
          <w:sz w:val="16"/>
          <w:szCs w:val="16"/>
        </w:rPr>
        <w:t xml:space="preserve"> priority of a cohesive religious </w:t>
      </w:r>
      <w:r w:rsidR="007A7B20">
        <w:rPr>
          <w:sz w:val="16"/>
          <w:szCs w:val="16"/>
        </w:rPr>
        <w:t>integration</w:t>
      </w:r>
      <w:r>
        <w:rPr>
          <w:sz w:val="16"/>
          <w:szCs w:val="16"/>
        </w:rPr>
        <w:t xml:space="preserve"> over scientific explanation.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33C"/>
    <w:rsid w:val="000A7233"/>
    <w:rsid w:val="000E2DE6"/>
    <w:rsid w:val="000E5AC3"/>
    <w:rsid w:val="00124923"/>
    <w:rsid w:val="00182F6B"/>
    <w:rsid w:val="00187DC2"/>
    <w:rsid w:val="001A0FA6"/>
    <w:rsid w:val="001E6DD8"/>
    <w:rsid w:val="00221C87"/>
    <w:rsid w:val="00236139"/>
    <w:rsid w:val="00272151"/>
    <w:rsid w:val="002903FA"/>
    <w:rsid w:val="003176E3"/>
    <w:rsid w:val="00320E1E"/>
    <w:rsid w:val="00342BE6"/>
    <w:rsid w:val="003A169E"/>
    <w:rsid w:val="003A6639"/>
    <w:rsid w:val="003D2096"/>
    <w:rsid w:val="003D4216"/>
    <w:rsid w:val="003F7400"/>
    <w:rsid w:val="0040545C"/>
    <w:rsid w:val="00441A00"/>
    <w:rsid w:val="004C6AD7"/>
    <w:rsid w:val="004D133C"/>
    <w:rsid w:val="00517994"/>
    <w:rsid w:val="00536F6B"/>
    <w:rsid w:val="00541B1C"/>
    <w:rsid w:val="00547960"/>
    <w:rsid w:val="00577153"/>
    <w:rsid w:val="00620F7A"/>
    <w:rsid w:val="00696D38"/>
    <w:rsid w:val="006A514F"/>
    <w:rsid w:val="006B1504"/>
    <w:rsid w:val="006E5F77"/>
    <w:rsid w:val="0071587E"/>
    <w:rsid w:val="007555EA"/>
    <w:rsid w:val="007A7B20"/>
    <w:rsid w:val="007A7E05"/>
    <w:rsid w:val="008A3754"/>
    <w:rsid w:val="008F38D8"/>
    <w:rsid w:val="00973F0C"/>
    <w:rsid w:val="009A73C8"/>
    <w:rsid w:val="00A068D6"/>
    <w:rsid w:val="00A773EC"/>
    <w:rsid w:val="00AC3DD2"/>
    <w:rsid w:val="00B03921"/>
    <w:rsid w:val="00B218A3"/>
    <w:rsid w:val="00B85D35"/>
    <w:rsid w:val="00BE53AF"/>
    <w:rsid w:val="00BE7783"/>
    <w:rsid w:val="00BF0BC6"/>
    <w:rsid w:val="00C44FF6"/>
    <w:rsid w:val="00C640EB"/>
    <w:rsid w:val="00C72985"/>
    <w:rsid w:val="00D0224A"/>
    <w:rsid w:val="00DA5898"/>
    <w:rsid w:val="00DB4D91"/>
    <w:rsid w:val="00DB5962"/>
    <w:rsid w:val="00E13249"/>
    <w:rsid w:val="00E405BE"/>
    <w:rsid w:val="00E554C4"/>
    <w:rsid w:val="00EA7CA0"/>
    <w:rsid w:val="00ED5B2A"/>
    <w:rsid w:val="00EE5CE8"/>
    <w:rsid w:val="00F27F11"/>
    <w:rsid w:val="00F860C2"/>
    <w:rsid w:val="00FA3A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25858"/>
  <w15:chartTrackingRefBased/>
  <w15:docId w15:val="{86822EEF-8453-4E81-8411-C75A533A8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A73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73C8"/>
    <w:rPr>
      <w:sz w:val="20"/>
      <w:szCs w:val="20"/>
    </w:rPr>
  </w:style>
  <w:style w:type="character" w:styleId="FootnoteReference">
    <w:name w:val="footnote reference"/>
    <w:basedOn w:val="DefaultParagraphFont"/>
    <w:uiPriority w:val="99"/>
    <w:semiHidden/>
    <w:unhideWhenUsed/>
    <w:rsid w:val="009A73C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7A5F2-499F-4455-AF10-545A33D16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4814</TotalTime>
  <Pages>6</Pages>
  <Words>1376</Words>
  <Characters>7849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Hoffman (1501219)</dc:creator>
  <cp:keywords/>
  <dc:description/>
  <cp:lastModifiedBy>Mary Hoffman (1501219)</cp:lastModifiedBy>
  <cp:revision>3</cp:revision>
  <dcterms:created xsi:type="dcterms:W3CDTF">2017-11-20T13:06:00Z</dcterms:created>
  <dcterms:modified xsi:type="dcterms:W3CDTF">2017-11-24T03:05:00Z</dcterms:modified>
</cp:coreProperties>
</file>