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CAE92C" w14:textId="4223199C" w:rsidR="00F31D4C" w:rsidRPr="002E0377" w:rsidRDefault="001324BC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rFonts w:cstheme="minorHAnsi"/>
          <w:sz w:val="24"/>
          <w:szCs w:val="24"/>
        </w:rPr>
        <w:t>Katie Burdett 2</w:t>
      </w:r>
      <w:r w:rsidR="00CC6405">
        <w:rPr>
          <w:rFonts w:cstheme="minorHAnsi"/>
          <w:sz w:val="24"/>
          <w:szCs w:val="24"/>
        </w:rPr>
        <w:t>7</w:t>
      </w:r>
      <w:r w:rsidRPr="002E0377">
        <w:rPr>
          <w:rFonts w:cstheme="minorHAnsi"/>
          <w:sz w:val="24"/>
          <w:szCs w:val="24"/>
        </w:rPr>
        <w:t>/0</w:t>
      </w:r>
      <w:r w:rsidR="00CC6405">
        <w:rPr>
          <w:rFonts w:cstheme="minorHAnsi"/>
          <w:sz w:val="24"/>
          <w:szCs w:val="24"/>
        </w:rPr>
        <w:t>3</w:t>
      </w:r>
      <w:r w:rsidRPr="002E0377">
        <w:rPr>
          <w:rFonts w:cstheme="minorHAnsi"/>
          <w:sz w:val="24"/>
          <w:szCs w:val="24"/>
        </w:rPr>
        <w:t>/2024</w:t>
      </w:r>
    </w:p>
    <w:p w14:paraId="7B368A9D" w14:textId="77777777" w:rsidR="00781724" w:rsidRDefault="00781724" w:rsidP="000009F2">
      <w:pPr>
        <w:spacing w:after="120"/>
        <w:rPr>
          <w:rFonts w:cstheme="minorHAnsi"/>
          <w:sz w:val="24"/>
          <w:szCs w:val="24"/>
        </w:rPr>
      </w:pPr>
    </w:p>
    <w:p w14:paraId="0B2976C8" w14:textId="77C3E6E0" w:rsidR="001324BC" w:rsidRPr="00781724" w:rsidRDefault="001324BC" w:rsidP="000009F2">
      <w:pPr>
        <w:spacing w:after="120"/>
        <w:rPr>
          <w:rFonts w:cstheme="minorHAnsi"/>
          <w:b/>
          <w:bCs/>
          <w:sz w:val="28"/>
          <w:szCs w:val="28"/>
          <w:u w:val="single"/>
        </w:rPr>
      </w:pPr>
      <w:r w:rsidRPr="00781724">
        <w:rPr>
          <w:rFonts w:cstheme="minorHAnsi"/>
          <w:b/>
          <w:bCs/>
          <w:sz w:val="28"/>
          <w:szCs w:val="28"/>
          <w:u w:val="single"/>
        </w:rPr>
        <w:t xml:space="preserve">Commentary on </w:t>
      </w:r>
      <w:r w:rsidR="0048233D" w:rsidRPr="00781724">
        <w:rPr>
          <w:rFonts w:cstheme="minorHAnsi"/>
          <w:b/>
          <w:bCs/>
          <w:sz w:val="28"/>
          <w:szCs w:val="28"/>
          <w:u w:val="single"/>
        </w:rPr>
        <w:t xml:space="preserve">Petronius’ </w:t>
      </w:r>
      <w:r w:rsidRPr="00781724">
        <w:rPr>
          <w:rFonts w:cstheme="minorHAnsi"/>
          <w:b/>
          <w:bCs/>
          <w:sz w:val="28"/>
          <w:szCs w:val="28"/>
          <w:u w:val="single"/>
        </w:rPr>
        <w:t xml:space="preserve">Satyricon </w:t>
      </w:r>
      <w:r w:rsidR="00CC6405">
        <w:rPr>
          <w:rFonts w:cstheme="minorHAnsi"/>
          <w:b/>
          <w:bCs/>
          <w:sz w:val="28"/>
          <w:szCs w:val="28"/>
          <w:u w:val="single"/>
        </w:rPr>
        <w:t>47</w:t>
      </w:r>
      <w:r w:rsidRPr="00781724">
        <w:rPr>
          <w:rFonts w:cstheme="minorHAnsi"/>
          <w:b/>
          <w:bCs/>
          <w:sz w:val="28"/>
          <w:szCs w:val="28"/>
          <w:u w:val="single"/>
        </w:rPr>
        <w:t>-</w:t>
      </w:r>
      <w:r w:rsidR="00CC6405">
        <w:rPr>
          <w:rFonts w:cstheme="minorHAnsi"/>
          <w:b/>
          <w:bCs/>
          <w:sz w:val="28"/>
          <w:szCs w:val="28"/>
          <w:u w:val="single"/>
        </w:rPr>
        <w:t>48</w:t>
      </w:r>
    </w:p>
    <w:p w14:paraId="396AE8F5" w14:textId="77777777" w:rsidR="001324BC" w:rsidRPr="002E0377" w:rsidRDefault="001324BC" w:rsidP="000009F2">
      <w:pPr>
        <w:spacing w:after="120"/>
        <w:rPr>
          <w:rFonts w:cstheme="minorHAnsi"/>
          <w:sz w:val="24"/>
          <w:szCs w:val="24"/>
        </w:rPr>
      </w:pPr>
    </w:p>
    <w:p w14:paraId="519C641C" w14:textId="77777777" w:rsidR="00867036" w:rsidRDefault="008E597E" w:rsidP="00CC6405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Petronius’ Satyricon </w:t>
      </w:r>
      <w:r w:rsidR="00CC6405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is a Roman novel from the 1st century AD, believed to have been </w:t>
      </w:r>
    </w:p>
    <w:p w14:paraId="1FD5AB8C" w14:textId="77777777" w:rsidR="00867036" w:rsidRDefault="00CC6405" w:rsidP="00CC6405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written during the reign of Nero, </w:t>
      </w:r>
      <w:r w:rsidR="0095168A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 time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known for its excesses and moral decay. The </w:t>
      </w:r>
    </w:p>
    <w:p w14:paraId="496B6B12" w14:textId="77777777" w:rsidR="00867036" w:rsidRDefault="00CC6405" w:rsidP="00CC6405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surviving portions of the text offer a satirical depiction of Roman society, focusing on the </w:t>
      </w:r>
    </w:p>
    <w:p w14:paraId="04B752BF" w14:textId="77777777" w:rsidR="00867036" w:rsidRDefault="00CC6405" w:rsidP="00CC6405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lives of various characters, including the narrator Encolpius, his lover Giton, and the </w:t>
      </w:r>
    </w:p>
    <w:p w14:paraId="529CF590" w14:textId="77777777" w:rsidR="00867036" w:rsidRDefault="00CC6405" w:rsidP="00CC6405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extravagant freedman Trimalchio. The novel is fragmentary, yet it remains a valuable source </w:t>
      </w:r>
    </w:p>
    <w:p w14:paraId="52659C1E" w14:textId="07EE0E08" w:rsidR="00CC6405" w:rsidRPr="008C63A9" w:rsidRDefault="00CC6405" w:rsidP="00CC6405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for understanding the cultural milieu of its time.</w:t>
      </w:r>
    </w:p>
    <w:p w14:paraId="1D816BC5" w14:textId="77777777" w:rsidR="00867036" w:rsidRDefault="00867036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4E1D3A20" w14:textId="77777777" w:rsidR="00867036" w:rsidRDefault="00CC6405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At the start of this section of the Cena, Trimalchio has just returned from emptying his </w:t>
      </w:r>
    </w:p>
    <w:p w14:paraId="40C0FFC3" w14:textId="77777777" w:rsidR="00867036" w:rsidRDefault="00CC6405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bladde</w:t>
      </w:r>
      <w:r w:rsidR="0016290E" w:rsidRPr="008C63A9">
        <w:rPr>
          <w:rFonts w:cstheme="minorHAnsi"/>
          <w:color w:val="0D0D0D"/>
          <w:sz w:val="24"/>
          <w:szCs w:val="24"/>
          <w:shd w:val="clear" w:color="auto" w:fill="FFFFFF"/>
        </w:rPr>
        <w:t>r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and begins a discussion about digestion and his stomach, ‘alioquin circa stomachum </w:t>
      </w:r>
    </w:p>
    <w:p w14:paraId="4AC47E74" w14:textId="77777777" w:rsidR="00867036" w:rsidRDefault="00CC6405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mihi sonat, outes taurum.’ (Petr. Sat. 47). He informs the guests that the doctors do not </w:t>
      </w:r>
    </w:p>
    <w:p w14:paraId="3B873179" w14:textId="77777777" w:rsidR="00867036" w:rsidRDefault="00CC6405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know how to treat him, ‘nec medici se invenit,’ (Petr. Sat. 47), but that the rind of </w:t>
      </w:r>
    </w:p>
    <w:p w14:paraId="2A74069C" w14:textId="77777777" w:rsidR="00867036" w:rsidRDefault="00CC6405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pomegranate and pine have helped. According to the writings of the Greek Dioscorides, ‘All </w:t>
      </w:r>
    </w:p>
    <w:p w14:paraId="4DA60FB2" w14:textId="77777777" w:rsidR="00867036" w:rsidRDefault="00CC6405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sorts of pomegranats are of a pleasant taste and good for ye stomach’’ (Gunter RT: The </w:t>
      </w:r>
    </w:p>
    <w:p w14:paraId="179B1E20" w14:textId="77777777" w:rsidR="00867036" w:rsidRDefault="00CC6405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Greek herbal of Dioscorides, pp 80-81). </w:t>
      </w:r>
      <w:r w:rsidR="000E1F00" w:rsidRPr="008C63A9">
        <w:rPr>
          <w:rFonts w:cstheme="minorHAnsi"/>
          <w:sz w:val="24"/>
          <w:szCs w:val="24"/>
        </w:rPr>
        <w:t xml:space="preserve">During this time there was no professional class of </w:t>
      </w:r>
    </w:p>
    <w:p w14:paraId="7A055ECD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physicians and many relied on primitive remedies, superstitious beliefs and offerings to the </w:t>
      </w:r>
    </w:p>
    <w:p w14:paraId="5F6B13C8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gods. The growth of formal medicine began with the arrival of Greek physicians, who were </w:t>
      </w:r>
    </w:p>
    <w:p w14:paraId="7B20E13A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initially derided by the Romans. (Potter, D. ‘A Companion To The Roman Empire.) Pliny the </w:t>
      </w:r>
    </w:p>
    <w:p w14:paraId="7A7FF885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Elder describes approximately one thousand plants with medicinal properties, such as </w:t>
      </w:r>
    </w:p>
    <w:p w14:paraId="064B38B1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‘avens’ advised by herbalists as an astringent for digestive troubles (Pliny Naturae Historicae </w:t>
      </w:r>
    </w:p>
    <w:p w14:paraId="0A840546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XXIV. 37.). Trimalchio goes on to tell his guests to relieve themselves with no shame, ‘itaque </w:t>
      </w:r>
    </w:p>
    <w:p w14:paraId="573D5CA7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si quis vestrum voluerit sua re causa facere.’ According to Lateiner and Spatheras in ‘The </w:t>
      </w:r>
    </w:p>
    <w:p w14:paraId="077E05ED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Ancient Emotion of Disgust’, Trimalchio is aping Nero and the Cynic philosophers by revelling </w:t>
      </w:r>
    </w:p>
    <w:p w14:paraId="4D6D7ECD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in ‘open violations of civilized public and private behaviour.’ A ‘desire to dominate and shock’ </w:t>
      </w:r>
    </w:p>
    <w:p w14:paraId="17964435" w14:textId="77777777" w:rsidR="00867036" w:rsidRDefault="000E1F00" w:rsidP="000E1F00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is shown by his focus on indigestion through his grumbling stomach, ‘stomachum mihi sonat’ </w:t>
      </w:r>
    </w:p>
    <w:p w14:paraId="34F5FB2C" w14:textId="77777777" w:rsidR="00867036" w:rsidRDefault="000E1F00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(Petr. Sat. 47), urinating ‘exonerata ille vescia’ (Petr. Sat. 27), and encouraging his guests to </w:t>
      </w:r>
    </w:p>
    <w:p w14:paraId="488A8F4A" w14:textId="77777777" w:rsidR="00867036" w:rsidRDefault="000E1F00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do the same. The mention of medicines whilst dining, could also be a reference to Nero, </w:t>
      </w:r>
    </w:p>
    <w:p w14:paraId="7295B957" w14:textId="77777777" w:rsidR="00867036" w:rsidRDefault="000E1F00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Emperor at the time this text is purported to have been written, who ‘poisoned many [of his </w:t>
      </w:r>
    </w:p>
    <w:p w14:paraId="5884E3AB" w14:textId="77777777" w:rsidR="00867036" w:rsidRDefault="000E1F00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guests] with alleged medicines’ (Lateiner, Sperathas: The Ancient Emotion of Disgust.) </w:t>
      </w:r>
      <w:r w:rsidR="0016290E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</w:t>
      </w:r>
    </w:p>
    <w:p w14:paraId="2B6A2CDD" w14:textId="77777777" w:rsidR="00867036" w:rsidRDefault="0016290E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lastRenderedPageBreak/>
        <w:t>theme of bodily functions continues</w:t>
      </w:r>
      <w:r w:rsidR="0095168A" w:rsidRPr="008C63A9">
        <w:rPr>
          <w:rFonts w:cstheme="minorHAnsi"/>
          <w:color w:val="0D0D0D"/>
          <w:sz w:val="24"/>
          <w:szCs w:val="24"/>
          <w:shd w:val="clear" w:color="auto" w:fill="FFFFFF"/>
        </w:rPr>
        <w:t>,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linked to the dual idea of ‘wind’, be it through </w:t>
      </w:r>
    </w:p>
    <w:p w14:paraId="16796ED3" w14:textId="77777777" w:rsidR="00867036" w:rsidRDefault="0016290E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expulsion of gas or long-winded speeches. Trimalchius urges his guests not to hold wind in, </w:t>
      </w:r>
    </w:p>
    <w:p w14:paraId="6ABFB8D9" w14:textId="77777777" w:rsidR="00867036" w:rsidRDefault="0016290E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‘ego nullum puto tam magnum tormentum esse quam continere’ (Petr. Sat. 47), whilst </w:t>
      </w:r>
    </w:p>
    <w:p w14:paraId="5F647790" w14:textId="77777777" w:rsidR="00867036" w:rsidRDefault="0016290E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Seleucus</w:t>
      </w:r>
      <w:r w:rsidR="0095168A" w:rsidRPr="008C63A9">
        <w:rPr>
          <w:rFonts w:cstheme="minorHAnsi"/>
          <w:color w:val="0D0D0D"/>
          <w:sz w:val="24"/>
          <w:szCs w:val="24"/>
          <w:shd w:val="clear" w:color="auto" w:fill="FFFFFF"/>
        </w:rPr>
        <w:t>, a guest at the Cena,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describes men as ‘nothing but ambulatory bladders of wind’, </w:t>
      </w:r>
    </w:p>
    <w:p w14:paraId="28728741" w14:textId="58235AEF" w:rsidR="0016290E" w:rsidRPr="008C63A9" w:rsidRDefault="0016290E" w:rsidP="000E1F00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‘utres inflate ambulamus.’ (Petr. Sat. 42). </w:t>
      </w:r>
    </w:p>
    <w:p w14:paraId="6D9F4F19" w14:textId="77777777" w:rsidR="00867036" w:rsidRDefault="00867036" w:rsidP="00867036">
      <w:pPr>
        <w:spacing w:after="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085A6109" w14:textId="77777777" w:rsidR="00867036" w:rsidRDefault="0016290E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This section of Petronius’ Satyricon could be seen as an attempt to turn societal values on </w:t>
      </w:r>
    </w:p>
    <w:p w14:paraId="18599421" w14:textId="73063F1D" w:rsidR="00867036" w:rsidRDefault="0016290E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their head, through ‘the text’s inversion of elite values’, (Perkins J. ‘Metaphor and The </w:t>
      </w:r>
    </w:p>
    <w:p w14:paraId="5271CE5A" w14:textId="6FFC3E79" w:rsidR="00867036" w:rsidRDefault="0016290E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Ancient Novel, p147). Roman hierarchy placed those who worked with bodies on the lower </w:t>
      </w:r>
    </w:p>
    <w:p w14:paraId="0717FF47" w14:textId="77777777" w:rsidR="00867036" w:rsidRDefault="0016290E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rungs of society. It could be seen as the antithesis of Plato’s </w:t>
      </w:r>
      <w:r w:rsidR="00D851F3" w:rsidRPr="008C63A9">
        <w:rPr>
          <w:rFonts w:cstheme="minorHAnsi"/>
          <w:color w:val="0D0D0D"/>
          <w:sz w:val="24"/>
          <w:szCs w:val="24"/>
          <w:shd w:val="clear" w:color="auto" w:fill="FFFFFF"/>
        </w:rPr>
        <w:t>‘S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ymposium</w:t>
      </w:r>
      <w:r w:rsidR="00D851F3" w:rsidRPr="008C63A9">
        <w:rPr>
          <w:rFonts w:cstheme="minorHAnsi"/>
          <w:color w:val="0D0D0D"/>
          <w:sz w:val="24"/>
          <w:szCs w:val="24"/>
          <w:shd w:val="clear" w:color="auto" w:fill="FFFFFF"/>
        </w:rPr>
        <w:t>’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, against the </w:t>
      </w:r>
    </w:p>
    <w:p w14:paraId="74ACCE31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written between 385-370 BC and is a friendly contest of extemporaneous speeches given by </w:t>
      </w:r>
    </w:p>
    <w:p w14:paraId="55C96AC4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 group of notable men attending a banquet. These attendees include the philosopher </w:t>
      </w:r>
    </w:p>
    <w:p w14:paraId="62C88096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Socrates, general Alcibiades and the comic playwright Aristophanes. The focus of the </w:t>
      </w:r>
    </w:p>
    <w:p w14:paraId="50BA3458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speeches is humanity’s incompleteness and that ‘eros’ is a result of a desire to achieve </w:t>
      </w:r>
    </w:p>
    <w:p w14:paraId="79627ACA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completion through embracing other humans. (Destree</w:t>
      </w:r>
      <w:r w:rsidR="00113CAC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P., Giannopolou Z</w:t>
      </w:r>
      <w:r w:rsidR="007C3A6D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. 2017, 70-87). </w:t>
      </w:r>
    </w:p>
    <w:p w14:paraId="6B7DA9B1" w14:textId="77777777" w:rsidR="00867036" w:rsidRDefault="007C3A6D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Petronius could be seen to be comparing the erudite nature of the speeches in ‘Symposium’ </w:t>
      </w:r>
    </w:p>
    <w:p w14:paraId="16E8BB8B" w14:textId="77777777" w:rsidR="00867036" w:rsidRDefault="007C3A6D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with the lack of sophistication in the speeches given in the ‘Satyricon’. Educated readers of </w:t>
      </w:r>
    </w:p>
    <w:p w14:paraId="471C7EA2" w14:textId="77777777" w:rsidR="00867036" w:rsidRDefault="007C3A6D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text would be aware of the crassness of Trimalchio and his freedman guests, as seen by </w:t>
      </w:r>
    </w:p>
    <w:p w14:paraId="5BC01AD9" w14:textId="77777777" w:rsidR="00867036" w:rsidRDefault="007C3A6D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earlier references to bodily functions.  </w:t>
      </w:r>
      <w:r w:rsidR="00D851F3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This reinforces the genre of satire, evident </w:t>
      </w:r>
    </w:p>
    <w:p w14:paraId="7DEBF67E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thoughout the Cena section of Satyricon.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Satire is omnipresent and has already been seen </w:t>
      </w:r>
    </w:p>
    <w:p w14:paraId="4C93BCA3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through Trimalchio, ‘pallio…coccineo’ (Petr. Sat. 32) mimicking the appearance of Nero, who </w:t>
      </w:r>
    </w:p>
    <w:p w14:paraId="77F0DA9B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wore a silk dressing gown, slippers and scarf (Suetonius Nero 52). The role of the Roman </w:t>
      </w:r>
    </w:p>
    <w:p w14:paraId="79911F2A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genre of satire was to</w:t>
      </w:r>
      <w:r w:rsidR="007C3A6D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censure the vices of men and Petronius focuses on this with </w:t>
      </w:r>
    </w:p>
    <w:p w14:paraId="0742092B" w14:textId="77777777" w:rsidR="00867036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Trimalchio’s obsession with</w:t>
      </w:r>
      <w:r w:rsidR="007C3A6D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fortune and blatant displays of wealth, especially evident in the </w:t>
      </w:r>
    </w:p>
    <w:p w14:paraId="1E8E4F62" w14:textId="4F659641" w:rsidR="00D851F3" w:rsidRPr="008C63A9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banquet with the ostentatious food and wine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.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‘Walsh believes that by the use of </w:t>
      </w:r>
    </w:p>
    <w:p w14:paraId="548832EC" w14:textId="0B666A07" w:rsidR="00D851F3" w:rsidRPr="008C63A9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prosimetric form (where the work uses both prose and verse), Petronius wished his </w:t>
      </w:r>
    </w:p>
    <w:p w14:paraId="08167D27" w14:textId="77777777" w:rsidR="00D851F3" w:rsidRPr="008C63A9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readers to associate him with Menippean satire.’ (Rowell, Walsh Review pp. 703). </w:t>
      </w:r>
    </w:p>
    <w:p w14:paraId="61CBE67B" w14:textId="77777777" w:rsidR="00D851F3" w:rsidRPr="008C63A9" w:rsidRDefault="00D851F3" w:rsidP="00867036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Menippean satire is, according to the Oxford Reference “</w:t>
      </w:r>
      <w:r w:rsidRPr="008C63A9">
        <w:rPr>
          <w:rFonts w:cstheme="minorHAnsi"/>
          <w:color w:val="000000"/>
          <w:sz w:val="24"/>
          <w:szCs w:val="24"/>
          <w:shd w:val="clear" w:color="auto" w:fill="FFFFFF"/>
        </w:rPr>
        <w:t xml:space="preserve">A form of intellectually humorous </w:t>
      </w:r>
    </w:p>
    <w:p w14:paraId="6655E80E" w14:textId="1CF2E59D" w:rsidR="00D851F3" w:rsidRPr="008C63A9" w:rsidRDefault="00D851F3" w:rsidP="00867036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00000"/>
          <w:sz w:val="24"/>
          <w:szCs w:val="24"/>
          <w:shd w:val="clear" w:color="auto" w:fill="FFFFFF"/>
        </w:rPr>
        <w:t xml:space="preserve">work characterized by miscellaneous contents, displays of curious erudition, and comical </w:t>
      </w:r>
    </w:p>
    <w:p w14:paraId="08B44618" w14:textId="77777777" w:rsidR="00D851F3" w:rsidRPr="008C63A9" w:rsidRDefault="00D851F3" w:rsidP="00867036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00000"/>
          <w:sz w:val="24"/>
          <w:szCs w:val="24"/>
          <w:shd w:val="clear" w:color="auto" w:fill="FFFFFF"/>
        </w:rPr>
        <w:t xml:space="preserve">discussions on philosophical topics. The name comes from the Greek Cynic philosopher </w:t>
      </w:r>
    </w:p>
    <w:p w14:paraId="06F1B481" w14:textId="77777777" w:rsidR="00D851F3" w:rsidRPr="008C63A9" w:rsidRDefault="00D851F3" w:rsidP="00867036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00000"/>
          <w:sz w:val="24"/>
          <w:szCs w:val="24"/>
          <w:shd w:val="clear" w:color="auto" w:fill="FFFFFF"/>
        </w:rPr>
        <w:t xml:space="preserve">Menippus (3rd century BCE), whose works are lost, but who was imitated by the Roman </w:t>
      </w:r>
    </w:p>
    <w:p w14:paraId="01A66BAB" w14:textId="77777777" w:rsidR="00D851F3" w:rsidRPr="008C63A9" w:rsidRDefault="00D851F3" w:rsidP="00867036">
      <w:pPr>
        <w:spacing w:after="120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00000"/>
          <w:sz w:val="24"/>
          <w:szCs w:val="24"/>
          <w:shd w:val="clear" w:color="auto" w:fill="FFFFFF"/>
        </w:rPr>
        <w:t xml:space="preserve">writer Varro (1st century BCE) among others.” It was a harsher form of satire, containing </w:t>
      </w:r>
    </w:p>
    <w:p w14:paraId="687D3870" w14:textId="77777777" w:rsidR="00D851F3" w:rsidRPr="008C63A9" w:rsidRDefault="00D851F3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00000"/>
          <w:sz w:val="24"/>
          <w:szCs w:val="24"/>
          <w:shd w:val="clear" w:color="auto" w:fill="FFFFFF"/>
        </w:rPr>
        <w:t xml:space="preserve">both prose and verse, the comic and the serious. </w:t>
      </w:r>
    </w:p>
    <w:p w14:paraId="1EC8FC41" w14:textId="77777777" w:rsidR="00867036" w:rsidRDefault="00867036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0D18C217" w14:textId="12DF6240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When compared to the Roman values of this time this puts Trimalchio in the category of </w:t>
      </w:r>
    </w:p>
    <w:p w14:paraId="21F36E68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Theophrastus’ ‘</w:t>
      </w:r>
      <w:r w:rsidR="00CD3B78" w:rsidRPr="008C63A9">
        <w:rPr>
          <w:rFonts w:cstheme="minorHAnsi"/>
          <w:color w:val="0D0D0D"/>
          <w:sz w:val="24"/>
          <w:szCs w:val="24"/>
          <w:shd w:val="clear" w:color="auto" w:fill="FFFFFF"/>
        </w:rPr>
        <w:t>D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isgusting man’</w:t>
      </w:r>
      <w:r w:rsidR="00CD3B78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, ‘lifting up his head and belching’, (Theophyastus, Characters: </w:t>
      </w:r>
    </w:p>
    <w:p w14:paraId="5D915694" w14:textId="77777777" w:rsidR="00867036" w:rsidRDefault="00CD3B78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An Ancient Take on Bad Behaviour)</w:t>
      </w:r>
      <w:r w:rsidR="00CF0B95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. So unlike the contained idea of society with everyone in </w:t>
      </w:r>
    </w:p>
    <w:p w14:paraId="1BE60A6B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their place and limited opportunities to advance, Victoria Rimmel (2002, p12) expresses the </w:t>
      </w:r>
    </w:p>
    <w:p w14:paraId="6B5E2EE8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idea that Petronius, through Trimalchio presents a different societal model of a more ‘porous </w:t>
      </w:r>
    </w:p>
    <w:p w14:paraId="37FB6A12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society’, one where change is possible. </w:t>
      </w:r>
      <w:r w:rsidR="0095168A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This is clearly shown through Trimalchio’s statement </w:t>
      </w:r>
    </w:p>
    <w:p w14:paraId="641DA8D5" w14:textId="77777777" w:rsidR="00867036" w:rsidRDefault="0095168A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‘None of us are born quite solid’, ‘nemo nostrum solide natus est.’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(Petr. Sat. 47). </w:t>
      </w:r>
      <w:r w:rsidR="00CF0B95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This idea is </w:t>
      </w:r>
    </w:p>
    <w:p w14:paraId="7CDB55FB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reinforced by many of the guests and Trimalchio himself being freedmen, who have risen </w:t>
      </w:r>
    </w:p>
    <w:p w14:paraId="5E8D2743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from their original position as slaves. The text is littered with examples of ostentatious </w:t>
      </w:r>
    </w:p>
    <w:p w14:paraId="66CF275E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displays of wealth and opulence and with  descriptions of Trimalchio mimicking the dress of </w:t>
      </w:r>
    </w:p>
    <w:p w14:paraId="3921DCD4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those in higher echelons of society than himself.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Trimalchio’s obsession with fortune and </w:t>
      </w:r>
    </w:p>
    <w:p w14:paraId="15EA86FD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blatant displays of wealth, especially evident in the banquet with the ostentatious food and </w:t>
      </w:r>
    </w:p>
    <w:p w14:paraId="540344F4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wine, ‘Falernum Opimianum annorum centum’, falernian wine of Opimius vintage, one </w:t>
      </w:r>
    </w:p>
    <w:p w14:paraId="70FA1F2B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hundred years old. (Petr. Sat. 34).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These vulgar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displays of wealth began earlier with </w:t>
      </w:r>
    </w:p>
    <w:p w14:paraId="4F0ED971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Trimalchio’s use of clothing and jewellery as vehicles to display his riches. </w:t>
      </w:r>
      <w:r w:rsidRPr="008C63A9">
        <w:rPr>
          <w:rFonts w:cstheme="minorHAnsi"/>
          <w:sz w:val="24"/>
          <w:szCs w:val="24"/>
        </w:rPr>
        <w:t xml:space="preserve">As a slave, </w:t>
      </w:r>
    </w:p>
    <w:p w14:paraId="4F82B187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Trimalchio would not have had any possessions, so now freed and wealthy he enjoys the </w:t>
      </w:r>
    </w:p>
    <w:p w14:paraId="58554E32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>ostentatious displays, such as using purple, the most expensive</w:t>
      </w:r>
      <w:r w:rsidR="00867036">
        <w:rPr>
          <w:rFonts w:cstheme="minorHAnsi"/>
          <w:sz w:val="24"/>
          <w:szCs w:val="24"/>
        </w:rPr>
        <w:t xml:space="preserve"> </w:t>
      </w:r>
      <w:r w:rsidRPr="008C63A9">
        <w:rPr>
          <w:rFonts w:cstheme="minorHAnsi"/>
          <w:sz w:val="24"/>
          <w:szCs w:val="24"/>
        </w:rPr>
        <w:t xml:space="preserve">dye used at this time. It was </w:t>
      </w:r>
    </w:p>
    <w:p w14:paraId="7F0B42C8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known as ‘Tyrian Purple’ (from Tyre in Lebanon) and the purple was made from the mucus </w:t>
      </w:r>
    </w:p>
    <w:p w14:paraId="261CAB43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>of three species of Mediterranean sea snails and a pound in the 1</w:t>
      </w:r>
      <w:r w:rsidRPr="008C63A9">
        <w:rPr>
          <w:rFonts w:cstheme="minorHAnsi"/>
          <w:sz w:val="24"/>
          <w:szCs w:val="24"/>
          <w:vertAlign w:val="superscript"/>
        </w:rPr>
        <w:t>st</w:t>
      </w:r>
      <w:r w:rsidRPr="008C63A9">
        <w:rPr>
          <w:rFonts w:cstheme="minorHAnsi"/>
          <w:sz w:val="24"/>
          <w:szCs w:val="24"/>
        </w:rPr>
        <w:t xml:space="preserve"> Century C.E. would have </w:t>
      </w:r>
    </w:p>
    <w:p w14:paraId="01F864AA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cost half a Roman soldier’s annual salary. Pliny the Elder in his Natural History Book IX </w:t>
      </w:r>
    </w:p>
    <w:p w14:paraId="2E59D701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>Chapter 60 describes how the dye is made and that over a thousand</w:t>
      </w:r>
      <w:r w:rsidR="00867036">
        <w:rPr>
          <w:rFonts w:cstheme="minorHAnsi"/>
          <w:sz w:val="24"/>
          <w:szCs w:val="24"/>
        </w:rPr>
        <w:t xml:space="preserve"> </w:t>
      </w:r>
      <w:r w:rsidRPr="008C63A9">
        <w:rPr>
          <w:rFonts w:cstheme="minorHAnsi"/>
          <w:sz w:val="24"/>
          <w:szCs w:val="24"/>
        </w:rPr>
        <w:t xml:space="preserve">snails are required to </w:t>
      </w:r>
    </w:p>
    <w:p w14:paraId="7CAB1BBA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make an ounce of the dye. Red was representative of the cloaks generals wore and so is </w:t>
      </w:r>
    </w:p>
    <w:p w14:paraId="61093A45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incongruous when worn by Trimalchio, ‘pallio…coccidneo’. Again, adopting the practices of </w:t>
      </w:r>
    </w:p>
    <w:p w14:paraId="2A6AA8D8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>those who he can never hope to be. (Pray Bober 1999:163).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sz w:val="24"/>
          <w:szCs w:val="24"/>
        </w:rPr>
        <w:t xml:space="preserve">Gold rings were only allowed to </w:t>
      </w:r>
    </w:p>
    <w:p w14:paraId="0F520549" w14:textId="77777777" w:rsidR="00867036" w:rsidRDefault="00CF0B95" w:rsidP="00867036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sz w:val="24"/>
          <w:szCs w:val="24"/>
        </w:rPr>
        <w:t xml:space="preserve">be worn by Roman knights, ‘equites’ and this was imitated by Trimalchio’s gilt ring, ‘anulum </w:t>
      </w:r>
    </w:p>
    <w:p w14:paraId="486DA5A4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sz w:val="24"/>
          <w:szCs w:val="24"/>
        </w:rPr>
        <w:t>grandem subauratum.’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Jewellery as a sign of wealth is continued through his wife Fortunata, </w:t>
      </w:r>
    </w:p>
    <w:p w14:paraId="710A6935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with her bracelets, anklets and a gold hairnet and Trimalchio stating that it must all weigh six </w:t>
      </w:r>
    </w:p>
    <w:p w14:paraId="5082AE41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and a half pounds, ‘sex pondo et selibram debet habere.’ (Petr. Sat. 67). Within section 33-34 </w:t>
      </w:r>
    </w:p>
    <w:p w14:paraId="50A5431D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ostentatious displays of wealth continue with the use of money, ‘aureos’ and ‘denarios’ </w:t>
      </w:r>
    </w:p>
    <w:p w14:paraId="4E9A5E13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for counters. (</w:t>
      </w:r>
      <w:r w:rsidR="00113CAC" w:rsidRPr="008C63A9">
        <w:rPr>
          <w:rFonts w:cstheme="minorHAnsi"/>
          <w:color w:val="0D0D0D"/>
          <w:sz w:val="24"/>
          <w:szCs w:val="24"/>
          <w:shd w:val="clear" w:color="auto" w:fill="FFFFFF"/>
        </w:rPr>
        <w:t>P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etr. Sat. 33), and the spoons for eating weighing not less than half a pound, </w:t>
      </w:r>
    </w:p>
    <w:p w14:paraId="1372D341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‘accipimus nos Cochlearia non minus selibras’</w:t>
      </w:r>
      <w:r w:rsidR="00867036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(Petr. Sat. 33). Trimalchio’s ‘Cena’ reflects the </w:t>
      </w:r>
    </w:p>
    <w:p w14:paraId="3D6ACD5C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opulence and ostentation characteristic of the</w:t>
      </w:r>
      <w:r w:rsidR="00867036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Roman elite, (Dunbabin K. The Roman </w:t>
      </w:r>
    </w:p>
    <w:p w14:paraId="699DB0E0" w14:textId="77777777" w:rsidR="00867036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Banquet pg.2), something Tramalchio aspired to as</w:t>
      </w:r>
      <w:r w:rsidR="00867036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already shown by the purple stripe and </w:t>
      </w:r>
    </w:p>
    <w:p w14:paraId="6EBFD22A" w14:textId="45550495" w:rsidR="00CF0B95" w:rsidRPr="008C63A9" w:rsidRDefault="00CF0B95" w:rsidP="00867036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imitation gold ring.</w:t>
      </w:r>
    </w:p>
    <w:p w14:paraId="5FEFDD3C" w14:textId="77777777" w:rsidR="00D851F3" w:rsidRPr="008C63A9" w:rsidRDefault="00D851F3" w:rsidP="00867036">
      <w:pPr>
        <w:spacing w:after="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3C857DCC" w14:textId="77777777" w:rsidR="00867036" w:rsidRDefault="0043640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Wealth dominates this section, as we have already seen though ostentatious displays of both </w:t>
      </w:r>
    </w:p>
    <w:p w14:paraId="3D4B09FB" w14:textId="77777777" w:rsidR="00867036" w:rsidRDefault="0043640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food and jewellery, but also through ownership of both slaves and land. Trimalchio’s slaves </w:t>
      </w:r>
    </w:p>
    <w:p w14:paraId="36096A73" w14:textId="77777777" w:rsidR="00867036" w:rsidRDefault="0043640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are so numerous , ‘familia vero babae babae’ (Petr. Sat. 37), that they are divided into groups </w:t>
      </w:r>
    </w:p>
    <w:p w14:paraId="5FC5B461" w14:textId="77777777" w:rsidR="00867036" w:rsidRDefault="0043640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of ten, ‘decurae.’ This has military overtones, because groups of ten soldiers were grouped </w:t>
      </w:r>
    </w:p>
    <w:p w14:paraId="794616C3" w14:textId="77777777" w:rsidR="00867036" w:rsidRDefault="0043640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under one commander and in the cavalry three groups of ten made a ‘turma’. The idea of </w:t>
      </w:r>
    </w:p>
    <w:p w14:paraId="1C5A472E" w14:textId="77777777" w:rsidR="00867036" w:rsidRDefault="0043640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‘decurae’ began with Romulus and in the period after his death 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the Roman Senate</w:t>
      </w:r>
      <w:r w:rsidR="00A25964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divided </w:t>
      </w:r>
    </w:p>
    <w:p w14:paraId="3CE0D0AB" w14:textId="77777777" w:rsidR="00867036" w:rsidRDefault="00A2596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into decuries</w:t>
      </w:r>
      <w:r w:rsidR="0043640A" w:rsidRPr="008C63A9">
        <w:rPr>
          <w:rFonts w:cstheme="minorHAnsi"/>
          <w:color w:val="0D0D0D"/>
          <w:sz w:val="24"/>
          <w:szCs w:val="24"/>
          <w:shd w:val="clear" w:color="auto" w:fill="FFFFFF"/>
        </w:rPr>
        <w:t>,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who rotated governing Rome. (</w:t>
      </w:r>
      <w:hyperlink r:id="rId4" w:history="1">
        <w:r w:rsidRPr="008C63A9">
          <w:rPr>
            <w:rStyle w:val="Hyperlink"/>
            <w:rFonts w:cstheme="minorHAnsi"/>
            <w:color w:val="000000" w:themeColor="text1"/>
            <w:sz w:val="24"/>
            <w:szCs w:val="24"/>
            <w:shd w:val="clear" w:color="auto" w:fill="FFFFFF"/>
          </w:rPr>
          <w:t>https://dbpedia.org/page/Decury</w:t>
        </w:r>
      </w:hyperlink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). The use of </w:t>
      </w:r>
    </w:p>
    <w:p w14:paraId="250C8A57" w14:textId="77777777" w:rsidR="00867036" w:rsidRDefault="00A2596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term in Satyricon reinforces Trimalchio’s desire to be respected and accepted by higher </w:t>
      </w:r>
    </w:p>
    <w:p w14:paraId="198D1C9D" w14:textId="77777777" w:rsidR="00867036" w:rsidRDefault="00A2596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echelons of Roman society. </w:t>
      </w:r>
      <w:r w:rsidR="0095168A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Trimalchio reinforces the military idea by asking the cook, </w:t>
      </w:r>
    </w:p>
    <w:p w14:paraId="7DAC4F99" w14:textId="77777777" w:rsidR="00867036" w:rsidRDefault="0095168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‘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Which division of the household do you belong to?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’ ‘ex quota de-curia est?’ (Petr. Sat 47). </w:t>
      </w:r>
    </w:p>
    <w:p w14:paraId="1E81E219" w14:textId="77777777" w:rsidR="00867036" w:rsidRDefault="0095168A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Section 48 continues the idea of wealth with Trimalchio</w:t>
      </w:r>
      <w:r w:rsidR="00D26B44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claiming that everything being </w:t>
      </w:r>
    </w:p>
    <w:p w14:paraId="5A1AD63F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consumed at the dinner is produced on land he owns, ‘nunc quicquid ad saliva facit, in </w:t>
      </w:r>
    </w:p>
    <w:p w14:paraId="79FD1CDC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suburban nascitur eo.’ (Petr. Sat 48). He goes to on to claim to own estates covering much of </w:t>
      </w:r>
    </w:p>
    <w:p w14:paraId="56F5F1A1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southern Italy and that in the future he would hopefully be able to travel to Africa by sailing </w:t>
      </w:r>
    </w:p>
    <w:p w14:paraId="1FE49995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along his own properties. </w:t>
      </w:r>
      <w:r w:rsidR="00784914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idea of ‘Expansionism’, as shown by Trimalchio mimics that of </w:t>
      </w:r>
    </w:p>
    <w:p w14:paraId="247A8864" w14:textId="77777777" w:rsidR="00867036" w:rsidRDefault="0078491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the aims of the Roman Empire, going beyond the Mediterranean, into large swathes of </w:t>
      </w:r>
    </w:p>
    <w:p w14:paraId="2571AD3F" w14:textId="77777777" w:rsidR="00867036" w:rsidRDefault="0078491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continental Europe and beyond. </w:t>
      </w:r>
      <w:r w:rsidR="00D26B44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This extreme wealth goes far beyond anything Encolpius </w:t>
      </w:r>
    </w:p>
    <w:p w14:paraId="265CF213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could hope to gain in his lifetime, but does not give Trimalchio the qualities of the upper </w:t>
      </w:r>
    </w:p>
    <w:p w14:paraId="0B0D6ED4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echelons of society as shown by his lack of education and ignorance of history and myths </w:t>
      </w:r>
    </w:p>
    <w:p w14:paraId="3B99C350" w14:textId="77777777" w:rsidR="00867036" w:rsidRDefault="00D26B4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and so relates incorrect information as if it were the truth, </w:t>
      </w:r>
      <w:r w:rsid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such as </w:t>
      </w:r>
      <w:r w:rsidR="00784914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saying how the Cyclops </w:t>
      </w:r>
    </w:p>
    <w:p w14:paraId="6DA22B81" w14:textId="77777777" w:rsidR="00867036" w:rsidRDefault="0078491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dealt with Ulysses, ‘Cyclops pollicem forcipe extorsit’, which is incorrect as the Cyclops did </w:t>
      </w:r>
    </w:p>
    <w:p w14:paraId="6DAEAA49" w14:textId="14E699AD" w:rsidR="008C63A9" w:rsidRDefault="00784914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not touch Ulysses (Homer, ‘The Odyssey). </w:t>
      </w:r>
      <w:r w:rsidR="00D26B44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   </w:t>
      </w:r>
    </w:p>
    <w:p w14:paraId="25738271" w14:textId="77777777" w:rsidR="00867036" w:rsidRDefault="00867036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0B0E7C84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In conclusion, this section of ‘Satyricon’ continues some of the main themes of the text, </w:t>
      </w:r>
    </w:p>
    <w:p w14:paraId="2E591EA4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satire and wealth. Through satire it really shines a light on the ignorance of Trimalchio and </w:t>
      </w:r>
    </w:p>
    <w:p w14:paraId="1389C982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the futility of freedmen, such as himself and many of the guests in trying to aspire to the </w:t>
      </w:r>
    </w:p>
    <w:p w14:paraId="454BA609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higher echelons of Roman Society. Petronius shows this though the topics of discussion and </w:t>
      </w:r>
    </w:p>
    <w:p w14:paraId="26BC00FA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how they differ from those of the educated classes, Plato’s Symposium being an example of </w:t>
      </w:r>
    </w:p>
    <w:p w14:paraId="24B667F3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this. The only way that Trimalchio, due to his lack of education and manners, can feel </w:t>
      </w:r>
    </w:p>
    <w:p w14:paraId="1F5FC575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superior to others of a higher class than himself is through the ostentatious displays of </w:t>
      </w:r>
    </w:p>
    <w:p w14:paraId="44560210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wealth, through the opulence of the banquet, the extreme number of slaves and boasting </w:t>
      </w:r>
    </w:p>
    <w:p w14:paraId="5639A24A" w14:textId="77777777" w:rsidR="00867036" w:rsidRDefault="008C63A9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about the </w:t>
      </w:r>
      <w:r w:rsidR="00867036">
        <w:rPr>
          <w:rFonts w:cstheme="minorHAnsi"/>
          <w:color w:val="0D0D0D"/>
          <w:sz w:val="24"/>
          <w:szCs w:val="24"/>
          <w:shd w:val="clear" w:color="auto" w:fill="FFFFFF"/>
        </w:rPr>
        <w:t xml:space="preserve">breadth of territories that he has acquired, hoping to be able to travel to Africa </w:t>
      </w:r>
    </w:p>
    <w:p w14:paraId="6881F08E" w14:textId="3299ED84" w:rsidR="008C63A9" w:rsidRDefault="00867036" w:rsidP="0043640A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without ever leaving his own land.  </w:t>
      </w:r>
      <w:r w:rsid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   </w:t>
      </w:r>
    </w:p>
    <w:p w14:paraId="35020B92" w14:textId="60C7B545" w:rsidR="00C22D91" w:rsidRPr="008C63A9" w:rsidRDefault="0095168A" w:rsidP="0043640A">
      <w:pPr>
        <w:spacing w:after="120"/>
        <w:rPr>
          <w:rFonts w:cstheme="minorHAnsi"/>
          <w:sz w:val="24"/>
          <w:szCs w:val="24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  <w:r w:rsidR="0043640A" w:rsidRPr="008C63A9">
        <w:rPr>
          <w:rFonts w:cstheme="minorHAnsi"/>
          <w:color w:val="0D0D0D"/>
          <w:sz w:val="24"/>
          <w:szCs w:val="24"/>
          <w:shd w:val="clear" w:color="auto" w:fill="FFFFFF"/>
        </w:rPr>
        <w:t xml:space="preserve"> </w:t>
      </w:r>
    </w:p>
    <w:p w14:paraId="52FC2ABC" w14:textId="77777777" w:rsidR="00F82CDF" w:rsidRPr="008C63A9" w:rsidRDefault="00F82CDF" w:rsidP="000009F2">
      <w:pPr>
        <w:spacing w:after="120"/>
        <w:rPr>
          <w:rFonts w:cstheme="minorHAnsi"/>
          <w:sz w:val="24"/>
          <w:szCs w:val="24"/>
        </w:rPr>
      </w:pPr>
    </w:p>
    <w:p w14:paraId="5F0A3211" w14:textId="099762A6" w:rsidR="00831CF2" w:rsidRPr="008C63A9" w:rsidRDefault="000009F2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Word count - 1</w:t>
      </w:r>
      <w:r w:rsidR="00867036">
        <w:rPr>
          <w:rFonts w:cstheme="minorHAnsi"/>
          <w:color w:val="0D0D0D"/>
          <w:sz w:val="24"/>
          <w:szCs w:val="24"/>
          <w:shd w:val="clear" w:color="auto" w:fill="FFFFFF"/>
        </w:rPr>
        <w:t>80</w:t>
      </w:r>
      <w:r w:rsidRPr="008C63A9">
        <w:rPr>
          <w:rFonts w:cstheme="minorHAnsi"/>
          <w:color w:val="0D0D0D"/>
          <w:sz w:val="24"/>
          <w:szCs w:val="24"/>
          <w:shd w:val="clear" w:color="auto" w:fill="FFFFFF"/>
        </w:rPr>
        <w:t>2</w:t>
      </w:r>
    </w:p>
    <w:p w14:paraId="06A42188" w14:textId="77777777" w:rsidR="00781724" w:rsidRDefault="00781724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</w:p>
    <w:p w14:paraId="2EABC47F" w14:textId="07B0045D" w:rsidR="00831CF2" w:rsidRPr="00781724" w:rsidRDefault="00831CF2" w:rsidP="000009F2">
      <w:pPr>
        <w:spacing w:after="120"/>
        <w:rPr>
          <w:rFonts w:cstheme="minorHAnsi"/>
          <w:b/>
          <w:bCs/>
          <w:color w:val="0D0D0D"/>
          <w:sz w:val="24"/>
          <w:szCs w:val="24"/>
          <w:shd w:val="clear" w:color="auto" w:fill="FFFFFF"/>
        </w:rPr>
      </w:pPr>
      <w:r w:rsidRPr="00781724">
        <w:rPr>
          <w:rFonts w:cstheme="minorHAnsi"/>
          <w:b/>
          <w:bCs/>
          <w:color w:val="0D0D0D"/>
          <w:sz w:val="24"/>
          <w:szCs w:val="24"/>
          <w:shd w:val="clear" w:color="auto" w:fill="FFFFFF"/>
        </w:rPr>
        <w:t>Bibliography</w:t>
      </w:r>
    </w:p>
    <w:p w14:paraId="7B4EF11C" w14:textId="5B5E4D1E" w:rsidR="00F82CDF" w:rsidRDefault="00F82CDF" w:rsidP="000009F2">
      <w:pPr>
        <w:spacing w:after="120"/>
        <w:rPr>
          <w:sz w:val="24"/>
          <w:szCs w:val="24"/>
        </w:rPr>
      </w:pPr>
      <w:r>
        <w:rPr>
          <w:rFonts w:ascii="Segoe UI" w:hAnsi="Segoe UI" w:cs="Segoe UI"/>
          <w:color w:val="0D0D0D"/>
          <w:shd w:val="clear" w:color="auto" w:fill="FFFFFF"/>
        </w:rPr>
        <w:t>Beard, Mary. "The Roman Triumph." Harvard University Press, 2009.</w:t>
      </w:r>
    </w:p>
    <w:p w14:paraId="7D4825B4" w14:textId="1E88A5D7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Bernabe A. Jiminez San Cristobal A.I. eds. ‘Instructions for the Netherworld: The |Orphic Gold Tablets.’ Boston 2008, pg133.</w:t>
      </w:r>
    </w:p>
    <w:p w14:paraId="79A1365D" w14:textId="7FF79398" w:rsidR="00113CAC" w:rsidRDefault="00113CAC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Destree, P. and Giannopoulou, Z. ‘The Cambridge Critical Guide tp Plato’s Symposium’. Cambridge University Press, 2017, pp 70-87.</w:t>
      </w:r>
    </w:p>
    <w:p w14:paraId="48A8A5DD" w14:textId="392FCB90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Dalby, Andrew. ‘Food in the Ancient World from A to Z’. Routledge, 2005.</w:t>
      </w:r>
    </w:p>
    <w:p w14:paraId="7F24CB87" w14:textId="266FFAD5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Dobbins, John J. and Peder W. Foss. ‘The World of Pompeii’. Routledge, 2007.</w:t>
      </w:r>
    </w:p>
    <w:p w14:paraId="24E8B8AF" w14:textId="09E8D932" w:rsidR="002E0377" w:rsidRPr="002E0377" w:rsidRDefault="002E0377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sz w:val="24"/>
          <w:szCs w:val="24"/>
        </w:rPr>
        <w:t xml:space="preserve">Dunbabin, Katherine </w:t>
      </w:r>
      <w:r w:rsidR="00113CAC">
        <w:rPr>
          <w:sz w:val="24"/>
          <w:szCs w:val="24"/>
        </w:rPr>
        <w:t>‘</w:t>
      </w:r>
      <w:r w:rsidRPr="002E0377">
        <w:rPr>
          <w:sz w:val="24"/>
          <w:szCs w:val="24"/>
        </w:rPr>
        <w:t>The Roman Banquet: Images of Conviviality.’ Cambridge University Press, 2003.</w:t>
      </w:r>
    </w:p>
    <w:p w14:paraId="630847E9" w14:textId="4EB963A0" w:rsidR="00113CAC" w:rsidRDefault="00113CA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>Fulford, M. ‘Territorial Expansion and the Roman Empire.’ World Archaeology, Vol. 23, No. 3, Archaeology of Empires, Taylor and Francis Ltd, 1992, pp 294 – 305.</w:t>
      </w:r>
    </w:p>
    <w:p w14:paraId="2FA0D055" w14:textId="4337D070" w:rsidR="00113CAC" w:rsidRDefault="00113CA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Gunter, R.T. ‘The Greek Herbal of Dioscorides.’ Oxford University Press, 1934, pp 80-81 </w:t>
      </w:r>
    </w:p>
    <w:p w14:paraId="455FDAD9" w14:textId="6793E024" w:rsidR="008F41DD" w:rsidRDefault="008F41D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Harrison, S.J., Paschalis, M. and Frangoulidis, S.A. ‘Metaphor and the Ancient Novel – Ancient Narrative Supplementum 4.’ Barkhuis, 2005.  </w:t>
      </w:r>
    </w:p>
    <w:p w14:paraId="342B1B6F" w14:textId="73DECCB3" w:rsidR="00113CAC" w:rsidRDefault="00113CAC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>Homer, ‘The Odyssey’, Penguin Classics, 2003.</w:t>
      </w:r>
    </w:p>
    <w:p w14:paraId="2BC2F896" w14:textId="771ECE57" w:rsidR="008F41DD" w:rsidRDefault="008F41DD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>
        <w:rPr>
          <w:rFonts w:cstheme="minorHAnsi"/>
          <w:color w:val="0D0D0D"/>
          <w:sz w:val="24"/>
          <w:szCs w:val="24"/>
          <w:shd w:val="clear" w:color="auto" w:fill="FFFFFF"/>
        </w:rPr>
        <w:t xml:space="preserve">Lateiner, D. and Spatharas, D. ‘The Ancient Emotion of Disgust.’ Oxford University Press, 2016, pp 203-234. </w:t>
      </w:r>
    </w:p>
    <w:p w14:paraId="16F02182" w14:textId="35482512" w:rsidR="002E0377" w:rsidRPr="002E0377" w:rsidRDefault="002E0377" w:rsidP="000009F2">
      <w:pPr>
        <w:spacing w:after="120"/>
        <w:rPr>
          <w:rFonts w:cstheme="minorHAnsi"/>
          <w:color w:val="0D0D0D"/>
          <w:sz w:val="24"/>
          <w:szCs w:val="24"/>
          <w:shd w:val="clear" w:color="auto" w:fill="FFFFFF"/>
        </w:rPr>
      </w:pPr>
      <w:r w:rsidRPr="002E0377">
        <w:rPr>
          <w:rFonts w:cstheme="minorHAnsi"/>
          <w:color w:val="0D0D0D"/>
          <w:sz w:val="24"/>
          <w:szCs w:val="24"/>
          <w:shd w:val="clear" w:color="auto" w:fill="FFFFFF"/>
        </w:rPr>
        <w:t xml:space="preserve">Oxford reference </w:t>
      </w:r>
      <w:hyperlink r:id="rId5" w:history="1">
        <w:r w:rsidRPr="002E037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https://www.oxfordreference.com/display/10.1093/oi/authority.20110803100150176</w:t>
        </w:r>
      </w:hyperlink>
    </w:p>
    <w:p w14:paraId="4CFA1932" w14:textId="2C700AD4" w:rsidR="008F41DD" w:rsidRDefault="008F41DD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Potter, D. ‘A Companion To The Roman Empire.</w:t>
      </w:r>
      <w:r>
        <w:rPr>
          <w:sz w:val="24"/>
          <w:szCs w:val="24"/>
        </w:rPr>
        <w:t>’ Wiley-Blackwell, 2010.</w:t>
      </w:r>
    </w:p>
    <w:p w14:paraId="4B315941" w14:textId="1EDE3092" w:rsidR="00F82CDF" w:rsidRDefault="00F82CDF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Pray Bober, P. ‘Art, culture and cuisine: Ancient and medieval gastronomy.’ Chicago Press, 1999.</w:t>
      </w:r>
    </w:p>
    <w:p w14:paraId="6E4E9CDB" w14:textId="24580241" w:rsidR="002E0377" w:rsidRPr="002E0377" w:rsidRDefault="002E0377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rFonts w:cstheme="minorHAnsi"/>
          <w:sz w:val="24"/>
          <w:szCs w:val="24"/>
        </w:rPr>
        <w:t>Petronius. ‘Satyricon’ translated by William Arrowsmith. Penguin Classics, 2009.</w:t>
      </w:r>
    </w:p>
    <w:p w14:paraId="350F1EBC" w14:textId="31DDB657" w:rsidR="00A54647" w:rsidRDefault="00A54647" w:rsidP="00A54647">
      <w:pPr>
        <w:rPr>
          <w:sz w:val="24"/>
          <w:szCs w:val="24"/>
        </w:rPr>
      </w:pPr>
      <w:r>
        <w:rPr>
          <w:sz w:val="24"/>
          <w:szCs w:val="24"/>
        </w:rPr>
        <w:t>Rackham, H. Translation ‘Natural History’ by Pliny. Harvard University Press, 1961.</w:t>
      </w:r>
    </w:p>
    <w:p w14:paraId="4873D394" w14:textId="196F322D" w:rsidR="00F82CDF" w:rsidRPr="007368A6" w:rsidRDefault="00F82CDF" w:rsidP="000009F2">
      <w:pPr>
        <w:spacing w:after="120"/>
        <w:rPr>
          <w:sz w:val="24"/>
          <w:szCs w:val="24"/>
        </w:rPr>
      </w:pPr>
      <w:r w:rsidRPr="007368A6">
        <w:rPr>
          <w:sz w:val="24"/>
          <w:szCs w:val="24"/>
        </w:rPr>
        <w:t>Richlin, Amy. "Petronius as Paradox." In "Roman Sexualities." Princeton University Press, 1997.</w:t>
      </w:r>
    </w:p>
    <w:p w14:paraId="3A90AED8" w14:textId="38EB4879" w:rsidR="008F41DD" w:rsidRDefault="008F41DD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Rimmel, V. ‘Petronius and the Anatomy of Fiction.’ Cambridge University Press, 2002.</w:t>
      </w:r>
    </w:p>
    <w:p w14:paraId="436911D2" w14:textId="06886B80" w:rsidR="00A54647" w:rsidRDefault="00A54647" w:rsidP="000009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Rowell, Henry T. The American Journal of Philology, Volume 92, No. 1. John </w:t>
      </w:r>
      <w:r w:rsidR="006258E6">
        <w:rPr>
          <w:sz w:val="24"/>
          <w:szCs w:val="24"/>
        </w:rPr>
        <w:t>Hopkins University Press, January 1971, pp.100-103.</w:t>
      </w:r>
    </w:p>
    <w:p w14:paraId="413315AC" w14:textId="201AE8FE" w:rsidR="002E0377" w:rsidRPr="002E0377" w:rsidRDefault="002E0377" w:rsidP="000009F2">
      <w:pPr>
        <w:spacing w:after="120"/>
        <w:rPr>
          <w:sz w:val="24"/>
          <w:szCs w:val="24"/>
        </w:rPr>
      </w:pPr>
      <w:r w:rsidRPr="002E0377">
        <w:rPr>
          <w:sz w:val="24"/>
          <w:szCs w:val="24"/>
        </w:rPr>
        <w:t>Schmeling, Gareth. ‘A Commentary on the Satyrica of Petronius.’ University of North Carolina Press, 2011.</w:t>
      </w:r>
    </w:p>
    <w:p w14:paraId="246A39A8" w14:textId="0D2EDD54" w:rsidR="00784914" w:rsidRDefault="00784914" w:rsidP="000009F2">
      <w:pPr>
        <w:spacing w:after="1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Theophrastus. Characters: An Ancient Take on Bad Behaviour. Translated by Anderson, P. Callaway, 2018.</w:t>
      </w:r>
    </w:p>
    <w:p w14:paraId="3CD4B192" w14:textId="1CAC98AF" w:rsidR="00831CF2" w:rsidRPr="002E0377" w:rsidRDefault="00D12BC6" w:rsidP="000009F2">
      <w:pPr>
        <w:spacing w:after="120"/>
        <w:rPr>
          <w:rFonts w:cstheme="minorHAnsi"/>
          <w:sz w:val="24"/>
          <w:szCs w:val="24"/>
        </w:rPr>
      </w:pPr>
      <w:r w:rsidRPr="002E0377">
        <w:rPr>
          <w:rFonts w:cstheme="minorHAnsi"/>
          <w:sz w:val="24"/>
          <w:szCs w:val="24"/>
        </w:rPr>
        <w:t>Walsh, P.G.</w:t>
      </w:r>
      <w:r w:rsidR="00A54647">
        <w:rPr>
          <w:rFonts w:cstheme="minorHAnsi"/>
          <w:sz w:val="24"/>
          <w:szCs w:val="24"/>
        </w:rPr>
        <w:t xml:space="preserve"> </w:t>
      </w:r>
      <w:r w:rsidR="00831CF2" w:rsidRPr="002E0377">
        <w:rPr>
          <w:rFonts w:cstheme="minorHAnsi"/>
          <w:sz w:val="24"/>
          <w:szCs w:val="24"/>
        </w:rPr>
        <w:t>Reviewed Work(s): The Roman Novel: The 'Satyricon' of Petronius and the 'Metamorphoses' of Apuleiu</w:t>
      </w:r>
      <w:r w:rsidRPr="002E0377">
        <w:rPr>
          <w:rFonts w:cstheme="minorHAnsi"/>
          <w:sz w:val="24"/>
          <w:szCs w:val="24"/>
        </w:rPr>
        <w:t>.</w:t>
      </w:r>
      <w:r w:rsidR="00831CF2" w:rsidRPr="002E0377">
        <w:rPr>
          <w:rFonts w:cstheme="minorHAnsi"/>
          <w:sz w:val="24"/>
          <w:szCs w:val="24"/>
        </w:rPr>
        <w:t xml:space="preserve"> Review by: Henry T. Rowell Source: The American Journal of Philology , Oct., 1971, Vol. 92, No. 4, pp. 701-706</w:t>
      </w:r>
    </w:p>
    <w:p w14:paraId="0AE2A5AC" w14:textId="3E7EBBA5" w:rsidR="002C67B8" w:rsidRPr="002E0377" w:rsidRDefault="00113CAC" w:rsidP="000009F2">
      <w:pPr>
        <w:spacing w:after="120"/>
        <w:rPr>
          <w:rFonts w:ascii="Segoe UI" w:hAnsi="Segoe UI" w:cs="Segoe UI"/>
          <w:color w:val="0D0D0D"/>
          <w:sz w:val="24"/>
          <w:szCs w:val="24"/>
          <w:shd w:val="clear" w:color="auto" w:fill="FFFFFF"/>
        </w:rPr>
      </w:pPr>
      <w:hyperlink r:id="rId6" w:history="1">
        <w:r w:rsidRPr="00A25964">
          <w:rPr>
            <w:rStyle w:val="Hyperlink"/>
            <w:rFonts w:cstheme="minorHAnsi"/>
            <w:color w:val="000000" w:themeColor="text1"/>
            <w:sz w:val="24"/>
            <w:szCs w:val="24"/>
            <w:shd w:val="clear" w:color="auto" w:fill="FFFFFF"/>
          </w:rPr>
          <w:t>https://dbpedia.org/page/Decury</w:t>
        </w:r>
      </w:hyperlink>
    </w:p>
    <w:p w14:paraId="00C2BAF7" w14:textId="77777777" w:rsidR="001324BC" w:rsidRPr="002E0377" w:rsidRDefault="001324BC" w:rsidP="000009F2">
      <w:pPr>
        <w:spacing w:after="120"/>
        <w:rPr>
          <w:rFonts w:ascii="Segoe UI" w:hAnsi="Segoe UI" w:cs="Segoe UI"/>
          <w:color w:val="0D0D0D"/>
          <w:sz w:val="24"/>
          <w:szCs w:val="24"/>
          <w:shd w:val="clear" w:color="auto" w:fill="FFFFFF"/>
        </w:rPr>
      </w:pPr>
    </w:p>
    <w:p w14:paraId="4BE1969E" w14:textId="2E3726A4" w:rsidR="001324BC" w:rsidRDefault="001324BC" w:rsidP="000009F2">
      <w:pPr>
        <w:spacing w:after="120"/>
      </w:pPr>
    </w:p>
    <w:sectPr w:rsidR="00132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4BC"/>
    <w:rsid w:val="000009F2"/>
    <w:rsid w:val="000E1F00"/>
    <w:rsid w:val="00113CAC"/>
    <w:rsid w:val="001236F7"/>
    <w:rsid w:val="001324BC"/>
    <w:rsid w:val="0016290E"/>
    <w:rsid w:val="00242ADA"/>
    <w:rsid w:val="002C67B8"/>
    <w:rsid w:val="002E0377"/>
    <w:rsid w:val="0038590A"/>
    <w:rsid w:val="0043640A"/>
    <w:rsid w:val="0048233D"/>
    <w:rsid w:val="004A1F7E"/>
    <w:rsid w:val="004A3EBA"/>
    <w:rsid w:val="00605B81"/>
    <w:rsid w:val="006258E6"/>
    <w:rsid w:val="006D6C6E"/>
    <w:rsid w:val="00781724"/>
    <w:rsid w:val="00784914"/>
    <w:rsid w:val="007C3A6D"/>
    <w:rsid w:val="00805AB2"/>
    <w:rsid w:val="00831CF2"/>
    <w:rsid w:val="00867036"/>
    <w:rsid w:val="008C63A9"/>
    <w:rsid w:val="008E597E"/>
    <w:rsid w:val="008F41DD"/>
    <w:rsid w:val="0095168A"/>
    <w:rsid w:val="0099159E"/>
    <w:rsid w:val="009B4287"/>
    <w:rsid w:val="00A25964"/>
    <w:rsid w:val="00A457CC"/>
    <w:rsid w:val="00A50C8F"/>
    <w:rsid w:val="00A52E5E"/>
    <w:rsid w:val="00A54647"/>
    <w:rsid w:val="00B947E4"/>
    <w:rsid w:val="00C22D91"/>
    <w:rsid w:val="00C74608"/>
    <w:rsid w:val="00CA0DE9"/>
    <w:rsid w:val="00CB3CD4"/>
    <w:rsid w:val="00CC6405"/>
    <w:rsid w:val="00CD3B78"/>
    <w:rsid w:val="00CF0B95"/>
    <w:rsid w:val="00D12BC6"/>
    <w:rsid w:val="00D26B44"/>
    <w:rsid w:val="00D851F3"/>
    <w:rsid w:val="00DC7F00"/>
    <w:rsid w:val="00F31D4C"/>
    <w:rsid w:val="00F82CDF"/>
    <w:rsid w:val="00FC3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31F5C"/>
  <w15:chartTrackingRefBased/>
  <w15:docId w15:val="{4B40BBCE-6BA0-4DD6-92D5-5945FEAD5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6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67B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CC640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bpedia.org/page/Decury" TargetMode="External"/><Relationship Id="rId5" Type="http://schemas.openxmlformats.org/officeDocument/2006/relationships/hyperlink" Target="https://www.oxfordreference.com/display/10.1093/oi/authority.20110803100150176" TargetMode="External"/><Relationship Id="rId4" Type="http://schemas.openxmlformats.org/officeDocument/2006/relationships/hyperlink" Target="https://dbpedia.org/page/Decu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3939</TotalTime>
  <Pages>6</Pages>
  <Words>2044</Words>
  <Characters>11654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13</cp:revision>
  <dcterms:created xsi:type="dcterms:W3CDTF">2024-03-18T18:41:00Z</dcterms:created>
  <dcterms:modified xsi:type="dcterms:W3CDTF">2024-03-24T10:37:00Z</dcterms:modified>
</cp:coreProperties>
</file>