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B2BD3" w14:textId="5D711FC6" w:rsidR="00ED6368" w:rsidRDefault="00A17481" w:rsidP="00A17481">
      <w:pPr>
        <w:pStyle w:val="Title"/>
        <w:jc w:val="center"/>
        <w:rPr>
          <w:rFonts w:ascii="Times New Roman" w:hAnsi="Times New Roman" w:cs="Times New Roman"/>
        </w:rPr>
      </w:pPr>
      <w:r w:rsidRPr="00A17481">
        <w:rPr>
          <w:rFonts w:ascii="Times New Roman" w:hAnsi="Times New Roman" w:cs="Times New Roman"/>
        </w:rPr>
        <w:t xml:space="preserve">Sustainability in </w:t>
      </w:r>
      <w:r w:rsidR="00AE52D4" w:rsidRPr="00A17481">
        <w:rPr>
          <w:rFonts w:ascii="Times New Roman" w:hAnsi="Times New Roman" w:cs="Times New Roman"/>
        </w:rPr>
        <w:t>Terms of Food Waste and Its Efficacy</w:t>
      </w:r>
      <w:r w:rsidRPr="00A17481">
        <w:rPr>
          <w:rFonts w:ascii="Times New Roman" w:hAnsi="Times New Roman" w:cs="Times New Roman"/>
        </w:rPr>
        <w:t xml:space="preserve">: A </w:t>
      </w:r>
      <w:r w:rsidR="00AE52D4">
        <w:rPr>
          <w:rFonts w:ascii="Times New Roman" w:hAnsi="Times New Roman" w:cs="Times New Roman"/>
        </w:rPr>
        <w:t>S</w:t>
      </w:r>
      <w:r w:rsidRPr="00A17481">
        <w:rPr>
          <w:rFonts w:ascii="Times New Roman" w:hAnsi="Times New Roman" w:cs="Times New Roman"/>
        </w:rPr>
        <w:t>tudy on Mercure Newport</w:t>
      </w:r>
    </w:p>
    <w:p w14:paraId="4E65EB4C" w14:textId="3700AEE2" w:rsidR="00A17481" w:rsidRDefault="00A17481" w:rsidP="00A17481"/>
    <w:p w14:paraId="3041D9A3" w14:textId="72A57E9A" w:rsidR="00A17481" w:rsidRDefault="00A17481"/>
    <w:p w14:paraId="0671F1AD" w14:textId="77777777" w:rsidR="00645D24" w:rsidRDefault="00645D24"/>
    <w:p w14:paraId="30F6FE51" w14:textId="1DF8B7D6" w:rsidR="00645D24" w:rsidRDefault="00645D24" w:rsidP="00645D24">
      <w:pPr>
        <w:jc w:val="center"/>
      </w:pPr>
      <w:r>
        <w:t>Student Name: Rekha Begum</w:t>
      </w:r>
    </w:p>
    <w:p w14:paraId="29240523" w14:textId="559953DD" w:rsidR="00645D24" w:rsidRDefault="00645D24" w:rsidP="00645D24">
      <w:pPr>
        <w:jc w:val="center"/>
      </w:pPr>
      <w:r>
        <w:t>Student ID:2125644</w:t>
      </w:r>
    </w:p>
    <w:p w14:paraId="346CC409" w14:textId="0454A4FE" w:rsidR="00645D24" w:rsidRDefault="00645D24" w:rsidP="00645D24">
      <w:pPr>
        <w:jc w:val="center"/>
      </w:pPr>
      <w:r>
        <w:t>Module</w:t>
      </w:r>
      <w:r w:rsidR="00E14FB8">
        <w:t>(</w:t>
      </w:r>
    </w:p>
    <w:p w14:paraId="4634A57D" w14:textId="77777777" w:rsidR="00E14FB8" w:rsidRDefault="00E14FB8" w:rsidP="00645D24">
      <w:pPr>
        <w:jc w:val="center"/>
      </w:pPr>
    </w:p>
    <w:p w14:paraId="4FE2770D" w14:textId="42AE9647" w:rsidR="00645D24" w:rsidRDefault="00645D24" w:rsidP="00645D24">
      <w:pPr>
        <w:jc w:val="center"/>
      </w:pPr>
      <w:r>
        <w:t>Module Code: BMIH6001</w:t>
      </w:r>
    </w:p>
    <w:p w14:paraId="3070762B" w14:textId="18806DDD" w:rsidR="00645D24" w:rsidRDefault="00645D24" w:rsidP="00645D24">
      <w:pPr>
        <w:jc w:val="center"/>
      </w:pPr>
      <w:r>
        <w:t>Lecturer: Natalie Brailsford</w:t>
      </w:r>
    </w:p>
    <w:p w14:paraId="758880BE" w14:textId="77777777" w:rsidR="00645D24" w:rsidRDefault="00645D24"/>
    <w:p w14:paraId="306CD05F" w14:textId="77777777" w:rsidR="00645D24" w:rsidRDefault="00645D24"/>
    <w:p w14:paraId="036E454B" w14:textId="77777777" w:rsidR="00645D24" w:rsidRDefault="00645D24"/>
    <w:p w14:paraId="184D2D5F" w14:textId="77777777" w:rsidR="00645D24" w:rsidRDefault="00645D24"/>
    <w:p w14:paraId="151605C9" w14:textId="77777777" w:rsidR="00645D24" w:rsidRDefault="00645D24"/>
    <w:p w14:paraId="5EC3FD18" w14:textId="77777777" w:rsidR="00645D24" w:rsidRDefault="00645D24"/>
    <w:p w14:paraId="3ECEE1D1" w14:textId="77777777" w:rsidR="00645D24" w:rsidRDefault="00645D24"/>
    <w:p w14:paraId="762BC177" w14:textId="77777777" w:rsidR="00645D24" w:rsidRDefault="00645D24"/>
    <w:p w14:paraId="1B289C48" w14:textId="77777777" w:rsidR="00645D24" w:rsidRDefault="00645D24"/>
    <w:p w14:paraId="237A844F" w14:textId="77777777" w:rsidR="00645D24" w:rsidRDefault="00645D24"/>
    <w:p w14:paraId="625BC117" w14:textId="77777777" w:rsidR="00645D24" w:rsidRDefault="00645D24"/>
    <w:p w14:paraId="52B28A9E" w14:textId="77777777" w:rsidR="00645D24" w:rsidRDefault="00645D24"/>
    <w:p w14:paraId="1A5AF978" w14:textId="77777777" w:rsidR="00645D24" w:rsidRDefault="00645D24"/>
    <w:p w14:paraId="2704061B" w14:textId="77777777" w:rsidR="00645D24" w:rsidRDefault="00645D24"/>
    <w:p w14:paraId="0692DC58" w14:textId="77777777" w:rsidR="00645D24" w:rsidRDefault="00645D24"/>
    <w:p w14:paraId="03B02893" w14:textId="77777777" w:rsidR="00645D24" w:rsidRDefault="00645D24"/>
    <w:p w14:paraId="695C421D" w14:textId="77777777" w:rsidR="00645D24" w:rsidRDefault="00645D24"/>
    <w:p w14:paraId="17317406" w14:textId="77777777" w:rsidR="00645D24" w:rsidRDefault="00645D24"/>
    <w:p w14:paraId="3C60B85F" w14:textId="77777777" w:rsidR="00645D24" w:rsidRDefault="00645D24"/>
    <w:p w14:paraId="0F1ADA19" w14:textId="77777777" w:rsidR="00645D24" w:rsidRDefault="00645D24"/>
    <w:sdt>
      <w:sdtPr>
        <w:rPr>
          <w:rFonts w:ascii="Times New Roman" w:eastAsiaTheme="minorHAnsi" w:hAnsi="Times New Roman" w:cstheme="minorBidi"/>
          <w:color w:val="auto"/>
          <w:sz w:val="24"/>
          <w:szCs w:val="22"/>
          <w:lang w:val="en-GB"/>
        </w:rPr>
        <w:id w:val="1239907247"/>
        <w:docPartObj>
          <w:docPartGallery w:val="Table of Contents"/>
          <w:docPartUnique/>
        </w:docPartObj>
      </w:sdtPr>
      <w:sdtEndPr>
        <w:rPr>
          <w:b/>
          <w:bCs/>
          <w:noProof/>
        </w:rPr>
      </w:sdtEndPr>
      <w:sdtContent>
        <w:p w14:paraId="1CE4B694" w14:textId="51BEEF6C" w:rsidR="00B5354C" w:rsidRPr="00FC09D1" w:rsidRDefault="00B5354C">
          <w:pPr>
            <w:pStyle w:val="TOCHeading"/>
            <w:rPr>
              <w:rFonts w:ascii="Times New Roman" w:hAnsi="Times New Roman" w:cs="Times New Roman"/>
              <w:b/>
              <w:bCs/>
              <w:color w:val="auto"/>
            </w:rPr>
          </w:pPr>
          <w:r w:rsidRPr="00FC09D1">
            <w:rPr>
              <w:rFonts w:ascii="Times New Roman" w:hAnsi="Times New Roman" w:cs="Times New Roman"/>
              <w:b/>
              <w:bCs/>
              <w:color w:val="auto"/>
            </w:rPr>
            <w:t>Table of Contents</w:t>
          </w:r>
        </w:p>
        <w:p w14:paraId="4CB825A6" w14:textId="644777D9" w:rsidR="00463559" w:rsidRDefault="00B5354C">
          <w:pPr>
            <w:pStyle w:val="TOC1"/>
            <w:tabs>
              <w:tab w:val="left" w:pos="440"/>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2026983" w:history="1">
            <w:r w:rsidR="00463559" w:rsidRPr="001B32BC">
              <w:rPr>
                <w:rStyle w:val="Hyperlink"/>
                <w:noProof/>
              </w:rPr>
              <w:t>1</w:t>
            </w:r>
            <w:r w:rsidR="00463559">
              <w:rPr>
                <w:rFonts w:asciiTheme="minorHAnsi" w:eastAsiaTheme="minorEastAsia" w:hAnsiTheme="minorHAnsi"/>
                <w:noProof/>
                <w:sz w:val="22"/>
                <w:lang w:eastAsia="en-GB"/>
              </w:rPr>
              <w:tab/>
            </w:r>
            <w:r w:rsidR="00463559" w:rsidRPr="001B32BC">
              <w:rPr>
                <w:rStyle w:val="Hyperlink"/>
                <w:noProof/>
              </w:rPr>
              <w:t>Introduction</w:t>
            </w:r>
            <w:r w:rsidR="00463559">
              <w:rPr>
                <w:noProof/>
                <w:webHidden/>
              </w:rPr>
              <w:tab/>
            </w:r>
            <w:r w:rsidR="00463559">
              <w:rPr>
                <w:noProof/>
                <w:webHidden/>
              </w:rPr>
              <w:fldChar w:fldCharType="begin"/>
            </w:r>
            <w:r w:rsidR="00463559">
              <w:rPr>
                <w:noProof/>
                <w:webHidden/>
              </w:rPr>
              <w:instrText xml:space="preserve"> PAGEREF _Toc212026983 \h </w:instrText>
            </w:r>
            <w:r w:rsidR="00463559">
              <w:rPr>
                <w:noProof/>
                <w:webHidden/>
              </w:rPr>
            </w:r>
            <w:r w:rsidR="00463559">
              <w:rPr>
                <w:noProof/>
                <w:webHidden/>
              </w:rPr>
              <w:fldChar w:fldCharType="separate"/>
            </w:r>
            <w:r w:rsidR="00463559">
              <w:rPr>
                <w:noProof/>
                <w:webHidden/>
              </w:rPr>
              <w:t>3</w:t>
            </w:r>
            <w:r w:rsidR="00463559">
              <w:rPr>
                <w:noProof/>
                <w:webHidden/>
              </w:rPr>
              <w:fldChar w:fldCharType="end"/>
            </w:r>
          </w:hyperlink>
        </w:p>
        <w:p w14:paraId="4F8920F4" w14:textId="79D2D7BD"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84" w:history="1">
            <w:r w:rsidRPr="001B32BC">
              <w:rPr>
                <w:rStyle w:val="Hyperlink"/>
                <w:noProof/>
              </w:rPr>
              <w:t>2</w:t>
            </w:r>
            <w:r>
              <w:rPr>
                <w:rFonts w:asciiTheme="minorHAnsi" w:eastAsiaTheme="minorEastAsia" w:hAnsiTheme="minorHAnsi"/>
                <w:noProof/>
                <w:sz w:val="22"/>
                <w:lang w:eastAsia="en-GB"/>
              </w:rPr>
              <w:tab/>
            </w:r>
            <w:r w:rsidRPr="001B32BC">
              <w:rPr>
                <w:rStyle w:val="Hyperlink"/>
                <w:noProof/>
              </w:rPr>
              <w:t>Literature Review</w:t>
            </w:r>
            <w:r>
              <w:rPr>
                <w:noProof/>
                <w:webHidden/>
              </w:rPr>
              <w:tab/>
            </w:r>
            <w:r>
              <w:rPr>
                <w:noProof/>
                <w:webHidden/>
              </w:rPr>
              <w:fldChar w:fldCharType="begin"/>
            </w:r>
            <w:r>
              <w:rPr>
                <w:noProof/>
                <w:webHidden/>
              </w:rPr>
              <w:instrText xml:space="preserve"> PAGEREF _Toc212026984 \h </w:instrText>
            </w:r>
            <w:r>
              <w:rPr>
                <w:noProof/>
                <w:webHidden/>
              </w:rPr>
            </w:r>
            <w:r>
              <w:rPr>
                <w:noProof/>
                <w:webHidden/>
              </w:rPr>
              <w:fldChar w:fldCharType="separate"/>
            </w:r>
            <w:r>
              <w:rPr>
                <w:noProof/>
                <w:webHidden/>
              </w:rPr>
              <w:t>3</w:t>
            </w:r>
            <w:r>
              <w:rPr>
                <w:noProof/>
                <w:webHidden/>
              </w:rPr>
              <w:fldChar w:fldCharType="end"/>
            </w:r>
          </w:hyperlink>
        </w:p>
        <w:p w14:paraId="5AC20DB3" w14:textId="55DA0376" w:rsidR="00463559" w:rsidRDefault="00463559">
          <w:pPr>
            <w:pStyle w:val="TOC2"/>
            <w:tabs>
              <w:tab w:val="left" w:pos="880"/>
              <w:tab w:val="right" w:leader="dot" w:pos="9350"/>
            </w:tabs>
            <w:rPr>
              <w:rFonts w:asciiTheme="minorHAnsi" w:eastAsiaTheme="minorEastAsia" w:hAnsiTheme="minorHAnsi"/>
              <w:noProof/>
              <w:sz w:val="22"/>
              <w:lang w:eastAsia="en-GB"/>
            </w:rPr>
          </w:pPr>
          <w:hyperlink w:anchor="_Toc212026985" w:history="1">
            <w:r w:rsidRPr="001B32BC">
              <w:rPr>
                <w:rStyle w:val="Hyperlink"/>
                <w:noProof/>
              </w:rPr>
              <w:t>2.1</w:t>
            </w:r>
            <w:r>
              <w:rPr>
                <w:rFonts w:asciiTheme="minorHAnsi" w:eastAsiaTheme="minorEastAsia" w:hAnsiTheme="minorHAnsi"/>
                <w:noProof/>
                <w:sz w:val="22"/>
                <w:lang w:eastAsia="en-GB"/>
              </w:rPr>
              <w:tab/>
            </w:r>
            <w:r w:rsidRPr="001B32BC">
              <w:rPr>
                <w:rStyle w:val="Hyperlink"/>
                <w:noProof/>
              </w:rPr>
              <w:t>Food-Waste in Hospitality</w:t>
            </w:r>
            <w:r>
              <w:rPr>
                <w:noProof/>
                <w:webHidden/>
              </w:rPr>
              <w:tab/>
            </w:r>
            <w:r>
              <w:rPr>
                <w:noProof/>
                <w:webHidden/>
              </w:rPr>
              <w:fldChar w:fldCharType="begin"/>
            </w:r>
            <w:r>
              <w:rPr>
                <w:noProof/>
                <w:webHidden/>
              </w:rPr>
              <w:instrText xml:space="preserve"> PAGEREF _Toc212026985 \h </w:instrText>
            </w:r>
            <w:r>
              <w:rPr>
                <w:noProof/>
                <w:webHidden/>
              </w:rPr>
            </w:r>
            <w:r>
              <w:rPr>
                <w:noProof/>
                <w:webHidden/>
              </w:rPr>
              <w:fldChar w:fldCharType="separate"/>
            </w:r>
            <w:r>
              <w:rPr>
                <w:noProof/>
                <w:webHidden/>
              </w:rPr>
              <w:t>3</w:t>
            </w:r>
            <w:r>
              <w:rPr>
                <w:noProof/>
                <w:webHidden/>
              </w:rPr>
              <w:fldChar w:fldCharType="end"/>
            </w:r>
          </w:hyperlink>
        </w:p>
        <w:p w14:paraId="61947CCB" w14:textId="29E2CAFF" w:rsidR="00463559" w:rsidRDefault="00463559">
          <w:pPr>
            <w:pStyle w:val="TOC2"/>
            <w:tabs>
              <w:tab w:val="left" w:pos="880"/>
              <w:tab w:val="right" w:leader="dot" w:pos="9350"/>
            </w:tabs>
            <w:rPr>
              <w:rFonts w:asciiTheme="minorHAnsi" w:eastAsiaTheme="minorEastAsia" w:hAnsiTheme="minorHAnsi"/>
              <w:noProof/>
              <w:sz w:val="22"/>
              <w:lang w:eastAsia="en-GB"/>
            </w:rPr>
          </w:pPr>
          <w:hyperlink w:anchor="_Toc212026986" w:history="1">
            <w:r w:rsidRPr="001B32BC">
              <w:rPr>
                <w:rStyle w:val="Hyperlink"/>
                <w:noProof/>
              </w:rPr>
              <w:t>2.2</w:t>
            </w:r>
            <w:r>
              <w:rPr>
                <w:rFonts w:asciiTheme="minorHAnsi" w:eastAsiaTheme="minorEastAsia" w:hAnsiTheme="minorHAnsi"/>
                <w:noProof/>
                <w:sz w:val="22"/>
                <w:lang w:eastAsia="en-GB"/>
              </w:rPr>
              <w:tab/>
            </w:r>
            <w:r w:rsidRPr="001B32BC">
              <w:rPr>
                <w:rStyle w:val="Hyperlink"/>
                <w:noProof/>
              </w:rPr>
              <w:t>Efficacy of Food Waste Management Practices</w:t>
            </w:r>
            <w:r>
              <w:rPr>
                <w:noProof/>
                <w:webHidden/>
              </w:rPr>
              <w:tab/>
            </w:r>
            <w:r>
              <w:rPr>
                <w:noProof/>
                <w:webHidden/>
              </w:rPr>
              <w:fldChar w:fldCharType="begin"/>
            </w:r>
            <w:r>
              <w:rPr>
                <w:noProof/>
                <w:webHidden/>
              </w:rPr>
              <w:instrText xml:space="preserve"> PAGEREF _Toc212026986 \h </w:instrText>
            </w:r>
            <w:r>
              <w:rPr>
                <w:noProof/>
                <w:webHidden/>
              </w:rPr>
            </w:r>
            <w:r>
              <w:rPr>
                <w:noProof/>
                <w:webHidden/>
              </w:rPr>
              <w:fldChar w:fldCharType="separate"/>
            </w:r>
            <w:r>
              <w:rPr>
                <w:noProof/>
                <w:webHidden/>
              </w:rPr>
              <w:t>4</w:t>
            </w:r>
            <w:r>
              <w:rPr>
                <w:noProof/>
                <w:webHidden/>
              </w:rPr>
              <w:fldChar w:fldCharType="end"/>
            </w:r>
          </w:hyperlink>
        </w:p>
        <w:p w14:paraId="18845FC0" w14:textId="72F1B9D8" w:rsidR="00463559" w:rsidRDefault="00463559">
          <w:pPr>
            <w:pStyle w:val="TOC2"/>
            <w:tabs>
              <w:tab w:val="left" w:pos="880"/>
              <w:tab w:val="right" w:leader="dot" w:pos="9350"/>
            </w:tabs>
            <w:rPr>
              <w:rFonts w:asciiTheme="minorHAnsi" w:eastAsiaTheme="minorEastAsia" w:hAnsiTheme="minorHAnsi"/>
              <w:noProof/>
              <w:sz w:val="22"/>
              <w:lang w:eastAsia="en-GB"/>
            </w:rPr>
          </w:pPr>
          <w:hyperlink w:anchor="_Toc212026987" w:history="1">
            <w:r w:rsidRPr="001B32BC">
              <w:rPr>
                <w:rStyle w:val="Hyperlink"/>
                <w:noProof/>
              </w:rPr>
              <w:t>2.3</w:t>
            </w:r>
            <w:r>
              <w:rPr>
                <w:rFonts w:asciiTheme="minorHAnsi" w:eastAsiaTheme="minorEastAsia" w:hAnsiTheme="minorHAnsi"/>
                <w:noProof/>
                <w:sz w:val="22"/>
                <w:lang w:eastAsia="en-GB"/>
              </w:rPr>
              <w:tab/>
            </w:r>
            <w:r w:rsidRPr="001B32BC">
              <w:rPr>
                <w:rStyle w:val="Hyperlink"/>
                <w:noProof/>
              </w:rPr>
              <w:t>Socio-Technical Systems (STS) Approach and Its Justification</w:t>
            </w:r>
            <w:r>
              <w:rPr>
                <w:noProof/>
                <w:webHidden/>
              </w:rPr>
              <w:tab/>
            </w:r>
            <w:r>
              <w:rPr>
                <w:noProof/>
                <w:webHidden/>
              </w:rPr>
              <w:fldChar w:fldCharType="begin"/>
            </w:r>
            <w:r>
              <w:rPr>
                <w:noProof/>
                <w:webHidden/>
              </w:rPr>
              <w:instrText xml:space="preserve"> PAGEREF _Toc212026987 \h </w:instrText>
            </w:r>
            <w:r>
              <w:rPr>
                <w:noProof/>
                <w:webHidden/>
              </w:rPr>
            </w:r>
            <w:r>
              <w:rPr>
                <w:noProof/>
                <w:webHidden/>
              </w:rPr>
              <w:fldChar w:fldCharType="separate"/>
            </w:r>
            <w:r>
              <w:rPr>
                <w:noProof/>
                <w:webHidden/>
              </w:rPr>
              <w:t>5</w:t>
            </w:r>
            <w:r>
              <w:rPr>
                <w:noProof/>
                <w:webHidden/>
              </w:rPr>
              <w:fldChar w:fldCharType="end"/>
            </w:r>
          </w:hyperlink>
        </w:p>
        <w:p w14:paraId="295A00B9" w14:textId="1C118C92"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88" w:history="1">
            <w:r w:rsidRPr="001B32BC">
              <w:rPr>
                <w:rStyle w:val="Hyperlink"/>
                <w:noProof/>
              </w:rPr>
              <w:t>3</w:t>
            </w:r>
            <w:r>
              <w:rPr>
                <w:rFonts w:asciiTheme="minorHAnsi" w:eastAsiaTheme="minorEastAsia" w:hAnsiTheme="minorHAnsi"/>
                <w:noProof/>
                <w:sz w:val="22"/>
                <w:lang w:eastAsia="en-GB"/>
              </w:rPr>
              <w:tab/>
            </w:r>
            <w:r w:rsidRPr="001B32BC">
              <w:rPr>
                <w:rStyle w:val="Hyperlink"/>
                <w:noProof/>
              </w:rPr>
              <w:t>Methodology</w:t>
            </w:r>
            <w:r>
              <w:rPr>
                <w:noProof/>
                <w:webHidden/>
              </w:rPr>
              <w:tab/>
            </w:r>
            <w:r>
              <w:rPr>
                <w:noProof/>
                <w:webHidden/>
              </w:rPr>
              <w:fldChar w:fldCharType="begin"/>
            </w:r>
            <w:r>
              <w:rPr>
                <w:noProof/>
                <w:webHidden/>
              </w:rPr>
              <w:instrText xml:space="preserve"> PAGEREF _Toc212026988 \h </w:instrText>
            </w:r>
            <w:r>
              <w:rPr>
                <w:noProof/>
                <w:webHidden/>
              </w:rPr>
            </w:r>
            <w:r>
              <w:rPr>
                <w:noProof/>
                <w:webHidden/>
              </w:rPr>
              <w:fldChar w:fldCharType="separate"/>
            </w:r>
            <w:r>
              <w:rPr>
                <w:noProof/>
                <w:webHidden/>
              </w:rPr>
              <w:t>6</w:t>
            </w:r>
            <w:r>
              <w:rPr>
                <w:noProof/>
                <w:webHidden/>
              </w:rPr>
              <w:fldChar w:fldCharType="end"/>
            </w:r>
          </w:hyperlink>
        </w:p>
        <w:p w14:paraId="7CDA86FB" w14:textId="00D1D090"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89" w:history="1">
            <w:r w:rsidRPr="001B32BC">
              <w:rPr>
                <w:rStyle w:val="Hyperlink"/>
                <w:noProof/>
              </w:rPr>
              <w:t>4</w:t>
            </w:r>
            <w:r>
              <w:rPr>
                <w:rFonts w:asciiTheme="minorHAnsi" w:eastAsiaTheme="minorEastAsia" w:hAnsiTheme="minorHAnsi"/>
                <w:noProof/>
                <w:sz w:val="22"/>
                <w:lang w:eastAsia="en-GB"/>
              </w:rPr>
              <w:tab/>
            </w:r>
            <w:r w:rsidRPr="001B32BC">
              <w:rPr>
                <w:rStyle w:val="Hyperlink"/>
                <w:noProof/>
              </w:rPr>
              <w:t>Theme Impact Analysis</w:t>
            </w:r>
            <w:r>
              <w:rPr>
                <w:noProof/>
                <w:webHidden/>
              </w:rPr>
              <w:tab/>
            </w:r>
            <w:r>
              <w:rPr>
                <w:noProof/>
                <w:webHidden/>
              </w:rPr>
              <w:fldChar w:fldCharType="begin"/>
            </w:r>
            <w:r>
              <w:rPr>
                <w:noProof/>
                <w:webHidden/>
              </w:rPr>
              <w:instrText xml:space="preserve"> PAGEREF _Toc212026989 \h </w:instrText>
            </w:r>
            <w:r>
              <w:rPr>
                <w:noProof/>
                <w:webHidden/>
              </w:rPr>
            </w:r>
            <w:r>
              <w:rPr>
                <w:noProof/>
                <w:webHidden/>
              </w:rPr>
              <w:fldChar w:fldCharType="separate"/>
            </w:r>
            <w:r>
              <w:rPr>
                <w:noProof/>
                <w:webHidden/>
              </w:rPr>
              <w:t>6</w:t>
            </w:r>
            <w:r>
              <w:rPr>
                <w:noProof/>
                <w:webHidden/>
              </w:rPr>
              <w:fldChar w:fldCharType="end"/>
            </w:r>
          </w:hyperlink>
        </w:p>
        <w:p w14:paraId="667939DA" w14:textId="4B6BEBCE" w:rsidR="00463559" w:rsidRDefault="00463559">
          <w:pPr>
            <w:pStyle w:val="TOC2"/>
            <w:tabs>
              <w:tab w:val="left" w:pos="880"/>
              <w:tab w:val="right" w:leader="dot" w:pos="9350"/>
            </w:tabs>
            <w:rPr>
              <w:rFonts w:asciiTheme="minorHAnsi" w:eastAsiaTheme="minorEastAsia" w:hAnsiTheme="minorHAnsi"/>
              <w:noProof/>
              <w:sz w:val="22"/>
              <w:lang w:eastAsia="en-GB"/>
            </w:rPr>
          </w:pPr>
          <w:hyperlink w:anchor="_Toc212026990" w:history="1">
            <w:r w:rsidRPr="001B32BC">
              <w:rPr>
                <w:rStyle w:val="Hyperlink"/>
                <w:noProof/>
              </w:rPr>
              <w:t>4.1</w:t>
            </w:r>
            <w:r>
              <w:rPr>
                <w:rFonts w:asciiTheme="minorHAnsi" w:eastAsiaTheme="minorEastAsia" w:hAnsiTheme="minorHAnsi"/>
                <w:noProof/>
                <w:sz w:val="22"/>
                <w:lang w:eastAsia="en-GB"/>
              </w:rPr>
              <w:tab/>
            </w:r>
            <w:r w:rsidRPr="001B32BC">
              <w:rPr>
                <w:rStyle w:val="Hyperlink"/>
                <w:noProof/>
              </w:rPr>
              <w:t>Implementation Initiatives by Mercure Newport</w:t>
            </w:r>
            <w:r>
              <w:rPr>
                <w:noProof/>
                <w:webHidden/>
              </w:rPr>
              <w:tab/>
            </w:r>
            <w:r>
              <w:rPr>
                <w:noProof/>
                <w:webHidden/>
              </w:rPr>
              <w:fldChar w:fldCharType="begin"/>
            </w:r>
            <w:r>
              <w:rPr>
                <w:noProof/>
                <w:webHidden/>
              </w:rPr>
              <w:instrText xml:space="preserve"> PAGEREF _Toc212026990 \h </w:instrText>
            </w:r>
            <w:r>
              <w:rPr>
                <w:noProof/>
                <w:webHidden/>
              </w:rPr>
            </w:r>
            <w:r>
              <w:rPr>
                <w:noProof/>
                <w:webHidden/>
              </w:rPr>
              <w:fldChar w:fldCharType="separate"/>
            </w:r>
            <w:r>
              <w:rPr>
                <w:noProof/>
                <w:webHidden/>
              </w:rPr>
              <w:t>6</w:t>
            </w:r>
            <w:r>
              <w:rPr>
                <w:noProof/>
                <w:webHidden/>
              </w:rPr>
              <w:fldChar w:fldCharType="end"/>
            </w:r>
          </w:hyperlink>
        </w:p>
        <w:p w14:paraId="53AD44F9" w14:textId="5DAF7E80" w:rsidR="00463559" w:rsidRDefault="00463559">
          <w:pPr>
            <w:pStyle w:val="TOC2"/>
            <w:tabs>
              <w:tab w:val="left" w:pos="880"/>
              <w:tab w:val="right" w:leader="dot" w:pos="9350"/>
            </w:tabs>
            <w:rPr>
              <w:rFonts w:asciiTheme="minorHAnsi" w:eastAsiaTheme="minorEastAsia" w:hAnsiTheme="minorHAnsi"/>
              <w:noProof/>
              <w:sz w:val="22"/>
              <w:lang w:eastAsia="en-GB"/>
            </w:rPr>
          </w:pPr>
          <w:hyperlink w:anchor="_Toc212026991" w:history="1">
            <w:r w:rsidRPr="001B32BC">
              <w:rPr>
                <w:rStyle w:val="Hyperlink"/>
                <w:noProof/>
              </w:rPr>
              <w:t>4.2</w:t>
            </w:r>
            <w:r>
              <w:rPr>
                <w:rFonts w:asciiTheme="minorHAnsi" w:eastAsiaTheme="minorEastAsia" w:hAnsiTheme="minorHAnsi"/>
                <w:noProof/>
                <w:sz w:val="22"/>
                <w:lang w:eastAsia="en-GB"/>
              </w:rPr>
              <w:tab/>
            </w:r>
            <w:r w:rsidRPr="001B32BC">
              <w:rPr>
                <w:rStyle w:val="Hyperlink"/>
                <w:noProof/>
              </w:rPr>
              <w:t>Effectiveness of Initiatives</w:t>
            </w:r>
            <w:r>
              <w:rPr>
                <w:noProof/>
                <w:webHidden/>
              </w:rPr>
              <w:tab/>
            </w:r>
            <w:r>
              <w:rPr>
                <w:noProof/>
                <w:webHidden/>
              </w:rPr>
              <w:fldChar w:fldCharType="begin"/>
            </w:r>
            <w:r>
              <w:rPr>
                <w:noProof/>
                <w:webHidden/>
              </w:rPr>
              <w:instrText xml:space="preserve"> PAGEREF _Toc212026991 \h </w:instrText>
            </w:r>
            <w:r>
              <w:rPr>
                <w:noProof/>
                <w:webHidden/>
              </w:rPr>
            </w:r>
            <w:r>
              <w:rPr>
                <w:noProof/>
                <w:webHidden/>
              </w:rPr>
              <w:fldChar w:fldCharType="separate"/>
            </w:r>
            <w:r>
              <w:rPr>
                <w:noProof/>
                <w:webHidden/>
              </w:rPr>
              <w:t>8</w:t>
            </w:r>
            <w:r>
              <w:rPr>
                <w:noProof/>
                <w:webHidden/>
              </w:rPr>
              <w:fldChar w:fldCharType="end"/>
            </w:r>
          </w:hyperlink>
        </w:p>
        <w:p w14:paraId="393BEA0F" w14:textId="29E4C17A"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92" w:history="1">
            <w:r w:rsidRPr="001B32BC">
              <w:rPr>
                <w:rStyle w:val="Hyperlink"/>
                <w:noProof/>
              </w:rPr>
              <w:t>5</w:t>
            </w:r>
            <w:r>
              <w:rPr>
                <w:rFonts w:asciiTheme="minorHAnsi" w:eastAsiaTheme="minorEastAsia" w:hAnsiTheme="minorHAnsi"/>
                <w:noProof/>
                <w:sz w:val="22"/>
                <w:lang w:eastAsia="en-GB"/>
              </w:rPr>
              <w:tab/>
            </w:r>
            <w:r w:rsidRPr="001B32BC">
              <w:rPr>
                <w:rStyle w:val="Hyperlink"/>
                <w:noProof/>
              </w:rPr>
              <w:t>Conclusion</w:t>
            </w:r>
            <w:r>
              <w:rPr>
                <w:noProof/>
                <w:webHidden/>
              </w:rPr>
              <w:tab/>
            </w:r>
            <w:r>
              <w:rPr>
                <w:noProof/>
                <w:webHidden/>
              </w:rPr>
              <w:fldChar w:fldCharType="begin"/>
            </w:r>
            <w:r>
              <w:rPr>
                <w:noProof/>
                <w:webHidden/>
              </w:rPr>
              <w:instrText xml:space="preserve"> PAGEREF _Toc212026992 \h </w:instrText>
            </w:r>
            <w:r>
              <w:rPr>
                <w:noProof/>
                <w:webHidden/>
              </w:rPr>
            </w:r>
            <w:r>
              <w:rPr>
                <w:noProof/>
                <w:webHidden/>
              </w:rPr>
              <w:fldChar w:fldCharType="separate"/>
            </w:r>
            <w:r>
              <w:rPr>
                <w:noProof/>
                <w:webHidden/>
              </w:rPr>
              <w:t>9</w:t>
            </w:r>
            <w:r>
              <w:rPr>
                <w:noProof/>
                <w:webHidden/>
              </w:rPr>
              <w:fldChar w:fldCharType="end"/>
            </w:r>
          </w:hyperlink>
        </w:p>
        <w:p w14:paraId="4A8F26FA" w14:textId="61DDE00A"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93" w:history="1">
            <w:r w:rsidRPr="001B32BC">
              <w:rPr>
                <w:rStyle w:val="Hyperlink"/>
                <w:noProof/>
              </w:rPr>
              <w:t>6</w:t>
            </w:r>
            <w:r>
              <w:rPr>
                <w:rFonts w:asciiTheme="minorHAnsi" w:eastAsiaTheme="minorEastAsia" w:hAnsiTheme="minorHAnsi"/>
                <w:noProof/>
                <w:sz w:val="22"/>
                <w:lang w:eastAsia="en-GB"/>
              </w:rPr>
              <w:tab/>
            </w:r>
            <w:r w:rsidRPr="001B32BC">
              <w:rPr>
                <w:rStyle w:val="Hyperlink"/>
                <w:noProof/>
              </w:rPr>
              <w:t>Recommendations</w:t>
            </w:r>
            <w:r>
              <w:rPr>
                <w:noProof/>
                <w:webHidden/>
              </w:rPr>
              <w:tab/>
            </w:r>
            <w:r>
              <w:rPr>
                <w:noProof/>
                <w:webHidden/>
              </w:rPr>
              <w:fldChar w:fldCharType="begin"/>
            </w:r>
            <w:r>
              <w:rPr>
                <w:noProof/>
                <w:webHidden/>
              </w:rPr>
              <w:instrText xml:space="preserve"> PAGEREF _Toc212026993 \h </w:instrText>
            </w:r>
            <w:r>
              <w:rPr>
                <w:noProof/>
                <w:webHidden/>
              </w:rPr>
            </w:r>
            <w:r>
              <w:rPr>
                <w:noProof/>
                <w:webHidden/>
              </w:rPr>
              <w:fldChar w:fldCharType="separate"/>
            </w:r>
            <w:r>
              <w:rPr>
                <w:noProof/>
                <w:webHidden/>
              </w:rPr>
              <w:t>9</w:t>
            </w:r>
            <w:r>
              <w:rPr>
                <w:noProof/>
                <w:webHidden/>
              </w:rPr>
              <w:fldChar w:fldCharType="end"/>
            </w:r>
          </w:hyperlink>
        </w:p>
        <w:p w14:paraId="70D72361" w14:textId="4BEFC434" w:rsidR="00463559" w:rsidRDefault="00463559">
          <w:pPr>
            <w:pStyle w:val="TOC1"/>
            <w:tabs>
              <w:tab w:val="left" w:pos="440"/>
              <w:tab w:val="right" w:leader="dot" w:pos="9350"/>
            </w:tabs>
            <w:rPr>
              <w:rFonts w:asciiTheme="minorHAnsi" w:eastAsiaTheme="minorEastAsia" w:hAnsiTheme="minorHAnsi"/>
              <w:noProof/>
              <w:sz w:val="22"/>
              <w:lang w:eastAsia="en-GB"/>
            </w:rPr>
          </w:pPr>
          <w:hyperlink w:anchor="_Toc212026994" w:history="1">
            <w:r w:rsidRPr="001B32BC">
              <w:rPr>
                <w:rStyle w:val="Hyperlink"/>
                <w:noProof/>
              </w:rPr>
              <w:t>7</w:t>
            </w:r>
            <w:r>
              <w:rPr>
                <w:rFonts w:asciiTheme="minorHAnsi" w:eastAsiaTheme="minorEastAsia" w:hAnsiTheme="minorHAnsi"/>
                <w:noProof/>
                <w:sz w:val="22"/>
                <w:lang w:eastAsia="en-GB"/>
              </w:rPr>
              <w:tab/>
            </w:r>
            <w:r w:rsidRPr="001B32BC">
              <w:rPr>
                <w:rStyle w:val="Hyperlink"/>
                <w:noProof/>
              </w:rPr>
              <w:t>References</w:t>
            </w:r>
            <w:r>
              <w:rPr>
                <w:noProof/>
                <w:webHidden/>
              </w:rPr>
              <w:tab/>
            </w:r>
            <w:r>
              <w:rPr>
                <w:noProof/>
                <w:webHidden/>
              </w:rPr>
              <w:fldChar w:fldCharType="begin"/>
            </w:r>
            <w:r>
              <w:rPr>
                <w:noProof/>
                <w:webHidden/>
              </w:rPr>
              <w:instrText xml:space="preserve"> PAGEREF _Toc212026994 \h </w:instrText>
            </w:r>
            <w:r>
              <w:rPr>
                <w:noProof/>
                <w:webHidden/>
              </w:rPr>
            </w:r>
            <w:r>
              <w:rPr>
                <w:noProof/>
                <w:webHidden/>
              </w:rPr>
              <w:fldChar w:fldCharType="separate"/>
            </w:r>
            <w:r>
              <w:rPr>
                <w:noProof/>
                <w:webHidden/>
              </w:rPr>
              <w:t>11</w:t>
            </w:r>
            <w:r>
              <w:rPr>
                <w:noProof/>
                <w:webHidden/>
              </w:rPr>
              <w:fldChar w:fldCharType="end"/>
            </w:r>
          </w:hyperlink>
        </w:p>
        <w:p w14:paraId="0D3D0098" w14:textId="087522EC" w:rsidR="00B5354C" w:rsidRDefault="00B5354C">
          <w:r>
            <w:rPr>
              <w:b/>
              <w:bCs/>
              <w:noProof/>
            </w:rPr>
            <w:fldChar w:fldCharType="end"/>
          </w:r>
        </w:p>
      </w:sdtContent>
    </w:sdt>
    <w:p w14:paraId="658833BA" w14:textId="0431651C" w:rsidR="007220CF" w:rsidRDefault="007220CF">
      <w:r>
        <w:br w:type="page"/>
      </w:r>
    </w:p>
    <w:p w14:paraId="760086AF" w14:textId="3B90C16B" w:rsidR="00A17481" w:rsidRDefault="007220CF" w:rsidP="007220CF">
      <w:pPr>
        <w:pStyle w:val="Heading1"/>
      </w:pPr>
      <w:bookmarkStart w:id="0" w:name="_Toc212026983"/>
      <w:r>
        <w:lastRenderedPageBreak/>
        <w:t>Introduction</w:t>
      </w:r>
      <w:bookmarkEnd w:id="0"/>
    </w:p>
    <w:p w14:paraId="13827355" w14:textId="0A4C9449" w:rsidR="007220CF" w:rsidRDefault="004B3018" w:rsidP="007220CF">
      <w:pPr>
        <w:spacing w:line="360" w:lineRule="auto"/>
        <w:jc w:val="both"/>
      </w:pPr>
      <w:r w:rsidRPr="004B3018">
        <w:t>Sustainability has become an important requirement in the hotel industry particularly in the management of food waste. In the UK hotel sector alone, 79,000 tonnes of food waste are produced per year, which represents approximation 10 per cent of total hotel waste (Diaz-Farina et al., 2023; Open Access Government, 2018). Hotel and food-service industries produce more than a million tonnes of waste preventable around the globe; according to multiple surveys, as much as three-quarters of that waste was edible (Wrap, 2013).</w:t>
      </w:r>
      <w:r w:rsidR="007220CF">
        <w:t xml:space="preserve"> </w:t>
      </w:r>
    </w:p>
    <w:p w14:paraId="2BCEE939" w14:textId="50BB6BDC" w:rsidR="007220CF" w:rsidRDefault="004B3018" w:rsidP="007220CF">
      <w:pPr>
        <w:spacing w:line="360" w:lineRule="auto"/>
        <w:jc w:val="both"/>
      </w:pPr>
      <w:r w:rsidRPr="004B3018">
        <w:t xml:space="preserve">Hotel sustainability, including Mercure Newport, demands transforming idealistic </w:t>
      </w:r>
      <w:r>
        <w:t>goals</w:t>
      </w:r>
      <w:r w:rsidRPr="004B3018">
        <w:t xml:space="preserve">, like net-zero goals, the principles of the circular economy, into day-to-day operations. It involves good inventory control, sourcing locally, local composting and strict portion control. The effectiveness of food-waste minimization is used as a competitive strategy tool because </w:t>
      </w:r>
      <w:r>
        <w:t>consumers</w:t>
      </w:r>
      <w:r w:rsidRPr="004B3018">
        <w:t xml:space="preserve"> expect the hospitality firm to be more transparent and greener. However, hotels are constantly faced with tight profit margins, increasing food and labour sourcing operations and the same old dilemma of how to balance profitability and environmental responsibility. Consequently, the current study evaluates the food-waste reduction schemes of Mercure Newport to find out whether there are any quantifiable gains regarding environmental and bottom-line improvements of the organisation.</w:t>
      </w:r>
    </w:p>
    <w:p w14:paraId="5D71231E" w14:textId="0CD629EB" w:rsidR="00811A16" w:rsidRDefault="00811A16" w:rsidP="00811A16">
      <w:pPr>
        <w:pStyle w:val="Heading1"/>
      </w:pPr>
      <w:bookmarkStart w:id="1" w:name="_Toc212026984"/>
      <w:r>
        <w:t>Literature Review</w:t>
      </w:r>
      <w:bookmarkEnd w:id="1"/>
    </w:p>
    <w:p w14:paraId="0F12D0F9" w14:textId="1C48C355" w:rsidR="00811A16" w:rsidRDefault="0040235C" w:rsidP="002032C1">
      <w:pPr>
        <w:pStyle w:val="Heading2"/>
        <w:spacing w:line="360" w:lineRule="auto"/>
      </w:pPr>
      <w:bookmarkStart w:id="2" w:name="_Toc212026985"/>
      <w:r w:rsidRPr="0040235C">
        <w:t>Food-Waste in Hospitality</w:t>
      </w:r>
      <w:bookmarkEnd w:id="2"/>
    </w:p>
    <w:p w14:paraId="2844E6D8" w14:textId="28317862" w:rsidR="0040235C" w:rsidRDefault="00F04CAD" w:rsidP="002032C1">
      <w:pPr>
        <w:spacing w:line="360" w:lineRule="auto"/>
        <w:jc w:val="both"/>
      </w:pPr>
      <w:r w:rsidRPr="00F04CAD">
        <w:t>It is widely recognised that wastage of food in the hotel sector is a major environmental issue. The hotel and food-service industry in the United Kingdom recycles a significantly larger share of purchased food, estimated to be roughly 18 percent, or about 150,000 tonnes yearly, which has a significantly large greenhouse-gas footprint</w:t>
      </w:r>
      <w:r w:rsidR="00722B09">
        <w:t xml:space="preserve"> c</w:t>
      </w:r>
      <w:r w:rsidRPr="00F04CAD">
        <w:t>ompared to many other line segments of supply chains</w:t>
      </w:r>
      <w:r w:rsidR="00722B09">
        <w:t xml:space="preserve"> </w:t>
      </w:r>
      <w:r w:rsidRPr="00F04CAD">
        <w:t>(Malik et al., 2024). According to global estimates, about a third of the food that happens in the global food is either lost or wasted, which impacts on the environment and causes customer financial costs to the hotels disposing of edible food (Business Waste, 2025). Two major points are agreed in industry reports and recent scholarly literature. Firstly, waste monitoring and reduction can bring significant financial and environmental payoffs to hotels and, secondly, digital interventions and operational redesign can be discussed as the most effective strategies. Where AI-powered kitchen systems can inform procurement, portioning and menu planning based on real-</w:t>
      </w:r>
      <w:r w:rsidRPr="00F04CAD">
        <w:lastRenderedPageBreak/>
        <w:t>time waste information, there are studies on AI-based kitchen system design that illustrate a dramatic waste reduction and the related cost benefit. Industry statistics of field has reported a 50 to 76 percent reduction of kitchen waste and post- consumer waste as observed through pilot deployment and reported by hotel organisations and vendors (Dean, 2024).</w:t>
      </w:r>
      <w:r w:rsidR="0040235C">
        <w:t xml:space="preserve"> </w:t>
      </w:r>
    </w:p>
    <w:p w14:paraId="7F90CF26" w14:textId="2F538E83" w:rsidR="00613D67" w:rsidRDefault="00613D67" w:rsidP="004C09BA">
      <w:pPr>
        <w:pStyle w:val="Heading2"/>
        <w:spacing w:line="360" w:lineRule="auto"/>
        <w:jc w:val="both"/>
      </w:pPr>
      <w:bookmarkStart w:id="3" w:name="_Toc212026986"/>
      <w:r>
        <w:t>Efficacy</w:t>
      </w:r>
      <w:r w:rsidR="00943421">
        <w:t xml:space="preserve"> of</w:t>
      </w:r>
      <w:r>
        <w:t xml:space="preserve"> Food Waste</w:t>
      </w:r>
      <w:r w:rsidR="00CB069E">
        <w:t xml:space="preserve"> Management Practices</w:t>
      </w:r>
      <w:bookmarkEnd w:id="3"/>
    </w:p>
    <w:p w14:paraId="7725BADA" w14:textId="133FF4AB" w:rsidR="00D86D18" w:rsidRDefault="00472D75" w:rsidP="00D86D18">
      <w:pPr>
        <w:spacing w:line="360" w:lineRule="auto"/>
        <w:jc w:val="both"/>
      </w:pPr>
      <w:r w:rsidRPr="00472D75">
        <w:t>The issue of managing food waste has become a burning issue in the hospitality industry especially in the catering and gastronomic industries where large volumes of food are created on daily basis. Evidence-based research reveals that there is a collection of internal and external elements that lead to food waste, among which are the competency of the staff, communication culture, kitchen management efficiency, and unpredictable visitor behaviours (Eriksson et al., 2019; Heikkilä et al., 2016). Therefore, preventative, monitoring, and remedial strategies, which focus on different stages of food production and service process, are all that an efficient waste management practice should include. The planning of menus is one of the most crucial factors that require accurate forecasting of guests count, effective management of inventory, and properly organized allocation of ingredients to reduce overproduction (Silvennoinen et al., 2015). Major wastes often occur due to wrong estimates or imminent fluctuations in the number of guests (Hennchen, 2019). Hospitality operators have adopted an array of management interventions to overcome these issues, which are inclusive of both expensive strategy evaluation, which involves regular staff training and electronic garbage-managing applications, and low expenditure behavioural cues like using smaller serving plates (Sundt, 2012).</w:t>
      </w:r>
    </w:p>
    <w:p w14:paraId="6C939FFE" w14:textId="6E34C104" w:rsidR="00D86D18" w:rsidRDefault="00DF27F5" w:rsidP="00D86D18">
      <w:pPr>
        <w:spacing w:line="360" w:lineRule="auto"/>
        <w:jc w:val="both"/>
      </w:pPr>
      <w:r w:rsidRPr="00DF27F5">
        <w:t xml:space="preserve">Re-measurement and monitoring of food waste on a systematic basis is one of the most fundamental management tools that have proved to limit the degree of wastes. The academic research proves that waste measures provide priceless data on problem areas and competencies of effective interventions (Eriksson et al., 2017; Eriksson et al., 2019). The current online solutions allow kitchens to store and process photographs of waste; these applications are facilitated by business-to-business monitoring companies like Winnow Solutions, </w:t>
      </w:r>
      <w:proofErr w:type="spellStart"/>
      <w:r w:rsidRPr="00DF27F5">
        <w:t>Leanpath</w:t>
      </w:r>
      <w:proofErr w:type="spellEnd"/>
      <w:r w:rsidRPr="00DF27F5">
        <w:t xml:space="preserve">, and </w:t>
      </w:r>
      <w:proofErr w:type="spellStart"/>
      <w:r w:rsidRPr="00DF27F5">
        <w:t>Kitro</w:t>
      </w:r>
      <w:proofErr w:type="spellEnd"/>
      <w:r w:rsidRPr="00DF27F5">
        <w:t xml:space="preserve">. Visual recognition technologies and artificial intelligence are typically used to complement these systems (KITRO, 2025; Eriksson et al., 2019). Such technologies enable accountability of staff, continuous improvement of the processes, and evidence-based decision-making. The measurement of the effects of an intervention also helps in its assessment, and this is what allows organizations to </w:t>
      </w:r>
      <w:r w:rsidRPr="00DF27F5">
        <w:lastRenderedPageBreak/>
        <w:t>continuously optimise waste-reduction strategies (Leverenz et al., 2021). Nevertheless, researchers like Corrado et al. (2019) note how few standardised methods of quantifying the various variables are available that limits inter-organizational and inter-regional comparability. To address this void, the World Resource Institute (2016) has suggested the adoption of an initiative Food Loss and Waste Accounting and Reporting Standard that is designed to rationalize the reporting process and increase the level of reporting benchmarking.</w:t>
      </w:r>
      <w:r w:rsidR="00EC4765">
        <w:t xml:space="preserve"> </w:t>
      </w:r>
      <w:r w:rsidR="001F0AEC">
        <w:t xml:space="preserve"> </w:t>
      </w:r>
    </w:p>
    <w:p w14:paraId="1CD60015" w14:textId="405C1E51" w:rsidR="0040235C" w:rsidRPr="00811A16" w:rsidRDefault="006E70FF" w:rsidP="006E70FF">
      <w:pPr>
        <w:spacing w:line="360" w:lineRule="auto"/>
        <w:jc w:val="both"/>
      </w:pPr>
      <w:r>
        <w:t>Operation reforms and behavioural interventions are often stressed by the managers with the monitoring systems. It has been shown that methods like portion management, adaptive menu design and buffet changes, including the use of smaller plates or redesigning the serving patterns, can significantly minimize the amount of waste that patrons produce (</w:t>
      </w:r>
      <w:proofErr w:type="spellStart"/>
      <w:r>
        <w:t>Kallbekken</w:t>
      </w:r>
      <w:proofErr w:type="spellEnd"/>
      <w:r>
        <w:t xml:space="preserve"> &amp; Saelen, 2013; Lorenz et al., 2017). The efficacy of such participatory systems in relation to the adjustment of the food supply to the real demand has been demonstrated; moreover, the involvement of the employees should be underlined (</w:t>
      </w:r>
      <w:proofErr w:type="spellStart"/>
      <w:r>
        <w:t>Strotmann</w:t>
      </w:r>
      <w:proofErr w:type="spellEnd"/>
      <w:r>
        <w:t xml:space="preserve"> et al., 2017). Such participative measures enhance the organisations dedication towards its sustainability goals and develop a spirit that is acutely sensitive on waste reduction. Reducing at the source that prevents the waste materialisation provides more benefits to the environment than the downstream valorisation or the energy recovery. Investing in projects that reduce the waste produced at the earliest possible stage helps institutions to gain much greater ecological benefits and make the operations patterns correspond with the latest trends of sustainability.</w:t>
      </w:r>
      <w:r w:rsidR="00D86D18">
        <w:t xml:space="preserve"> </w:t>
      </w:r>
      <w:sdt>
        <w:sdtPr>
          <w:id w:val="790179117"/>
          <w:citation/>
        </w:sdtPr>
        <w:sdtEndPr/>
        <w:sdtContent>
          <w:r w:rsidR="00E62E26">
            <w:fldChar w:fldCharType="begin"/>
          </w:r>
          <w:r w:rsidR="00E62E26">
            <w:rPr>
              <w:lang w:val="en-US"/>
            </w:rPr>
            <w:instrText xml:space="preserve"> CITATION Eri17 \l 1033 </w:instrText>
          </w:r>
          <w:r w:rsidR="00E62E26">
            <w:fldChar w:fldCharType="separate"/>
          </w:r>
          <w:r w:rsidR="00E62E26" w:rsidRPr="00E62E26">
            <w:rPr>
              <w:noProof/>
              <w:lang w:val="en-US"/>
            </w:rPr>
            <w:t>(Eriksson, et al., 2017)</w:t>
          </w:r>
          <w:r w:rsidR="00E62E26">
            <w:fldChar w:fldCharType="end"/>
          </w:r>
        </w:sdtContent>
      </w:sdt>
      <w:r w:rsidR="00D86D18">
        <w:t>.</w:t>
      </w:r>
      <w:r w:rsidR="00A20096">
        <w:t xml:space="preserve"> </w:t>
      </w:r>
    </w:p>
    <w:p w14:paraId="2B1D1A49" w14:textId="28C24140" w:rsidR="00307267" w:rsidRDefault="00307267" w:rsidP="004B7077">
      <w:pPr>
        <w:pStyle w:val="Heading2"/>
        <w:spacing w:line="360" w:lineRule="auto"/>
      </w:pPr>
      <w:bookmarkStart w:id="4" w:name="_Toc212026987"/>
      <w:r>
        <w:t>Socio-Technical Systems (STS) Approach and Its Justification</w:t>
      </w:r>
      <w:bookmarkEnd w:id="4"/>
    </w:p>
    <w:p w14:paraId="3B59052F" w14:textId="581A5B5F" w:rsidR="007220CF" w:rsidRDefault="00F75910" w:rsidP="00F75910">
      <w:pPr>
        <w:spacing w:line="360" w:lineRule="auto"/>
        <w:jc w:val="both"/>
      </w:pPr>
      <w:r>
        <w:t xml:space="preserve">The Socio-Technological Systems (STS) approach outlines a more comprehensive framework through which the interaction between social and technological elements of an organisation, and its subsequent effect on the outputs in the organisation (such as the minimisation of food waste), can be understood. STS theory is a theory that was developed by Trist and Bamforth in 1951, which states that the performance of an organisation is at its best when the social subsystems, which includes people, culture, communication and skills are integrated and harmonized with the technical subsystems which include tools, technology and the processes involved in the organisation. This strategy is increasingly recognized in the modern hospitality business environment to deal with sophisticated sustainability issues beyond the technical innovation (Wang et al., 2022). Hotel food waste is not only a technological waste, but a behavioural and </w:t>
      </w:r>
      <w:r>
        <w:lastRenderedPageBreak/>
        <w:t>cultural issue that is influenced by managerial attitudes, employee behaviours, and tourist behaviour. As a consequence, the STS model promotes a comprehensive insight into the interaction that exists between technical solutions (inventory-management systems, portion-control technologies, and waste-tracking software) and training, leadership, and team culture (</w:t>
      </w:r>
      <w:proofErr w:type="spellStart"/>
      <w:r>
        <w:t>Filimonau</w:t>
      </w:r>
      <w:proofErr w:type="spellEnd"/>
      <w:r>
        <w:t xml:space="preserve"> and De </w:t>
      </w:r>
      <w:proofErr w:type="spellStart"/>
      <w:r>
        <w:t>cumoto</w:t>
      </w:r>
      <w:proofErr w:type="spellEnd"/>
      <w:r>
        <w:t xml:space="preserve"> area, 2020). The adoption of the STS technique will allow a serious evaluation of the sustainability performance of Mercure Newport in terms of technology and human factors. This research will be able to assess not only the introduction of technologies but the way the staff embrace them and translate them into a functional operational practice, which is the way of conceptualizing the hotel as a socio-technical system in which the staff works.</w:t>
      </w:r>
    </w:p>
    <w:p w14:paraId="18536B54" w14:textId="49FD4233" w:rsidR="00F21AA8" w:rsidRDefault="00F21AA8" w:rsidP="00F21AA8">
      <w:pPr>
        <w:pStyle w:val="Heading1"/>
      </w:pPr>
      <w:bookmarkStart w:id="5" w:name="_Toc212026988"/>
      <w:r>
        <w:t>Methodology</w:t>
      </w:r>
      <w:bookmarkEnd w:id="5"/>
    </w:p>
    <w:p w14:paraId="6012ED2B" w14:textId="3608F623" w:rsidR="00F21AA8" w:rsidRDefault="00444FE0" w:rsidP="00F21AA8">
      <w:pPr>
        <w:spacing w:line="360" w:lineRule="auto"/>
        <w:jc w:val="both"/>
      </w:pPr>
      <w:r w:rsidRPr="00444FE0">
        <w:t xml:space="preserve">The effectiveness of food-waste minimisation measures of Mercure Newport is evaluated using a qualitative study model based on </w:t>
      </w:r>
      <w:r>
        <w:t>contemporary</w:t>
      </w:r>
      <w:r w:rsidRPr="00444FE0">
        <w:t xml:space="preserve"> literature. The major source of secondary data that will be used in this research is the ESG and sustainability reports of the Accor Group</w:t>
      </w:r>
      <w:r>
        <w:t xml:space="preserve"> which is the parent company of Mercure Newport</w:t>
      </w:r>
      <w:r w:rsidRPr="00444FE0">
        <w:t>, as it presents a full account of the food-waste management system, metrics of operational performance, and corporate sustainability goals. Additional data collected on the industry publications, academic studies, and sustainability standards of the hospitality industry further support triangulation and contextual understanding.</w:t>
      </w:r>
      <w:r w:rsidR="00F21AA8" w:rsidRPr="00F21AA8">
        <w:t xml:space="preserve"> </w:t>
      </w:r>
    </w:p>
    <w:p w14:paraId="7FD2AF32" w14:textId="5D755BFC" w:rsidR="00F21AA8" w:rsidRDefault="002A03A8" w:rsidP="00F21AA8">
      <w:pPr>
        <w:spacing w:line="360" w:lineRule="auto"/>
        <w:jc w:val="both"/>
      </w:pPr>
      <w:r w:rsidRPr="002A03A8">
        <w:t>To determine common themes in regard to food-waste measurement, preventive measures, and performance findings, the proposed study uses thematic analysis method</w:t>
      </w:r>
      <w:r>
        <w:t xml:space="preserve"> </w:t>
      </w:r>
      <w:r w:rsidRPr="002A03A8">
        <w:t>in which Braun and Clarke (2006) describe six steps: familiarisation, coding, creation of themes, reviewing, definition, and reporting. The approach is especially ideal in terms of eliciting recognising patterns and performing qualitative analysis of qualitative information elicited through the course of a wide range of texts. The research adheres to high standards of ethical standards by ensuring credibility and transparency of secondary data.</w:t>
      </w:r>
      <w:r w:rsidR="00F21AA8" w:rsidRPr="00F21AA8">
        <w:t xml:space="preserve"> </w:t>
      </w:r>
    </w:p>
    <w:p w14:paraId="5B308A16" w14:textId="69B0E49D" w:rsidR="006737DA" w:rsidRDefault="006737DA" w:rsidP="006737DA">
      <w:pPr>
        <w:pStyle w:val="Heading1"/>
      </w:pPr>
      <w:bookmarkStart w:id="6" w:name="_Toc212026989"/>
      <w:r>
        <w:t>Theme Impact Analysis</w:t>
      </w:r>
      <w:bookmarkEnd w:id="6"/>
    </w:p>
    <w:p w14:paraId="0E194388" w14:textId="0957AAAE" w:rsidR="00D46AF3" w:rsidRDefault="00D46AF3" w:rsidP="00D46AF3">
      <w:pPr>
        <w:pStyle w:val="Heading2"/>
        <w:spacing w:line="360" w:lineRule="auto"/>
        <w:jc w:val="both"/>
      </w:pPr>
      <w:bookmarkStart w:id="7" w:name="_Toc212026990"/>
      <w:r w:rsidRPr="00D46AF3">
        <w:t>Implementation Initiatives</w:t>
      </w:r>
      <w:r>
        <w:t xml:space="preserve"> by </w:t>
      </w:r>
      <w:r w:rsidRPr="00D46AF3">
        <w:t>Mercure Newport</w:t>
      </w:r>
      <w:bookmarkEnd w:id="7"/>
    </w:p>
    <w:p w14:paraId="423F5BD6" w14:textId="275BC5CD" w:rsidR="00D46AF3" w:rsidRDefault="006A2D04" w:rsidP="00D46AF3">
      <w:pPr>
        <w:spacing w:line="360" w:lineRule="auto"/>
        <w:jc w:val="both"/>
      </w:pPr>
      <w:r w:rsidRPr="006A2D04">
        <w:t xml:space="preserve">Even though the Mercure Newport hotel lacks its own sustainability report, its sustainability policies correspond to those of the parent company, Accor Group, and can be inferred by the type of operation of the hotel and the general business goals. The </w:t>
      </w:r>
      <w:r w:rsidR="001F0AEC">
        <w:t>section</w:t>
      </w:r>
      <w:r w:rsidRPr="006A2D04">
        <w:t xml:space="preserve"> investigates the activities of </w:t>
      </w:r>
      <w:r w:rsidRPr="006A2D04">
        <w:lastRenderedPageBreak/>
        <w:t>Mercure Newport to minimize food wastage using the Accor Group Good Food Policy Report (2024).</w:t>
      </w:r>
    </w:p>
    <w:tbl>
      <w:tblPr>
        <w:tblStyle w:val="TableGrid"/>
        <w:tblW w:w="10980" w:type="dxa"/>
        <w:tblInd w:w="-815" w:type="dxa"/>
        <w:tblLook w:val="04A0" w:firstRow="1" w:lastRow="0" w:firstColumn="1" w:lastColumn="0" w:noHBand="0" w:noVBand="1"/>
      </w:tblPr>
      <w:tblGrid>
        <w:gridCol w:w="1980"/>
        <w:gridCol w:w="4680"/>
        <w:gridCol w:w="4320"/>
      </w:tblGrid>
      <w:tr w:rsidR="00D951E8" w:rsidRPr="008647D0" w14:paraId="36CEEC3B" w14:textId="77777777" w:rsidTr="00D951E8">
        <w:trPr>
          <w:trHeight w:val="300"/>
        </w:trPr>
        <w:tc>
          <w:tcPr>
            <w:tcW w:w="1980" w:type="dxa"/>
            <w:noWrap/>
            <w:hideMark/>
          </w:tcPr>
          <w:p w14:paraId="54871434" w14:textId="77777777" w:rsidR="00D951E8" w:rsidRPr="00D6007D" w:rsidRDefault="00D951E8" w:rsidP="008647D0">
            <w:pPr>
              <w:spacing w:line="360" w:lineRule="auto"/>
              <w:jc w:val="both"/>
              <w:rPr>
                <w:b/>
                <w:bCs/>
                <w:sz w:val="18"/>
                <w:szCs w:val="16"/>
              </w:rPr>
            </w:pPr>
            <w:r w:rsidRPr="00D6007D">
              <w:rPr>
                <w:b/>
                <w:bCs/>
                <w:sz w:val="18"/>
                <w:szCs w:val="16"/>
              </w:rPr>
              <w:t>Theme</w:t>
            </w:r>
          </w:p>
        </w:tc>
        <w:tc>
          <w:tcPr>
            <w:tcW w:w="4680" w:type="dxa"/>
            <w:noWrap/>
            <w:hideMark/>
          </w:tcPr>
          <w:p w14:paraId="5D1EED86" w14:textId="1D6B90CE" w:rsidR="00D951E8" w:rsidRPr="00D6007D" w:rsidRDefault="00D951E8" w:rsidP="008647D0">
            <w:pPr>
              <w:spacing w:line="360" w:lineRule="auto"/>
              <w:jc w:val="both"/>
              <w:rPr>
                <w:b/>
                <w:bCs/>
                <w:sz w:val="18"/>
                <w:szCs w:val="16"/>
              </w:rPr>
            </w:pPr>
            <w:r w:rsidRPr="00D6007D">
              <w:rPr>
                <w:b/>
                <w:bCs/>
                <w:sz w:val="18"/>
                <w:szCs w:val="16"/>
              </w:rPr>
              <w:t>Initiative</w:t>
            </w:r>
          </w:p>
        </w:tc>
        <w:tc>
          <w:tcPr>
            <w:tcW w:w="4320" w:type="dxa"/>
            <w:noWrap/>
            <w:hideMark/>
          </w:tcPr>
          <w:p w14:paraId="068B1755" w14:textId="77777777" w:rsidR="00D951E8" w:rsidRPr="00D6007D" w:rsidRDefault="00D951E8" w:rsidP="008647D0">
            <w:pPr>
              <w:spacing w:line="360" w:lineRule="auto"/>
              <w:jc w:val="both"/>
              <w:rPr>
                <w:b/>
                <w:bCs/>
                <w:sz w:val="18"/>
                <w:szCs w:val="16"/>
              </w:rPr>
            </w:pPr>
            <w:r w:rsidRPr="00D6007D">
              <w:rPr>
                <w:b/>
                <w:bCs/>
                <w:sz w:val="18"/>
                <w:szCs w:val="16"/>
              </w:rPr>
              <w:t>Measurement &amp; Monitoring Methods</w:t>
            </w:r>
          </w:p>
        </w:tc>
      </w:tr>
      <w:tr w:rsidR="00D951E8" w:rsidRPr="008647D0" w14:paraId="38155D17" w14:textId="77777777" w:rsidTr="00D951E8">
        <w:trPr>
          <w:trHeight w:val="300"/>
        </w:trPr>
        <w:tc>
          <w:tcPr>
            <w:tcW w:w="1980" w:type="dxa"/>
            <w:noWrap/>
            <w:hideMark/>
          </w:tcPr>
          <w:p w14:paraId="3B4963FB" w14:textId="77777777" w:rsidR="00D951E8" w:rsidRPr="008647D0" w:rsidRDefault="00D951E8" w:rsidP="008647D0">
            <w:pPr>
              <w:spacing w:line="360" w:lineRule="auto"/>
              <w:jc w:val="both"/>
              <w:rPr>
                <w:sz w:val="18"/>
                <w:szCs w:val="16"/>
              </w:rPr>
            </w:pPr>
            <w:r w:rsidRPr="008647D0">
              <w:rPr>
                <w:sz w:val="18"/>
                <w:szCs w:val="16"/>
              </w:rPr>
              <w:t>Menu Design &amp; Food Offerings</w:t>
            </w:r>
          </w:p>
        </w:tc>
        <w:tc>
          <w:tcPr>
            <w:tcW w:w="4680" w:type="dxa"/>
            <w:noWrap/>
            <w:hideMark/>
          </w:tcPr>
          <w:p w14:paraId="098D7824" w14:textId="77777777" w:rsidR="00D951E8" w:rsidRPr="008647D0" w:rsidRDefault="00D951E8" w:rsidP="008647D0">
            <w:pPr>
              <w:spacing w:line="360" w:lineRule="auto"/>
              <w:jc w:val="both"/>
              <w:rPr>
                <w:sz w:val="18"/>
                <w:szCs w:val="16"/>
              </w:rPr>
            </w:pPr>
            <w:r w:rsidRPr="008647D0">
              <w:rPr>
                <w:sz w:val="18"/>
                <w:szCs w:val="16"/>
              </w:rPr>
              <w:t>50% of dishes to be vegetarian or plant-based; low-carbon recipes integrated into menus</w:t>
            </w:r>
          </w:p>
        </w:tc>
        <w:tc>
          <w:tcPr>
            <w:tcW w:w="4320" w:type="dxa"/>
            <w:noWrap/>
            <w:hideMark/>
          </w:tcPr>
          <w:p w14:paraId="1346BC65" w14:textId="42F2DD03" w:rsidR="00D951E8" w:rsidRPr="008647D0" w:rsidRDefault="00D951E8" w:rsidP="008647D0">
            <w:pPr>
              <w:spacing w:line="360" w:lineRule="auto"/>
              <w:jc w:val="both"/>
              <w:rPr>
                <w:sz w:val="18"/>
                <w:szCs w:val="16"/>
              </w:rPr>
            </w:pPr>
            <w:r w:rsidRPr="008647D0">
              <w:rPr>
                <w:sz w:val="18"/>
                <w:szCs w:val="16"/>
              </w:rPr>
              <w:t>Tracking percentage of plant-based items across hotels</w:t>
            </w:r>
          </w:p>
        </w:tc>
      </w:tr>
      <w:tr w:rsidR="00D951E8" w:rsidRPr="008647D0" w14:paraId="17E534E8" w14:textId="77777777" w:rsidTr="00D951E8">
        <w:trPr>
          <w:trHeight w:val="300"/>
        </w:trPr>
        <w:tc>
          <w:tcPr>
            <w:tcW w:w="1980" w:type="dxa"/>
            <w:noWrap/>
            <w:hideMark/>
          </w:tcPr>
          <w:p w14:paraId="26A11E6A" w14:textId="77777777" w:rsidR="00D951E8" w:rsidRPr="008647D0" w:rsidRDefault="00D951E8" w:rsidP="008647D0">
            <w:pPr>
              <w:spacing w:line="360" w:lineRule="auto"/>
              <w:jc w:val="both"/>
              <w:rPr>
                <w:sz w:val="18"/>
                <w:szCs w:val="16"/>
              </w:rPr>
            </w:pPr>
            <w:r w:rsidRPr="008647D0">
              <w:rPr>
                <w:sz w:val="18"/>
                <w:szCs w:val="16"/>
              </w:rPr>
              <w:t>Responsible Sourcing</w:t>
            </w:r>
          </w:p>
        </w:tc>
        <w:tc>
          <w:tcPr>
            <w:tcW w:w="4680" w:type="dxa"/>
            <w:noWrap/>
            <w:hideMark/>
          </w:tcPr>
          <w:p w14:paraId="0E1880EF" w14:textId="77777777" w:rsidR="00D951E8" w:rsidRPr="008647D0" w:rsidRDefault="00D951E8" w:rsidP="008647D0">
            <w:pPr>
              <w:spacing w:line="360" w:lineRule="auto"/>
              <w:jc w:val="both"/>
              <w:rPr>
                <w:sz w:val="18"/>
                <w:szCs w:val="16"/>
              </w:rPr>
            </w:pPr>
            <w:r w:rsidRPr="008647D0">
              <w:rPr>
                <w:sz w:val="18"/>
                <w:szCs w:val="16"/>
              </w:rPr>
              <w:t xml:space="preserve">Use of certified coffee, tea, cocoa (Rainforest Alliance, </w:t>
            </w:r>
            <w:proofErr w:type="spellStart"/>
            <w:r w:rsidRPr="008647D0">
              <w:rPr>
                <w:sz w:val="18"/>
                <w:szCs w:val="16"/>
              </w:rPr>
              <w:t>FairTrade</w:t>
            </w:r>
            <w:proofErr w:type="spellEnd"/>
            <w:r w:rsidRPr="008647D0">
              <w:rPr>
                <w:sz w:val="18"/>
                <w:szCs w:val="16"/>
              </w:rPr>
              <w:t>); ban on endangered seafood</w:t>
            </w:r>
          </w:p>
        </w:tc>
        <w:tc>
          <w:tcPr>
            <w:tcW w:w="4320" w:type="dxa"/>
            <w:noWrap/>
            <w:hideMark/>
          </w:tcPr>
          <w:p w14:paraId="5D16FBAF" w14:textId="7A158B10" w:rsidR="00D951E8" w:rsidRPr="008647D0" w:rsidRDefault="00D951E8" w:rsidP="008647D0">
            <w:pPr>
              <w:spacing w:line="360" w:lineRule="auto"/>
              <w:jc w:val="both"/>
              <w:rPr>
                <w:sz w:val="18"/>
                <w:szCs w:val="16"/>
              </w:rPr>
            </w:pPr>
            <w:r w:rsidRPr="008647D0">
              <w:rPr>
                <w:sz w:val="18"/>
                <w:szCs w:val="16"/>
              </w:rPr>
              <w:t>Supplier audits, WWF seafood guidelines</w:t>
            </w:r>
          </w:p>
        </w:tc>
      </w:tr>
      <w:tr w:rsidR="00D951E8" w:rsidRPr="008647D0" w14:paraId="5A9C9C90" w14:textId="77777777" w:rsidTr="00D951E8">
        <w:trPr>
          <w:trHeight w:val="300"/>
        </w:trPr>
        <w:tc>
          <w:tcPr>
            <w:tcW w:w="1980" w:type="dxa"/>
            <w:noWrap/>
            <w:hideMark/>
          </w:tcPr>
          <w:p w14:paraId="4F2B71C9" w14:textId="77777777" w:rsidR="00D951E8" w:rsidRPr="008647D0" w:rsidRDefault="00D951E8" w:rsidP="008647D0">
            <w:pPr>
              <w:spacing w:line="360" w:lineRule="auto"/>
              <w:jc w:val="both"/>
              <w:rPr>
                <w:sz w:val="18"/>
                <w:szCs w:val="16"/>
              </w:rPr>
            </w:pPr>
            <w:r w:rsidRPr="008647D0">
              <w:rPr>
                <w:sz w:val="18"/>
                <w:szCs w:val="16"/>
              </w:rPr>
              <w:t>Local &amp; Seasonal Procurement</w:t>
            </w:r>
          </w:p>
        </w:tc>
        <w:tc>
          <w:tcPr>
            <w:tcW w:w="4680" w:type="dxa"/>
            <w:noWrap/>
            <w:hideMark/>
          </w:tcPr>
          <w:p w14:paraId="50B90D20" w14:textId="77777777" w:rsidR="00D951E8" w:rsidRPr="008647D0" w:rsidRDefault="00D951E8" w:rsidP="008647D0">
            <w:pPr>
              <w:spacing w:line="360" w:lineRule="auto"/>
              <w:jc w:val="both"/>
              <w:rPr>
                <w:sz w:val="18"/>
                <w:szCs w:val="16"/>
              </w:rPr>
            </w:pPr>
            <w:r w:rsidRPr="008647D0">
              <w:rPr>
                <w:sz w:val="18"/>
                <w:szCs w:val="16"/>
              </w:rPr>
              <w:t>Use of at least 20 local products and 100% seasonal fruits and vegetables</w:t>
            </w:r>
          </w:p>
        </w:tc>
        <w:tc>
          <w:tcPr>
            <w:tcW w:w="4320" w:type="dxa"/>
            <w:noWrap/>
            <w:hideMark/>
          </w:tcPr>
          <w:p w14:paraId="66396E0C" w14:textId="77777777" w:rsidR="00D951E8" w:rsidRPr="008647D0" w:rsidRDefault="00D951E8" w:rsidP="008647D0">
            <w:pPr>
              <w:spacing w:line="360" w:lineRule="auto"/>
              <w:jc w:val="both"/>
              <w:rPr>
                <w:sz w:val="18"/>
                <w:szCs w:val="16"/>
              </w:rPr>
            </w:pPr>
            <w:r w:rsidRPr="008647D0">
              <w:rPr>
                <w:sz w:val="18"/>
                <w:szCs w:val="16"/>
              </w:rPr>
              <w:t>Procurement records and sustainability reporting via Planet 21</w:t>
            </w:r>
          </w:p>
        </w:tc>
      </w:tr>
      <w:tr w:rsidR="00D951E8" w:rsidRPr="008647D0" w14:paraId="3808262D" w14:textId="77777777" w:rsidTr="00D951E8">
        <w:trPr>
          <w:trHeight w:val="300"/>
        </w:trPr>
        <w:tc>
          <w:tcPr>
            <w:tcW w:w="1980" w:type="dxa"/>
            <w:noWrap/>
            <w:hideMark/>
          </w:tcPr>
          <w:p w14:paraId="452F361A" w14:textId="77777777" w:rsidR="00D951E8" w:rsidRPr="008647D0" w:rsidRDefault="00D951E8" w:rsidP="008647D0">
            <w:pPr>
              <w:spacing w:line="360" w:lineRule="auto"/>
              <w:jc w:val="both"/>
              <w:rPr>
                <w:sz w:val="18"/>
                <w:szCs w:val="16"/>
              </w:rPr>
            </w:pPr>
            <w:r w:rsidRPr="008647D0">
              <w:rPr>
                <w:sz w:val="18"/>
                <w:szCs w:val="16"/>
              </w:rPr>
              <w:t>Chef &amp; Staff Training</w:t>
            </w:r>
          </w:p>
        </w:tc>
        <w:tc>
          <w:tcPr>
            <w:tcW w:w="4680" w:type="dxa"/>
            <w:noWrap/>
            <w:hideMark/>
          </w:tcPr>
          <w:p w14:paraId="3F3B4B9A" w14:textId="77777777" w:rsidR="00D951E8" w:rsidRPr="008647D0" w:rsidRDefault="00D951E8" w:rsidP="008647D0">
            <w:pPr>
              <w:spacing w:line="360" w:lineRule="auto"/>
              <w:jc w:val="both"/>
              <w:rPr>
                <w:sz w:val="18"/>
                <w:szCs w:val="16"/>
              </w:rPr>
            </w:pPr>
            <w:r w:rsidRPr="008647D0">
              <w:rPr>
                <w:sz w:val="18"/>
                <w:szCs w:val="16"/>
              </w:rPr>
              <w:t>Training 50% of cooks in plant-based cooking and waste reduction; buyers trained on responsible sourcing</w:t>
            </w:r>
          </w:p>
        </w:tc>
        <w:tc>
          <w:tcPr>
            <w:tcW w:w="4320" w:type="dxa"/>
            <w:noWrap/>
            <w:hideMark/>
          </w:tcPr>
          <w:p w14:paraId="60D029B6" w14:textId="72AE8BB7" w:rsidR="00D951E8" w:rsidRPr="008647D0" w:rsidRDefault="00D951E8" w:rsidP="008647D0">
            <w:pPr>
              <w:spacing w:line="360" w:lineRule="auto"/>
              <w:jc w:val="both"/>
              <w:rPr>
                <w:sz w:val="18"/>
                <w:szCs w:val="16"/>
              </w:rPr>
            </w:pPr>
            <w:r w:rsidRPr="008647D0">
              <w:rPr>
                <w:sz w:val="18"/>
                <w:szCs w:val="16"/>
              </w:rPr>
              <w:t>HR and training KPIs</w:t>
            </w:r>
          </w:p>
        </w:tc>
      </w:tr>
    </w:tbl>
    <w:p w14:paraId="7E48ED54" w14:textId="0F9FC6DB" w:rsidR="003344CE" w:rsidRDefault="003344CE" w:rsidP="00D46AF3">
      <w:pPr>
        <w:spacing w:line="360" w:lineRule="auto"/>
        <w:jc w:val="both"/>
      </w:pPr>
      <w:r>
        <w:t xml:space="preserve"> </w:t>
      </w:r>
    </w:p>
    <w:p w14:paraId="0DEEC730" w14:textId="22A19D46" w:rsidR="003344CE" w:rsidRDefault="007C444D" w:rsidP="003344CE">
      <w:pPr>
        <w:spacing w:line="360" w:lineRule="auto"/>
        <w:jc w:val="both"/>
      </w:pPr>
      <w:r w:rsidRPr="007C444D">
        <w:t>The development of environmental strategy of the Accor group involves food-waste minimization as a part of the general environmental strategy called Good Food Feels Great. The organisation is in line with UN SDG 12: Responsible Consumption and Production as it acknowledges the unsustainable pressure that food production and consumption have on the natural resources. Food-waste control is undertaken through systematic measures that centre around the composition of menus, sourcing, operations, training, and governance, and in accordance with its ESG agenda the Group will ensure it reduces food waste by at least 50 percent in 2030.</w:t>
      </w:r>
      <w:r w:rsidR="003344CE">
        <w:t xml:space="preserve"> </w:t>
      </w:r>
    </w:p>
    <w:p w14:paraId="3A7D8BEE" w14:textId="6EF30B8A" w:rsidR="003344CE" w:rsidRDefault="005516CE" w:rsidP="003344CE">
      <w:pPr>
        <w:spacing w:line="360" w:lineRule="auto"/>
        <w:jc w:val="both"/>
      </w:pPr>
      <w:r w:rsidRPr="005516CE">
        <w:t>On the frontline of reducing overproduction and spoilage of food with local, seasonal, and organic foods, promoting ethically sourced foods (certified coffee, chocolate, and tea), and adding 50 per cent plant-based options to the menu are the main strategies. Through the help of the regional and international sustainability committees, Accor operationally establishes measurement tools and monitoring indicators in its properties. It calculates the carbon footprint, water consumption, and waste amount related to the food services and this is done using the Planet 21 and ESG reports. Chef and procurement-training programmes that are based on menu planning, the management of portion, and food-waste analytics support behavioural change.</w:t>
      </w:r>
    </w:p>
    <w:p w14:paraId="7F9C6D1D" w14:textId="0D9E8BD2" w:rsidR="003344CE" w:rsidRDefault="00E0254E" w:rsidP="003344CE">
      <w:pPr>
        <w:spacing w:line="360" w:lineRule="auto"/>
        <w:jc w:val="both"/>
      </w:pPr>
      <w:r w:rsidRPr="00E0254E">
        <w:t>When developing national plans on food-transition and sustainable seafood regulations, the help of WWF and ADEME helps in technical terms and external validation.</w:t>
      </w:r>
      <w:r w:rsidR="003344CE">
        <w:t xml:space="preserve"> The governance framework ensures regular progress reviews, linking environmental performance indicators directly to corporate sustainability targets.</w:t>
      </w:r>
      <w:r w:rsidR="00F239FA">
        <w:t xml:space="preserve"> </w:t>
      </w:r>
    </w:p>
    <w:p w14:paraId="74408CBF" w14:textId="3300F54D" w:rsidR="00F239FA" w:rsidRDefault="00F239FA" w:rsidP="00F239FA">
      <w:pPr>
        <w:pStyle w:val="Heading2"/>
      </w:pPr>
      <w:bookmarkStart w:id="8" w:name="_Toc212026991"/>
      <w:r w:rsidRPr="00222E18">
        <w:lastRenderedPageBreak/>
        <w:t xml:space="preserve">Effectiveness </w:t>
      </w:r>
      <w:r>
        <w:t>o</w:t>
      </w:r>
      <w:r w:rsidRPr="00222E18">
        <w:t>f Initiatives</w:t>
      </w:r>
      <w:bookmarkEnd w:id="8"/>
    </w:p>
    <w:tbl>
      <w:tblPr>
        <w:tblStyle w:val="TableGrid"/>
        <w:tblW w:w="10890" w:type="dxa"/>
        <w:tblInd w:w="-815" w:type="dxa"/>
        <w:tblLook w:val="04A0" w:firstRow="1" w:lastRow="0" w:firstColumn="1" w:lastColumn="0" w:noHBand="0" w:noVBand="1"/>
      </w:tblPr>
      <w:tblGrid>
        <w:gridCol w:w="1978"/>
        <w:gridCol w:w="3062"/>
        <w:gridCol w:w="5850"/>
      </w:tblGrid>
      <w:tr w:rsidR="000D2ED4" w:rsidRPr="000D2ED4" w14:paraId="656FBA30" w14:textId="77777777" w:rsidTr="000D2ED4">
        <w:trPr>
          <w:trHeight w:val="300"/>
        </w:trPr>
        <w:tc>
          <w:tcPr>
            <w:tcW w:w="1978" w:type="dxa"/>
            <w:noWrap/>
            <w:hideMark/>
          </w:tcPr>
          <w:p w14:paraId="5FB45694" w14:textId="77777777" w:rsidR="000D2ED4" w:rsidRPr="000D2ED4" w:rsidRDefault="000D2ED4" w:rsidP="000D2ED4">
            <w:pPr>
              <w:spacing w:line="360" w:lineRule="auto"/>
              <w:rPr>
                <w:b/>
                <w:bCs/>
                <w:sz w:val="18"/>
                <w:szCs w:val="16"/>
              </w:rPr>
            </w:pPr>
            <w:r w:rsidRPr="000D2ED4">
              <w:rPr>
                <w:b/>
                <w:bCs/>
                <w:sz w:val="18"/>
                <w:szCs w:val="16"/>
              </w:rPr>
              <w:t>Theme</w:t>
            </w:r>
          </w:p>
        </w:tc>
        <w:tc>
          <w:tcPr>
            <w:tcW w:w="3062" w:type="dxa"/>
            <w:noWrap/>
            <w:hideMark/>
          </w:tcPr>
          <w:p w14:paraId="1D75AC0B" w14:textId="77777777" w:rsidR="000D2ED4" w:rsidRPr="000D2ED4" w:rsidRDefault="000D2ED4" w:rsidP="000D2ED4">
            <w:pPr>
              <w:spacing w:line="360" w:lineRule="auto"/>
              <w:rPr>
                <w:b/>
                <w:bCs/>
                <w:sz w:val="18"/>
                <w:szCs w:val="16"/>
              </w:rPr>
            </w:pPr>
            <w:r w:rsidRPr="000D2ED4">
              <w:rPr>
                <w:b/>
                <w:bCs/>
                <w:sz w:val="18"/>
                <w:szCs w:val="16"/>
              </w:rPr>
              <w:t>Supporting Literature</w:t>
            </w:r>
          </w:p>
        </w:tc>
        <w:tc>
          <w:tcPr>
            <w:tcW w:w="5850" w:type="dxa"/>
            <w:noWrap/>
            <w:hideMark/>
          </w:tcPr>
          <w:p w14:paraId="4655D240" w14:textId="77777777" w:rsidR="000D2ED4" w:rsidRPr="000D2ED4" w:rsidRDefault="000D2ED4" w:rsidP="000D2ED4">
            <w:pPr>
              <w:spacing w:line="360" w:lineRule="auto"/>
              <w:rPr>
                <w:b/>
                <w:bCs/>
                <w:sz w:val="18"/>
                <w:szCs w:val="16"/>
              </w:rPr>
            </w:pPr>
            <w:r w:rsidRPr="000D2ED4">
              <w:rPr>
                <w:b/>
                <w:bCs/>
                <w:sz w:val="18"/>
                <w:szCs w:val="16"/>
              </w:rPr>
              <w:t>Main Findings/Insights</w:t>
            </w:r>
          </w:p>
        </w:tc>
      </w:tr>
      <w:tr w:rsidR="000D2ED4" w:rsidRPr="000D2ED4" w14:paraId="6F07EA6B" w14:textId="77777777" w:rsidTr="000D2ED4">
        <w:trPr>
          <w:trHeight w:val="300"/>
        </w:trPr>
        <w:tc>
          <w:tcPr>
            <w:tcW w:w="1978" w:type="dxa"/>
            <w:noWrap/>
            <w:hideMark/>
          </w:tcPr>
          <w:p w14:paraId="0A46B495" w14:textId="69162CD3" w:rsidR="000D2ED4" w:rsidRPr="000D2ED4" w:rsidRDefault="000D2ED4" w:rsidP="000D2ED4">
            <w:pPr>
              <w:spacing w:line="360" w:lineRule="auto"/>
              <w:rPr>
                <w:sz w:val="18"/>
                <w:szCs w:val="16"/>
              </w:rPr>
            </w:pPr>
            <w:r w:rsidRPr="008647D0">
              <w:rPr>
                <w:sz w:val="18"/>
                <w:szCs w:val="16"/>
              </w:rPr>
              <w:t>Menu Design &amp; Food Offerings</w:t>
            </w:r>
          </w:p>
        </w:tc>
        <w:tc>
          <w:tcPr>
            <w:tcW w:w="3062" w:type="dxa"/>
            <w:noWrap/>
            <w:hideMark/>
          </w:tcPr>
          <w:p w14:paraId="3BE7189E" w14:textId="5595B632" w:rsidR="000D2ED4" w:rsidRPr="000D2ED4" w:rsidRDefault="000D2ED4" w:rsidP="000D2ED4">
            <w:pPr>
              <w:spacing w:line="360" w:lineRule="auto"/>
              <w:rPr>
                <w:sz w:val="18"/>
                <w:szCs w:val="16"/>
              </w:rPr>
            </w:pPr>
            <w:r w:rsidRPr="000D2ED4">
              <w:rPr>
                <w:sz w:val="18"/>
                <w:szCs w:val="16"/>
              </w:rPr>
              <w:t>Principato et al. (2021)</w:t>
            </w:r>
          </w:p>
        </w:tc>
        <w:tc>
          <w:tcPr>
            <w:tcW w:w="5850" w:type="dxa"/>
            <w:noWrap/>
            <w:hideMark/>
          </w:tcPr>
          <w:p w14:paraId="2BA8350C" w14:textId="77777777" w:rsidR="000D2ED4" w:rsidRPr="000D2ED4" w:rsidRDefault="000D2ED4" w:rsidP="000D2ED4">
            <w:pPr>
              <w:spacing w:line="360" w:lineRule="auto"/>
              <w:rPr>
                <w:sz w:val="18"/>
                <w:szCs w:val="16"/>
              </w:rPr>
            </w:pPr>
            <w:r w:rsidRPr="000D2ED4">
              <w:rPr>
                <w:sz w:val="18"/>
                <w:szCs w:val="16"/>
              </w:rPr>
              <w:t>Seasonal, lower-impact foods reduce spoilage, procurement costs, and align production with demand.</w:t>
            </w:r>
          </w:p>
        </w:tc>
      </w:tr>
      <w:tr w:rsidR="000D2ED4" w:rsidRPr="000D2ED4" w14:paraId="399A0066" w14:textId="77777777" w:rsidTr="000D2ED4">
        <w:trPr>
          <w:trHeight w:val="300"/>
        </w:trPr>
        <w:tc>
          <w:tcPr>
            <w:tcW w:w="1978" w:type="dxa"/>
            <w:noWrap/>
            <w:hideMark/>
          </w:tcPr>
          <w:p w14:paraId="1DB8FBA4" w14:textId="64AE2295" w:rsidR="000D2ED4" w:rsidRPr="000D2ED4" w:rsidRDefault="000D2ED4" w:rsidP="000D2ED4">
            <w:pPr>
              <w:spacing w:line="360" w:lineRule="auto"/>
              <w:rPr>
                <w:sz w:val="18"/>
                <w:szCs w:val="16"/>
              </w:rPr>
            </w:pPr>
            <w:r w:rsidRPr="008647D0">
              <w:rPr>
                <w:sz w:val="18"/>
                <w:szCs w:val="16"/>
              </w:rPr>
              <w:t>Responsible Sourcing</w:t>
            </w:r>
          </w:p>
        </w:tc>
        <w:tc>
          <w:tcPr>
            <w:tcW w:w="3062" w:type="dxa"/>
            <w:noWrap/>
            <w:hideMark/>
          </w:tcPr>
          <w:p w14:paraId="2ED1F030" w14:textId="6B7B8583" w:rsidR="000D2ED4" w:rsidRPr="000D2ED4" w:rsidRDefault="000D2ED4" w:rsidP="000D2ED4">
            <w:pPr>
              <w:spacing w:line="360" w:lineRule="auto"/>
              <w:rPr>
                <w:sz w:val="18"/>
                <w:szCs w:val="16"/>
              </w:rPr>
            </w:pPr>
            <w:r w:rsidRPr="000D2ED4">
              <w:rPr>
                <w:sz w:val="18"/>
                <w:szCs w:val="16"/>
              </w:rPr>
              <w:t xml:space="preserve">Dhir et al. (2020) </w:t>
            </w:r>
          </w:p>
        </w:tc>
        <w:tc>
          <w:tcPr>
            <w:tcW w:w="5850" w:type="dxa"/>
            <w:noWrap/>
            <w:hideMark/>
          </w:tcPr>
          <w:p w14:paraId="46F82B18" w14:textId="77777777" w:rsidR="000D2ED4" w:rsidRPr="000D2ED4" w:rsidRDefault="000D2ED4" w:rsidP="000D2ED4">
            <w:pPr>
              <w:spacing w:line="360" w:lineRule="auto"/>
              <w:rPr>
                <w:sz w:val="18"/>
                <w:szCs w:val="16"/>
              </w:rPr>
            </w:pPr>
            <w:r w:rsidRPr="000D2ED4">
              <w:rPr>
                <w:sz w:val="18"/>
                <w:szCs w:val="16"/>
              </w:rPr>
              <w:t>Supplier traceability and audits support more efficient procurement and reduce over-ordering or spoilage.</w:t>
            </w:r>
          </w:p>
        </w:tc>
      </w:tr>
      <w:tr w:rsidR="000D2ED4" w:rsidRPr="000D2ED4" w14:paraId="509B60D1" w14:textId="77777777" w:rsidTr="000D2ED4">
        <w:trPr>
          <w:trHeight w:val="300"/>
        </w:trPr>
        <w:tc>
          <w:tcPr>
            <w:tcW w:w="1978" w:type="dxa"/>
            <w:noWrap/>
            <w:hideMark/>
          </w:tcPr>
          <w:p w14:paraId="640E2A3C" w14:textId="77777777" w:rsidR="000D2ED4" w:rsidRPr="000D2ED4" w:rsidRDefault="000D2ED4" w:rsidP="000D2ED4">
            <w:pPr>
              <w:spacing w:line="360" w:lineRule="auto"/>
              <w:rPr>
                <w:sz w:val="18"/>
                <w:szCs w:val="16"/>
              </w:rPr>
            </w:pPr>
            <w:r w:rsidRPr="000D2ED4">
              <w:rPr>
                <w:sz w:val="18"/>
                <w:szCs w:val="16"/>
              </w:rPr>
              <w:t>Local &amp; Seasonal Procurement</w:t>
            </w:r>
          </w:p>
        </w:tc>
        <w:tc>
          <w:tcPr>
            <w:tcW w:w="3062" w:type="dxa"/>
            <w:noWrap/>
            <w:hideMark/>
          </w:tcPr>
          <w:p w14:paraId="0D808CF7" w14:textId="7B41C3A7" w:rsidR="000D2ED4" w:rsidRPr="000D2ED4" w:rsidRDefault="000D2ED4" w:rsidP="000D2ED4">
            <w:pPr>
              <w:spacing w:line="360" w:lineRule="auto"/>
              <w:rPr>
                <w:sz w:val="18"/>
                <w:szCs w:val="16"/>
              </w:rPr>
            </w:pPr>
            <w:r w:rsidRPr="000D2ED4">
              <w:rPr>
                <w:sz w:val="18"/>
                <w:szCs w:val="16"/>
              </w:rPr>
              <w:t>Misik &amp; Nagy (2025); UNWTO (2022)</w:t>
            </w:r>
          </w:p>
        </w:tc>
        <w:tc>
          <w:tcPr>
            <w:tcW w:w="5850" w:type="dxa"/>
            <w:noWrap/>
            <w:hideMark/>
          </w:tcPr>
          <w:p w14:paraId="17AC85F2" w14:textId="77777777" w:rsidR="000D2ED4" w:rsidRPr="000D2ED4" w:rsidRDefault="000D2ED4" w:rsidP="000D2ED4">
            <w:pPr>
              <w:spacing w:line="360" w:lineRule="auto"/>
              <w:rPr>
                <w:sz w:val="18"/>
                <w:szCs w:val="16"/>
              </w:rPr>
            </w:pPr>
            <w:r w:rsidRPr="000D2ED4">
              <w:rPr>
                <w:sz w:val="18"/>
                <w:szCs w:val="16"/>
              </w:rPr>
              <w:t>Local sourcing and seasonal menus directly correlate with lower spoilage, simpler logistics, and fresher ingredients.</w:t>
            </w:r>
          </w:p>
        </w:tc>
      </w:tr>
      <w:tr w:rsidR="000D2ED4" w:rsidRPr="000D2ED4" w14:paraId="3EBF06F9" w14:textId="77777777" w:rsidTr="000D2ED4">
        <w:trPr>
          <w:trHeight w:val="300"/>
        </w:trPr>
        <w:tc>
          <w:tcPr>
            <w:tcW w:w="1978" w:type="dxa"/>
            <w:noWrap/>
            <w:hideMark/>
          </w:tcPr>
          <w:p w14:paraId="73DE0BD6" w14:textId="036FB536" w:rsidR="000D2ED4" w:rsidRPr="000D2ED4" w:rsidRDefault="000D2ED4" w:rsidP="000D2ED4">
            <w:pPr>
              <w:spacing w:line="360" w:lineRule="auto"/>
              <w:rPr>
                <w:sz w:val="18"/>
                <w:szCs w:val="16"/>
              </w:rPr>
            </w:pPr>
            <w:r w:rsidRPr="008647D0">
              <w:rPr>
                <w:sz w:val="18"/>
                <w:szCs w:val="16"/>
              </w:rPr>
              <w:t>Chef &amp; Staff Training</w:t>
            </w:r>
          </w:p>
        </w:tc>
        <w:tc>
          <w:tcPr>
            <w:tcW w:w="3062" w:type="dxa"/>
            <w:noWrap/>
            <w:hideMark/>
          </w:tcPr>
          <w:p w14:paraId="475DE7BB" w14:textId="26F03CC0" w:rsidR="000D2ED4" w:rsidRPr="000D2ED4" w:rsidRDefault="000D2ED4" w:rsidP="000D2ED4">
            <w:pPr>
              <w:spacing w:line="360" w:lineRule="auto"/>
              <w:rPr>
                <w:sz w:val="18"/>
                <w:szCs w:val="16"/>
              </w:rPr>
            </w:pPr>
            <w:r w:rsidRPr="000D2ED4">
              <w:rPr>
                <w:sz w:val="18"/>
                <w:szCs w:val="16"/>
              </w:rPr>
              <w:t>Gannon et al. (2022); Dhir et al. (2020)</w:t>
            </w:r>
          </w:p>
        </w:tc>
        <w:tc>
          <w:tcPr>
            <w:tcW w:w="5850" w:type="dxa"/>
            <w:noWrap/>
            <w:hideMark/>
          </w:tcPr>
          <w:p w14:paraId="788FC680" w14:textId="77777777" w:rsidR="000D2ED4" w:rsidRPr="000D2ED4" w:rsidRDefault="000D2ED4" w:rsidP="000D2ED4">
            <w:pPr>
              <w:spacing w:line="360" w:lineRule="auto"/>
              <w:rPr>
                <w:sz w:val="18"/>
                <w:szCs w:val="16"/>
              </w:rPr>
            </w:pPr>
            <w:r w:rsidRPr="000D2ED4">
              <w:rPr>
                <w:sz w:val="18"/>
                <w:szCs w:val="16"/>
              </w:rPr>
              <w:t>Employee education, guest engagement, and structured monitoring systems lead to behavioural and operational waste reduction.</w:t>
            </w:r>
          </w:p>
        </w:tc>
      </w:tr>
    </w:tbl>
    <w:p w14:paraId="048DB953" w14:textId="4414D737" w:rsidR="00D6007D" w:rsidRDefault="00887E9B" w:rsidP="00811496">
      <w:pPr>
        <w:spacing w:line="360" w:lineRule="auto"/>
        <w:jc w:val="both"/>
      </w:pPr>
      <w:r w:rsidRPr="00887E9B">
        <w:t xml:space="preserve">Demand-forecasting analysis that considers the carbon-reduction approach has highlighted the central form of menu design, specifically integration of plant-based solutions, in reducing the level of food waste. Empirical studies are showing more and more in support of the effectiveness of menu-design interventions. As an example, Principato et al. (2021) believe that less-impactful and seasonal foods not only reduce waste and spoilage in a restaurant business, but also a decrease in procurement costs. Such practices can be aligned with the overall concept of </w:t>
      </w:r>
      <w:proofErr w:type="spellStart"/>
      <w:r w:rsidRPr="00887E9B">
        <w:t>reexamination</w:t>
      </w:r>
      <w:proofErr w:type="spellEnd"/>
      <w:r w:rsidRPr="00887E9B">
        <w:t xml:space="preserve"> of menu items in order to cut down on waste by decreasing the quantity of higher-waste, animal-derived foods and aligning production more closely with real demand. Reiterated forecasting, a decreased risk of spoilage and simplified flow of ingredients are also relevant even though the major portion of the literature addresses restaurants instead of major hotel chains (Principato et al., 2021).</w:t>
      </w:r>
    </w:p>
    <w:p w14:paraId="2354D70A" w14:textId="097D1F82" w:rsidR="00F239FA" w:rsidRDefault="00BE3F2D" w:rsidP="00811496">
      <w:pPr>
        <w:spacing w:line="360" w:lineRule="auto"/>
        <w:jc w:val="both"/>
      </w:pPr>
      <w:r w:rsidRPr="00BE3F2D">
        <w:t>The ban of endangered seafood and the purchase of certified and responsibly sourced ingredients would help achieve better supply-chain alignment and less over-procurement. The general sourcing literature emphasizes that traceability and supplier audits can help in achieving a more successful procurement process although fewer studies have a direct connection between certification and waste minimization (Dhir et al., 2020). The risks of spoilage, mis-ordering, and excessive inventory, which are possible sources of waste among the company, can be reduced through active interactions with suppliers and further thorough examinations.</w:t>
      </w:r>
    </w:p>
    <w:p w14:paraId="5555D2D8" w14:textId="4F9D32D7" w:rsidR="0019122D" w:rsidRDefault="00BE3F2D" w:rsidP="009E5460">
      <w:pPr>
        <w:spacing w:line="360" w:lineRule="auto"/>
        <w:jc w:val="both"/>
      </w:pPr>
      <w:r w:rsidRPr="00BE3F2D">
        <w:t xml:space="preserve">In foodservice and hotel industries, buying of local and seasonal produce has a strong empirical base. Misik and Nagy (2025) note that there is a positive relationship between these procurement practices and measures that are taken to lessen the amount of food waste. The authors argue that shorter storage durations, less complicated supply chains, and decreased transit time all help to eliminate spoilage and waste. Similarly, the UN has announced its Global Roadmap on Food </w:t>
      </w:r>
      <w:r w:rsidRPr="00BE3F2D">
        <w:lastRenderedPageBreak/>
        <w:t>Waste Reduction in Tourism (UNWTO, 2022) which praises the increase in plant-based menu and an all-inclusive food-waste monitoring throughout hotel activity.</w:t>
      </w:r>
    </w:p>
    <w:p w14:paraId="2C27B4C4" w14:textId="000F7418" w:rsidR="00A97C9F" w:rsidRDefault="00BE3F2D" w:rsidP="00292169">
      <w:pPr>
        <w:spacing w:line="360" w:lineRule="auto"/>
        <w:jc w:val="both"/>
      </w:pPr>
      <w:r w:rsidRPr="00BE3F2D">
        <w:t>The powerful staff governance frameworks and specific training programs are often seen to facilitate operational control and behaviour modification. As evidenced by a recent investigation of Gannon et al. (2022), which was carried out in the context of high-cost all-inclusive hospitality venues, the combination of careful menu development, rigorous employee training, and active communication with clients has led to the effective decrease in unnecessary waste at buffet stations. At the same time, a systematic exploration by Dhir et al. (2020) highlights those interventions have higher efficacy in case they are deeply rooted in governance and assessment systems.</w:t>
      </w:r>
    </w:p>
    <w:p w14:paraId="3DCF5EF0" w14:textId="10DD916B" w:rsidR="00B21E64" w:rsidRDefault="00B21E64" w:rsidP="00B21E64">
      <w:pPr>
        <w:pStyle w:val="Heading1"/>
      </w:pPr>
      <w:bookmarkStart w:id="9" w:name="_Toc212026992"/>
      <w:r>
        <w:t>Conclusion</w:t>
      </w:r>
      <w:bookmarkEnd w:id="9"/>
    </w:p>
    <w:p w14:paraId="1F205E56" w14:textId="4923E743" w:rsidR="00B21E64" w:rsidRDefault="00BE3F2D" w:rsidP="00A57570">
      <w:pPr>
        <w:spacing w:line="360" w:lineRule="auto"/>
        <w:jc w:val="both"/>
      </w:pPr>
      <w:r w:rsidRPr="00BE3F2D">
        <w:t xml:space="preserve">In conclusion, the activities of Mercure Newport, reducing food waste, the practices of which fit the Accor Group policy of Good Food Feels Great, can be considered an illustration of an all-embracing and efficient approach toward sustainability. Waste is reduced by combining local procurement, ethical source, as well as the incorporation of a plant-based menu creation, narrow supply chains, and increased supplier responsibility. Moreover, proper governance structures alongside multiple employee training promote uniformity in operations and behavioural transformation throughout the organisation. </w:t>
      </w:r>
    </w:p>
    <w:p w14:paraId="795DEECF" w14:textId="0FE7F38C" w:rsidR="00BF0D84" w:rsidRDefault="00BF0D84" w:rsidP="00BF0D84">
      <w:pPr>
        <w:pStyle w:val="Heading1"/>
      </w:pPr>
      <w:bookmarkStart w:id="10" w:name="_Toc212026993"/>
      <w:r w:rsidRPr="00BF0D84">
        <w:t>Recommendations</w:t>
      </w:r>
      <w:bookmarkEnd w:id="10"/>
    </w:p>
    <w:p w14:paraId="24E5F51E" w14:textId="6122B2DB" w:rsidR="00763E33" w:rsidRDefault="00A24F06" w:rsidP="00763E33">
      <w:pPr>
        <w:spacing w:line="360" w:lineRule="auto"/>
        <w:jc w:val="both"/>
      </w:pPr>
      <w:r w:rsidRPr="00A24F06">
        <w:t>Based on the evaluation of the Good Food Feels Great program of the Accor Group, implemented at Mercure Newport, I will recommend a set of steps aimed at improving the possibilities of this company in reducing food-waste in the hospitality industry in general.</w:t>
      </w:r>
    </w:p>
    <w:p w14:paraId="0B53AC16" w14:textId="16021062" w:rsidR="00763E33" w:rsidRDefault="00A24F06" w:rsidP="00763E33">
      <w:pPr>
        <w:pStyle w:val="ListParagraph"/>
        <w:numPr>
          <w:ilvl w:val="0"/>
          <w:numId w:val="3"/>
        </w:numPr>
        <w:spacing w:line="360" w:lineRule="auto"/>
        <w:jc w:val="both"/>
      </w:pPr>
      <w:r w:rsidRPr="00A24F06">
        <w:t>The necessity to establish more advanced, data-based monitoring systems is a must within the framework of the Planet 21 structure of the Accor institution. Despite the fact that the existing structure offers simple tracking solutions, the hotels could improve their functionality extensively by incorporating intelligent inventory-management applications with artificial-intelligence analytics that would offer real-time waste-diagnostics solutions.</w:t>
      </w:r>
    </w:p>
    <w:p w14:paraId="51B536E4" w14:textId="7B9EA1E8" w:rsidR="00763E33" w:rsidRDefault="00A24F06" w:rsidP="00763E33">
      <w:pPr>
        <w:pStyle w:val="ListParagraph"/>
        <w:numPr>
          <w:ilvl w:val="0"/>
          <w:numId w:val="3"/>
        </w:numPr>
        <w:spacing w:line="360" w:lineRule="auto"/>
        <w:jc w:val="both"/>
      </w:pPr>
      <w:r w:rsidRPr="00A24F06">
        <w:lastRenderedPageBreak/>
        <w:t xml:space="preserve">Innovation in menu and consumer interaction should be made at the same pace. Hotels ought to expand their low-carbon and plant-based food by launching customizable servings, dishes based on the mantra of zero-waste and options of re-using surplus products e.g., turning excess food into something different. </w:t>
      </w:r>
      <w:r w:rsidR="00763E33">
        <w:t xml:space="preserve"> </w:t>
      </w:r>
    </w:p>
    <w:p w14:paraId="74B4EB0F" w14:textId="354BC4F2" w:rsidR="00763E33" w:rsidRDefault="00763E33" w:rsidP="00763E33">
      <w:pPr>
        <w:pStyle w:val="ListParagraph"/>
        <w:numPr>
          <w:ilvl w:val="0"/>
          <w:numId w:val="3"/>
        </w:numPr>
        <w:spacing w:line="360" w:lineRule="auto"/>
        <w:jc w:val="both"/>
      </w:pPr>
      <w:r>
        <w:t xml:space="preserve">Continuous staff training and cross-department collaboration should be institutionalized. Sustainability training must not only focus on kitchen teams but also involve front-of-house, housekeeping, and management staff. </w:t>
      </w:r>
    </w:p>
    <w:p w14:paraId="339CA590" w14:textId="108B0C29" w:rsidR="00B5354C" w:rsidRPr="007220CF" w:rsidRDefault="00C20A3B" w:rsidP="00B5354C">
      <w:pPr>
        <w:pStyle w:val="ListParagraph"/>
        <w:numPr>
          <w:ilvl w:val="0"/>
          <w:numId w:val="3"/>
        </w:numPr>
        <w:spacing w:line="360" w:lineRule="auto"/>
        <w:jc w:val="both"/>
      </w:pPr>
      <w:r w:rsidRPr="00C20A3B">
        <w:t>Lastly, advocate measures to implement more transparent waste -reporting policies, food- donation programs, and cooperative blocs with non-governmental organisations to ethically reallocate excess food would be beneficial to the hospitality industry.</w:t>
      </w:r>
      <w:r w:rsidR="00B5354C">
        <w:br w:type="page"/>
      </w:r>
    </w:p>
    <w:bookmarkStart w:id="11" w:name="_Toc212026994" w:displacedByCustomXml="next"/>
    <w:sdt>
      <w:sdtPr>
        <w:rPr>
          <w:rFonts w:eastAsiaTheme="minorHAnsi" w:cstheme="minorBidi"/>
          <w:b w:val="0"/>
          <w:sz w:val="24"/>
          <w:szCs w:val="22"/>
        </w:rPr>
        <w:id w:val="-1433276355"/>
        <w:docPartObj>
          <w:docPartGallery w:val="Bibliographies"/>
          <w:docPartUnique/>
        </w:docPartObj>
      </w:sdtPr>
      <w:sdtEndPr/>
      <w:sdtContent>
        <w:p w14:paraId="1B885BDB" w14:textId="28DA2EFC" w:rsidR="00B5354C" w:rsidRDefault="00B5354C">
          <w:pPr>
            <w:pStyle w:val="Heading1"/>
          </w:pPr>
          <w:r>
            <w:t>References</w:t>
          </w:r>
          <w:bookmarkEnd w:id="11"/>
        </w:p>
        <w:sdt>
          <w:sdtPr>
            <w:id w:val="-573587230"/>
            <w:bibliography/>
          </w:sdtPr>
          <w:sdtEndPr/>
          <w:sdtContent>
            <w:p w14:paraId="75ADAA4D" w14:textId="77777777" w:rsidR="00B5354C" w:rsidRDefault="00B5354C" w:rsidP="00B5354C">
              <w:pPr>
                <w:pStyle w:val="Bibliography"/>
                <w:rPr>
                  <w:noProof/>
                  <w:szCs w:val="24"/>
                </w:rPr>
              </w:pPr>
              <w:r>
                <w:fldChar w:fldCharType="begin"/>
              </w:r>
              <w:r>
                <w:instrText xml:space="preserve"> BIBLIOGRAPHY </w:instrText>
              </w:r>
              <w:r>
                <w:fldChar w:fldCharType="separate"/>
              </w:r>
              <w:r>
                <w:rPr>
                  <w:noProof/>
                </w:rPr>
                <w:t xml:space="preserve">Accor Group, 2024. </w:t>
              </w:r>
              <w:r>
                <w:rPr>
                  <w:i/>
                  <w:iCs/>
                  <w:noProof/>
                </w:rPr>
                <w:t xml:space="preserve">ACCOR GROUP GOOD FOOD POLICY 2024, </w:t>
              </w:r>
              <w:r>
                <w:rPr>
                  <w:noProof/>
                </w:rPr>
                <w:t>s.l.: Accor Group.</w:t>
              </w:r>
            </w:p>
            <w:p w14:paraId="226B303B" w14:textId="77777777" w:rsidR="00B5354C" w:rsidRDefault="00B5354C" w:rsidP="00B5354C">
              <w:pPr>
                <w:pStyle w:val="Bibliography"/>
                <w:rPr>
                  <w:noProof/>
                </w:rPr>
              </w:pPr>
              <w:r>
                <w:rPr>
                  <w:noProof/>
                </w:rPr>
                <w:t xml:space="preserve">Accor Group, 2025. </w:t>
              </w:r>
              <w:r>
                <w:rPr>
                  <w:i/>
                  <w:iCs/>
                  <w:noProof/>
                </w:rPr>
                <w:t xml:space="preserve">Responsible Food Model. </w:t>
              </w:r>
              <w:r>
                <w:rPr>
                  <w:noProof/>
                </w:rPr>
                <w:t xml:space="preserve">[Online] </w:t>
              </w:r>
              <w:r>
                <w:rPr>
                  <w:noProof/>
                </w:rPr>
                <w:br/>
                <w:t xml:space="preserve">Available at: </w:t>
              </w:r>
              <w:r>
                <w:rPr>
                  <w:noProof/>
                  <w:u w:val="single"/>
                </w:rPr>
                <w:t>https://group.accor.com/en/group/sustainable-hospitality/responsible-food-model</w:t>
              </w:r>
            </w:p>
            <w:p w14:paraId="0525FC69" w14:textId="77777777" w:rsidR="00B5354C" w:rsidRDefault="00B5354C" w:rsidP="00B5354C">
              <w:pPr>
                <w:pStyle w:val="Bibliography"/>
                <w:rPr>
                  <w:noProof/>
                </w:rPr>
              </w:pPr>
              <w:r>
                <w:rPr>
                  <w:noProof/>
                </w:rPr>
                <w:t xml:space="preserve">Braun, V. &amp; Clarke, V., 2006. Using thematic analysis in psychology. </w:t>
              </w:r>
              <w:r>
                <w:rPr>
                  <w:i/>
                  <w:iCs/>
                  <w:noProof/>
                </w:rPr>
                <w:t xml:space="preserve">Qualitative research in psychology, </w:t>
              </w:r>
              <w:r>
                <w:rPr>
                  <w:noProof/>
                </w:rPr>
                <w:t>3(2), pp. 77-101.</w:t>
              </w:r>
            </w:p>
            <w:p w14:paraId="1D510BBB" w14:textId="77777777" w:rsidR="00B5354C" w:rsidRDefault="00B5354C" w:rsidP="00B5354C">
              <w:pPr>
                <w:pStyle w:val="Bibliography"/>
                <w:rPr>
                  <w:noProof/>
                </w:rPr>
              </w:pPr>
              <w:r>
                <w:rPr>
                  <w:noProof/>
                </w:rPr>
                <w:t xml:space="preserve">Business Waste, 2025. </w:t>
              </w:r>
              <w:r>
                <w:rPr>
                  <w:i/>
                  <w:iCs/>
                  <w:noProof/>
                </w:rPr>
                <w:t xml:space="preserve">Food Waste Facts. </w:t>
              </w:r>
              <w:r>
                <w:rPr>
                  <w:noProof/>
                </w:rPr>
                <w:t xml:space="preserve">[Online] </w:t>
              </w:r>
              <w:r>
                <w:rPr>
                  <w:noProof/>
                </w:rPr>
                <w:br/>
                <w:t xml:space="preserve">Available at: </w:t>
              </w:r>
              <w:r>
                <w:rPr>
                  <w:noProof/>
                  <w:u w:val="single"/>
                </w:rPr>
                <w:t>https://www.businesswaste.co.uk/food-waste-the-facts/</w:t>
              </w:r>
            </w:p>
            <w:p w14:paraId="493BD8A1" w14:textId="77777777" w:rsidR="00B5354C" w:rsidRDefault="00B5354C" w:rsidP="00B5354C">
              <w:pPr>
                <w:pStyle w:val="Bibliography"/>
                <w:rPr>
                  <w:noProof/>
                </w:rPr>
              </w:pPr>
              <w:r>
                <w:rPr>
                  <w:noProof/>
                </w:rPr>
                <w:t xml:space="preserve">Corrado, S. et al., 2019. Food waste accounting methodologies: Challenges, opportunities, and further advancements. </w:t>
              </w:r>
              <w:r>
                <w:rPr>
                  <w:i/>
                  <w:iCs/>
                  <w:noProof/>
                </w:rPr>
                <w:t xml:space="preserve">Global food security, </w:t>
              </w:r>
              <w:r>
                <w:rPr>
                  <w:noProof/>
                </w:rPr>
                <w:t>Volume 20, pp. 93-100.</w:t>
              </w:r>
            </w:p>
            <w:p w14:paraId="17F26E36" w14:textId="77777777" w:rsidR="00B5354C" w:rsidRDefault="00B5354C" w:rsidP="00B5354C">
              <w:pPr>
                <w:pStyle w:val="Bibliography"/>
                <w:rPr>
                  <w:noProof/>
                </w:rPr>
              </w:pPr>
              <w:r>
                <w:rPr>
                  <w:noProof/>
                </w:rPr>
                <w:t xml:space="preserve">Dean, G., 2024. </w:t>
              </w:r>
              <w:r>
                <w:rPr>
                  <w:i/>
                  <w:iCs/>
                  <w:noProof/>
                </w:rPr>
                <w:t xml:space="preserve">Hotels and offices are using an AI tool that scans what they throw in the trash to reduce their food waste and cut costs. </w:t>
              </w:r>
              <w:r>
                <w:rPr>
                  <w:noProof/>
                </w:rPr>
                <w:t xml:space="preserve">[Online] </w:t>
              </w:r>
              <w:r>
                <w:rPr>
                  <w:noProof/>
                </w:rPr>
                <w:br/>
                <w:t xml:space="preserve">Available at: </w:t>
              </w:r>
              <w:r>
                <w:rPr>
                  <w:noProof/>
                  <w:u w:val="single"/>
                </w:rPr>
                <w:t>https://www.businessinsider.com/hotels-offices-kitchens-winnow-ai-tool-reduce-food-waste-costs-2024-7</w:t>
              </w:r>
            </w:p>
            <w:p w14:paraId="4A7AB94D" w14:textId="77777777" w:rsidR="00B5354C" w:rsidRDefault="00B5354C" w:rsidP="00B5354C">
              <w:pPr>
                <w:pStyle w:val="Bibliography"/>
                <w:rPr>
                  <w:noProof/>
                </w:rPr>
              </w:pPr>
              <w:r>
                <w:rPr>
                  <w:noProof/>
                </w:rPr>
                <w:t xml:space="preserve">Dhir, A., Talwar, S., Kaur, P. &amp; Malibari, A., 2020. Food waste in hospitality and food services: A systematic literature review and framework development approach. </w:t>
              </w:r>
              <w:r>
                <w:rPr>
                  <w:i/>
                  <w:iCs/>
                  <w:noProof/>
                </w:rPr>
                <w:t xml:space="preserve">Journal of Cleaner Production, </w:t>
              </w:r>
              <w:r>
                <w:rPr>
                  <w:noProof/>
                </w:rPr>
                <w:t>Volume 270, p. 122861.</w:t>
              </w:r>
            </w:p>
            <w:p w14:paraId="612394D7" w14:textId="77777777" w:rsidR="00B5354C" w:rsidRDefault="00B5354C" w:rsidP="00B5354C">
              <w:pPr>
                <w:pStyle w:val="Bibliography"/>
                <w:rPr>
                  <w:noProof/>
                </w:rPr>
              </w:pPr>
              <w:r>
                <w:rPr>
                  <w:noProof/>
                </w:rPr>
                <w:t xml:space="preserve">Diaz-Farina, E., Díaz-Hernández, J. &amp; Padrón-Fumero, N., 2023. Analysis of hospitality waste generation: Impacts of services and mitigation strategies. </w:t>
              </w:r>
              <w:r>
                <w:rPr>
                  <w:i/>
                  <w:iCs/>
                  <w:noProof/>
                </w:rPr>
                <w:t xml:space="preserve">Annals of Tourism Research Empirical Insights, </w:t>
              </w:r>
              <w:r>
                <w:rPr>
                  <w:noProof/>
                </w:rPr>
                <w:t>4(1), p. 100083.</w:t>
              </w:r>
            </w:p>
            <w:p w14:paraId="2D11DC17" w14:textId="77777777" w:rsidR="00B5354C" w:rsidRDefault="00B5354C" w:rsidP="00B5354C">
              <w:pPr>
                <w:pStyle w:val="Bibliography"/>
                <w:rPr>
                  <w:noProof/>
                </w:rPr>
              </w:pPr>
              <w:r>
                <w:rPr>
                  <w:noProof/>
                </w:rPr>
                <w:t xml:space="preserve">Eriksson, M. et al., 2019. Connection between food waste quantification and food waste reduction in the hospitality sector. </w:t>
              </w:r>
              <w:r>
                <w:rPr>
                  <w:i/>
                  <w:iCs/>
                  <w:noProof/>
                </w:rPr>
                <w:t xml:space="preserve">Resources, Conservation &amp; Recycling, </w:t>
              </w:r>
              <w:r>
                <w:rPr>
                  <w:noProof/>
                </w:rPr>
                <w:t>10(4), p. 100021.</w:t>
              </w:r>
            </w:p>
            <w:p w14:paraId="21352BFC" w14:textId="77777777" w:rsidR="00B5354C" w:rsidRDefault="00B5354C" w:rsidP="00B5354C">
              <w:pPr>
                <w:pStyle w:val="Bibliography"/>
                <w:rPr>
                  <w:noProof/>
                </w:rPr>
              </w:pPr>
              <w:r>
                <w:rPr>
                  <w:noProof/>
                </w:rPr>
                <w:t xml:space="preserve">Eriksson, M. et al., 2017. Quantification of food waste in public catering services–A case study from a Swedish municipality. </w:t>
              </w:r>
              <w:r>
                <w:rPr>
                  <w:i/>
                  <w:iCs/>
                  <w:noProof/>
                </w:rPr>
                <w:t xml:space="preserve">Waste management, </w:t>
              </w:r>
              <w:r>
                <w:rPr>
                  <w:noProof/>
                </w:rPr>
                <w:t>Volume 61, pp. 415-422.</w:t>
              </w:r>
            </w:p>
            <w:p w14:paraId="0FE51CEB" w14:textId="77777777" w:rsidR="00B5354C" w:rsidRDefault="00B5354C" w:rsidP="00B5354C">
              <w:pPr>
                <w:pStyle w:val="Bibliography"/>
                <w:rPr>
                  <w:noProof/>
                </w:rPr>
              </w:pPr>
              <w:r>
                <w:rPr>
                  <w:noProof/>
                </w:rPr>
                <w:t xml:space="preserve">Filimonau, V. &amp; De Coteau, D., 2020. Tourism resilience in the context of integrated destination and disaster management (DM2). </w:t>
              </w:r>
              <w:r>
                <w:rPr>
                  <w:i/>
                  <w:iCs/>
                  <w:noProof/>
                </w:rPr>
                <w:t xml:space="preserve">International Journal of Tourism Research, </w:t>
              </w:r>
              <w:r>
                <w:rPr>
                  <w:noProof/>
                </w:rPr>
                <w:t>22(2), pp. 202-222.</w:t>
              </w:r>
            </w:p>
            <w:p w14:paraId="639329F4" w14:textId="77777777" w:rsidR="00B5354C" w:rsidRDefault="00B5354C" w:rsidP="00B5354C">
              <w:pPr>
                <w:pStyle w:val="Bibliography"/>
                <w:rPr>
                  <w:noProof/>
                </w:rPr>
              </w:pPr>
              <w:r>
                <w:rPr>
                  <w:noProof/>
                </w:rPr>
                <w:t xml:space="preserve">Gannon, M., Taheri, B., Okumus, B. &amp; Giritlioglu, I., 2022. Sustainable luxury tourism and food waste management: As case study of all-inclusive luxury resorts. In: </w:t>
              </w:r>
              <w:r>
                <w:rPr>
                  <w:i/>
                  <w:iCs/>
                  <w:noProof/>
                </w:rPr>
                <w:t xml:space="preserve">The rise of positive luxury. </w:t>
              </w:r>
              <w:r>
                <w:rPr>
                  <w:noProof/>
                </w:rPr>
                <w:t>s.l.:Routledge, pp. 117-136.</w:t>
              </w:r>
            </w:p>
            <w:p w14:paraId="1FBD5387" w14:textId="77777777" w:rsidR="00B5354C" w:rsidRDefault="00B5354C" w:rsidP="00B5354C">
              <w:pPr>
                <w:pStyle w:val="Bibliography"/>
                <w:rPr>
                  <w:noProof/>
                </w:rPr>
              </w:pPr>
              <w:r>
                <w:rPr>
                  <w:noProof/>
                </w:rPr>
                <w:t xml:space="preserve">Heikkilä, L. et al., 2016. Elements affecting food waste in the food service sector. </w:t>
              </w:r>
              <w:r>
                <w:rPr>
                  <w:i/>
                  <w:iCs/>
                  <w:noProof/>
                </w:rPr>
                <w:t xml:space="preserve">Waste Management, </w:t>
              </w:r>
              <w:r>
                <w:rPr>
                  <w:noProof/>
                </w:rPr>
                <w:t>Volume 56, pp. 446-453.</w:t>
              </w:r>
            </w:p>
            <w:p w14:paraId="3D3A2C5F" w14:textId="77777777" w:rsidR="00B5354C" w:rsidRDefault="00B5354C" w:rsidP="00B5354C">
              <w:pPr>
                <w:pStyle w:val="Bibliography"/>
                <w:rPr>
                  <w:noProof/>
                </w:rPr>
              </w:pPr>
              <w:r>
                <w:rPr>
                  <w:noProof/>
                </w:rPr>
                <w:t xml:space="preserve">Hennchen, B., 2019. Knowing the kitchen: Applying practice theory to issues of food waste in the food service sector. </w:t>
              </w:r>
              <w:r>
                <w:rPr>
                  <w:i/>
                  <w:iCs/>
                  <w:noProof/>
                </w:rPr>
                <w:t xml:space="preserve">Journal of Cleaner Production, </w:t>
              </w:r>
              <w:r>
                <w:rPr>
                  <w:noProof/>
                </w:rPr>
                <w:t>Volume 225, pp. 675-683.</w:t>
              </w:r>
            </w:p>
            <w:p w14:paraId="7BC5198A" w14:textId="77777777" w:rsidR="00B5354C" w:rsidRDefault="00B5354C" w:rsidP="00B5354C">
              <w:pPr>
                <w:pStyle w:val="Bibliography"/>
                <w:rPr>
                  <w:noProof/>
                </w:rPr>
              </w:pPr>
              <w:r>
                <w:rPr>
                  <w:noProof/>
                </w:rPr>
                <w:lastRenderedPageBreak/>
                <w:t xml:space="preserve">Kallbekken, S. &amp; Sælen, H., 2013. ‘Nudging’hotel guests to reduce food waste as a win–win environmental measure. </w:t>
              </w:r>
              <w:r>
                <w:rPr>
                  <w:i/>
                  <w:iCs/>
                  <w:noProof/>
                </w:rPr>
                <w:t xml:space="preserve">Economics letters, </w:t>
              </w:r>
              <w:r>
                <w:rPr>
                  <w:noProof/>
                </w:rPr>
                <w:t>119(3), pp. 325-327.</w:t>
              </w:r>
            </w:p>
            <w:p w14:paraId="5371CBF3" w14:textId="77777777" w:rsidR="00B5354C" w:rsidRDefault="00B5354C" w:rsidP="00B5354C">
              <w:pPr>
                <w:pStyle w:val="Bibliography"/>
                <w:rPr>
                  <w:noProof/>
                </w:rPr>
              </w:pPr>
              <w:r>
                <w:rPr>
                  <w:noProof/>
                </w:rPr>
                <w:t xml:space="preserve">KITRO, 2025. </w:t>
              </w:r>
              <w:r>
                <w:rPr>
                  <w:i/>
                  <w:iCs/>
                  <w:noProof/>
                </w:rPr>
                <w:t xml:space="preserve">KITRO: AI Food Waste Solution for Smart Kitchens. </w:t>
              </w:r>
              <w:r>
                <w:rPr>
                  <w:noProof/>
                </w:rPr>
                <w:t xml:space="preserve">[Online] </w:t>
              </w:r>
              <w:r>
                <w:rPr>
                  <w:noProof/>
                </w:rPr>
                <w:br/>
                <w:t xml:space="preserve">Available at: </w:t>
              </w:r>
              <w:r>
                <w:rPr>
                  <w:noProof/>
                  <w:u w:val="single"/>
                </w:rPr>
                <w:t>https://www.kitro.ch/</w:t>
              </w:r>
            </w:p>
            <w:p w14:paraId="4FAA1D31" w14:textId="77777777" w:rsidR="00B5354C" w:rsidRDefault="00B5354C" w:rsidP="00B5354C">
              <w:pPr>
                <w:pStyle w:val="Bibliography"/>
                <w:rPr>
                  <w:noProof/>
                </w:rPr>
              </w:pPr>
              <w:r>
                <w:rPr>
                  <w:noProof/>
                </w:rPr>
                <w:t xml:space="preserve">Leverenz, D. et al., 2021. Reducing food waste in hotel kitchens based on self-reported data. </w:t>
              </w:r>
              <w:r>
                <w:rPr>
                  <w:i/>
                  <w:iCs/>
                  <w:noProof/>
                </w:rPr>
                <w:t xml:space="preserve">Industrial Marketing Management, </w:t>
              </w:r>
              <w:r>
                <w:rPr>
                  <w:noProof/>
                </w:rPr>
                <w:t>Volume 93, pp. 617-627.</w:t>
              </w:r>
            </w:p>
            <w:p w14:paraId="4C2EBA91" w14:textId="77777777" w:rsidR="00B5354C" w:rsidRDefault="00B5354C" w:rsidP="00B5354C">
              <w:pPr>
                <w:pStyle w:val="Bibliography"/>
                <w:rPr>
                  <w:noProof/>
                </w:rPr>
              </w:pPr>
              <w:r>
                <w:rPr>
                  <w:noProof/>
                </w:rPr>
                <w:t xml:space="preserve">Lorenz, B. et al., 2017. Determinants of plate leftovers in one German catering company. </w:t>
              </w:r>
              <w:r>
                <w:rPr>
                  <w:i/>
                  <w:iCs/>
                  <w:noProof/>
                </w:rPr>
                <w:t xml:space="preserve">Sustainability, </w:t>
              </w:r>
              <w:r>
                <w:rPr>
                  <w:noProof/>
                </w:rPr>
                <w:t>9(5), p. 807.</w:t>
              </w:r>
            </w:p>
            <w:p w14:paraId="37B81761" w14:textId="77777777" w:rsidR="00B5354C" w:rsidRDefault="00B5354C" w:rsidP="00B5354C">
              <w:pPr>
                <w:pStyle w:val="Bibliography"/>
                <w:rPr>
                  <w:noProof/>
                </w:rPr>
              </w:pPr>
              <w:r>
                <w:rPr>
                  <w:noProof/>
                </w:rPr>
                <w:t xml:space="preserve">Malik, X., Smith, L., Stewart, I. &amp; Burnett, N., 2024. </w:t>
              </w:r>
              <w:r>
                <w:rPr>
                  <w:i/>
                  <w:iCs/>
                  <w:noProof/>
                </w:rPr>
                <w:t xml:space="preserve">Food waste in the UK, </w:t>
              </w:r>
              <w:r>
                <w:rPr>
                  <w:noProof/>
                </w:rPr>
                <w:t>s.l.: The Commons Library.</w:t>
              </w:r>
            </w:p>
            <w:p w14:paraId="2C65C1C0" w14:textId="77777777" w:rsidR="00B5354C" w:rsidRDefault="00B5354C" w:rsidP="00B5354C">
              <w:pPr>
                <w:pStyle w:val="Bibliography"/>
                <w:rPr>
                  <w:noProof/>
                </w:rPr>
              </w:pPr>
              <w:r>
                <w:rPr>
                  <w:noProof/>
                </w:rPr>
                <w:t xml:space="preserve">Misik, T. &amp; Nagy, Z., 2025. Sustainability and Innovation in Hospitality Management: Green Practices in Northeastern Hungary. </w:t>
              </w:r>
              <w:r>
                <w:rPr>
                  <w:i/>
                  <w:iCs/>
                  <w:noProof/>
                </w:rPr>
                <w:t xml:space="preserve">Sustainability, </w:t>
              </w:r>
              <w:r>
                <w:rPr>
                  <w:noProof/>
                </w:rPr>
                <w:t>17(13), pp. 61-85.</w:t>
              </w:r>
            </w:p>
            <w:p w14:paraId="56C6B099" w14:textId="77777777" w:rsidR="00B5354C" w:rsidRDefault="00B5354C" w:rsidP="00B5354C">
              <w:pPr>
                <w:pStyle w:val="Bibliography"/>
                <w:rPr>
                  <w:noProof/>
                </w:rPr>
              </w:pPr>
              <w:r>
                <w:rPr>
                  <w:noProof/>
                </w:rPr>
                <w:t xml:space="preserve">Open Access Government, 2018. </w:t>
              </w:r>
              <w:r>
                <w:rPr>
                  <w:i/>
                  <w:iCs/>
                  <w:noProof/>
                </w:rPr>
                <w:t xml:space="preserve">The hospitality industry’s relationship with waste. </w:t>
              </w:r>
              <w:r>
                <w:rPr>
                  <w:noProof/>
                </w:rPr>
                <w:t xml:space="preserve">[Online] </w:t>
              </w:r>
              <w:r>
                <w:rPr>
                  <w:noProof/>
                </w:rPr>
                <w:br/>
                <w:t xml:space="preserve">Available at: </w:t>
              </w:r>
              <w:r>
                <w:rPr>
                  <w:noProof/>
                  <w:u w:val="single"/>
                </w:rPr>
                <w:t>https://www.openaccessgovernment.org/hospitality-industry-waste/51174/</w:t>
              </w:r>
            </w:p>
            <w:p w14:paraId="1F71D339" w14:textId="77777777" w:rsidR="00B5354C" w:rsidRDefault="00B5354C" w:rsidP="00B5354C">
              <w:pPr>
                <w:pStyle w:val="Bibliography"/>
                <w:rPr>
                  <w:noProof/>
                </w:rPr>
              </w:pPr>
              <w:r>
                <w:rPr>
                  <w:noProof/>
                </w:rPr>
                <w:t xml:space="preserve">Principato, L., Di Leo, A., Mattia, G. &amp; Pratesi, C., 2021. The next step in sustainable dining: the restaurant food waste map for the management of food waste. </w:t>
              </w:r>
              <w:r>
                <w:rPr>
                  <w:i/>
                  <w:iCs/>
                  <w:noProof/>
                </w:rPr>
                <w:t xml:space="preserve">Italian Journal of Marketing, </w:t>
              </w:r>
              <w:r>
                <w:rPr>
                  <w:noProof/>
                </w:rPr>
                <w:t>2021(3), pp. 189-207.</w:t>
              </w:r>
            </w:p>
            <w:p w14:paraId="6CC0EBED" w14:textId="77777777" w:rsidR="00B5354C" w:rsidRDefault="00B5354C" w:rsidP="00B5354C">
              <w:pPr>
                <w:pStyle w:val="Bibliography"/>
                <w:rPr>
                  <w:noProof/>
                </w:rPr>
              </w:pPr>
              <w:r>
                <w:rPr>
                  <w:noProof/>
                </w:rPr>
                <w:t xml:space="preserve">Silvennoinen, K., Heikkilä, L., Katajajuuri, J. &amp; Reinikainen, A., 2015. Food waste volume and origin: Case studies in the Finnish food service sector. </w:t>
              </w:r>
              <w:r>
                <w:rPr>
                  <w:i/>
                  <w:iCs/>
                  <w:noProof/>
                </w:rPr>
                <w:t xml:space="preserve">Waste management, </w:t>
              </w:r>
              <w:r>
                <w:rPr>
                  <w:noProof/>
                </w:rPr>
                <w:t>Volume 46, pp. 140-145.</w:t>
              </w:r>
            </w:p>
            <w:p w14:paraId="4027C21B" w14:textId="77777777" w:rsidR="00B5354C" w:rsidRDefault="00B5354C" w:rsidP="00B5354C">
              <w:pPr>
                <w:pStyle w:val="Bibliography"/>
                <w:rPr>
                  <w:noProof/>
                </w:rPr>
              </w:pPr>
              <w:r>
                <w:rPr>
                  <w:noProof/>
                </w:rPr>
                <w:t xml:space="preserve">Strotmann, C. et al., 2017. Comparing food provided and wasted before and after implementing measures against food waste in three healthcare food service facilities. </w:t>
              </w:r>
              <w:r>
                <w:rPr>
                  <w:i/>
                  <w:iCs/>
                  <w:noProof/>
                </w:rPr>
                <w:t xml:space="preserve">Sustainability, </w:t>
              </w:r>
              <w:r>
                <w:rPr>
                  <w:noProof/>
                </w:rPr>
                <w:t>9(8), p. 1409.</w:t>
              </w:r>
            </w:p>
            <w:p w14:paraId="504E6BEF" w14:textId="77777777" w:rsidR="00B5354C" w:rsidRDefault="00B5354C" w:rsidP="00B5354C">
              <w:pPr>
                <w:pStyle w:val="Bibliography"/>
                <w:rPr>
                  <w:noProof/>
                </w:rPr>
              </w:pPr>
              <w:r>
                <w:rPr>
                  <w:noProof/>
                </w:rPr>
                <w:t xml:space="preserve">Sundt, P., 2012. </w:t>
              </w:r>
              <w:r>
                <w:rPr>
                  <w:i/>
                  <w:iCs/>
                  <w:noProof/>
                </w:rPr>
                <w:t xml:space="preserve">Prevention of food waste in restaurants, hotels, canteens and catering. </w:t>
              </w:r>
              <w:r>
                <w:rPr>
                  <w:noProof/>
                </w:rPr>
                <w:t>3rd ed. s.l.:Nordic Council of Ministers.</w:t>
              </w:r>
            </w:p>
            <w:p w14:paraId="6B8F9FC4" w14:textId="77777777" w:rsidR="00B5354C" w:rsidRDefault="00B5354C" w:rsidP="00B5354C">
              <w:pPr>
                <w:pStyle w:val="Bibliography"/>
                <w:rPr>
                  <w:noProof/>
                </w:rPr>
              </w:pPr>
              <w:r>
                <w:rPr>
                  <w:noProof/>
                </w:rPr>
                <w:t xml:space="preserve">UNWTO, 2022. </w:t>
              </w:r>
              <w:r>
                <w:rPr>
                  <w:i/>
                  <w:iCs/>
                  <w:noProof/>
                </w:rPr>
                <w:t xml:space="preserve">Global Roadmap for Food Waste Reduction in the Tourism Sector, </w:t>
              </w:r>
              <w:r>
                <w:rPr>
                  <w:noProof/>
                </w:rPr>
                <w:t>Madrid, Spain: World Tourism Organization (UNWTO).</w:t>
              </w:r>
            </w:p>
            <w:p w14:paraId="7FF10A46" w14:textId="77777777" w:rsidR="00B5354C" w:rsidRDefault="00B5354C" w:rsidP="00B5354C">
              <w:pPr>
                <w:pStyle w:val="Bibliography"/>
                <w:rPr>
                  <w:noProof/>
                </w:rPr>
              </w:pPr>
              <w:r>
                <w:rPr>
                  <w:noProof/>
                </w:rPr>
                <w:t xml:space="preserve">Wang, X., Guchait, P., Paşamehmetoğlu, A. &amp; Wen, X., 2022. Hospitality employees’ affective experience of shame, self-efficacy beliefs and job behaviors: The alleviating role of error tolerance. </w:t>
              </w:r>
              <w:r>
                <w:rPr>
                  <w:i/>
                  <w:iCs/>
                  <w:noProof/>
                </w:rPr>
                <w:t xml:space="preserve">International Journal of Hospitality Management, </w:t>
              </w:r>
              <w:r>
                <w:rPr>
                  <w:noProof/>
                </w:rPr>
                <w:t>Volume 102, p. 103162.</w:t>
              </w:r>
            </w:p>
            <w:p w14:paraId="5D242B2B" w14:textId="77777777" w:rsidR="00B5354C" w:rsidRDefault="00B5354C" w:rsidP="00B5354C">
              <w:pPr>
                <w:pStyle w:val="Bibliography"/>
                <w:rPr>
                  <w:noProof/>
                </w:rPr>
              </w:pPr>
              <w:r>
                <w:rPr>
                  <w:noProof/>
                </w:rPr>
                <w:t xml:space="preserve">Wrap, 2013. </w:t>
              </w:r>
              <w:r>
                <w:rPr>
                  <w:i/>
                  <w:iCs/>
                  <w:noProof/>
                </w:rPr>
                <w:t xml:space="preserve">Overview of Waste in the UK Hospitality and Food Service Sector, </w:t>
              </w:r>
              <w:r>
                <w:rPr>
                  <w:noProof/>
                </w:rPr>
                <w:t>s.l.: Wrap.</w:t>
              </w:r>
            </w:p>
            <w:p w14:paraId="5938B287" w14:textId="754D12E1" w:rsidR="00B5354C" w:rsidRDefault="00B5354C" w:rsidP="00B5354C">
              <w:r>
                <w:rPr>
                  <w:b/>
                  <w:bCs/>
                  <w:noProof/>
                </w:rPr>
                <w:fldChar w:fldCharType="end"/>
              </w:r>
            </w:p>
          </w:sdtContent>
        </w:sdt>
      </w:sdtContent>
    </w:sdt>
    <w:p w14:paraId="696F0FD7" w14:textId="7791E8CB" w:rsidR="002D299D" w:rsidRPr="007220CF" w:rsidRDefault="002D299D" w:rsidP="00B5354C"/>
    <w:sectPr w:rsidR="002D299D" w:rsidRPr="007220CF" w:rsidSect="00A01A5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1923E" w14:textId="77777777" w:rsidR="004E4421" w:rsidRDefault="004E4421" w:rsidP="00B5354C">
      <w:pPr>
        <w:spacing w:after="0" w:line="240" w:lineRule="auto"/>
      </w:pPr>
      <w:r>
        <w:separator/>
      </w:r>
    </w:p>
  </w:endnote>
  <w:endnote w:type="continuationSeparator" w:id="0">
    <w:p w14:paraId="458B5439" w14:textId="77777777" w:rsidR="004E4421" w:rsidRDefault="004E4421" w:rsidP="00B5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7545473"/>
      <w:docPartObj>
        <w:docPartGallery w:val="Page Numbers (Bottom of Page)"/>
        <w:docPartUnique/>
      </w:docPartObj>
    </w:sdtPr>
    <w:sdtEndPr/>
    <w:sdtContent>
      <w:sdt>
        <w:sdtPr>
          <w:id w:val="1728636285"/>
          <w:docPartObj>
            <w:docPartGallery w:val="Page Numbers (Top of Page)"/>
            <w:docPartUnique/>
          </w:docPartObj>
        </w:sdtPr>
        <w:sdtEndPr/>
        <w:sdtContent>
          <w:p w14:paraId="1D0B173E" w14:textId="5FF79DEF" w:rsidR="00B5354C" w:rsidRDefault="00B5354C">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9E5EF60" w14:textId="77777777" w:rsidR="00B5354C" w:rsidRDefault="00B53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06309" w14:textId="77777777" w:rsidR="004E4421" w:rsidRDefault="004E4421" w:rsidP="00B5354C">
      <w:pPr>
        <w:spacing w:after="0" w:line="240" w:lineRule="auto"/>
      </w:pPr>
      <w:r>
        <w:separator/>
      </w:r>
    </w:p>
  </w:footnote>
  <w:footnote w:type="continuationSeparator" w:id="0">
    <w:p w14:paraId="3985A891" w14:textId="77777777" w:rsidR="004E4421" w:rsidRDefault="004E4421" w:rsidP="00B535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35BD3"/>
    <w:multiLevelType w:val="hybridMultilevel"/>
    <w:tmpl w:val="FD58E6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2CC1981"/>
    <w:multiLevelType w:val="multilevel"/>
    <w:tmpl w:val="0B1808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91526432">
    <w:abstractNumId w:val="1"/>
  </w:num>
  <w:num w:numId="2" w16cid:durableId="1619333814">
    <w:abstractNumId w:val="1"/>
  </w:num>
  <w:num w:numId="3" w16cid:durableId="220020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6A4"/>
    <w:rsid w:val="00076376"/>
    <w:rsid w:val="000A2F13"/>
    <w:rsid w:val="000D2ED4"/>
    <w:rsid w:val="000F1277"/>
    <w:rsid w:val="0019122D"/>
    <w:rsid w:val="00191C46"/>
    <w:rsid w:val="001B20C0"/>
    <w:rsid w:val="001F0AEC"/>
    <w:rsid w:val="002032C1"/>
    <w:rsid w:val="00222E18"/>
    <w:rsid w:val="0023448B"/>
    <w:rsid w:val="00292169"/>
    <w:rsid w:val="002A03A8"/>
    <w:rsid w:val="002A17C4"/>
    <w:rsid w:val="002D299D"/>
    <w:rsid w:val="00307267"/>
    <w:rsid w:val="003344CE"/>
    <w:rsid w:val="003F3714"/>
    <w:rsid w:val="00400BBF"/>
    <w:rsid w:val="0040235C"/>
    <w:rsid w:val="00444D48"/>
    <w:rsid w:val="00444FE0"/>
    <w:rsid w:val="00463559"/>
    <w:rsid w:val="00472D75"/>
    <w:rsid w:val="00481E11"/>
    <w:rsid w:val="004A2100"/>
    <w:rsid w:val="004B3018"/>
    <w:rsid w:val="004B7077"/>
    <w:rsid w:val="004C09BA"/>
    <w:rsid w:val="004C2550"/>
    <w:rsid w:val="004E4421"/>
    <w:rsid w:val="00523D50"/>
    <w:rsid w:val="005516CE"/>
    <w:rsid w:val="005A2E7E"/>
    <w:rsid w:val="005E4C2C"/>
    <w:rsid w:val="005F534B"/>
    <w:rsid w:val="00613D67"/>
    <w:rsid w:val="006156E2"/>
    <w:rsid w:val="006206D6"/>
    <w:rsid w:val="00645D24"/>
    <w:rsid w:val="006737DA"/>
    <w:rsid w:val="006A2D04"/>
    <w:rsid w:val="006E70FF"/>
    <w:rsid w:val="007220CF"/>
    <w:rsid w:val="00722B09"/>
    <w:rsid w:val="00763E33"/>
    <w:rsid w:val="007C444D"/>
    <w:rsid w:val="00811496"/>
    <w:rsid w:val="00811A16"/>
    <w:rsid w:val="00814697"/>
    <w:rsid w:val="008647D0"/>
    <w:rsid w:val="00872595"/>
    <w:rsid w:val="00887E9B"/>
    <w:rsid w:val="00943421"/>
    <w:rsid w:val="009E5460"/>
    <w:rsid w:val="009F033A"/>
    <w:rsid w:val="009F40BC"/>
    <w:rsid w:val="00A01A5C"/>
    <w:rsid w:val="00A17481"/>
    <w:rsid w:val="00A20096"/>
    <w:rsid w:val="00A23E96"/>
    <w:rsid w:val="00A24F06"/>
    <w:rsid w:val="00A3268E"/>
    <w:rsid w:val="00A57570"/>
    <w:rsid w:val="00A97C9F"/>
    <w:rsid w:val="00AC42F1"/>
    <w:rsid w:val="00AD1FE3"/>
    <w:rsid w:val="00AE52D4"/>
    <w:rsid w:val="00B21E64"/>
    <w:rsid w:val="00B5354C"/>
    <w:rsid w:val="00B96C47"/>
    <w:rsid w:val="00BE3F2D"/>
    <w:rsid w:val="00BF0D84"/>
    <w:rsid w:val="00C20A3B"/>
    <w:rsid w:val="00C45AB3"/>
    <w:rsid w:val="00C627BD"/>
    <w:rsid w:val="00C80219"/>
    <w:rsid w:val="00CB069E"/>
    <w:rsid w:val="00D14E2D"/>
    <w:rsid w:val="00D46AF3"/>
    <w:rsid w:val="00D6007D"/>
    <w:rsid w:val="00D70591"/>
    <w:rsid w:val="00D70C16"/>
    <w:rsid w:val="00D818D6"/>
    <w:rsid w:val="00D86885"/>
    <w:rsid w:val="00D86D18"/>
    <w:rsid w:val="00D951E8"/>
    <w:rsid w:val="00DF27F5"/>
    <w:rsid w:val="00E0254E"/>
    <w:rsid w:val="00E14FB8"/>
    <w:rsid w:val="00E62E26"/>
    <w:rsid w:val="00E93D1E"/>
    <w:rsid w:val="00EC16A4"/>
    <w:rsid w:val="00EC4765"/>
    <w:rsid w:val="00ED6368"/>
    <w:rsid w:val="00EE7540"/>
    <w:rsid w:val="00F02A69"/>
    <w:rsid w:val="00F04CAD"/>
    <w:rsid w:val="00F21AA8"/>
    <w:rsid w:val="00F239FA"/>
    <w:rsid w:val="00F75910"/>
    <w:rsid w:val="00FC09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9C741"/>
  <w15:chartTrackingRefBased/>
  <w15:docId w15:val="{3FB1F768-7F85-4066-B5A4-76DF93067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77"/>
    <w:rPr>
      <w:rFonts w:ascii="Times New Roman" w:hAnsi="Times New Roman"/>
      <w:kern w:val="0"/>
      <w:sz w:val="24"/>
      <w14:ligatures w14:val="none"/>
    </w:rPr>
  </w:style>
  <w:style w:type="paragraph" w:styleId="Heading1">
    <w:name w:val="heading 1"/>
    <w:basedOn w:val="Normal"/>
    <w:next w:val="Normal"/>
    <w:link w:val="Heading1Char"/>
    <w:uiPriority w:val="9"/>
    <w:qFormat/>
    <w:rsid w:val="00444D48"/>
    <w:pPr>
      <w:keepNext/>
      <w:keepLines/>
      <w:numPr>
        <w:numId w:val="2"/>
      </w:numPr>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44D48"/>
    <w:pPr>
      <w:keepNext/>
      <w:keepLines/>
      <w:numPr>
        <w:ilvl w:val="1"/>
        <w:numId w:val="2"/>
      </w:numPr>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444D48"/>
    <w:pPr>
      <w:keepNext/>
      <w:keepLines/>
      <w:numPr>
        <w:ilvl w:val="2"/>
        <w:numId w:val="2"/>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44D48"/>
    <w:pPr>
      <w:keepNext/>
      <w:keepLines/>
      <w:numPr>
        <w:ilvl w:val="3"/>
        <w:numId w:val="2"/>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444D48"/>
    <w:pPr>
      <w:keepNext/>
      <w:keepLines/>
      <w:numPr>
        <w:ilvl w:val="4"/>
        <w:numId w:val="1"/>
      </w:numPr>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85"/>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F02A69"/>
    <w:rPr>
      <w:rFonts w:ascii="Arial" w:eastAsiaTheme="majorEastAsia" w:hAnsi="Arial" w:cstheme="majorBidi"/>
      <w:b/>
      <w:sz w:val="26"/>
      <w:szCs w:val="26"/>
    </w:rPr>
  </w:style>
  <w:style w:type="character" w:customStyle="1" w:styleId="Heading3Char">
    <w:name w:val="Heading 3 Char"/>
    <w:basedOn w:val="DefaultParagraphFont"/>
    <w:link w:val="Heading3"/>
    <w:uiPriority w:val="9"/>
    <w:semiHidden/>
    <w:rsid w:val="00076376"/>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444D48"/>
    <w:rPr>
      <w:rFonts w:ascii="Times New Roman" w:eastAsiaTheme="majorEastAsia" w:hAnsi="Times New Roman" w:cstheme="majorBidi"/>
      <w:b/>
      <w:iCs/>
      <w:kern w:val="0"/>
      <w:sz w:val="24"/>
      <w14:ligatures w14:val="none"/>
    </w:rPr>
  </w:style>
  <w:style w:type="character" w:customStyle="1" w:styleId="Heading5Char">
    <w:name w:val="Heading 5 Char"/>
    <w:basedOn w:val="DefaultParagraphFont"/>
    <w:link w:val="Heading5"/>
    <w:uiPriority w:val="9"/>
    <w:semiHidden/>
    <w:rsid w:val="00444D48"/>
    <w:rPr>
      <w:rFonts w:ascii="Times New Roman" w:eastAsiaTheme="majorEastAsia" w:hAnsi="Times New Roman" w:cstheme="majorBidi"/>
      <w:b/>
      <w:i/>
      <w:kern w:val="0"/>
      <w:sz w:val="24"/>
      <w14:ligatures w14:val="none"/>
    </w:rPr>
  </w:style>
  <w:style w:type="paragraph" w:styleId="Title">
    <w:name w:val="Title"/>
    <w:basedOn w:val="Normal"/>
    <w:next w:val="Normal"/>
    <w:link w:val="TitleChar"/>
    <w:uiPriority w:val="10"/>
    <w:qFormat/>
    <w:rsid w:val="00A174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481"/>
    <w:rPr>
      <w:rFonts w:asciiTheme="majorHAnsi" w:eastAsiaTheme="majorEastAsia" w:hAnsiTheme="majorHAnsi" w:cstheme="majorBidi"/>
      <w:spacing w:val="-10"/>
      <w:kern w:val="28"/>
      <w:sz w:val="56"/>
      <w:szCs w:val="56"/>
      <w14:ligatures w14:val="none"/>
    </w:rPr>
  </w:style>
  <w:style w:type="paragraph" w:styleId="NormalWeb">
    <w:name w:val="Normal (Web)"/>
    <w:basedOn w:val="Normal"/>
    <w:uiPriority w:val="99"/>
    <w:semiHidden/>
    <w:unhideWhenUsed/>
    <w:rsid w:val="007220CF"/>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uiPriority w:val="39"/>
    <w:rsid w:val="00864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3E33"/>
    <w:pPr>
      <w:ind w:left="720"/>
      <w:contextualSpacing/>
    </w:pPr>
  </w:style>
  <w:style w:type="paragraph" w:styleId="TOCHeading">
    <w:name w:val="TOC Heading"/>
    <w:basedOn w:val="Heading1"/>
    <w:next w:val="Normal"/>
    <w:uiPriority w:val="39"/>
    <w:unhideWhenUsed/>
    <w:qFormat/>
    <w:rsid w:val="00B5354C"/>
    <w:pPr>
      <w:numPr>
        <w:numId w:val="0"/>
      </w:num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5354C"/>
    <w:pPr>
      <w:spacing w:after="100"/>
    </w:pPr>
  </w:style>
  <w:style w:type="paragraph" w:styleId="TOC2">
    <w:name w:val="toc 2"/>
    <w:basedOn w:val="Normal"/>
    <w:next w:val="Normal"/>
    <w:autoRedefine/>
    <w:uiPriority w:val="39"/>
    <w:unhideWhenUsed/>
    <w:rsid w:val="00B5354C"/>
    <w:pPr>
      <w:spacing w:after="100"/>
      <w:ind w:left="240"/>
    </w:pPr>
  </w:style>
  <w:style w:type="character" w:styleId="Hyperlink">
    <w:name w:val="Hyperlink"/>
    <w:basedOn w:val="DefaultParagraphFont"/>
    <w:uiPriority w:val="99"/>
    <w:unhideWhenUsed/>
    <w:rsid w:val="00B5354C"/>
    <w:rPr>
      <w:color w:val="0563C1" w:themeColor="hyperlink"/>
      <w:u w:val="single"/>
    </w:rPr>
  </w:style>
  <w:style w:type="paragraph" w:styleId="Bibliography">
    <w:name w:val="Bibliography"/>
    <w:basedOn w:val="Normal"/>
    <w:next w:val="Normal"/>
    <w:uiPriority w:val="37"/>
    <w:unhideWhenUsed/>
    <w:rsid w:val="00B5354C"/>
  </w:style>
  <w:style w:type="paragraph" w:styleId="Header">
    <w:name w:val="header"/>
    <w:basedOn w:val="Normal"/>
    <w:link w:val="HeaderChar"/>
    <w:uiPriority w:val="99"/>
    <w:unhideWhenUsed/>
    <w:rsid w:val="00B53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54C"/>
    <w:rPr>
      <w:rFonts w:ascii="Times New Roman" w:hAnsi="Times New Roman"/>
      <w:kern w:val="0"/>
      <w:sz w:val="24"/>
      <w14:ligatures w14:val="none"/>
    </w:rPr>
  </w:style>
  <w:style w:type="paragraph" w:styleId="Footer">
    <w:name w:val="footer"/>
    <w:basedOn w:val="Normal"/>
    <w:link w:val="FooterChar"/>
    <w:uiPriority w:val="99"/>
    <w:unhideWhenUsed/>
    <w:rsid w:val="00B53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54C"/>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970656">
      <w:bodyDiv w:val="1"/>
      <w:marLeft w:val="0"/>
      <w:marRight w:val="0"/>
      <w:marTop w:val="0"/>
      <w:marBottom w:val="0"/>
      <w:divBdr>
        <w:top w:val="none" w:sz="0" w:space="0" w:color="auto"/>
        <w:left w:val="none" w:sz="0" w:space="0" w:color="auto"/>
        <w:bottom w:val="none" w:sz="0" w:space="0" w:color="auto"/>
        <w:right w:val="none" w:sz="0" w:space="0" w:color="auto"/>
      </w:divBdr>
    </w:div>
    <w:div w:id="202522151">
      <w:bodyDiv w:val="1"/>
      <w:marLeft w:val="0"/>
      <w:marRight w:val="0"/>
      <w:marTop w:val="0"/>
      <w:marBottom w:val="0"/>
      <w:divBdr>
        <w:top w:val="none" w:sz="0" w:space="0" w:color="auto"/>
        <w:left w:val="none" w:sz="0" w:space="0" w:color="auto"/>
        <w:bottom w:val="none" w:sz="0" w:space="0" w:color="auto"/>
        <w:right w:val="none" w:sz="0" w:space="0" w:color="auto"/>
      </w:divBdr>
    </w:div>
    <w:div w:id="274873425">
      <w:bodyDiv w:val="1"/>
      <w:marLeft w:val="0"/>
      <w:marRight w:val="0"/>
      <w:marTop w:val="0"/>
      <w:marBottom w:val="0"/>
      <w:divBdr>
        <w:top w:val="none" w:sz="0" w:space="0" w:color="auto"/>
        <w:left w:val="none" w:sz="0" w:space="0" w:color="auto"/>
        <w:bottom w:val="none" w:sz="0" w:space="0" w:color="auto"/>
        <w:right w:val="none" w:sz="0" w:space="0" w:color="auto"/>
      </w:divBdr>
    </w:div>
    <w:div w:id="347755227">
      <w:bodyDiv w:val="1"/>
      <w:marLeft w:val="0"/>
      <w:marRight w:val="0"/>
      <w:marTop w:val="0"/>
      <w:marBottom w:val="0"/>
      <w:divBdr>
        <w:top w:val="none" w:sz="0" w:space="0" w:color="auto"/>
        <w:left w:val="none" w:sz="0" w:space="0" w:color="auto"/>
        <w:bottom w:val="none" w:sz="0" w:space="0" w:color="auto"/>
        <w:right w:val="none" w:sz="0" w:space="0" w:color="auto"/>
      </w:divBdr>
    </w:div>
    <w:div w:id="376855993">
      <w:bodyDiv w:val="1"/>
      <w:marLeft w:val="0"/>
      <w:marRight w:val="0"/>
      <w:marTop w:val="0"/>
      <w:marBottom w:val="0"/>
      <w:divBdr>
        <w:top w:val="none" w:sz="0" w:space="0" w:color="auto"/>
        <w:left w:val="none" w:sz="0" w:space="0" w:color="auto"/>
        <w:bottom w:val="none" w:sz="0" w:space="0" w:color="auto"/>
        <w:right w:val="none" w:sz="0" w:space="0" w:color="auto"/>
      </w:divBdr>
    </w:div>
    <w:div w:id="398133532">
      <w:bodyDiv w:val="1"/>
      <w:marLeft w:val="0"/>
      <w:marRight w:val="0"/>
      <w:marTop w:val="0"/>
      <w:marBottom w:val="0"/>
      <w:divBdr>
        <w:top w:val="none" w:sz="0" w:space="0" w:color="auto"/>
        <w:left w:val="none" w:sz="0" w:space="0" w:color="auto"/>
        <w:bottom w:val="none" w:sz="0" w:space="0" w:color="auto"/>
        <w:right w:val="none" w:sz="0" w:space="0" w:color="auto"/>
      </w:divBdr>
    </w:div>
    <w:div w:id="407576568">
      <w:bodyDiv w:val="1"/>
      <w:marLeft w:val="0"/>
      <w:marRight w:val="0"/>
      <w:marTop w:val="0"/>
      <w:marBottom w:val="0"/>
      <w:divBdr>
        <w:top w:val="none" w:sz="0" w:space="0" w:color="auto"/>
        <w:left w:val="none" w:sz="0" w:space="0" w:color="auto"/>
        <w:bottom w:val="none" w:sz="0" w:space="0" w:color="auto"/>
        <w:right w:val="none" w:sz="0" w:space="0" w:color="auto"/>
      </w:divBdr>
    </w:div>
    <w:div w:id="455220981">
      <w:bodyDiv w:val="1"/>
      <w:marLeft w:val="0"/>
      <w:marRight w:val="0"/>
      <w:marTop w:val="0"/>
      <w:marBottom w:val="0"/>
      <w:divBdr>
        <w:top w:val="none" w:sz="0" w:space="0" w:color="auto"/>
        <w:left w:val="none" w:sz="0" w:space="0" w:color="auto"/>
        <w:bottom w:val="none" w:sz="0" w:space="0" w:color="auto"/>
        <w:right w:val="none" w:sz="0" w:space="0" w:color="auto"/>
      </w:divBdr>
    </w:div>
    <w:div w:id="486557258">
      <w:bodyDiv w:val="1"/>
      <w:marLeft w:val="0"/>
      <w:marRight w:val="0"/>
      <w:marTop w:val="0"/>
      <w:marBottom w:val="0"/>
      <w:divBdr>
        <w:top w:val="none" w:sz="0" w:space="0" w:color="auto"/>
        <w:left w:val="none" w:sz="0" w:space="0" w:color="auto"/>
        <w:bottom w:val="none" w:sz="0" w:space="0" w:color="auto"/>
        <w:right w:val="none" w:sz="0" w:space="0" w:color="auto"/>
      </w:divBdr>
    </w:div>
    <w:div w:id="519661382">
      <w:bodyDiv w:val="1"/>
      <w:marLeft w:val="0"/>
      <w:marRight w:val="0"/>
      <w:marTop w:val="0"/>
      <w:marBottom w:val="0"/>
      <w:divBdr>
        <w:top w:val="none" w:sz="0" w:space="0" w:color="auto"/>
        <w:left w:val="none" w:sz="0" w:space="0" w:color="auto"/>
        <w:bottom w:val="none" w:sz="0" w:space="0" w:color="auto"/>
        <w:right w:val="none" w:sz="0" w:space="0" w:color="auto"/>
      </w:divBdr>
    </w:div>
    <w:div w:id="554858276">
      <w:bodyDiv w:val="1"/>
      <w:marLeft w:val="0"/>
      <w:marRight w:val="0"/>
      <w:marTop w:val="0"/>
      <w:marBottom w:val="0"/>
      <w:divBdr>
        <w:top w:val="none" w:sz="0" w:space="0" w:color="auto"/>
        <w:left w:val="none" w:sz="0" w:space="0" w:color="auto"/>
        <w:bottom w:val="none" w:sz="0" w:space="0" w:color="auto"/>
        <w:right w:val="none" w:sz="0" w:space="0" w:color="auto"/>
      </w:divBdr>
    </w:div>
    <w:div w:id="630788023">
      <w:bodyDiv w:val="1"/>
      <w:marLeft w:val="0"/>
      <w:marRight w:val="0"/>
      <w:marTop w:val="0"/>
      <w:marBottom w:val="0"/>
      <w:divBdr>
        <w:top w:val="none" w:sz="0" w:space="0" w:color="auto"/>
        <w:left w:val="none" w:sz="0" w:space="0" w:color="auto"/>
        <w:bottom w:val="none" w:sz="0" w:space="0" w:color="auto"/>
        <w:right w:val="none" w:sz="0" w:space="0" w:color="auto"/>
      </w:divBdr>
    </w:div>
    <w:div w:id="641470733">
      <w:bodyDiv w:val="1"/>
      <w:marLeft w:val="0"/>
      <w:marRight w:val="0"/>
      <w:marTop w:val="0"/>
      <w:marBottom w:val="0"/>
      <w:divBdr>
        <w:top w:val="none" w:sz="0" w:space="0" w:color="auto"/>
        <w:left w:val="none" w:sz="0" w:space="0" w:color="auto"/>
        <w:bottom w:val="none" w:sz="0" w:space="0" w:color="auto"/>
        <w:right w:val="none" w:sz="0" w:space="0" w:color="auto"/>
      </w:divBdr>
    </w:div>
    <w:div w:id="657616012">
      <w:bodyDiv w:val="1"/>
      <w:marLeft w:val="0"/>
      <w:marRight w:val="0"/>
      <w:marTop w:val="0"/>
      <w:marBottom w:val="0"/>
      <w:divBdr>
        <w:top w:val="none" w:sz="0" w:space="0" w:color="auto"/>
        <w:left w:val="none" w:sz="0" w:space="0" w:color="auto"/>
        <w:bottom w:val="none" w:sz="0" w:space="0" w:color="auto"/>
        <w:right w:val="none" w:sz="0" w:space="0" w:color="auto"/>
      </w:divBdr>
    </w:div>
    <w:div w:id="689113381">
      <w:bodyDiv w:val="1"/>
      <w:marLeft w:val="0"/>
      <w:marRight w:val="0"/>
      <w:marTop w:val="0"/>
      <w:marBottom w:val="0"/>
      <w:divBdr>
        <w:top w:val="none" w:sz="0" w:space="0" w:color="auto"/>
        <w:left w:val="none" w:sz="0" w:space="0" w:color="auto"/>
        <w:bottom w:val="none" w:sz="0" w:space="0" w:color="auto"/>
        <w:right w:val="none" w:sz="0" w:space="0" w:color="auto"/>
      </w:divBdr>
    </w:div>
    <w:div w:id="695231223">
      <w:bodyDiv w:val="1"/>
      <w:marLeft w:val="0"/>
      <w:marRight w:val="0"/>
      <w:marTop w:val="0"/>
      <w:marBottom w:val="0"/>
      <w:divBdr>
        <w:top w:val="none" w:sz="0" w:space="0" w:color="auto"/>
        <w:left w:val="none" w:sz="0" w:space="0" w:color="auto"/>
        <w:bottom w:val="none" w:sz="0" w:space="0" w:color="auto"/>
        <w:right w:val="none" w:sz="0" w:space="0" w:color="auto"/>
      </w:divBdr>
    </w:div>
    <w:div w:id="791364015">
      <w:bodyDiv w:val="1"/>
      <w:marLeft w:val="0"/>
      <w:marRight w:val="0"/>
      <w:marTop w:val="0"/>
      <w:marBottom w:val="0"/>
      <w:divBdr>
        <w:top w:val="none" w:sz="0" w:space="0" w:color="auto"/>
        <w:left w:val="none" w:sz="0" w:space="0" w:color="auto"/>
        <w:bottom w:val="none" w:sz="0" w:space="0" w:color="auto"/>
        <w:right w:val="none" w:sz="0" w:space="0" w:color="auto"/>
      </w:divBdr>
    </w:div>
    <w:div w:id="800533794">
      <w:bodyDiv w:val="1"/>
      <w:marLeft w:val="0"/>
      <w:marRight w:val="0"/>
      <w:marTop w:val="0"/>
      <w:marBottom w:val="0"/>
      <w:divBdr>
        <w:top w:val="none" w:sz="0" w:space="0" w:color="auto"/>
        <w:left w:val="none" w:sz="0" w:space="0" w:color="auto"/>
        <w:bottom w:val="none" w:sz="0" w:space="0" w:color="auto"/>
        <w:right w:val="none" w:sz="0" w:space="0" w:color="auto"/>
      </w:divBdr>
    </w:div>
    <w:div w:id="810630407">
      <w:bodyDiv w:val="1"/>
      <w:marLeft w:val="0"/>
      <w:marRight w:val="0"/>
      <w:marTop w:val="0"/>
      <w:marBottom w:val="0"/>
      <w:divBdr>
        <w:top w:val="none" w:sz="0" w:space="0" w:color="auto"/>
        <w:left w:val="none" w:sz="0" w:space="0" w:color="auto"/>
        <w:bottom w:val="none" w:sz="0" w:space="0" w:color="auto"/>
        <w:right w:val="none" w:sz="0" w:space="0" w:color="auto"/>
      </w:divBdr>
    </w:div>
    <w:div w:id="865215530">
      <w:bodyDiv w:val="1"/>
      <w:marLeft w:val="0"/>
      <w:marRight w:val="0"/>
      <w:marTop w:val="0"/>
      <w:marBottom w:val="0"/>
      <w:divBdr>
        <w:top w:val="none" w:sz="0" w:space="0" w:color="auto"/>
        <w:left w:val="none" w:sz="0" w:space="0" w:color="auto"/>
        <w:bottom w:val="none" w:sz="0" w:space="0" w:color="auto"/>
        <w:right w:val="none" w:sz="0" w:space="0" w:color="auto"/>
      </w:divBdr>
    </w:div>
    <w:div w:id="875389760">
      <w:bodyDiv w:val="1"/>
      <w:marLeft w:val="0"/>
      <w:marRight w:val="0"/>
      <w:marTop w:val="0"/>
      <w:marBottom w:val="0"/>
      <w:divBdr>
        <w:top w:val="none" w:sz="0" w:space="0" w:color="auto"/>
        <w:left w:val="none" w:sz="0" w:space="0" w:color="auto"/>
        <w:bottom w:val="none" w:sz="0" w:space="0" w:color="auto"/>
        <w:right w:val="none" w:sz="0" w:space="0" w:color="auto"/>
      </w:divBdr>
    </w:div>
    <w:div w:id="918099195">
      <w:bodyDiv w:val="1"/>
      <w:marLeft w:val="0"/>
      <w:marRight w:val="0"/>
      <w:marTop w:val="0"/>
      <w:marBottom w:val="0"/>
      <w:divBdr>
        <w:top w:val="none" w:sz="0" w:space="0" w:color="auto"/>
        <w:left w:val="none" w:sz="0" w:space="0" w:color="auto"/>
        <w:bottom w:val="none" w:sz="0" w:space="0" w:color="auto"/>
        <w:right w:val="none" w:sz="0" w:space="0" w:color="auto"/>
      </w:divBdr>
    </w:div>
    <w:div w:id="951595672">
      <w:bodyDiv w:val="1"/>
      <w:marLeft w:val="0"/>
      <w:marRight w:val="0"/>
      <w:marTop w:val="0"/>
      <w:marBottom w:val="0"/>
      <w:divBdr>
        <w:top w:val="none" w:sz="0" w:space="0" w:color="auto"/>
        <w:left w:val="none" w:sz="0" w:space="0" w:color="auto"/>
        <w:bottom w:val="none" w:sz="0" w:space="0" w:color="auto"/>
        <w:right w:val="none" w:sz="0" w:space="0" w:color="auto"/>
      </w:divBdr>
    </w:div>
    <w:div w:id="968126140">
      <w:bodyDiv w:val="1"/>
      <w:marLeft w:val="0"/>
      <w:marRight w:val="0"/>
      <w:marTop w:val="0"/>
      <w:marBottom w:val="0"/>
      <w:divBdr>
        <w:top w:val="none" w:sz="0" w:space="0" w:color="auto"/>
        <w:left w:val="none" w:sz="0" w:space="0" w:color="auto"/>
        <w:bottom w:val="none" w:sz="0" w:space="0" w:color="auto"/>
        <w:right w:val="none" w:sz="0" w:space="0" w:color="auto"/>
      </w:divBdr>
    </w:div>
    <w:div w:id="1128553496">
      <w:bodyDiv w:val="1"/>
      <w:marLeft w:val="0"/>
      <w:marRight w:val="0"/>
      <w:marTop w:val="0"/>
      <w:marBottom w:val="0"/>
      <w:divBdr>
        <w:top w:val="none" w:sz="0" w:space="0" w:color="auto"/>
        <w:left w:val="none" w:sz="0" w:space="0" w:color="auto"/>
        <w:bottom w:val="none" w:sz="0" w:space="0" w:color="auto"/>
        <w:right w:val="none" w:sz="0" w:space="0" w:color="auto"/>
      </w:divBdr>
    </w:div>
    <w:div w:id="1191844885">
      <w:bodyDiv w:val="1"/>
      <w:marLeft w:val="0"/>
      <w:marRight w:val="0"/>
      <w:marTop w:val="0"/>
      <w:marBottom w:val="0"/>
      <w:divBdr>
        <w:top w:val="none" w:sz="0" w:space="0" w:color="auto"/>
        <w:left w:val="none" w:sz="0" w:space="0" w:color="auto"/>
        <w:bottom w:val="none" w:sz="0" w:space="0" w:color="auto"/>
        <w:right w:val="none" w:sz="0" w:space="0" w:color="auto"/>
      </w:divBdr>
    </w:div>
    <w:div w:id="1242132261">
      <w:bodyDiv w:val="1"/>
      <w:marLeft w:val="0"/>
      <w:marRight w:val="0"/>
      <w:marTop w:val="0"/>
      <w:marBottom w:val="0"/>
      <w:divBdr>
        <w:top w:val="none" w:sz="0" w:space="0" w:color="auto"/>
        <w:left w:val="none" w:sz="0" w:space="0" w:color="auto"/>
        <w:bottom w:val="none" w:sz="0" w:space="0" w:color="auto"/>
        <w:right w:val="none" w:sz="0" w:space="0" w:color="auto"/>
      </w:divBdr>
    </w:div>
    <w:div w:id="1289165820">
      <w:bodyDiv w:val="1"/>
      <w:marLeft w:val="0"/>
      <w:marRight w:val="0"/>
      <w:marTop w:val="0"/>
      <w:marBottom w:val="0"/>
      <w:divBdr>
        <w:top w:val="none" w:sz="0" w:space="0" w:color="auto"/>
        <w:left w:val="none" w:sz="0" w:space="0" w:color="auto"/>
        <w:bottom w:val="none" w:sz="0" w:space="0" w:color="auto"/>
        <w:right w:val="none" w:sz="0" w:space="0" w:color="auto"/>
      </w:divBdr>
    </w:div>
    <w:div w:id="1420981322">
      <w:bodyDiv w:val="1"/>
      <w:marLeft w:val="0"/>
      <w:marRight w:val="0"/>
      <w:marTop w:val="0"/>
      <w:marBottom w:val="0"/>
      <w:divBdr>
        <w:top w:val="none" w:sz="0" w:space="0" w:color="auto"/>
        <w:left w:val="none" w:sz="0" w:space="0" w:color="auto"/>
        <w:bottom w:val="none" w:sz="0" w:space="0" w:color="auto"/>
        <w:right w:val="none" w:sz="0" w:space="0" w:color="auto"/>
      </w:divBdr>
    </w:div>
    <w:div w:id="1454405409">
      <w:bodyDiv w:val="1"/>
      <w:marLeft w:val="0"/>
      <w:marRight w:val="0"/>
      <w:marTop w:val="0"/>
      <w:marBottom w:val="0"/>
      <w:divBdr>
        <w:top w:val="none" w:sz="0" w:space="0" w:color="auto"/>
        <w:left w:val="none" w:sz="0" w:space="0" w:color="auto"/>
        <w:bottom w:val="none" w:sz="0" w:space="0" w:color="auto"/>
        <w:right w:val="none" w:sz="0" w:space="0" w:color="auto"/>
      </w:divBdr>
    </w:div>
    <w:div w:id="1566917597">
      <w:bodyDiv w:val="1"/>
      <w:marLeft w:val="0"/>
      <w:marRight w:val="0"/>
      <w:marTop w:val="0"/>
      <w:marBottom w:val="0"/>
      <w:divBdr>
        <w:top w:val="none" w:sz="0" w:space="0" w:color="auto"/>
        <w:left w:val="none" w:sz="0" w:space="0" w:color="auto"/>
        <w:bottom w:val="none" w:sz="0" w:space="0" w:color="auto"/>
        <w:right w:val="none" w:sz="0" w:space="0" w:color="auto"/>
      </w:divBdr>
    </w:div>
    <w:div w:id="1568762313">
      <w:bodyDiv w:val="1"/>
      <w:marLeft w:val="0"/>
      <w:marRight w:val="0"/>
      <w:marTop w:val="0"/>
      <w:marBottom w:val="0"/>
      <w:divBdr>
        <w:top w:val="none" w:sz="0" w:space="0" w:color="auto"/>
        <w:left w:val="none" w:sz="0" w:space="0" w:color="auto"/>
        <w:bottom w:val="none" w:sz="0" w:space="0" w:color="auto"/>
        <w:right w:val="none" w:sz="0" w:space="0" w:color="auto"/>
      </w:divBdr>
    </w:div>
    <w:div w:id="1655257435">
      <w:bodyDiv w:val="1"/>
      <w:marLeft w:val="0"/>
      <w:marRight w:val="0"/>
      <w:marTop w:val="0"/>
      <w:marBottom w:val="0"/>
      <w:divBdr>
        <w:top w:val="none" w:sz="0" w:space="0" w:color="auto"/>
        <w:left w:val="none" w:sz="0" w:space="0" w:color="auto"/>
        <w:bottom w:val="none" w:sz="0" w:space="0" w:color="auto"/>
        <w:right w:val="none" w:sz="0" w:space="0" w:color="auto"/>
      </w:divBdr>
    </w:div>
    <w:div w:id="1718120033">
      <w:bodyDiv w:val="1"/>
      <w:marLeft w:val="0"/>
      <w:marRight w:val="0"/>
      <w:marTop w:val="0"/>
      <w:marBottom w:val="0"/>
      <w:divBdr>
        <w:top w:val="none" w:sz="0" w:space="0" w:color="auto"/>
        <w:left w:val="none" w:sz="0" w:space="0" w:color="auto"/>
        <w:bottom w:val="none" w:sz="0" w:space="0" w:color="auto"/>
        <w:right w:val="none" w:sz="0" w:space="0" w:color="auto"/>
      </w:divBdr>
    </w:div>
    <w:div w:id="1811366722">
      <w:bodyDiv w:val="1"/>
      <w:marLeft w:val="0"/>
      <w:marRight w:val="0"/>
      <w:marTop w:val="0"/>
      <w:marBottom w:val="0"/>
      <w:divBdr>
        <w:top w:val="none" w:sz="0" w:space="0" w:color="auto"/>
        <w:left w:val="none" w:sz="0" w:space="0" w:color="auto"/>
        <w:bottom w:val="none" w:sz="0" w:space="0" w:color="auto"/>
        <w:right w:val="none" w:sz="0" w:space="0" w:color="auto"/>
      </w:divBdr>
    </w:div>
    <w:div w:id="1864636981">
      <w:bodyDiv w:val="1"/>
      <w:marLeft w:val="0"/>
      <w:marRight w:val="0"/>
      <w:marTop w:val="0"/>
      <w:marBottom w:val="0"/>
      <w:divBdr>
        <w:top w:val="none" w:sz="0" w:space="0" w:color="auto"/>
        <w:left w:val="none" w:sz="0" w:space="0" w:color="auto"/>
        <w:bottom w:val="none" w:sz="0" w:space="0" w:color="auto"/>
        <w:right w:val="none" w:sz="0" w:space="0" w:color="auto"/>
      </w:divBdr>
    </w:div>
    <w:div w:id="1884096087">
      <w:bodyDiv w:val="1"/>
      <w:marLeft w:val="0"/>
      <w:marRight w:val="0"/>
      <w:marTop w:val="0"/>
      <w:marBottom w:val="0"/>
      <w:divBdr>
        <w:top w:val="none" w:sz="0" w:space="0" w:color="auto"/>
        <w:left w:val="none" w:sz="0" w:space="0" w:color="auto"/>
        <w:bottom w:val="none" w:sz="0" w:space="0" w:color="auto"/>
        <w:right w:val="none" w:sz="0" w:space="0" w:color="auto"/>
      </w:divBdr>
    </w:div>
    <w:div w:id="2020235062">
      <w:bodyDiv w:val="1"/>
      <w:marLeft w:val="0"/>
      <w:marRight w:val="0"/>
      <w:marTop w:val="0"/>
      <w:marBottom w:val="0"/>
      <w:divBdr>
        <w:top w:val="none" w:sz="0" w:space="0" w:color="auto"/>
        <w:left w:val="none" w:sz="0" w:space="0" w:color="auto"/>
        <w:bottom w:val="none" w:sz="0" w:space="0" w:color="auto"/>
        <w:right w:val="none" w:sz="0" w:space="0" w:color="auto"/>
      </w:divBdr>
    </w:div>
    <w:div w:id="2073501626">
      <w:bodyDiv w:val="1"/>
      <w:marLeft w:val="0"/>
      <w:marRight w:val="0"/>
      <w:marTop w:val="0"/>
      <w:marBottom w:val="0"/>
      <w:divBdr>
        <w:top w:val="none" w:sz="0" w:space="0" w:color="auto"/>
        <w:left w:val="none" w:sz="0" w:space="0" w:color="auto"/>
        <w:bottom w:val="none" w:sz="0" w:space="0" w:color="auto"/>
        <w:right w:val="none" w:sz="0" w:space="0" w:color="auto"/>
      </w:divBdr>
    </w:div>
    <w:div w:id="2095584979">
      <w:bodyDiv w:val="1"/>
      <w:marLeft w:val="0"/>
      <w:marRight w:val="0"/>
      <w:marTop w:val="0"/>
      <w:marBottom w:val="0"/>
      <w:divBdr>
        <w:top w:val="none" w:sz="0" w:space="0" w:color="auto"/>
        <w:left w:val="none" w:sz="0" w:space="0" w:color="auto"/>
        <w:bottom w:val="none" w:sz="0" w:space="0" w:color="auto"/>
        <w:right w:val="none" w:sz="0" w:space="0" w:color="auto"/>
      </w:divBdr>
    </w:div>
    <w:div w:id="2116561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Dia23</b:Tag>
    <b:SourceType>JournalArticle</b:SourceType>
    <b:Guid>{5737C329-1554-4E47-BFD5-B1C042A6886D}</b:Guid>
    <b:Title>Analysis of hospitality waste generation: Impacts of services and mitigation strategies</b:Title>
    <b:Year>2023</b:Year>
    <b:Pages>100083</b:Pages>
    <b:Author>
      <b:Author>
        <b:NameList>
          <b:Person>
            <b:Last>Diaz-Farina</b:Last>
            <b:First>E.</b:First>
          </b:Person>
          <b:Person>
            <b:Last>Díaz-Hernández</b:Last>
            <b:First>J.J.</b:First>
          </b:Person>
          <b:Person>
            <b:Last>Padrón-Fumero</b:Last>
            <b:First>N.</b:First>
          </b:Person>
        </b:NameList>
      </b:Author>
    </b:Author>
    <b:JournalName>Annals of Tourism Research Empirical Insights</b:JournalName>
    <b:Volume>4</b:Volume>
    <b:Issue>1</b:Issue>
    <b:RefOrder>16</b:RefOrder>
  </b:Source>
  <b:Source>
    <b:Tag>Ope18</b:Tag>
    <b:SourceType>InternetSite</b:SourceType>
    <b:Guid>{3B86C430-5C3E-4478-A9D7-7C1A1F3992CA}</b:Guid>
    <b:Title>The hospitality industry’s relationship with waste</b:Title>
    <b:Year>2018</b:Year>
    <b:Author>
      <b:Author>
        <b:Corporate>Open Access Government</b:Corporate>
      </b:Author>
    </b:Author>
    <b:URL>https://www.openaccessgovernment.org/hospitality-industry-waste/51174/</b:URL>
    <b:RefOrder>17</b:RefOrder>
  </b:Source>
  <b:Source>
    <b:Tag>Wra01</b:Tag>
    <b:SourceType>Report</b:SourceType>
    <b:Guid>{E0A2DCF1-3BED-4D04-AE3B-62711BB3809C}</b:Guid>
    <b:Title>Overview of Waste in the UK Hospitality and Food Service Sector</b:Title>
    <b:Year>2013</b:Year>
    <b:Author>
      <b:Author>
        <b:Corporate>Wrap</b:Corporate>
      </b:Author>
    </b:Author>
    <b:Publisher>Wrap</b:Publisher>
    <b:RefOrder>1</b:RefOrder>
  </b:Source>
  <b:Source>
    <b:Tag>Xam24</b:Tag>
    <b:SourceType>Report</b:SourceType>
    <b:Guid>{FA2F91C3-D383-47AC-A8C9-7B3079D03CBE}</b:Guid>
    <b:Author>
      <b:Author>
        <b:NameList>
          <b:Person>
            <b:Last>Malik</b:Last>
            <b:First>Xameerah</b:First>
          </b:Person>
          <b:Person>
            <b:Last>Smith</b:Last>
            <b:First>Louise</b:First>
          </b:Person>
          <b:Person>
            <b:Last>Stewart</b:Last>
            <b:First>Iona</b:First>
          </b:Person>
          <b:Person>
            <b:Last>Burnett</b:Last>
            <b:First>Nuala</b:First>
          </b:Person>
        </b:NameList>
      </b:Author>
    </b:Author>
    <b:Title>Food waste in the UK</b:Title>
    <b:Year>2024</b:Year>
    <b:Publisher>The Commons Library</b:Publisher>
    <b:RefOrder>2</b:RefOrder>
  </b:Source>
  <b:Source>
    <b:Tag>Bus25</b:Tag>
    <b:SourceType>InternetSite</b:SourceType>
    <b:Guid>{30FEB84D-77B4-4D9F-8472-066CA46C88B5}</b:Guid>
    <b:Title>Food Waste Facts</b:Title>
    <b:Year>2025</b:Year>
    <b:Author>
      <b:Author>
        <b:Corporate>Business Waste</b:Corporate>
      </b:Author>
    </b:Author>
    <b:URL>https://www.businesswaste.co.uk/food-waste-the-facts/</b:URL>
    <b:RefOrder>3</b:RefOrder>
  </b:Source>
  <b:Source>
    <b:Tag>Gra242</b:Tag>
    <b:SourceType>InternetSite</b:SourceType>
    <b:Guid>{F233C3C5-4E47-4136-9A40-042729DAF634}</b:Guid>
    <b:Author>
      <b:Author>
        <b:NameList>
          <b:Person>
            <b:Last>Dean</b:Last>
            <b:First>Grace</b:First>
          </b:Person>
        </b:NameList>
      </b:Author>
    </b:Author>
    <b:Title>Hotels and offices are using an AI tool that scans what they throw in the trash to reduce their food waste and cut costs</b:Title>
    <b:Year>2024</b:Year>
    <b:URL>https://www.businessinsider.com/hotels-offices-kitchens-winnow-ai-tool-reduce-food-waste-costs-2024-7</b:URL>
    <b:RefOrder>4</b:RefOrder>
  </b:Source>
  <b:Source>
    <b:Tag>Eri19</b:Tag>
    <b:SourceType>JournalArticle</b:SourceType>
    <b:Guid>{CBDE15D2-A9A2-468D-9F71-9E76D95768D6}</b:Guid>
    <b:Title>Connection between food waste quantification and food waste reduction in the hospitality sector</b:Title>
    <b:Year>2019</b:Year>
    <b:Author>
      <b:Author>
        <b:NameList>
          <b:Person>
            <b:Last>Eriksson</b:Last>
            <b:First>M.</b:First>
          </b:Person>
          <b:Person>
            <b:Last>Malefors</b:Last>
            <b:First>C.</b:First>
          </b:Person>
          <b:Person>
            <b:Last>Callewaert</b:Last>
            <b:First>P.</b:First>
          </b:Person>
          <b:Person>
            <b:Last>Hartikainen</b:Last>
            <b:First>H.</b:First>
          </b:Person>
          <b:Person>
            <b:Last>Pietiläinen</b:Last>
            <b:First>O.</b:First>
          </b:Person>
          <b:Person>
            <b:Last>Strid</b:Last>
            <b:First>I.</b:First>
          </b:Person>
        </b:NameList>
      </b:Author>
    </b:Author>
    <b:JournalName>Resources, Conservation &amp; Recycling</b:JournalName>
    <b:Pages>100021</b:Pages>
    <b:Volume>10</b:Volume>
    <b:Issue>4</b:Issue>
    <b:RefOrder>18</b:RefOrder>
  </b:Source>
  <b:Source>
    <b:Tag>Hei161</b:Tag>
    <b:SourceType>JournalArticle</b:SourceType>
    <b:Guid>{B7FC7B1D-941D-459E-BB29-F14655AD050D}</b:Guid>
    <b:Author>
      <b:Author>
        <b:NameList>
          <b:Person>
            <b:Last>Heikkilä</b:Last>
            <b:First>L.</b:First>
          </b:Person>
          <b:Person>
            <b:Last>Reinikainen</b:Last>
            <b:First>A.</b:First>
          </b:Person>
          <b:Person>
            <b:Last>Katajajuuri</b:Last>
            <b:First>J.M.</b:First>
          </b:Person>
          <b:Person>
            <b:Last>Silvennoinen</b:Last>
            <b:First>K.</b:First>
          </b:Person>
          <b:Person>
            <b:Last>Hartikainen</b:Last>
            <b:First>H.</b:First>
          </b:Person>
        </b:NameList>
      </b:Author>
    </b:Author>
    <b:Title>Elements affecting food waste in the food service sector</b:Title>
    <b:JournalName>Waste Management</b:JournalName>
    <b:Year>2016</b:Year>
    <b:Pages>446-453</b:Pages>
    <b:Volume>56</b:Volume>
    <b:RefOrder>19</b:RefOrder>
  </b:Source>
  <b:Source>
    <b:Tag>Sil15</b:Tag>
    <b:SourceType>JournalArticle</b:SourceType>
    <b:Guid>{0DB42271-635B-43E6-BC56-3D4649CB2A29}</b:Guid>
    <b:Author>
      <b:Author>
        <b:NameList>
          <b:Person>
            <b:Last>Silvennoinen</b:Last>
            <b:First>K.</b:First>
          </b:Person>
          <b:Person>
            <b:Last>Heikkilä</b:Last>
            <b:First>L.</b:First>
          </b:Person>
          <b:Person>
            <b:Last>Katajajuuri</b:Last>
            <b:First>J.M.</b:First>
          </b:Person>
          <b:Person>
            <b:Last>Reinikainen</b:Last>
            <b:First>A.</b:First>
          </b:Person>
        </b:NameList>
      </b:Author>
    </b:Author>
    <b:Title>Food waste volume and origin: Case studies in the Finnish food service sector</b:Title>
    <b:JournalName>Waste management</b:JournalName>
    <b:Year>2015</b:Year>
    <b:Pages>140-145</b:Pages>
    <b:Volume>46</b:Volume>
    <b:RefOrder>5</b:RefOrder>
  </b:Source>
  <b:Source>
    <b:Tag>Hen19</b:Tag>
    <b:SourceType>JournalArticle</b:SourceType>
    <b:Guid>{796725F3-F3DA-4CA4-A777-4BF83D0C2D91}</b:Guid>
    <b:Author>
      <b:Author>
        <b:NameList>
          <b:Person>
            <b:Last>Hennchen</b:Last>
            <b:First>B.</b:First>
          </b:Person>
        </b:NameList>
      </b:Author>
    </b:Author>
    <b:Title>Knowing the kitchen: Applying practice theory to issues of food waste in the food service sector</b:Title>
    <b:JournalName>Journal of Cleaner Production</b:JournalName>
    <b:Year>2019</b:Year>
    <b:Pages>675-683</b:Pages>
    <b:Volume>225</b:Volume>
    <b:RefOrder>6</b:RefOrder>
  </b:Source>
  <b:Source>
    <b:Tag>Sun12</b:Tag>
    <b:SourceType>Book</b:SourceType>
    <b:Guid>{5547F4EF-DBD1-4702-A9FE-3162C0C2DAD9}</b:Guid>
    <b:Author>
      <b:Author>
        <b:NameList>
          <b:Person>
            <b:Last>Sundt</b:Last>
            <b:First>P.</b:First>
          </b:Person>
        </b:NameList>
      </b:Author>
    </b:Author>
    <b:Title>Prevention of food waste in restaurants, hotels, canteens and catering</b:Title>
    <b:Year>2012</b:Year>
    <b:Publisher>Nordic Council of Ministers</b:Publisher>
    <b:Edition>3rd</b:Edition>
    <b:RefOrder>7</b:RefOrder>
  </b:Source>
  <b:Source>
    <b:Tag>Eri17</b:Tag>
    <b:SourceType>JournalArticle</b:SourceType>
    <b:Guid>{BEE4E709-CDB6-4472-BFD0-9BAB36784D86}</b:Guid>
    <b:Title>Quantification of food waste in public catering services–A case study from a Swedish municipality</b:Title>
    <b:Year>2017</b:Year>
    <b:Author>
      <b:Author>
        <b:NameList>
          <b:Person>
            <b:Last>Eriksson</b:Last>
            <b:First>M.</b:First>
          </b:Person>
          <b:Person>
            <b:Last>Osowski</b:Last>
            <b:First>C.P.</b:First>
          </b:Person>
          <b:Person>
            <b:Last>Malefors</b:Last>
            <b:First>C.</b:First>
          </b:Person>
          <b:Person>
            <b:Last>Björkman</b:Last>
            <b:First>J.</b:First>
          </b:Person>
          <b:Person>
            <b:Last>Eriksson</b:Last>
            <b:First>E.</b:First>
          </b:Person>
        </b:NameList>
      </b:Author>
    </b:Author>
    <b:JournalName>Waste management</b:JournalName>
    <b:Pages>415-422</b:Pages>
    <b:Volume>61</b:Volume>
    <b:RefOrder>10</b:RefOrder>
  </b:Source>
  <b:Source>
    <b:Tag>KIT19</b:Tag>
    <b:SourceType>InternetSite</b:SourceType>
    <b:Guid>{F2BABAD9-12F7-4F46-AC17-2EC184CF7110}</b:Guid>
    <b:Title>KITRO: AI Food Waste Solution for Smart Kitchens</b:Title>
    <b:Year>2025</b:Year>
    <b:Author>
      <b:Author>
        <b:Corporate>KITRO</b:Corporate>
      </b:Author>
    </b:Author>
    <b:URL>https://www.kitro.ch/</b:URL>
    <b:RefOrder>20</b:RefOrder>
  </b:Source>
  <b:Source>
    <b:Tag>Lev21</b:Tag>
    <b:SourceType>JournalArticle</b:SourceType>
    <b:Guid>{98A2D1E4-DB58-4E25-B896-E7883049A17D}</b:Guid>
    <b:Title>Reducing food waste in hotel kitchens based on self-reported data</b:Title>
    <b:Year>2021</b:Year>
    <b:Author>
      <b:Author>
        <b:NameList>
          <b:Person>
            <b:Last>Leverenz</b:Last>
            <b:First>D.</b:First>
          </b:Person>
          <b:Person>
            <b:Last>Hafner</b:Last>
            <b:First>G.</b:First>
          </b:Person>
          <b:Person>
            <b:Last>Moussawel</b:Last>
            <b:First>S.</b:First>
          </b:Person>
          <b:Person>
            <b:Last>Kranert</b:Last>
            <b:First>M.</b:First>
          </b:Person>
          <b:Person>
            <b:Last>Goossens</b:Last>
            <b:First>Y.</b:First>
          </b:Person>
          <b:Person>
            <b:Last>Schmidt</b:Last>
            <b:First>T.</b:First>
          </b:Person>
        </b:NameList>
      </b:Author>
    </b:Author>
    <b:JournalName>Industrial Marketing Management</b:JournalName>
    <b:Pages>617-627</b:Pages>
    <b:Volume>93</b:Volume>
    <b:RefOrder>8</b:RefOrder>
  </b:Source>
  <b:Source>
    <b:Tag>Cor191</b:Tag>
    <b:SourceType>JournalArticle</b:SourceType>
    <b:Guid>{DC86AE23-55AE-4666-A477-B5799CBFAE49}</b:Guid>
    <b:Author>
      <b:Author>
        <b:NameList>
          <b:Person>
            <b:Last>Corrado</b:Last>
            <b:First>S.</b:First>
          </b:Person>
          <b:Person>
            <b:Last>Caldeira</b:Last>
            <b:First>C.</b:First>
          </b:Person>
          <b:Person>
            <b:Last>Eriksson</b:Last>
            <b:First>M.</b:First>
          </b:Person>
          <b:Person>
            <b:Last>Hanssen</b:Last>
            <b:First>O.J.</b:First>
          </b:Person>
          <b:Person>
            <b:Last>Hauser</b:Last>
            <b:First>H.E.</b:First>
          </b:Person>
          <b:Person>
            <b:Last>van Holsteijn</b:Last>
            <b:First>F.</b:First>
          </b:Person>
          <b:Person>
            <b:Last>Liu</b:Last>
            <b:First>G.</b:First>
          </b:Person>
          <b:Person>
            <b:Last>Östergren</b:Last>
            <b:First>K.</b:First>
          </b:Person>
          <b:Person>
            <b:Last>Parry</b:Last>
            <b:First>A.</b:First>
          </b:Person>
          <b:Person>
            <b:Last>Secondi</b:Last>
            <b:First>L.</b:First>
          </b:Person>
          <b:Person>
            <b:Last>Stenmarck</b:Last>
            <b:First>Å.</b:First>
          </b:Person>
        </b:NameList>
      </b:Author>
    </b:Author>
    <b:Title>Food waste accounting methodologies: Challenges, opportunities, and further advancements</b:Title>
    <b:JournalName>Global food security</b:JournalName>
    <b:Year>2019</b:Year>
    <b:Pages>93-100</b:Pages>
    <b:Volume>20</b:Volume>
    <b:RefOrder>21</b:RefOrder>
  </b:Source>
  <b:Source>
    <b:Tag>Kal131</b:Tag>
    <b:SourceType>JournalArticle</b:SourceType>
    <b:Guid>{1F7410E0-7BD8-43F0-A815-5A0D2D2FD862}</b:Guid>
    <b:Author>
      <b:Author>
        <b:NameList>
          <b:Person>
            <b:Last>Kallbekken</b:Last>
            <b:First>S.</b:First>
          </b:Person>
          <b:Person>
            <b:Last>Sælen</b:Last>
            <b:First>H.</b:First>
          </b:Person>
        </b:NameList>
      </b:Author>
    </b:Author>
    <b:Title>‘Nudging’hotel guests to reduce food waste as a win–win environmental measure</b:Title>
    <b:JournalName>Economics letters</b:JournalName>
    <b:Year>2013</b:Year>
    <b:Pages>325-327</b:Pages>
    <b:Volume>119</b:Volume>
    <b:Issue>3</b:Issue>
    <b:RefOrder>22</b:RefOrder>
  </b:Source>
  <b:Source>
    <b:Tag>Lor17</b:Tag>
    <b:SourceType>JournalArticle</b:SourceType>
    <b:Guid>{BE58C4CC-25EB-42CD-988F-A89F559EA84D}</b:Guid>
    <b:Author>
      <b:Author>
        <b:NameList>
          <b:Person>
            <b:Last>Lorenz</b:Last>
            <b:First>B.A.</b:First>
          </b:Person>
          <b:Person>
            <b:Last>Hartmann</b:Last>
            <b:First>M.</b:First>
          </b:Person>
          <b:Person>
            <b:Last>Hirsch</b:Last>
            <b:First>S.</b:First>
          </b:Person>
          <b:Person>
            <b:Last>Kanz</b:Last>
            <b:First>O.</b:First>
          </b:Person>
          <b:Person>
            <b:Last>Langen</b:Last>
            <b:First>N.</b:First>
          </b:Person>
        </b:NameList>
      </b:Author>
    </b:Author>
    <b:Title>Determinants of plate leftovers in one German catering company</b:Title>
    <b:JournalName>Sustainability</b:JournalName>
    <b:Year>2017</b:Year>
    <b:Pages>807</b:Pages>
    <b:Volume>9</b:Volume>
    <b:Issue>5</b:Issue>
    <b:RefOrder>23</b:RefOrder>
  </b:Source>
  <b:Source>
    <b:Tag>Str17</b:Tag>
    <b:SourceType>JournalArticle</b:SourceType>
    <b:Guid>{87C84D42-EF8B-4287-91DB-A0092B28575E}</b:Guid>
    <b:Author>
      <b:Author>
        <b:NameList>
          <b:Person>
            <b:Last>Strotmann</b:Last>
            <b:First>C.</b:First>
          </b:Person>
          <b:Person>
            <b:Last>Friedrich</b:Last>
            <b:First>S.</b:First>
          </b:Person>
          <b:Person>
            <b:Last>Kreyenschmidt</b:Last>
            <b:First>J.</b:First>
          </b:Person>
          <b:Person>
            <b:Last>Teitscheid</b:Last>
            <b:First>P.</b:First>
          </b:Person>
          <b:Person>
            <b:Last>Ritter</b:Last>
            <b:First>G.</b:First>
          </b:Person>
        </b:NameList>
      </b:Author>
    </b:Author>
    <b:Title>Comparing food provided and wasted before and after implementing measures against food waste in three healthcare food service facilities</b:Title>
    <b:JournalName>Sustainability</b:JournalName>
    <b:Year>2017</b:Year>
    <b:Pages>1409</b:Pages>
    <b:Volume>9</b:Volume>
    <b:Issue>8</b:Issue>
    <b:RefOrder>9</b:RefOrder>
  </b:Source>
  <b:Source>
    <b:Tag>Wan222</b:Tag>
    <b:SourceType>JournalArticle</b:SourceType>
    <b:Guid>{60CD154C-A42C-4A44-ADCA-E57840F120DE}</b:Guid>
    <b:Author>
      <b:Author>
        <b:NameList>
          <b:Person>
            <b:Last>Wang</b:Last>
            <b:First>X.</b:First>
          </b:Person>
          <b:Person>
            <b:Last>Guchait</b:Last>
            <b:First>P.</b:First>
          </b:Person>
          <b:Person>
            <b:Last>Paşamehmetoğlu</b:Last>
            <b:First>A.</b:First>
          </b:Person>
          <b:Person>
            <b:Last>Wen</b:Last>
            <b:First>X.</b:First>
          </b:Person>
        </b:NameList>
      </b:Author>
    </b:Author>
    <b:Title>Hospitality employees’ affective experience of shame, self-efficacy beliefs and job behaviors: The alleviating role of error tolerance</b:Title>
    <b:JournalName>International Journal of Hospitality Management</b:JournalName>
    <b:Year>2022</b:Year>
    <b:Pages>103162</b:Pages>
    <b:Volume>102</b:Volume>
    <b:RefOrder>11</b:RefOrder>
  </b:Source>
  <b:Source>
    <b:Tag>Fil202</b:Tag>
    <b:SourceType>JournalArticle</b:SourceType>
    <b:Guid>{FB27493E-3743-4F35-A6E8-C2CD83A56D1A}</b:Guid>
    <b:Author>
      <b:Author>
        <b:NameList>
          <b:Person>
            <b:Last>Filimonau</b:Last>
            <b:First>V.</b:First>
          </b:Person>
          <b:Person>
            <b:Last>De Coteau</b:Last>
            <b:First>D.</b:First>
          </b:Person>
        </b:NameList>
      </b:Author>
    </b:Author>
    <b:Title>Tourism resilience in the context of integrated destination and disaster management (DM2)</b:Title>
    <b:JournalName>International Journal of Tourism Research</b:JournalName>
    <b:Year>2020</b:Year>
    <b:Pages>202-222</b:Pages>
    <b:Volume>22</b:Volume>
    <b:Issue>2</b:Issue>
    <b:RefOrder>12</b:RefOrder>
  </b:Source>
  <b:Source>
    <b:Tag>Acc24</b:Tag>
    <b:SourceType>Report</b:SourceType>
    <b:Guid>{DB945ECA-FF20-4498-8C81-26D170087BC9}</b:Guid>
    <b:Title>ACCOR GROUP GOOD FOOD POLICY 2024</b:Title>
    <b:Year>2024</b:Year>
    <b:Author>
      <b:Author>
        <b:Corporate>Accor Group</b:Corporate>
      </b:Author>
    </b:Author>
    <b:Publisher>Accor Group</b:Publisher>
    <b:RefOrder>24</b:RefOrder>
  </b:Source>
  <b:Source>
    <b:Tag>Pri21</b:Tag>
    <b:SourceType>JournalArticle</b:SourceType>
    <b:Guid>{887B0A65-1F87-4F91-A2E9-39C09A7194C7}</b:Guid>
    <b:Author>
      <b:Author>
        <b:NameList>
          <b:Person>
            <b:Last>Principato</b:Last>
            <b:First>L.</b:First>
          </b:Person>
          <b:Person>
            <b:Last>Di Leo</b:Last>
            <b:First>A.</b:First>
          </b:Person>
          <b:Person>
            <b:Last>Mattia</b:Last>
            <b:First>G.</b:First>
          </b:Person>
          <b:Person>
            <b:Last>Pratesi</b:Last>
            <b:First>C.A.</b:First>
          </b:Person>
        </b:NameList>
      </b:Author>
    </b:Author>
    <b:Title>The next step in sustainable dining: the restaurant food waste map for the management of food waste</b:Title>
    <b:Year>2021</b:Year>
    <b:JournalName>Italian Journal of Marketing</b:JournalName>
    <b:Pages>189-207</b:Pages>
    <b:Volume>2021</b:Volume>
    <b:Issue>3</b:Issue>
    <b:RefOrder>13</b:RefOrder>
  </b:Source>
  <b:Source>
    <b:Tag>Dhi20</b:Tag>
    <b:SourceType>JournalArticle</b:SourceType>
    <b:Guid>{005703AC-A4AE-4ABE-B00C-F783CE0E8962}</b:Guid>
    <b:Author>
      <b:Author>
        <b:NameList>
          <b:Person>
            <b:Last>Dhir</b:Last>
            <b:First>A.</b:First>
          </b:Person>
          <b:Person>
            <b:Last>Talwar</b:Last>
            <b:First>S.</b:First>
          </b:Person>
          <b:Person>
            <b:Last>Kaur</b:Last>
            <b:First>P.</b:First>
          </b:Person>
          <b:Person>
            <b:Last>Malibari</b:Last>
            <b:First>A.</b:First>
          </b:Person>
        </b:NameList>
      </b:Author>
    </b:Author>
    <b:Title>Food waste in hospitality and food services: A systematic literature review and framework development approach</b:Title>
    <b:JournalName>Journal of Cleaner Production</b:JournalName>
    <b:Year>2020</b:Year>
    <b:Pages>122861</b:Pages>
    <b:Volume>270</b:Volume>
    <b:RefOrder>14</b:RefOrder>
  </b:Source>
  <b:Source>
    <b:Tag>Acc25</b:Tag>
    <b:SourceType>InternetSite</b:SourceType>
    <b:Guid>{A980A985-75D1-4A13-BE29-CE335922C8A4}</b:Guid>
    <b:Title>Responsible Food Model</b:Title>
    <b:Year>2025</b:Year>
    <b:Author>
      <b:Author>
        <b:Corporate>Accor Group</b:Corporate>
      </b:Author>
    </b:Author>
    <b:URL>https://group.accor.com/en/group/sustainable-hospitality/responsible-food-model</b:URL>
    <b:RefOrder>25</b:RefOrder>
  </b:Source>
  <b:Source>
    <b:Tag>Mis25</b:Tag>
    <b:SourceType>JournalArticle</b:SourceType>
    <b:Guid>{46D5FF58-BDA8-4C59-8CEC-EF9929D690F8}</b:Guid>
    <b:Title>Sustainability and Innovation in Hospitality Management: Green Practices in Northeastern Hungary</b:Title>
    <b:Year>2025</b:Year>
    <b:Author>
      <b:Author>
        <b:NameList>
          <b:Person>
            <b:Last>Misik</b:Last>
            <b:First>T.</b:First>
          </b:Person>
          <b:Person>
            <b:Last>Nagy</b:Last>
            <b:First>Z.</b:First>
          </b:Person>
        </b:NameList>
      </b:Author>
    </b:Author>
    <b:JournalName>Sustainability</b:JournalName>
    <b:Pages>61-85</b:Pages>
    <b:Volume>17</b:Volume>
    <b:Issue>13</b:Issue>
    <b:RefOrder>26</b:RefOrder>
  </b:Source>
  <b:Source>
    <b:Tag>UNW22</b:Tag>
    <b:SourceType>Report</b:SourceType>
    <b:Guid>{68AF83B1-2108-4030-A681-650B25600580}</b:Guid>
    <b:Title>Global Roadmap for Food Waste Reduction in the Tourism Sector</b:Title>
    <b:Year>2022</b:Year>
    <b:Author>
      <b:Author>
        <b:Corporate>UNWTO</b:Corporate>
      </b:Author>
    </b:Author>
    <b:Publisher>World Tourism Organization (UNWTO)</b:Publisher>
    <b:City>Madrid, Spain</b:City>
    <b:RefOrder>15</b:RefOrder>
  </b:Source>
  <b:Source>
    <b:Tag>Gan22</b:Tag>
    <b:SourceType>BookSection</b:SourceType>
    <b:Guid>{7E841A38-1BCE-40BA-ABF8-7C237634E585}</b:Guid>
    <b:Title>Sustainable luxury tourism and food waste management: As case study of all-inclusive luxury resorts</b:Title>
    <b:Year>2022</b:Year>
    <b:Publisher>Routledge</b:Publisher>
    <b:Author>
      <b:Author>
        <b:NameList>
          <b:Person>
            <b:Last>Gannon</b:Last>
            <b:First>M.</b:First>
          </b:Person>
          <b:Person>
            <b:Last>Taheri</b:Last>
            <b:First>B.</b:First>
          </b:Person>
          <b:Person>
            <b:Last>Okumus</b:Last>
            <b:First>B.</b:First>
          </b:Person>
          <b:Person>
            <b:Last>Giritlioglu</b:Last>
            <b:First>I.</b:First>
          </b:Person>
        </b:NameList>
      </b:Author>
    </b:Author>
    <b:BookTitle>The rise of positive luxury</b:BookTitle>
    <b:Pages>117-136</b:Pages>
    <b:RefOrder>27</b:RefOrder>
  </b:Source>
  <b:Source>
    <b:Tag>Bra069</b:Tag>
    <b:SourceType>JournalArticle</b:SourceType>
    <b:Guid>{EECAD7B2-90C4-4817-AE19-E3335B71AE9D}</b:Guid>
    <b:Title>Using thematic analysis in psychology</b:Title>
    <b:Year>2006</b:Year>
    <b:Pages>77-101</b:Pages>
    <b:Author>
      <b:Author>
        <b:NameList>
          <b:Person>
            <b:Last>Braun</b:Last>
            <b:First>V.</b:First>
          </b:Person>
          <b:Person>
            <b:Last>Clarke</b:Last>
            <b:First>V.</b:First>
          </b:Person>
        </b:NameList>
      </b:Author>
    </b:Author>
    <b:JournalName>Qualitative research in psychology</b:JournalName>
    <b:Volume>3</b:Volume>
    <b:Issue>2</b:Issue>
    <b:RefOrder>28</b:RefOrder>
  </b:Source>
</b:Sources>
</file>

<file path=customXml/itemProps1.xml><?xml version="1.0" encoding="utf-8"?>
<ds:datastoreItem xmlns:ds="http://schemas.openxmlformats.org/officeDocument/2006/customXml" ds:itemID="{E11921FA-EFE0-4A2D-94B9-185CAD8DE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3696</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rekhabegum8@gmail.com</cp:lastModifiedBy>
  <cp:revision>2</cp:revision>
  <dcterms:created xsi:type="dcterms:W3CDTF">2025-10-30T17:06:00Z</dcterms:created>
  <dcterms:modified xsi:type="dcterms:W3CDTF">2025-10-30T17:06:00Z</dcterms:modified>
</cp:coreProperties>
</file>