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BE025" w14:textId="77777777" w:rsidR="00BC5836" w:rsidRDefault="00BC5836"/>
    <w:p w14:paraId="5E76A802" w14:textId="12AF2F3B" w:rsidR="00006A48" w:rsidRDefault="00006A48" w:rsidP="00006A48">
      <w:pPr>
        <w:jc w:val="center"/>
      </w:pPr>
      <w:r w:rsidRPr="00767F2D">
        <w:drawing>
          <wp:inline distT="0" distB="0" distL="0" distR="0" wp14:anchorId="65B3B596" wp14:editId="3A4A1C73">
            <wp:extent cx="2133600" cy="1784274"/>
            <wp:effectExtent l="0" t="0" r="0" b="6985"/>
            <wp:docPr id="5" name="Picture 4">
              <a:extLst xmlns:a="http://schemas.openxmlformats.org/drawingml/2006/main">
                <a:ext uri="{FF2B5EF4-FFF2-40B4-BE49-F238E27FC236}">
                  <a16:creationId xmlns:a16="http://schemas.microsoft.com/office/drawing/2014/main" id="{2A5EE93B-57C9-BB31-54AC-AD29E93AB0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A5EE93B-57C9-BB31-54AC-AD29E93AB097}"/>
                        </a:ext>
                      </a:extLst>
                    </pic:cNvPr>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133600" cy="1784274"/>
                    </a:xfrm>
                    <a:prstGeom prst="rect">
                      <a:avLst/>
                    </a:prstGeom>
                  </pic:spPr>
                </pic:pic>
              </a:graphicData>
            </a:graphic>
          </wp:inline>
        </w:drawing>
      </w:r>
    </w:p>
    <w:p w14:paraId="583A6543" w14:textId="56C7D0F2" w:rsidR="00006A48" w:rsidRDefault="00006A48" w:rsidP="00006A48">
      <w:pPr>
        <w:jc w:val="center"/>
      </w:pPr>
    </w:p>
    <w:p w14:paraId="46723859" w14:textId="77777777" w:rsidR="00F10DE3" w:rsidRDefault="00F10DE3" w:rsidP="00415943">
      <w:pPr>
        <w:spacing w:line="360" w:lineRule="auto"/>
        <w:jc w:val="center"/>
        <w:rPr>
          <w:rFonts w:ascii="Arial" w:hAnsi="Arial" w:cs="Arial"/>
          <w:sz w:val="22"/>
          <w:szCs w:val="22"/>
        </w:rPr>
      </w:pPr>
    </w:p>
    <w:p w14:paraId="492F2491" w14:textId="6F526178" w:rsidR="00006A48" w:rsidRPr="00B606E0" w:rsidRDefault="00006A48" w:rsidP="00674B15">
      <w:pPr>
        <w:spacing w:line="360" w:lineRule="auto"/>
        <w:jc w:val="center"/>
        <w:rPr>
          <w:rFonts w:ascii="Arial" w:hAnsi="Arial" w:cs="Arial"/>
          <w:sz w:val="22"/>
          <w:szCs w:val="22"/>
        </w:rPr>
      </w:pPr>
      <w:r w:rsidRPr="00B606E0">
        <w:rPr>
          <w:rFonts w:ascii="Arial" w:hAnsi="Arial" w:cs="Arial"/>
          <w:sz w:val="22"/>
          <w:szCs w:val="22"/>
        </w:rPr>
        <w:t>Student Name: Noreen Akhtar</w:t>
      </w:r>
    </w:p>
    <w:p w14:paraId="305CC854" w14:textId="77777777" w:rsidR="000837B0" w:rsidRPr="00B606E0" w:rsidRDefault="00006A48" w:rsidP="00674B15">
      <w:pPr>
        <w:spacing w:line="360" w:lineRule="auto"/>
        <w:jc w:val="center"/>
        <w:rPr>
          <w:rFonts w:ascii="Arial" w:hAnsi="Arial" w:cs="Arial"/>
          <w:sz w:val="22"/>
          <w:szCs w:val="22"/>
        </w:rPr>
      </w:pPr>
      <w:r w:rsidRPr="00B606E0">
        <w:rPr>
          <w:rFonts w:ascii="Arial" w:hAnsi="Arial" w:cs="Arial"/>
          <w:sz w:val="22"/>
          <w:szCs w:val="22"/>
        </w:rPr>
        <w:t>Student ID: 2329201</w:t>
      </w:r>
    </w:p>
    <w:p w14:paraId="44176820" w14:textId="21481DBF" w:rsidR="000837B0" w:rsidRPr="00B606E0" w:rsidRDefault="000553FE" w:rsidP="00674B15">
      <w:pPr>
        <w:spacing w:line="360" w:lineRule="auto"/>
        <w:jc w:val="center"/>
        <w:rPr>
          <w:rFonts w:ascii="Arial" w:hAnsi="Arial" w:cs="Arial"/>
          <w:b/>
          <w:bCs/>
          <w:sz w:val="22"/>
          <w:szCs w:val="22"/>
        </w:rPr>
      </w:pPr>
      <w:r w:rsidRPr="00B606E0">
        <w:rPr>
          <w:rFonts w:ascii="Arial" w:hAnsi="Arial" w:cs="Arial"/>
          <w:sz w:val="22"/>
          <w:szCs w:val="22"/>
        </w:rPr>
        <w:t xml:space="preserve">Module: </w:t>
      </w:r>
      <w:r w:rsidR="000837B0" w:rsidRPr="00B606E0">
        <w:rPr>
          <w:rFonts w:ascii="Arial" w:hAnsi="Arial" w:cs="Arial"/>
          <w:sz w:val="22"/>
          <w:szCs w:val="22"/>
        </w:rPr>
        <w:t>Psychological Classifications and Provisions</w:t>
      </w:r>
    </w:p>
    <w:p w14:paraId="4157C69F" w14:textId="108ED6BB" w:rsidR="00006A48" w:rsidRPr="00B606E0" w:rsidRDefault="00006A48" w:rsidP="00674B15">
      <w:pPr>
        <w:spacing w:line="360" w:lineRule="auto"/>
        <w:jc w:val="center"/>
        <w:rPr>
          <w:rFonts w:ascii="Arial" w:hAnsi="Arial" w:cs="Arial"/>
          <w:sz w:val="22"/>
          <w:szCs w:val="22"/>
        </w:rPr>
      </w:pPr>
      <w:r w:rsidRPr="00B606E0">
        <w:rPr>
          <w:rFonts w:ascii="Arial" w:hAnsi="Arial" w:cs="Arial"/>
          <w:sz w:val="22"/>
          <w:szCs w:val="22"/>
        </w:rPr>
        <w:t>Module Name:</w:t>
      </w:r>
      <w:r w:rsidR="003F3424" w:rsidRPr="00B606E0">
        <w:rPr>
          <w:rFonts w:ascii="Arial" w:hAnsi="Arial" w:cs="Arial"/>
          <w:sz w:val="22"/>
          <w:szCs w:val="22"/>
        </w:rPr>
        <w:t xml:space="preserve"> </w:t>
      </w:r>
      <w:r w:rsidR="000918CA" w:rsidRPr="00B606E0">
        <w:rPr>
          <w:rFonts w:ascii="Arial" w:hAnsi="Arial" w:cs="Arial"/>
          <w:sz w:val="22"/>
          <w:szCs w:val="22"/>
        </w:rPr>
        <w:t>Component</w:t>
      </w:r>
      <w:r w:rsidRPr="00B606E0">
        <w:rPr>
          <w:rFonts w:ascii="Arial" w:hAnsi="Arial" w:cs="Arial"/>
          <w:sz w:val="22"/>
          <w:szCs w:val="22"/>
        </w:rPr>
        <w:t xml:space="preserve"> </w:t>
      </w:r>
      <w:r w:rsidR="003F3424" w:rsidRPr="00B606E0">
        <w:rPr>
          <w:rFonts w:ascii="Arial" w:hAnsi="Arial" w:cs="Arial"/>
          <w:sz w:val="22"/>
          <w:szCs w:val="22"/>
        </w:rPr>
        <w:t xml:space="preserve">2 </w:t>
      </w:r>
      <w:r w:rsidR="003B7106" w:rsidRPr="00B606E0">
        <w:rPr>
          <w:rFonts w:ascii="Arial" w:hAnsi="Arial" w:cs="Arial"/>
          <w:sz w:val="22"/>
          <w:szCs w:val="22"/>
        </w:rPr>
        <w:t>written report.</w:t>
      </w:r>
    </w:p>
    <w:p w14:paraId="798E2B18" w14:textId="77777777" w:rsidR="00415943" w:rsidRPr="00B606E0" w:rsidRDefault="00E62830" w:rsidP="00674B15">
      <w:pPr>
        <w:spacing w:line="360" w:lineRule="auto"/>
        <w:jc w:val="center"/>
        <w:rPr>
          <w:rFonts w:ascii="Arial" w:hAnsi="Arial" w:cs="Arial"/>
          <w:sz w:val="22"/>
          <w:szCs w:val="22"/>
        </w:rPr>
      </w:pPr>
      <w:r w:rsidRPr="00B606E0">
        <w:rPr>
          <w:rFonts w:ascii="Arial" w:hAnsi="Arial" w:cs="Arial"/>
          <w:sz w:val="22"/>
          <w:szCs w:val="22"/>
        </w:rPr>
        <w:t>Module Code: BMHP6029</w:t>
      </w:r>
    </w:p>
    <w:p w14:paraId="005C937B" w14:textId="375CAE0E" w:rsidR="007D0AEA" w:rsidRPr="00B606E0" w:rsidRDefault="007D0AEA" w:rsidP="00674B15">
      <w:pPr>
        <w:spacing w:line="360" w:lineRule="auto"/>
        <w:jc w:val="center"/>
        <w:rPr>
          <w:rFonts w:ascii="Arial" w:hAnsi="Arial" w:cs="Arial"/>
          <w:sz w:val="22"/>
          <w:szCs w:val="22"/>
        </w:rPr>
      </w:pPr>
      <w:r w:rsidRPr="00B606E0">
        <w:rPr>
          <w:rFonts w:ascii="Arial" w:hAnsi="Arial" w:cs="Arial"/>
          <w:sz w:val="22"/>
          <w:szCs w:val="22"/>
        </w:rPr>
        <w:t>Lecturer: Kennedy Obohwemu</w:t>
      </w:r>
    </w:p>
    <w:p w14:paraId="65EF7DAC" w14:textId="31A3AA60" w:rsidR="00415943" w:rsidRPr="00B606E0" w:rsidRDefault="00B20542" w:rsidP="00674B15">
      <w:pPr>
        <w:spacing w:line="360" w:lineRule="auto"/>
        <w:jc w:val="center"/>
        <w:rPr>
          <w:rFonts w:ascii="Arial" w:hAnsi="Arial" w:cs="Arial"/>
          <w:sz w:val="22"/>
          <w:szCs w:val="22"/>
        </w:rPr>
      </w:pPr>
      <w:r w:rsidRPr="00B606E0">
        <w:rPr>
          <w:rFonts w:ascii="Arial" w:hAnsi="Arial" w:cs="Arial"/>
          <w:bCs/>
          <w:sz w:val="22"/>
          <w:szCs w:val="22"/>
        </w:rPr>
        <w:t>Assignment Title</w:t>
      </w:r>
      <w:r w:rsidRPr="00B606E0">
        <w:rPr>
          <w:rFonts w:ascii="Arial" w:hAnsi="Arial" w:cs="Arial"/>
          <w:b/>
          <w:sz w:val="22"/>
          <w:szCs w:val="22"/>
        </w:rPr>
        <w:t>:</w:t>
      </w:r>
      <w:r w:rsidRPr="00B606E0">
        <w:rPr>
          <w:rFonts w:ascii="Arial" w:hAnsi="Arial" w:cs="Arial"/>
          <w:b/>
          <w:sz w:val="22"/>
          <w:szCs w:val="22"/>
        </w:rPr>
        <w:t xml:space="preserve"> </w:t>
      </w:r>
      <w:r w:rsidR="00E62830" w:rsidRPr="00B606E0">
        <w:rPr>
          <w:rFonts w:ascii="Arial" w:hAnsi="Arial" w:cs="Arial"/>
          <w:sz w:val="22"/>
          <w:szCs w:val="22"/>
        </w:rPr>
        <w:t xml:space="preserve">Component 2 written </w:t>
      </w:r>
      <w:r w:rsidR="000837B0" w:rsidRPr="00B606E0">
        <w:rPr>
          <w:rFonts w:ascii="Arial" w:hAnsi="Arial" w:cs="Arial"/>
          <w:sz w:val="22"/>
          <w:szCs w:val="22"/>
        </w:rPr>
        <w:t>report.</w:t>
      </w:r>
    </w:p>
    <w:p w14:paraId="2F92F13C" w14:textId="2FD59232" w:rsidR="00D43C40" w:rsidRPr="00B606E0" w:rsidRDefault="000837B0" w:rsidP="00674B15">
      <w:pPr>
        <w:spacing w:line="360" w:lineRule="auto"/>
        <w:jc w:val="center"/>
        <w:rPr>
          <w:rFonts w:ascii="Arial" w:hAnsi="Arial" w:cs="Arial"/>
          <w:sz w:val="22"/>
          <w:szCs w:val="22"/>
        </w:rPr>
      </w:pPr>
      <w:r w:rsidRPr="00B606E0">
        <w:rPr>
          <w:rFonts w:ascii="Arial" w:hAnsi="Arial" w:cs="Arial"/>
          <w:sz w:val="22"/>
          <w:szCs w:val="22"/>
        </w:rPr>
        <w:t>Binge</w:t>
      </w:r>
      <w:r w:rsidR="00D43C40" w:rsidRPr="00B606E0">
        <w:rPr>
          <w:rFonts w:ascii="Arial" w:hAnsi="Arial" w:cs="Arial"/>
          <w:sz w:val="22"/>
          <w:szCs w:val="22"/>
        </w:rPr>
        <w:t xml:space="preserve"> Eating Disorder: Classification, Diagnosis, Treatment, Rehabilitation and Contemporary Debates</w:t>
      </w:r>
    </w:p>
    <w:p w14:paraId="5F6B9980" w14:textId="796FF951" w:rsidR="00006A48" w:rsidRPr="00B606E0" w:rsidRDefault="00006A48" w:rsidP="00B606E0">
      <w:pPr>
        <w:spacing w:line="360" w:lineRule="auto"/>
        <w:jc w:val="both"/>
        <w:rPr>
          <w:rFonts w:ascii="Arial" w:hAnsi="Arial" w:cs="Arial"/>
          <w:sz w:val="22"/>
          <w:szCs w:val="22"/>
        </w:rPr>
      </w:pPr>
    </w:p>
    <w:p w14:paraId="3DECB83D" w14:textId="77777777" w:rsidR="00006A48" w:rsidRPr="00B606E0" w:rsidRDefault="00006A48" w:rsidP="00B606E0">
      <w:pPr>
        <w:spacing w:line="360" w:lineRule="auto"/>
        <w:jc w:val="both"/>
        <w:rPr>
          <w:rFonts w:ascii="Arial" w:hAnsi="Arial" w:cs="Arial"/>
          <w:sz w:val="22"/>
          <w:szCs w:val="22"/>
        </w:rPr>
      </w:pPr>
    </w:p>
    <w:p w14:paraId="2B0D2E56" w14:textId="77777777" w:rsidR="00006A48" w:rsidRPr="00B606E0" w:rsidRDefault="00006A48" w:rsidP="00B606E0">
      <w:pPr>
        <w:spacing w:line="360" w:lineRule="auto"/>
        <w:jc w:val="both"/>
        <w:rPr>
          <w:rFonts w:ascii="Arial" w:hAnsi="Arial" w:cs="Arial"/>
          <w:sz w:val="22"/>
          <w:szCs w:val="22"/>
        </w:rPr>
      </w:pPr>
    </w:p>
    <w:p w14:paraId="160892FD" w14:textId="77777777" w:rsidR="00006A48" w:rsidRPr="00B606E0" w:rsidRDefault="00006A48" w:rsidP="00B606E0">
      <w:pPr>
        <w:spacing w:line="360" w:lineRule="auto"/>
        <w:jc w:val="both"/>
        <w:rPr>
          <w:rFonts w:ascii="Arial" w:hAnsi="Arial" w:cs="Arial"/>
          <w:sz w:val="22"/>
          <w:szCs w:val="22"/>
        </w:rPr>
      </w:pPr>
    </w:p>
    <w:p w14:paraId="103FBC65" w14:textId="77777777" w:rsidR="00006A48" w:rsidRPr="00B606E0" w:rsidRDefault="00006A48" w:rsidP="00B606E0">
      <w:pPr>
        <w:spacing w:line="360" w:lineRule="auto"/>
        <w:jc w:val="both"/>
        <w:rPr>
          <w:rFonts w:ascii="Arial" w:hAnsi="Arial" w:cs="Arial"/>
          <w:sz w:val="22"/>
          <w:szCs w:val="22"/>
        </w:rPr>
      </w:pPr>
    </w:p>
    <w:p w14:paraId="2CBBBB69" w14:textId="77777777" w:rsidR="00006A48" w:rsidRPr="00B606E0" w:rsidRDefault="00006A48" w:rsidP="00B606E0">
      <w:pPr>
        <w:spacing w:line="360" w:lineRule="auto"/>
        <w:jc w:val="both"/>
        <w:rPr>
          <w:rFonts w:ascii="Arial" w:hAnsi="Arial" w:cs="Arial"/>
          <w:sz w:val="22"/>
          <w:szCs w:val="22"/>
        </w:rPr>
      </w:pPr>
    </w:p>
    <w:p w14:paraId="6F419390" w14:textId="77777777" w:rsidR="00006A48" w:rsidRPr="00B606E0" w:rsidRDefault="00006A48" w:rsidP="00B606E0">
      <w:pPr>
        <w:spacing w:line="360" w:lineRule="auto"/>
        <w:jc w:val="both"/>
        <w:rPr>
          <w:rFonts w:ascii="Arial" w:hAnsi="Arial" w:cs="Arial"/>
          <w:sz w:val="22"/>
          <w:szCs w:val="22"/>
        </w:rPr>
      </w:pPr>
    </w:p>
    <w:p w14:paraId="0744A461" w14:textId="77777777" w:rsidR="00006A48" w:rsidRPr="00B606E0" w:rsidRDefault="00006A48" w:rsidP="00B606E0">
      <w:pPr>
        <w:spacing w:line="360" w:lineRule="auto"/>
        <w:jc w:val="both"/>
        <w:rPr>
          <w:rFonts w:ascii="Arial" w:hAnsi="Arial" w:cs="Arial"/>
          <w:sz w:val="22"/>
          <w:szCs w:val="22"/>
        </w:rPr>
      </w:pPr>
    </w:p>
    <w:p w14:paraId="3DD6A3AD" w14:textId="77777777" w:rsidR="00006A48" w:rsidRPr="00B606E0" w:rsidRDefault="00006A48" w:rsidP="00B606E0">
      <w:pPr>
        <w:spacing w:line="360" w:lineRule="auto"/>
        <w:jc w:val="both"/>
        <w:rPr>
          <w:rFonts w:ascii="Arial" w:hAnsi="Arial" w:cs="Arial"/>
          <w:sz w:val="22"/>
          <w:szCs w:val="22"/>
        </w:rPr>
      </w:pPr>
    </w:p>
    <w:p w14:paraId="18D4D304" w14:textId="39B22796" w:rsidR="00D43C40" w:rsidRDefault="00D43C40" w:rsidP="00B606E0">
      <w:pPr>
        <w:spacing w:line="360" w:lineRule="auto"/>
        <w:jc w:val="both"/>
        <w:rPr>
          <w:rFonts w:ascii="Arial" w:hAnsi="Arial" w:cs="Arial"/>
          <w:sz w:val="22"/>
          <w:szCs w:val="22"/>
        </w:rPr>
      </w:pPr>
    </w:p>
    <w:p w14:paraId="6E3BDC94" w14:textId="77777777" w:rsidR="00B606E0" w:rsidRPr="00B606E0" w:rsidRDefault="00B606E0" w:rsidP="00B606E0">
      <w:pPr>
        <w:spacing w:line="360" w:lineRule="auto"/>
        <w:jc w:val="both"/>
        <w:rPr>
          <w:rFonts w:ascii="Arial" w:hAnsi="Arial" w:cs="Arial"/>
          <w:sz w:val="22"/>
          <w:szCs w:val="22"/>
        </w:rPr>
      </w:pPr>
    </w:p>
    <w:sdt>
      <w:sdtPr>
        <w:rPr>
          <w:rFonts w:ascii="Arial" w:hAnsi="Arial" w:cs="Arial"/>
          <w:sz w:val="22"/>
          <w:szCs w:val="22"/>
        </w:rPr>
        <w:id w:val="-1564245138"/>
        <w:docPartObj>
          <w:docPartGallery w:val="Table of Contents"/>
          <w:docPartUnique/>
        </w:docPartObj>
      </w:sdtPr>
      <w:sdtEndPr>
        <w:rPr>
          <w:rFonts w:eastAsiaTheme="minorHAnsi"/>
          <w:b/>
          <w:bCs/>
          <w:noProof/>
          <w:color w:val="auto"/>
          <w:kern w:val="2"/>
          <w:lang w:val="en-GB"/>
          <w14:ligatures w14:val="standardContextual"/>
        </w:rPr>
      </w:sdtEndPr>
      <w:sdtContent>
        <w:p w14:paraId="30264539" w14:textId="77777777" w:rsidR="00715D4B" w:rsidRPr="00B606E0" w:rsidRDefault="00715D4B" w:rsidP="00B606E0">
          <w:pPr>
            <w:pStyle w:val="TOCHeading"/>
            <w:spacing w:line="360" w:lineRule="auto"/>
            <w:jc w:val="both"/>
            <w:rPr>
              <w:rFonts w:ascii="Arial" w:hAnsi="Arial" w:cs="Arial"/>
              <w:sz w:val="22"/>
              <w:szCs w:val="22"/>
            </w:rPr>
          </w:pPr>
          <w:r w:rsidRPr="00B606E0">
            <w:rPr>
              <w:rFonts w:ascii="Arial" w:hAnsi="Arial" w:cs="Arial"/>
              <w:sz w:val="22"/>
              <w:szCs w:val="22"/>
            </w:rPr>
            <w:t>Contents</w:t>
          </w:r>
        </w:p>
        <w:p w14:paraId="1CC1626C" w14:textId="60B74451" w:rsidR="00715D4B" w:rsidRPr="00B606E0" w:rsidRDefault="00715D4B" w:rsidP="00B606E0">
          <w:pPr>
            <w:pStyle w:val="TOC2"/>
            <w:tabs>
              <w:tab w:val="right" w:leader="dot" w:pos="9016"/>
            </w:tabs>
            <w:spacing w:line="360" w:lineRule="auto"/>
            <w:jc w:val="both"/>
            <w:rPr>
              <w:rFonts w:ascii="Arial" w:hAnsi="Arial" w:cs="Arial"/>
              <w:noProof/>
              <w:kern w:val="2"/>
              <w:lang w:val="en-GB" w:eastAsia="en-GB"/>
              <w14:ligatures w14:val="standardContextual"/>
            </w:rPr>
          </w:pPr>
          <w:r w:rsidRPr="00B606E0">
            <w:rPr>
              <w:rFonts w:ascii="Arial" w:hAnsi="Arial" w:cs="Arial"/>
            </w:rPr>
            <w:fldChar w:fldCharType="begin"/>
          </w:r>
          <w:r w:rsidRPr="00B606E0">
            <w:rPr>
              <w:rFonts w:ascii="Arial" w:hAnsi="Arial" w:cs="Arial"/>
            </w:rPr>
            <w:instrText xml:space="preserve"> TOC \o "1-3" \h \z \u </w:instrText>
          </w:r>
          <w:r w:rsidRPr="00B606E0">
            <w:rPr>
              <w:rFonts w:ascii="Arial" w:hAnsi="Arial" w:cs="Arial"/>
            </w:rPr>
            <w:fldChar w:fldCharType="separate"/>
          </w:r>
          <w:hyperlink w:anchor="_Toc235908618" w:history="1">
            <w:r w:rsidRPr="00B606E0">
              <w:rPr>
                <w:rStyle w:val="Hyperlink"/>
                <w:rFonts w:ascii="Arial" w:hAnsi="Arial" w:cs="Arial"/>
                <w:noProof/>
              </w:rPr>
              <w:t>1. Introduction</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_Toc235908618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3</w:t>
            </w:r>
            <w:r w:rsidRPr="00B606E0">
              <w:rPr>
                <w:rFonts w:ascii="Arial" w:hAnsi="Arial" w:cs="Arial"/>
                <w:noProof/>
                <w:webHidden/>
              </w:rPr>
              <w:fldChar w:fldCharType="end"/>
            </w:r>
          </w:hyperlink>
        </w:p>
        <w:p w14:paraId="41E99D9B" w14:textId="2694188B" w:rsidR="00715D4B" w:rsidRPr="00B606E0" w:rsidRDefault="00715D4B" w:rsidP="00B606E0">
          <w:pPr>
            <w:pStyle w:val="TOC2"/>
            <w:tabs>
              <w:tab w:val="right" w:leader="dot" w:pos="9016"/>
            </w:tabs>
            <w:spacing w:line="360" w:lineRule="auto"/>
            <w:jc w:val="both"/>
            <w:rPr>
              <w:rFonts w:ascii="Arial" w:hAnsi="Arial" w:cs="Arial"/>
              <w:noProof/>
              <w:kern w:val="2"/>
              <w:lang w:val="en-GB" w:eastAsia="en-GB"/>
              <w14:ligatures w14:val="standardContextual"/>
            </w:rPr>
          </w:pPr>
          <w:hyperlink w:anchor="_Toc235908619" w:history="1">
            <w:r w:rsidRPr="00B606E0">
              <w:rPr>
                <w:rStyle w:val="Hyperlink"/>
                <w:rFonts w:ascii="Arial" w:hAnsi="Arial" w:cs="Arial"/>
                <w:noProof/>
              </w:rPr>
              <w:t>2. Classification and Diagnosis of Binge Eating Disorder</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_Toc235908619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4</w:t>
            </w:r>
            <w:r w:rsidRPr="00B606E0">
              <w:rPr>
                <w:rFonts w:ascii="Arial" w:hAnsi="Arial" w:cs="Arial"/>
                <w:noProof/>
                <w:webHidden/>
              </w:rPr>
              <w:fldChar w:fldCharType="end"/>
            </w:r>
          </w:hyperlink>
        </w:p>
        <w:p w14:paraId="3A500B04" w14:textId="7AF867A4"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0" w:history="1">
            <w:r w:rsidRPr="00B606E0">
              <w:rPr>
                <w:rStyle w:val="Hyperlink"/>
                <w:rFonts w:ascii="Arial" w:hAnsi="Arial" w:cs="Arial"/>
                <w:noProof/>
              </w:rPr>
              <w:t>2.1 ICD-11 Classification</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_Toc235908620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4</w:t>
            </w:r>
            <w:r w:rsidRPr="00B606E0">
              <w:rPr>
                <w:rFonts w:ascii="Arial" w:hAnsi="Arial" w:cs="Arial"/>
                <w:noProof/>
                <w:webHidden/>
              </w:rPr>
              <w:fldChar w:fldCharType="end"/>
            </w:r>
          </w:hyperlink>
        </w:p>
        <w:p w14:paraId="2BC36BC6" w14:textId="52D171C5"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1" w:history="1">
            <w:r w:rsidRPr="00B606E0">
              <w:rPr>
                <w:rStyle w:val="Hyperlink"/>
                <w:rFonts w:ascii="Arial" w:hAnsi="Arial" w:cs="Arial"/>
                <w:noProof/>
              </w:rPr>
              <w:t>2.2 Diagnostic Assessment</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_Toc235908621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4</w:t>
            </w:r>
            <w:r w:rsidRPr="00B606E0">
              <w:rPr>
                <w:rFonts w:ascii="Arial" w:hAnsi="Arial" w:cs="Arial"/>
                <w:noProof/>
                <w:webHidden/>
              </w:rPr>
              <w:fldChar w:fldCharType="end"/>
            </w:r>
          </w:hyperlink>
        </w:p>
        <w:p w14:paraId="030A642C" w14:textId="38D00B16"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2" w:history="1">
            <w:r w:rsidRPr="00B606E0">
              <w:rPr>
                <w:rStyle w:val="Hyperlink"/>
                <w:rFonts w:ascii="Arial" w:hAnsi="Arial" w:cs="Arial"/>
                <w:noProof/>
              </w:rPr>
              <w:t>2.3 Challenges in Diagnosis</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_Toc235908622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5</w:t>
            </w:r>
            <w:r w:rsidRPr="00B606E0">
              <w:rPr>
                <w:rFonts w:ascii="Arial" w:hAnsi="Arial" w:cs="Arial"/>
                <w:noProof/>
                <w:webHidden/>
              </w:rPr>
              <w:fldChar w:fldCharType="end"/>
            </w:r>
          </w:hyperlink>
        </w:p>
        <w:p w14:paraId="40B1AC46" w14:textId="3A201DAB" w:rsidR="00715D4B" w:rsidRPr="00B606E0" w:rsidRDefault="00715D4B" w:rsidP="00B606E0">
          <w:pPr>
            <w:pStyle w:val="TOC2"/>
            <w:tabs>
              <w:tab w:val="right" w:leader="dot" w:pos="9016"/>
            </w:tabs>
            <w:spacing w:line="360" w:lineRule="auto"/>
            <w:jc w:val="both"/>
            <w:rPr>
              <w:rFonts w:ascii="Arial" w:hAnsi="Arial" w:cs="Arial"/>
              <w:noProof/>
              <w:kern w:val="2"/>
              <w:lang w:val="en-GB" w:eastAsia="en-GB"/>
              <w14:ligatures w14:val="standardContextual"/>
            </w:rPr>
          </w:pPr>
          <w:hyperlink w:anchor="_Toc235908623" w:history="1">
            <w:r w:rsidRPr="00B606E0">
              <w:rPr>
                <w:rStyle w:val="Hyperlink"/>
                <w:rFonts w:ascii="Arial" w:hAnsi="Arial" w:cs="Arial"/>
                <w:noProof/>
              </w:rPr>
              <w:t>3. Legislation and Policy</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_Toc235908623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5</w:t>
            </w:r>
            <w:r w:rsidRPr="00B606E0">
              <w:rPr>
                <w:rFonts w:ascii="Arial" w:hAnsi="Arial" w:cs="Arial"/>
                <w:noProof/>
                <w:webHidden/>
              </w:rPr>
              <w:fldChar w:fldCharType="end"/>
            </w:r>
          </w:hyperlink>
        </w:p>
        <w:p w14:paraId="7B2ACD6C" w14:textId="2A0945CF" w:rsidR="00715D4B" w:rsidRPr="00B606E0" w:rsidRDefault="00715D4B" w:rsidP="00B606E0">
          <w:pPr>
            <w:pStyle w:val="TOC2"/>
            <w:tabs>
              <w:tab w:val="right" w:leader="dot" w:pos="9016"/>
            </w:tabs>
            <w:spacing w:line="360" w:lineRule="auto"/>
            <w:jc w:val="both"/>
            <w:rPr>
              <w:rFonts w:ascii="Arial" w:hAnsi="Arial" w:cs="Arial"/>
              <w:noProof/>
              <w:kern w:val="2"/>
              <w:lang w:val="en-GB" w:eastAsia="en-GB"/>
              <w14:ligatures w14:val="standardContextual"/>
            </w:rPr>
          </w:pPr>
          <w:hyperlink w:anchor="_Toc235908624" w:history="1">
            <w:r w:rsidRPr="00B606E0">
              <w:rPr>
                <w:rStyle w:val="Hyperlink"/>
                <w:rFonts w:ascii="Arial" w:hAnsi="Arial" w:cs="Arial"/>
                <w:noProof/>
              </w:rPr>
              <w:t>4. Treatment and Rehabilitation</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_Toc235908624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6</w:t>
            </w:r>
            <w:r w:rsidRPr="00B606E0">
              <w:rPr>
                <w:rFonts w:ascii="Arial" w:hAnsi="Arial" w:cs="Arial"/>
                <w:noProof/>
                <w:webHidden/>
              </w:rPr>
              <w:fldChar w:fldCharType="end"/>
            </w:r>
          </w:hyperlink>
        </w:p>
        <w:p w14:paraId="3417B0D4" w14:textId="4D512F58"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5" w:history="1">
            <w:r w:rsidRPr="00B606E0">
              <w:rPr>
                <w:rStyle w:val="Hyperlink"/>
                <w:rFonts w:ascii="Arial" w:hAnsi="Arial" w:cs="Arial"/>
                <w:noProof/>
              </w:rPr>
              <w:t>4.1 Psychological Treatments</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_Toc235908625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6</w:t>
            </w:r>
            <w:r w:rsidRPr="00B606E0">
              <w:rPr>
                <w:rFonts w:ascii="Arial" w:hAnsi="Arial" w:cs="Arial"/>
                <w:noProof/>
                <w:webHidden/>
              </w:rPr>
              <w:fldChar w:fldCharType="end"/>
            </w:r>
          </w:hyperlink>
        </w:p>
        <w:p w14:paraId="0BE793F4" w14:textId="07BB339D"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6" w:history="1">
            <w:r w:rsidRPr="00B606E0">
              <w:rPr>
                <w:rStyle w:val="Hyperlink"/>
                <w:rFonts w:ascii="Arial" w:hAnsi="Arial" w:cs="Arial"/>
                <w:noProof/>
              </w:rPr>
              <w:t>4.2 Pharmacological Treatment</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_Toc235908626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7</w:t>
            </w:r>
            <w:r w:rsidRPr="00B606E0">
              <w:rPr>
                <w:rFonts w:ascii="Arial" w:hAnsi="Arial" w:cs="Arial"/>
                <w:noProof/>
                <w:webHidden/>
              </w:rPr>
              <w:fldChar w:fldCharType="end"/>
            </w:r>
          </w:hyperlink>
        </w:p>
        <w:p w14:paraId="4E23B070" w14:textId="2D537B92" w:rsidR="00715D4B" w:rsidRPr="00B606E0" w:rsidRDefault="00715D4B" w:rsidP="00B606E0">
          <w:pPr>
            <w:pStyle w:val="TOC2"/>
            <w:tabs>
              <w:tab w:val="right" w:leader="dot" w:pos="9016"/>
            </w:tabs>
            <w:spacing w:line="360" w:lineRule="auto"/>
            <w:jc w:val="both"/>
            <w:rPr>
              <w:rFonts w:ascii="Arial" w:hAnsi="Arial" w:cs="Arial"/>
              <w:noProof/>
              <w:kern w:val="2"/>
              <w:lang w:val="en-GB" w:eastAsia="en-GB"/>
              <w14:ligatures w14:val="standardContextual"/>
            </w:rPr>
          </w:pPr>
          <w:hyperlink w:anchor="_Toc235908627" w:history="1">
            <w:r w:rsidRPr="00B606E0">
              <w:rPr>
                <w:rStyle w:val="Hyperlink"/>
                <w:rFonts w:ascii="Arial" w:hAnsi="Arial" w:cs="Arial"/>
                <w:noProof/>
              </w:rPr>
              <w:t>5. Treatment and Rehabilitation</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_Toc235908627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7</w:t>
            </w:r>
            <w:r w:rsidRPr="00B606E0">
              <w:rPr>
                <w:rFonts w:ascii="Arial" w:hAnsi="Arial" w:cs="Arial"/>
                <w:noProof/>
                <w:webHidden/>
              </w:rPr>
              <w:fldChar w:fldCharType="end"/>
            </w:r>
          </w:hyperlink>
        </w:p>
        <w:p w14:paraId="4A348663" w14:textId="1A9D7B9B"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8" w:history="1">
            <w:r w:rsidRPr="00B606E0">
              <w:rPr>
                <w:rStyle w:val="Hyperlink"/>
                <w:rFonts w:ascii="Arial" w:hAnsi="Arial" w:cs="Arial"/>
                <w:noProof/>
              </w:rPr>
              <w:t>5.1 Multidisciplinary Rehabilitation Approaches</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_Toc235908628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7</w:t>
            </w:r>
            <w:r w:rsidRPr="00B606E0">
              <w:rPr>
                <w:rFonts w:ascii="Arial" w:hAnsi="Arial" w:cs="Arial"/>
                <w:noProof/>
                <w:webHidden/>
              </w:rPr>
              <w:fldChar w:fldCharType="end"/>
            </w:r>
          </w:hyperlink>
        </w:p>
        <w:p w14:paraId="5C146BAA" w14:textId="3A8A2050"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29" w:history="1">
            <w:r w:rsidRPr="00B606E0">
              <w:rPr>
                <w:rStyle w:val="Hyperlink"/>
                <w:rFonts w:ascii="Arial" w:hAnsi="Arial" w:cs="Arial"/>
                <w:noProof/>
              </w:rPr>
              <w:t>5.2 Effectiveness and Limitations of Current Treatments</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_Toc235908629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7</w:t>
            </w:r>
            <w:r w:rsidRPr="00B606E0">
              <w:rPr>
                <w:rFonts w:ascii="Arial" w:hAnsi="Arial" w:cs="Arial"/>
                <w:noProof/>
                <w:webHidden/>
              </w:rPr>
              <w:fldChar w:fldCharType="end"/>
            </w:r>
          </w:hyperlink>
        </w:p>
        <w:p w14:paraId="16734196" w14:textId="73068DD8" w:rsidR="00715D4B" w:rsidRPr="00B606E0" w:rsidRDefault="00715D4B" w:rsidP="00B606E0">
          <w:pPr>
            <w:pStyle w:val="TOC2"/>
            <w:tabs>
              <w:tab w:val="right" w:leader="dot" w:pos="9016"/>
            </w:tabs>
            <w:spacing w:line="360" w:lineRule="auto"/>
            <w:jc w:val="both"/>
            <w:rPr>
              <w:rFonts w:ascii="Arial" w:hAnsi="Arial" w:cs="Arial"/>
              <w:noProof/>
              <w:kern w:val="2"/>
              <w:lang w:val="en-GB" w:eastAsia="en-GB"/>
              <w14:ligatures w14:val="standardContextual"/>
            </w:rPr>
          </w:pPr>
          <w:hyperlink w:anchor="_Toc235908630" w:history="1">
            <w:r w:rsidRPr="00B606E0">
              <w:rPr>
                <w:rStyle w:val="Hyperlink"/>
                <w:rFonts w:ascii="Arial" w:hAnsi="Arial" w:cs="Arial"/>
                <w:noProof/>
              </w:rPr>
              <w:t>6. Current Debates and Emerging Issues</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_Toc235908630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8</w:t>
            </w:r>
            <w:r w:rsidRPr="00B606E0">
              <w:rPr>
                <w:rFonts w:ascii="Arial" w:hAnsi="Arial" w:cs="Arial"/>
                <w:noProof/>
                <w:webHidden/>
              </w:rPr>
              <w:fldChar w:fldCharType="end"/>
            </w:r>
          </w:hyperlink>
        </w:p>
        <w:p w14:paraId="5EA7CF63" w14:textId="10FE65C9" w:rsidR="00715D4B" w:rsidRPr="00B606E0" w:rsidRDefault="00715D4B" w:rsidP="00B606E0">
          <w:pPr>
            <w:pStyle w:val="TOC3"/>
            <w:tabs>
              <w:tab w:val="right" w:leader="dot" w:pos="9016"/>
            </w:tabs>
            <w:spacing w:line="360" w:lineRule="auto"/>
            <w:jc w:val="both"/>
            <w:rPr>
              <w:rFonts w:ascii="Arial" w:hAnsi="Arial" w:cs="Arial"/>
              <w:noProof/>
              <w:kern w:val="2"/>
              <w:lang w:val="en-GB" w:eastAsia="en-GB"/>
              <w14:ligatures w14:val="standardContextual"/>
            </w:rPr>
          </w:pPr>
          <w:hyperlink w:anchor="_Toc235908631" w:history="1">
            <w:r w:rsidRPr="00B606E0">
              <w:rPr>
                <w:rStyle w:val="Hyperlink"/>
                <w:rFonts w:ascii="Arial" w:hAnsi="Arial" w:cs="Arial"/>
                <w:noProof/>
              </w:rPr>
              <w:t>6.</w:t>
            </w:r>
            <w:r w:rsidRPr="00B606E0">
              <w:rPr>
                <w:rStyle w:val="Hyperlink"/>
                <w:rFonts w:ascii="Arial" w:hAnsi="Arial" w:cs="Arial"/>
                <w:noProof/>
                <w:spacing w:val="15"/>
              </w:rPr>
              <w:t>1 Classification Debate: Disorder, Behaviour or Addiction?</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_Toc235908631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8</w:t>
            </w:r>
            <w:r w:rsidRPr="00B606E0">
              <w:rPr>
                <w:rFonts w:ascii="Arial" w:hAnsi="Arial" w:cs="Arial"/>
                <w:noProof/>
                <w:webHidden/>
              </w:rPr>
              <w:fldChar w:fldCharType="end"/>
            </w:r>
          </w:hyperlink>
        </w:p>
        <w:p w14:paraId="66CBF622" w14:textId="582590F0" w:rsidR="00715D4B" w:rsidRPr="00B606E0" w:rsidRDefault="00715D4B" w:rsidP="00B606E0">
          <w:pPr>
            <w:pStyle w:val="TOC1"/>
            <w:tabs>
              <w:tab w:val="right" w:leader="dot" w:pos="9016"/>
            </w:tabs>
            <w:spacing w:line="360" w:lineRule="auto"/>
            <w:jc w:val="both"/>
            <w:rPr>
              <w:rFonts w:ascii="Arial" w:hAnsi="Arial" w:cs="Arial"/>
              <w:noProof/>
              <w:kern w:val="2"/>
              <w:lang w:val="en-GB" w:eastAsia="en-GB"/>
              <w14:ligatures w14:val="standardContextual"/>
            </w:rPr>
          </w:pPr>
          <w:hyperlink w:anchor="_Toc235908632" w:history="1">
            <w:r w:rsidRPr="00B606E0">
              <w:rPr>
                <w:rStyle w:val="Hyperlink"/>
                <w:rFonts w:ascii="Arial" w:hAnsi="Arial" w:cs="Arial"/>
                <w:noProof/>
              </w:rPr>
              <w:t>7. Recommendations</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_Toc235908632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8</w:t>
            </w:r>
            <w:r w:rsidRPr="00B606E0">
              <w:rPr>
                <w:rFonts w:ascii="Arial" w:hAnsi="Arial" w:cs="Arial"/>
                <w:noProof/>
                <w:webHidden/>
              </w:rPr>
              <w:fldChar w:fldCharType="end"/>
            </w:r>
          </w:hyperlink>
        </w:p>
        <w:p w14:paraId="39AE6924" w14:textId="1C2AB4E1" w:rsidR="00715D4B" w:rsidRPr="00B606E0" w:rsidRDefault="00715D4B" w:rsidP="00B606E0">
          <w:pPr>
            <w:pStyle w:val="TOC1"/>
            <w:tabs>
              <w:tab w:val="right" w:leader="dot" w:pos="9016"/>
            </w:tabs>
            <w:spacing w:line="360" w:lineRule="auto"/>
            <w:jc w:val="both"/>
            <w:rPr>
              <w:rFonts w:ascii="Arial" w:hAnsi="Arial" w:cs="Arial"/>
              <w:noProof/>
              <w:kern w:val="2"/>
              <w:lang w:val="en-GB" w:eastAsia="en-GB"/>
              <w14:ligatures w14:val="standardContextual"/>
            </w:rPr>
          </w:pPr>
          <w:hyperlink w:anchor="_Toc235908633" w:history="1">
            <w:r w:rsidRPr="00B606E0">
              <w:rPr>
                <w:rStyle w:val="Hyperlink"/>
                <w:rFonts w:ascii="Arial" w:hAnsi="Arial" w:cs="Arial"/>
                <w:noProof/>
              </w:rPr>
              <w:t>8. Conclusion</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_Toc235908633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9</w:t>
            </w:r>
            <w:r w:rsidRPr="00B606E0">
              <w:rPr>
                <w:rFonts w:ascii="Arial" w:hAnsi="Arial" w:cs="Arial"/>
                <w:noProof/>
                <w:webHidden/>
              </w:rPr>
              <w:fldChar w:fldCharType="end"/>
            </w:r>
          </w:hyperlink>
        </w:p>
        <w:p w14:paraId="73046E68" w14:textId="5369B2AC" w:rsidR="00715D4B" w:rsidRPr="00B606E0" w:rsidRDefault="00715D4B" w:rsidP="00B606E0">
          <w:pPr>
            <w:pStyle w:val="TOC1"/>
            <w:tabs>
              <w:tab w:val="right" w:leader="dot" w:pos="9016"/>
            </w:tabs>
            <w:spacing w:line="360" w:lineRule="auto"/>
            <w:jc w:val="both"/>
            <w:rPr>
              <w:rFonts w:ascii="Arial" w:hAnsi="Arial" w:cs="Arial"/>
              <w:noProof/>
              <w:kern w:val="2"/>
              <w:lang w:val="en-GB" w:eastAsia="en-GB"/>
              <w14:ligatures w14:val="standardContextual"/>
            </w:rPr>
          </w:pPr>
          <w:hyperlink w:anchor="_Toc235908634" w:history="1">
            <w:r w:rsidRPr="00B606E0">
              <w:rPr>
                <w:rStyle w:val="Hyperlink"/>
                <w:rFonts w:ascii="Arial" w:hAnsi="Arial" w:cs="Arial"/>
                <w:noProof/>
              </w:rPr>
              <w:t>Reference List</w:t>
            </w:r>
            <w:r w:rsidRPr="00B606E0">
              <w:rPr>
                <w:rFonts w:ascii="Arial" w:hAnsi="Arial" w:cs="Arial"/>
                <w:noProof/>
                <w:webHidden/>
              </w:rPr>
              <w:tab/>
            </w:r>
            <w:r w:rsidRPr="00B606E0">
              <w:rPr>
                <w:rFonts w:ascii="Arial" w:hAnsi="Arial" w:cs="Arial"/>
                <w:noProof/>
                <w:webHidden/>
              </w:rPr>
              <w:fldChar w:fldCharType="begin"/>
            </w:r>
            <w:r w:rsidRPr="00B606E0">
              <w:rPr>
                <w:rFonts w:ascii="Arial" w:hAnsi="Arial" w:cs="Arial"/>
                <w:noProof/>
                <w:webHidden/>
              </w:rPr>
              <w:instrText xml:space="preserve"> PAGEREF _Toc235908634 \h </w:instrText>
            </w:r>
            <w:r w:rsidRPr="00B606E0">
              <w:rPr>
                <w:rFonts w:ascii="Arial" w:hAnsi="Arial" w:cs="Arial"/>
                <w:noProof/>
                <w:webHidden/>
              </w:rPr>
            </w:r>
            <w:r w:rsidRPr="00B606E0">
              <w:rPr>
                <w:rFonts w:ascii="Arial" w:hAnsi="Arial" w:cs="Arial"/>
                <w:noProof/>
                <w:webHidden/>
              </w:rPr>
              <w:fldChar w:fldCharType="separate"/>
            </w:r>
            <w:r w:rsidR="00D0152C" w:rsidRPr="00B606E0">
              <w:rPr>
                <w:rFonts w:ascii="Arial" w:hAnsi="Arial" w:cs="Arial"/>
                <w:noProof/>
                <w:webHidden/>
              </w:rPr>
              <w:t>10</w:t>
            </w:r>
            <w:r w:rsidRPr="00B606E0">
              <w:rPr>
                <w:rFonts w:ascii="Arial" w:hAnsi="Arial" w:cs="Arial"/>
                <w:noProof/>
                <w:webHidden/>
              </w:rPr>
              <w:fldChar w:fldCharType="end"/>
            </w:r>
          </w:hyperlink>
        </w:p>
        <w:p w14:paraId="473A5913" w14:textId="70D0C49D" w:rsidR="00715D4B" w:rsidRPr="00B606E0" w:rsidRDefault="00715D4B" w:rsidP="00B606E0">
          <w:pPr>
            <w:spacing w:line="360" w:lineRule="auto"/>
            <w:jc w:val="both"/>
            <w:rPr>
              <w:rFonts w:ascii="Arial" w:hAnsi="Arial" w:cs="Arial"/>
              <w:sz w:val="22"/>
              <w:szCs w:val="22"/>
            </w:rPr>
          </w:pPr>
          <w:r w:rsidRPr="00B606E0">
            <w:rPr>
              <w:rFonts w:ascii="Arial" w:hAnsi="Arial" w:cs="Arial"/>
              <w:b/>
              <w:bCs/>
              <w:noProof/>
              <w:sz w:val="22"/>
              <w:szCs w:val="22"/>
            </w:rPr>
            <w:fldChar w:fldCharType="end"/>
          </w:r>
        </w:p>
      </w:sdtContent>
    </w:sdt>
    <w:p w14:paraId="7DEE6A09" w14:textId="59B056B5" w:rsidR="00006A48" w:rsidRPr="00B606E0" w:rsidRDefault="00006A48" w:rsidP="00B606E0">
      <w:pPr>
        <w:spacing w:line="360" w:lineRule="auto"/>
        <w:jc w:val="both"/>
        <w:rPr>
          <w:rFonts w:ascii="Arial" w:hAnsi="Arial" w:cs="Arial"/>
          <w:sz w:val="22"/>
          <w:szCs w:val="22"/>
        </w:rPr>
      </w:pPr>
    </w:p>
    <w:p w14:paraId="0A69096F" w14:textId="77777777" w:rsidR="00006A48" w:rsidRPr="00B606E0" w:rsidRDefault="00006A48" w:rsidP="00B606E0">
      <w:pPr>
        <w:spacing w:line="360" w:lineRule="auto"/>
        <w:jc w:val="both"/>
        <w:rPr>
          <w:rFonts w:ascii="Arial" w:hAnsi="Arial" w:cs="Arial"/>
          <w:sz w:val="22"/>
          <w:szCs w:val="22"/>
        </w:rPr>
      </w:pPr>
    </w:p>
    <w:p w14:paraId="3D272C50" w14:textId="77777777" w:rsidR="00006A48" w:rsidRPr="00B606E0" w:rsidRDefault="00006A48" w:rsidP="00B606E0">
      <w:pPr>
        <w:spacing w:line="360" w:lineRule="auto"/>
        <w:jc w:val="both"/>
        <w:rPr>
          <w:rFonts w:ascii="Arial" w:hAnsi="Arial" w:cs="Arial"/>
          <w:sz w:val="22"/>
          <w:szCs w:val="22"/>
        </w:rPr>
      </w:pPr>
    </w:p>
    <w:p w14:paraId="62DE2021" w14:textId="77777777" w:rsidR="00006A48" w:rsidRPr="00B606E0" w:rsidRDefault="00006A48" w:rsidP="00B606E0">
      <w:pPr>
        <w:spacing w:line="360" w:lineRule="auto"/>
        <w:jc w:val="both"/>
        <w:rPr>
          <w:rFonts w:ascii="Arial" w:hAnsi="Arial" w:cs="Arial"/>
          <w:sz w:val="22"/>
          <w:szCs w:val="22"/>
        </w:rPr>
      </w:pPr>
    </w:p>
    <w:p w14:paraId="47E7D2D4" w14:textId="58222795" w:rsidR="00D0152C" w:rsidRPr="00B606E0" w:rsidRDefault="00753676" w:rsidP="00B606E0">
      <w:pPr>
        <w:pStyle w:val="Heading2"/>
        <w:spacing w:line="360" w:lineRule="auto"/>
        <w:jc w:val="both"/>
        <w:rPr>
          <w:rStyle w:val="Heading1Char"/>
          <w:rFonts w:ascii="Arial" w:hAnsi="Arial" w:cs="Arial"/>
          <w:sz w:val="22"/>
          <w:szCs w:val="22"/>
        </w:rPr>
      </w:pPr>
      <w:bookmarkStart w:id="0" w:name="_Toc235908618"/>
      <w:r w:rsidRPr="00B606E0">
        <w:rPr>
          <w:rStyle w:val="Heading1Char"/>
          <w:rFonts w:ascii="Arial" w:hAnsi="Arial" w:cs="Arial"/>
          <w:sz w:val="22"/>
          <w:szCs w:val="22"/>
        </w:rPr>
        <w:lastRenderedPageBreak/>
        <w:t xml:space="preserve">1.  </w:t>
      </w:r>
      <w:r w:rsidR="00D17CA0" w:rsidRPr="00B606E0">
        <w:rPr>
          <w:rStyle w:val="Heading1Char"/>
          <w:rFonts w:ascii="Arial" w:hAnsi="Arial" w:cs="Arial"/>
          <w:sz w:val="22"/>
          <w:szCs w:val="22"/>
        </w:rPr>
        <w:t>Introductio</w:t>
      </w:r>
      <w:bookmarkEnd w:id="0"/>
      <w:r w:rsidR="00D0152C" w:rsidRPr="00B606E0">
        <w:rPr>
          <w:rStyle w:val="Heading1Char"/>
          <w:rFonts w:ascii="Arial" w:hAnsi="Arial" w:cs="Arial"/>
          <w:sz w:val="22"/>
          <w:szCs w:val="22"/>
        </w:rPr>
        <w:t>n</w:t>
      </w:r>
    </w:p>
    <w:p w14:paraId="186A4988" w14:textId="4934898B" w:rsidR="00D0152C" w:rsidRPr="00B606E0" w:rsidRDefault="00006A48" w:rsidP="00B606E0">
      <w:pPr>
        <w:pStyle w:val="Heading2"/>
        <w:spacing w:line="360" w:lineRule="auto"/>
        <w:jc w:val="both"/>
        <w:rPr>
          <w:rFonts w:ascii="Arial" w:hAnsi="Arial" w:cs="Arial"/>
          <w:color w:val="262626" w:themeColor="text1" w:themeTint="D9"/>
          <w:sz w:val="22"/>
          <w:szCs w:val="22"/>
        </w:rPr>
      </w:pPr>
      <w:r w:rsidRPr="00B606E0">
        <w:rPr>
          <w:rFonts w:ascii="Arial" w:hAnsi="Arial" w:cs="Arial"/>
          <w:color w:val="262626" w:themeColor="text1" w:themeTint="D9"/>
          <w:sz w:val="22"/>
          <w:szCs w:val="22"/>
        </w:rPr>
        <w:t>Binge Eating Disorder (BED) is one of the most common eating disorders worldwide. It is associated with significant psychological distress, reduced quality of life, physical health difficulties and increased healthcare needs. Unlike anorexia nervosa and bulimia nervosa, BED involves repeated episodes of eating a large amount of food with a feeling of losing control, without regular compensatory behaviours such as vomiting, excessive exercise or misuse of laxatives (</w:t>
      </w:r>
      <w:r w:rsidR="00496A7E" w:rsidRPr="00B606E0">
        <w:rPr>
          <w:rFonts w:ascii="Arial" w:hAnsi="Arial" w:cs="Arial"/>
          <w:color w:val="262626" w:themeColor="text1" w:themeTint="D9"/>
          <w:sz w:val="22"/>
          <w:szCs w:val="22"/>
        </w:rPr>
        <w:t xml:space="preserve"> </w:t>
      </w:r>
      <w:r w:rsidR="00D24227" w:rsidRPr="00B606E0">
        <w:rPr>
          <w:rFonts w:ascii="Arial" w:hAnsi="Arial" w:cs="Arial"/>
          <w:color w:val="0D0D0D" w:themeColor="text1" w:themeTint="F2"/>
          <w:sz w:val="22"/>
          <w:szCs w:val="22"/>
        </w:rPr>
        <w:t>World Health Organization,</w:t>
      </w:r>
      <w:r w:rsidR="00496A7E" w:rsidRPr="00B606E0">
        <w:rPr>
          <w:rFonts w:ascii="Arial" w:hAnsi="Arial" w:cs="Arial"/>
          <w:color w:val="262626" w:themeColor="text1" w:themeTint="D9"/>
          <w:sz w:val="22"/>
          <w:szCs w:val="22"/>
        </w:rPr>
        <w:t>2019a</w:t>
      </w:r>
      <w:r w:rsidRPr="00B606E0">
        <w:rPr>
          <w:rFonts w:ascii="Arial" w:hAnsi="Arial" w:cs="Arial"/>
          <w:color w:val="262626" w:themeColor="text1" w:themeTint="D9"/>
          <w:sz w:val="22"/>
          <w:szCs w:val="22"/>
        </w:rPr>
        <w:t>).</w:t>
      </w:r>
    </w:p>
    <w:p w14:paraId="553CDC45" w14:textId="141F8627" w:rsidR="00006A48" w:rsidRPr="00B606E0" w:rsidRDefault="00006A48" w:rsidP="00B606E0">
      <w:pPr>
        <w:pStyle w:val="Heading2"/>
        <w:spacing w:line="360" w:lineRule="auto"/>
        <w:jc w:val="both"/>
        <w:rPr>
          <w:rFonts w:ascii="Arial" w:hAnsi="Arial" w:cs="Arial"/>
          <w:color w:val="262626" w:themeColor="text1" w:themeTint="D9"/>
          <w:sz w:val="22"/>
          <w:szCs w:val="22"/>
        </w:rPr>
      </w:pPr>
      <w:r w:rsidRPr="00B606E0">
        <w:rPr>
          <w:rFonts w:ascii="Arial" w:hAnsi="Arial" w:cs="Arial"/>
          <w:color w:val="262626" w:themeColor="text1" w:themeTint="D9"/>
          <w:sz w:val="22"/>
          <w:szCs w:val="22"/>
        </w:rPr>
        <w:t>BED affects individuals across different ages, genders, ethnic groups and body sizes. However, many people remain undiagnosed because eating disorders are often incorrectly associated only with low body weight. This misunderstanding has contributed to delayed assessment, limited access to treatment and increased stigma for individuals experiencing binge eating symptoms.</w:t>
      </w:r>
    </w:p>
    <w:p w14:paraId="1ADB3748" w14:textId="46F16669" w:rsidR="00006A48" w:rsidRPr="00B606E0" w:rsidRDefault="00006A48" w:rsidP="00B606E0">
      <w:pPr>
        <w:spacing w:line="360" w:lineRule="auto"/>
        <w:jc w:val="both"/>
        <w:rPr>
          <w:rFonts w:ascii="Arial" w:hAnsi="Arial" w:cs="Arial"/>
          <w:color w:val="262626" w:themeColor="text1" w:themeTint="D9"/>
          <w:sz w:val="22"/>
          <w:szCs w:val="22"/>
        </w:rPr>
      </w:pPr>
      <w:r w:rsidRPr="00B606E0">
        <w:rPr>
          <w:rFonts w:ascii="Arial" w:hAnsi="Arial" w:cs="Arial"/>
          <w:color w:val="262626" w:themeColor="text1" w:themeTint="D9"/>
          <w:sz w:val="22"/>
          <w:szCs w:val="22"/>
        </w:rPr>
        <w:t>The International Classification of Diseases 11th Revision (ICD-11) recognises BED as a distinct mental disorder within Chapter 6: Mental, Behavioural and Neurodevelopmental Disorders, under Feeding or eating disorders. This classification confirms that BED is not simply a problem of overeating or poor lifestyle choices but a condition involving significant psychological, behavioural and emotional difficulties (</w:t>
      </w:r>
      <w:r w:rsidR="00D24227" w:rsidRPr="00B606E0">
        <w:rPr>
          <w:rFonts w:ascii="Arial" w:hAnsi="Arial" w:cs="Arial"/>
          <w:color w:val="0D0D0D" w:themeColor="text1" w:themeTint="F2"/>
          <w:sz w:val="22"/>
          <w:szCs w:val="22"/>
        </w:rPr>
        <w:t xml:space="preserve">World Health </w:t>
      </w:r>
      <w:r w:rsidR="00D24227" w:rsidRPr="00B606E0">
        <w:rPr>
          <w:rFonts w:ascii="Arial" w:hAnsi="Arial" w:cs="Arial"/>
          <w:color w:val="0D0D0D" w:themeColor="text1" w:themeTint="F2"/>
          <w:sz w:val="22"/>
          <w:szCs w:val="22"/>
        </w:rPr>
        <w:t xml:space="preserve">Organization, </w:t>
      </w:r>
      <w:r w:rsidR="00496A7E" w:rsidRPr="00B606E0">
        <w:rPr>
          <w:rFonts w:ascii="Arial" w:hAnsi="Arial" w:cs="Arial"/>
          <w:color w:val="262626" w:themeColor="text1" w:themeTint="D9"/>
          <w:sz w:val="22"/>
          <w:szCs w:val="22"/>
        </w:rPr>
        <w:t>2019b</w:t>
      </w:r>
      <w:r w:rsidRPr="00B606E0">
        <w:rPr>
          <w:rFonts w:ascii="Arial" w:hAnsi="Arial" w:cs="Arial"/>
          <w:color w:val="262626" w:themeColor="text1" w:themeTint="D9"/>
          <w:sz w:val="22"/>
          <w:szCs w:val="22"/>
        </w:rPr>
        <w:t>).</w:t>
      </w:r>
    </w:p>
    <w:p w14:paraId="66E4946E" w14:textId="77777777" w:rsidR="00006A48" w:rsidRPr="00B606E0" w:rsidRDefault="00006A48" w:rsidP="00B606E0">
      <w:pPr>
        <w:spacing w:line="360" w:lineRule="auto"/>
        <w:jc w:val="both"/>
        <w:rPr>
          <w:rFonts w:ascii="Arial" w:hAnsi="Arial" w:cs="Arial"/>
          <w:color w:val="262626" w:themeColor="text1" w:themeTint="D9"/>
          <w:sz w:val="22"/>
          <w:szCs w:val="22"/>
        </w:rPr>
      </w:pPr>
      <w:r w:rsidRPr="00B606E0">
        <w:rPr>
          <w:rFonts w:ascii="Arial" w:hAnsi="Arial" w:cs="Arial"/>
          <w:color w:val="262626" w:themeColor="text1" w:themeTint="D9"/>
          <w:sz w:val="22"/>
          <w:szCs w:val="22"/>
        </w:rPr>
        <w:t>The recognition of BED in the ICD-11 has improved understanding and access to treatment. However, important debates remain regarding how BED should be classified, diagnosed and treated. Current discussions include whether BED should be understood as an eating disorder, an addiction-like condition or a response to wider social and environmental pressures. Other debates focus on the influence of neurodivergence, weight stigma and inequalities within healthcare.</w:t>
      </w:r>
    </w:p>
    <w:p w14:paraId="6A1F208B" w14:textId="1867C93B" w:rsidR="00006A48" w:rsidRPr="00B606E0" w:rsidRDefault="00006A48" w:rsidP="00B606E0">
      <w:pPr>
        <w:spacing w:line="360" w:lineRule="auto"/>
        <w:jc w:val="both"/>
        <w:rPr>
          <w:rFonts w:ascii="Arial" w:hAnsi="Arial" w:cs="Arial"/>
          <w:sz w:val="22"/>
          <w:szCs w:val="22"/>
        </w:rPr>
      </w:pPr>
      <w:r w:rsidRPr="00B606E0">
        <w:rPr>
          <w:rFonts w:ascii="Arial" w:hAnsi="Arial" w:cs="Arial"/>
          <w:color w:val="262626" w:themeColor="text1" w:themeTint="D9"/>
          <w:sz w:val="22"/>
          <w:szCs w:val="22"/>
        </w:rPr>
        <w:t>This report examines BED through the ICD-11 framework. It explores classification and diagnosis, evaluates current treatment and rehabilitation approaches, considers contemporary debates and provides recommendations for improving future clinical practice and research</w:t>
      </w:r>
      <w:r w:rsidRPr="00B606E0">
        <w:rPr>
          <w:rFonts w:ascii="Arial" w:hAnsi="Arial" w:cs="Arial"/>
          <w:sz w:val="22"/>
          <w:szCs w:val="22"/>
        </w:rPr>
        <w:t>.</w:t>
      </w:r>
    </w:p>
    <w:p w14:paraId="5A42CBE7" w14:textId="77777777" w:rsidR="00871F86" w:rsidRPr="00B606E0" w:rsidRDefault="00871F86" w:rsidP="00B606E0">
      <w:pPr>
        <w:pStyle w:val="Heading2"/>
        <w:spacing w:line="360" w:lineRule="auto"/>
        <w:jc w:val="both"/>
        <w:rPr>
          <w:rFonts w:ascii="Arial" w:hAnsi="Arial" w:cs="Arial"/>
          <w:sz w:val="22"/>
          <w:szCs w:val="22"/>
        </w:rPr>
      </w:pPr>
    </w:p>
    <w:p w14:paraId="3D0E273E" w14:textId="77777777" w:rsidR="00753676" w:rsidRPr="00B606E0" w:rsidRDefault="00753676" w:rsidP="00B606E0">
      <w:pPr>
        <w:spacing w:line="360" w:lineRule="auto"/>
        <w:jc w:val="both"/>
        <w:rPr>
          <w:rFonts w:ascii="Arial" w:hAnsi="Arial" w:cs="Arial"/>
          <w:sz w:val="22"/>
          <w:szCs w:val="22"/>
        </w:rPr>
      </w:pPr>
    </w:p>
    <w:p w14:paraId="38CCC44B" w14:textId="77777777" w:rsidR="00753676" w:rsidRPr="00B606E0" w:rsidRDefault="00753676" w:rsidP="00B606E0">
      <w:pPr>
        <w:spacing w:line="360" w:lineRule="auto"/>
        <w:jc w:val="both"/>
        <w:rPr>
          <w:rFonts w:ascii="Arial" w:hAnsi="Arial" w:cs="Arial"/>
          <w:sz w:val="22"/>
          <w:szCs w:val="22"/>
        </w:rPr>
      </w:pPr>
    </w:p>
    <w:p w14:paraId="512DB8D7" w14:textId="77777777" w:rsidR="00753676" w:rsidRPr="00B606E0" w:rsidRDefault="00753676" w:rsidP="00B606E0">
      <w:pPr>
        <w:pStyle w:val="Heading2"/>
        <w:spacing w:line="360" w:lineRule="auto"/>
        <w:jc w:val="both"/>
        <w:rPr>
          <w:rFonts w:ascii="Arial" w:hAnsi="Arial" w:cs="Arial"/>
          <w:sz w:val="22"/>
          <w:szCs w:val="22"/>
        </w:rPr>
      </w:pPr>
      <w:bookmarkStart w:id="1" w:name="_Toc235908619"/>
      <w:r w:rsidRPr="00B606E0">
        <w:rPr>
          <w:rFonts w:ascii="Arial" w:hAnsi="Arial" w:cs="Arial"/>
          <w:sz w:val="22"/>
          <w:szCs w:val="22"/>
        </w:rPr>
        <w:lastRenderedPageBreak/>
        <w:t xml:space="preserve">2.  </w:t>
      </w:r>
      <w:r w:rsidRPr="00B606E0">
        <w:rPr>
          <w:rStyle w:val="Heading1Char"/>
          <w:rFonts w:ascii="Arial" w:hAnsi="Arial" w:cs="Arial"/>
          <w:sz w:val="22"/>
          <w:szCs w:val="22"/>
        </w:rPr>
        <w:t>Classification and Diagnosis of Binge Eating Disorder</w:t>
      </w:r>
    </w:p>
    <w:p w14:paraId="08C5D47B" w14:textId="77777777" w:rsidR="00753676" w:rsidRPr="00B606E0" w:rsidRDefault="00753676" w:rsidP="00B606E0">
      <w:pPr>
        <w:pStyle w:val="Heading3"/>
        <w:spacing w:line="360" w:lineRule="auto"/>
        <w:jc w:val="both"/>
        <w:rPr>
          <w:rFonts w:ascii="Arial" w:hAnsi="Arial" w:cs="Arial"/>
          <w:sz w:val="22"/>
          <w:szCs w:val="22"/>
        </w:rPr>
      </w:pPr>
      <w:r w:rsidRPr="00B606E0">
        <w:rPr>
          <w:rFonts w:ascii="Arial" w:hAnsi="Arial" w:cs="Arial"/>
          <w:sz w:val="22"/>
          <w:szCs w:val="22"/>
        </w:rPr>
        <w:t>2.1 ICD-11 Classification</w:t>
      </w:r>
      <w:bookmarkEnd w:id="1"/>
    </w:p>
    <w:p w14:paraId="73C59145" w14:textId="5667D82B" w:rsidR="00006A48" w:rsidRPr="00B606E0" w:rsidRDefault="00006A48" w:rsidP="00B606E0">
      <w:pPr>
        <w:pStyle w:val="Heading3"/>
        <w:spacing w:line="360" w:lineRule="auto"/>
        <w:jc w:val="both"/>
        <w:rPr>
          <w:rFonts w:ascii="Arial" w:hAnsi="Arial" w:cs="Arial"/>
          <w:color w:val="0D0D0D" w:themeColor="text1" w:themeTint="F2"/>
          <w:sz w:val="22"/>
          <w:szCs w:val="22"/>
        </w:rPr>
      </w:pPr>
      <w:r w:rsidRPr="00B606E0">
        <w:rPr>
          <w:rFonts w:ascii="Arial" w:hAnsi="Arial" w:cs="Arial"/>
          <w:color w:val="0D0D0D" w:themeColor="text1" w:themeTint="F2"/>
          <w:sz w:val="22"/>
          <w:szCs w:val="22"/>
        </w:rPr>
        <w:t xml:space="preserve">BED is classified within ICD-11 as a Feeding or eating disorder. The use of the term disorder is important because it identifies BED as a condition involving clinically significant distress and impairment rather than simply describing unhealthy eating habits (World Health </w:t>
      </w:r>
      <w:r w:rsidRPr="00B606E0">
        <w:rPr>
          <w:rFonts w:ascii="Arial" w:hAnsi="Arial" w:cs="Arial"/>
          <w:color w:val="0D0D0D" w:themeColor="text1" w:themeTint="F2"/>
          <w:sz w:val="22"/>
          <w:szCs w:val="22"/>
        </w:rPr>
        <w:t>Organi</w:t>
      </w:r>
      <w:r w:rsidR="00BD6D2D" w:rsidRPr="00B606E0">
        <w:rPr>
          <w:rFonts w:ascii="Arial" w:hAnsi="Arial" w:cs="Arial"/>
          <w:color w:val="0D0D0D" w:themeColor="text1" w:themeTint="F2"/>
          <w:sz w:val="22"/>
          <w:szCs w:val="22"/>
        </w:rPr>
        <w:t>z</w:t>
      </w:r>
      <w:r w:rsidRPr="00B606E0">
        <w:rPr>
          <w:rFonts w:ascii="Arial" w:hAnsi="Arial" w:cs="Arial"/>
          <w:color w:val="0D0D0D" w:themeColor="text1" w:themeTint="F2"/>
          <w:sz w:val="22"/>
          <w:szCs w:val="22"/>
        </w:rPr>
        <w:t>ation</w:t>
      </w:r>
      <w:r w:rsidRPr="00B606E0">
        <w:rPr>
          <w:rFonts w:ascii="Arial" w:hAnsi="Arial" w:cs="Arial"/>
          <w:color w:val="0D0D0D" w:themeColor="text1" w:themeTint="F2"/>
          <w:sz w:val="22"/>
          <w:szCs w:val="22"/>
        </w:rPr>
        <w:t>, 20</w:t>
      </w:r>
      <w:r w:rsidR="005B4F42" w:rsidRPr="00B606E0">
        <w:rPr>
          <w:rFonts w:ascii="Arial" w:hAnsi="Arial" w:cs="Arial"/>
          <w:color w:val="0D0D0D" w:themeColor="text1" w:themeTint="F2"/>
          <w:sz w:val="22"/>
          <w:szCs w:val="22"/>
        </w:rPr>
        <w:t>19</w:t>
      </w:r>
      <w:r w:rsidR="00C26B61" w:rsidRPr="00B606E0">
        <w:rPr>
          <w:rFonts w:ascii="Arial" w:hAnsi="Arial" w:cs="Arial"/>
          <w:color w:val="0D0D0D" w:themeColor="text1" w:themeTint="F2"/>
          <w:sz w:val="22"/>
          <w:szCs w:val="22"/>
        </w:rPr>
        <w:t>c</w:t>
      </w:r>
      <w:r w:rsidRPr="00B606E0">
        <w:rPr>
          <w:rFonts w:ascii="Arial" w:hAnsi="Arial" w:cs="Arial"/>
          <w:color w:val="0D0D0D" w:themeColor="text1" w:themeTint="F2"/>
          <w:sz w:val="22"/>
          <w:szCs w:val="22"/>
        </w:rPr>
        <w:t>).</w:t>
      </w:r>
    </w:p>
    <w:p w14:paraId="13582749" w14:textId="380000AD" w:rsidR="00753676" w:rsidRPr="00B606E0" w:rsidRDefault="00753676" w:rsidP="00B606E0">
      <w:pPr>
        <w:spacing w:line="360" w:lineRule="auto"/>
        <w:jc w:val="both"/>
        <w:rPr>
          <w:rFonts w:ascii="Arial" w:hAnsi="Arial" w:cs="Arial"/>
          <w:sz w:val="22"/>
          <w:szCs w:val="22"/>
        </w:rPr>
      </w:pPr>
      <w:r w:rsidRPr="00B606E0">
        <w:rPr>
          <w:rFonts w:ascii="Arial" w:hAnsi="Arial" w:cs="Arial"/>
          <w:sz w:val="22"/>
          <w:szCs w:val="22"/>
        </w:rPr>
        <w:t>In the ICD-11, Binge Eating Disorder (BED</w:t>
      </w:r>
      <w:r w:rsidRPr="00B606E0">
        <w:rPr>
          <w:rFonts w:ascii="Arial" w:hAnsi="Arial" w:cs="Arial"/>
          <w:b/>
          <w:bCs/>
          <w:sz w:val="22"/>
          <w:szCs w:val="22"/>
        </w:rPr>
        <w:t>)</w:t>
      </w:r>
      <w:r w:rsidRPr="00B606E0">
        <w:rPr>
          <w:rFonts w:ascii="Arial" w:hAnsi="Arial" w:cs="Arial"/>
          <w:sz w:val="22"/>
          <w:szCs w:val="22"/>
        </w:rPr>
        <w:t xml:space="preserve"> became its own diagnosis. The changes also made the rules more flexible by recognising that binge eating can happen in different ways and by reducing strict requirements about how often episodes must happen. This helps more people get the right diagnosis and treatment (Al-Adawi et al., 2013).</w:t>
      </w:r>
    </w:p>
    <w:p w14:paraId="569FAB2A"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According to ICD-11 criteria, BED involves repeated episodes of binge eating where an individual consumes significantly more food than most people would eat in similar circumstances. These episodes are accompanied by a sense of loss of control, meaning the person feels unable to stop eating or regulate their behaviour.</w:t>
      </w:r>
    </w:p>
    <w:p w14:paraId="59113130" w14:textId="5BC4704C" w:rsidR="002A6AA6" w:rsidRPr="00B606E0" w:rsidRDefault="002A6AA6" w:rsidP="00B606E0">
      <w:pPr>
        <w:spacing w:line="360" w:lineRule="auto"/>
        <w:jc w:val="both"/>
        <w:rPr>
          <w:rFonts w:ascii="Arial" w:hAnsi="Arial" w:cs="Arial"/>
          <w:sz w:val="22"/>
          <w:szCs w:val="22"/>
        </w:rPr>
      </w:pPr>
      <w:r w:rsidRPr="00B606E0">
        <w:rPr>
          <w:rFonts w:ascii="Arial" w:hAnsi="Arial" w:cs="Arial"/>
          <w:sz w:val="22"/>
          <w:szCs w:val="22"/>
        </w:rPr>
        <w:t>(</w:t>
      </w:r>
      <w:r w:rsidRPr="00B606E0">
        <w:rPr>
          <w:rFonts w:ascii="Arial" w:hAnsi="Arial" w:cs="Arial"/>
          <w:sz w:val="22"/>
          <w:szCs w:val="22"/>
        </w:rPr>
        <w:t>Pollert et al. 2012)</w:t>
      </w:r>
      <w:r w:rsidRPr="00B606E0">
        <w:rPr>
          <w:rFonts w:ascii="Arial" w:hAnsi="Arial" w:cs="Arial"/>
          <w:sz w:val="22"/>
          <w:szCs w:val="22"/>
        </w:rPr>
        <w:t>.</w:t>
      </w:r>
      <w:r w:rsidRPr="00B606E0">
        <w:rPr>
          <w:rFonts w:ascii="Arial" w:hAnsi="Arial" w:cs="Arial"/>
          <w:sz w:val="22"/>
          <w:szCs w:val="22"/>
        </w:rPr>
        <w:t xml:space="preserve"> </w:t>
      </w:r>
      <w:r w:rsidRPr="00B606E0">
        <w:rPr>
          <w:rFonts w:ascii="Arial" w:hAnsi="Arial" w:cs="Arial"/>
          <w:sz w:val="22"/>
          <w:szCs w:val="22"/>
        </w:rPr>
        <w:t>E</w:t>
      </w:r>
      <w:r w:rsidRPr="00B606E0">
        <w:rPr>
          <w:rFonts w:ascii="Arial" w:hAnsi="Arial" w:cs="Arial"/>
          <w:sz w:val="22"/>
          <w:szCs w:val="22"/>
        </w:rPr>
        <w:t>xplain that loss of control is one of the main symptoms of binge eating disorder (BED). People with BED often feel that they cannot stop eating or control how much food they eat during a binge, even when they want to. This feeling of being out of control can happen whether they eat a very large amount of food or not. The study also found that emotions play an important role, as many people binge eat to cope with negative feelings such as stress, sadness, anxiety, or loneliness. Afterwards, they often experience guilt, shame, and emotional distress, which can increase the chances of another binge eating episode. This cycle of difficult emotions, loss of control, and binge eating can make the disorder harder to overcome and highlights why emotional wellbeing is an important part of treatment.</w:t>
      </w:r>
    </w:p>
    <w:p w14:paraId="454FA006" w14:textId="25C5EC75"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A diagnosis also requires that binge eating episodes cause significant distress or difficulties within areas such as relationships, education, employment or daily functioning. Importantly, BED does not involve regular compensatory behaviours. This distinguishes it from bulimia nervosa, where binge eating is followed by behaviours intended to prevent weight gain, such as vomiting, fasting or excessive exercise (World Health </w:t>
      </w:r>
      <w:r w:rsidRPr="00B606E0">
        <w:rPr>
          <w:rFonts w:ascii="Arial" w:hAnsi="Arial" w:cs="Arial"/>
          <w:sz w:val="22"/>
          <w:szCs w:val="22"/>
        </w:rPr>
        <w:t>Organi</w:t>
      </w:r>
      <w:r w:rsidR="00BD6D2D" w:rsidRPr="00B606E0">
        <w:rPr>
          <w:rFonts w:ascii="Arial" w:hAnsi="Arial" w:cs="Arial"/>
          <w:sz w:val="22"/>
          <w:szCs w:val="22"/>
        </w:rPr>
        <w:t>z</w:t>
      </w:r>
      <w:r w:rsidRPr="00B606E0">
        <w:rPr>
          <w:rFonts w:ascii="Arial" w:hAnsi="Arial" w:cs="Arial"/>
          <w:sz w:val="22"/>
          <w:szCs w:val="22"/>
        </w:rPr>
        <w:t>ation</w:t>
      </w:r>
      <w:r w:rsidRPr="00B606E0">
        <w:rPr>
          <w:rFonts w:ascii="Arial" w:hAnsi="Arial" w:cs="Arial"/>
          <w:sz w:val="22"/>
          <w:szCs w:val="22"/>
        </w:rPr>
        <w:t>, 2022).</w:t>
      </w:r>
    </w:p>
    <w:p w14:paraId="1ABAF274" w14:textId="79AF8C4C" w:rsidR="00006A48" w:rsidRPr="00B606E0" w:rsidRDefault="0017374F" w:rsidP="00B606E0">
      <w:pPr>
        <w:pStyle w:val="Heading3"/>
        <w:spacing w:line="360" w:lineRule="auto"/>
        <w:jc w:val="both"/>
        <w:rPr>
          <w:rFonts w:ascii="Arial" w:hAnsi="Arial" w:cs="Arial"/>
          <w:sz w:val="22"/>
          <w:szCs w:val="22"/>
        </w:rPr>
      </w:pPr>
      <w:bookmarkStart w:id="2" w:name="_Toc235908621"/>
      <w:r w:rsidRPr="00B606E0">
        <w:rPr>
          <w:rFonts w:ascii="Arial" w:hAnsi="Arial" w:cs="Arial"/>
          <w:sz w:val="22"/>
          <w:szCs w:val="22"/>
        </w:rPr>
        <w:t xml:space="preserve">2.2 </w:t>
      </w:r>
      <w:r w:rsidR="00006A48" w:rsidRPr="00B606E0">
        <w:rPr>
          <w:rFonts w:ascii="Arial" w:hAnsi="Arial" w:cs="Arial"/>
          <w:sz w:val="22"/>
          <w:szCs w:val="22"/>
        </w:rPr>
        <w:t>Diagnostic Assessment</w:t>
      </w:r>
      <w:bookmarkEnd w:id="2"/>
    </w:p>
    <w:p w14:paraId="10F411AD"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Diagnosing BED requires more than identifying episodes of overeating. Occasional overeating is common within the general population and does not automatically indicate a mental disorder. The key differences in BED are the repeated pattern of binge eating, feelings of loss of control and the emotional distress associated with the behaviour.</w:t>
      </w:r>
    </w:p>
    <w:p w14:paraId="77CD84AE" w14:textId="0FA3BBD6" w:rsidR="00CE23B1" w:rsidRPr="00B606E0" w:rsidRDefault="00CE23B1" w:rsidP="00B606E0">
      <w:pPr>
        <w:spacing w:line="360" w:lineRule="auto"/>
        <w:jc w:val="both"/>
        <w:rPr>
          <w:rFonts w:ascii="Arial" w:hAnsi="Arial" w:cs="Arial"/>
          <w:sz w:val="22"/>
          <w:szCs w:val="22"/>
        </w:rPr>
      </w:pPr>
      <w:r w:rsidRPr="00B606E0">
        <w:rPr>
          <w:rFonts w:ascii="Arial" w:hAnsi="Arial" w:cs="Arial"/>
          <w:sz w:val="22"/>
          <w:szCs w:val="22"/>
        </w:rPr>
        <w:lastRenderedPageBreak/>
        <w:t>The study looked at how well different self-report questionnaires identified binge eating disorder (BED) compared with a clinical interview, which was used as the most accurate method of diagnosis. The researchers found that the questionnaires were useful for identifying people who might have BED, but they were not as good at ruling out people who did not have the disorder. Among the questionnaires tested, the Eating Disorder Examination Questionnaire with Instructions (EDE-Q-I) gave the most accurate estimate of how often binge eating occurred. The findings suggest that self-report questionnaires are helpful as a first screening tool, but a clinical interview is still needed to make a reliable diagnosis (Reas et al</w:t>
      </w:r>
      <w:r w:rsidRPr="00B606E0">
        <w:rPr>
          <w:rFonts w:ascii="Arial" w:hAnsi="Arial" w:cs="Arial"/>
          <w:sz w:val="22"/>
          <w:szCs w:val="22"/>
        </w:rPr>
        <w:t xml:space="preserve"> </w:t>
      </w:r>
      <w:r w:rsidRPr="00B606E0">
        <w:rPr>
          <w:rFonts w:ascii="Arial" w:hAnsi="Arial" w:cs="Arial"/>
          <w:sz w:val="22"/>
          <w:szCs w:val="22"/>
        </w:rPr>
        <w:t>2004).</w:t>
      </w:r>
    </w:p>
    <w:p w14:paraId="664B9594" w14:textId="61247520"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A comprehensive assessment is particularly important because BED frequently occurs alongside other mental health conditions. Research has shown high levels of depression, anxiety disorders, substance misuse and difficulties with emotional regulation among individuals with BED </w:t>
      </w:r>
      <w:r w:rsidR="00C5231D" w:rsidRPr="00B606E0">
        <w:rPr>
          <w:rFonts w:ascii="Arial" w:hAnsi="Arial" w:cs="Arial"/>
          <w:sz w:val="22"/>
          <w:szCs w:val="22"/>
        </w:rPr>
        <w:t>(Keeley et al., 2016)</w:t>
      </w:r>
      <w:r w:rsidR="00C5231D" w:rsidRPr="00B606E0">
        <w:rPr>
          <w:rFonts w:ascii="Arial" w:hAnsi="Arial" w:cs="Arial"/>
          <w:sz w:val="22"/>
          <w:szCs w:val="22"/>
        </w:rPr>
        <w:t xml:space="preserve">. </w:t>
      </w:r>
      <w:r w:rsidRPr="00B606E0">
        <w:rPr>
          <w:rFonts w:ascii="Arial" w:hAnsi="Arial" w:cs="Arial"/>
          <w:sz w:val="22"/>
          <w:szCs w:val="22"/>
        </w:rPr>
        <w:t>These additional difficulties can increase severity and influence treatment outcomes.</w:t>
      </w:r>
    </w:p>
    <w:p w14:paraId="4A456B76" w14:textId="77777777" w:rsidR="0017374F"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BED can also occur alongside obesity, but obesity is not required for diagnosis. This is an important aspect of ICD-11 because it recognises that individuals of any body size can experience clinically significant binge eating. Separating BED from body weight reduces the risk of diagnostic bias and encourages healthcare professionals to focus on symptoms rather than appearance.</w:t>
      </w:r>
    </w:p>
    <w:p w14:paraId="7391105B" w14:textId="45482B69" w:rsidR="00006A48" w:rsidRPr="00B606E0" w:rsidRDefault="0017374F" w:rsidP="00B606E0">
      <w:pPr>
        <w:pStyle w:val="Heading3"/>
        <w:spacing w:line="360" w:lineRule="auto"/>
        <w:jc w:val="both"/>
        <w:rPr>
          <w:rFonts w:ascii="Arial" w:hAnsi="Arial" w:cs="Arial"/>
          <w:sz w:val="22"/>
          <w:szCs w:val="22"/>
        </w:rPr>
      </w:pPr>
      <w:bookmarkStart w:id="3" w:name="_Toc235908622"/>
      <w:r w:rsidRPr="00B606E0">
        <w:rPr>
          <w:rFonts w:ascii="Arial" w:hAnsi="Arial" w:cs="Arial"/>
          <w:sz w:val="22"/>
          <w:szCs w:val="22"/>
        </w:rPr>
        <w:t xml:space="preserve">2.3 </w:t>
      </w:r>
      <w:r w:rsidR="00006A48" w:rsidRPr="00B606E0">
        <w:rPr>
          <w:rFonts w:ascii="Arial" w:hAnsi="Arial" w:cs="Arial"/>
          <w:sz w:val="22"/>
          <w:szCs w:val="22"/>
        </w:rPr>
        <w:t>Challenges in Diagnosis</w:t>
      </w:r>
      <w:bookmarkEnd w:id="3"/>
    </w:p>
    <w:p w14:paraId="2FD5F24D" w14:textId="35925577" w:rsidR="006F3700"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Despite improved recognition within ICD-11, Binge Eating Disorder (BED) remains underdiagnosed because eating disorders are often incorrectly associated with low body weight. As a result, individuals in larger bodies may not receive appropriate assessment, with weight management sometimes prioritised over psychological symptoms, reinforcing shame and binge eating behaviours (World Health </w:t>
      </w:r>
      <w:r w:rsidRPr="00B606E0">
        <w:rPr>
          <w:rFonts w:ascii="Arial" w:hAnsi="Arial" w:cs="Arial"/>
          <w:sz w:val="22"/>
          <w:szCs w:val="22"/>
        </w:rPr>
        <w:t>Organi</w:t>
      </w:r>
      <w:r w:rsidR="00FC6BE9" w:rsidRPr="00B606E0">
        <w:rPr>
          <w:rFonts w:ascii="Arial" w:hAnsi="Arial" w:cs="Arial"/>
          <w:sz w:val="22"/>
          <w:szCs w:val="22"/>
        </w:rPr>
        <w:t>z</w:t>
      </w:r>
      <w:r w:rsidRPr="00B606E0">
        <w:rPr>
          <w:rFonts w:ascii="Arial" w:hAnsi="Arial" w:cs="Arial"/>
          <w:sz w:val="22"/>
          <w:szCs w:val="22"/>
        </w:rPr>
        <w:t>ation</w:t>
      </w:r>
      <w:r w:rsidRPr="00B606E0">
        <w:rPr>
          <w:rFonts w:ascii="Arial" w:hAnsi="Arial" w:cs="Arial"/>
          <w:sz w:val="22"/>
          <w:szCs w:val="22"/>
        </w:rPr>
        <w:t xml:space="preserve">, </w:t>
      </w:r>
      <w:r w:rsidR="00CE6EF9" w:rsidRPr="00B606E0">
        <w:rPr>
          <w:rFonts w:ascii="Arial" w:hAnsi="Arial" w:cs="Arial"/>
          <w:sz w:val="22"/>
          <w:szCs w:val="22"/>
        </w:rPr>
        <w:t>2019d</w:t>
      </w:r>
      <w:r w:rsidRPr="00B606E0">
        <w:rPr>
          <w:rFonts w:ascii="Arial" w:hAnsi="Arial" w:cs="Arial"/>
          <w:sz w:val="22"/>
          <w:szCs w:val="22"/>
        </w:rPr>
        <w:t xml:space="preserve">).  Emerging evidence also suggests that attention deficit hyperactivity disorder (ADHD) and autism spectrum disorder (ASD) may influence binge eating through impulsivity, emotional regulation and executive functioning difficulties. However, these conditions are considered contributing factors rather than direct causes of BED, highlighting the need for more inclusive diagnostic assessments and person-centred care </w:t>
      </w:r>
      <w:r w:rsidR="006F3700" w:rsidRPr="00B606E0">
        <w:rPr>
          <w:rFonts w:ascii="Arial" w:hAnsi="Arial" w:cs="Arial"/>
          <w:sz w:val="22"/>
          <w:szCs w:val="22"/>
        </w:rPr>
        <w:t>(Abdalla, 2019)</w:t>
      </w:r>
    </w:p>
    <w:p w14:paraId="1F2D72AA" w14:textId="3DBD38FB" w:rsidR="00006A48" w:rsidRPr="00B606E0" w:rsidRDefault="00006A48" w:rsidP="00B606E0">
      <w:pPr>
        <w:spacing w:line="360" w:lineRule="auto"/>
        <w:jc w:val="both"/>
        <w:rPr>
          <w:rFonts w:ascii="Arial" w:hAnsi="Arial" w:cs="Arial"/>
          <w:sz w:val="22"/>
          <w:szCs w:val="22"/>
        </w:rPr>
      </w:pPr>
    </w:p>
    <w:p w14:paraId="2D94A41F" w14:textId="78F85ECD" w:rsidR="00006A48" w:rsidRPr="00B606E0" w:rsidRDefault="0017374F" w:rsidP="00B606E0">
      <w:pPr>
        <w:pStyle w:val="Heading2"/>
        <w:spacing w:line="360" w:lineRule="auto"/>
        <w:jc w:val="both"/>
        <w:rPr>
          <w:rFonts w:ascii="Arial" w:hAnsi="Arial" w:cs="Arial"/>
          <w:sz w:val="22"/>
          <w:szCs w:val="22"/>
        </w:rPr>
      </w:pPr>
      <w:bookmarkStart w:id="4" w:name="_Toc235908623"/>
      <w:r w:rsidRPr="00B606E0">
        <w:rPr>
          <w:rFonts w:ascii="Arial" w:hAnsi="Arial" w:cs="Arial"/>
          <w:sz w:val="22"/>
          <w:szCs w:val="22"/>
        </w:rPr>
        <w:t xml:space="preserve">3. </w:t>
      </w:r>
      <w:r w:rsidR="00006A48" w:rsidRPr="00B606E0">
        <w:rPr>
          <w:rFonts w:ascii="Arial" w:hAnsi="Arial" w:cs="Arial"/>
          <w:sz w:val="22"/>
          <w:szCs w:val="22"/>
        </w:rPr>
        <w:t>Legislation and Policy</w:t>
      </w:r>
      <w:bookmarkEnd w:id="4"/>
    </w:p>
    <w:p w14:paraId="42BB4E60" w14:textId="49E58953" w:rsidR="00293B2C" w:rsidRPr="00B606E0" w:rsidRDefault="00006A48" w:rsidP="00B606E0">
      <w:pPr>
        <w:spacing w:line="360" w:lineRule="auto"/>
        <w:jc w:val="both"/>
        <w:rPr>
          <w:rFonts w:ascii="Arial" w:hAnsi="Arial" w:cs="Arial"/>
          <w:color w:val="0D0D0D" w:themeColor="text1" w:themeTint="F2"/>
          <w:sz w:val="22"/>
          <w:szCs w:val="22"/>
        </w:rPr>
      </w:pPr>
      <w:r w:rsidRPr="00B606E0">
        <w:rPr>
          <w:rFonts w:ascii="Arial" w:hAnsi="Arial" w:cs="Arial"/>
          <w:color w:val="0D0D0D" w:themeColor="text1" w:themeTint="F2"/>
          <w:sz w:val="22"/>
          <w:szCs w:val="22"/>
        </w:rPr>
        <w:t xml:space="preserve">The assessment and treatment of Binge Eating Disorder (BED) are supported by UK legislation and national healthcare policies that promote safe, equitable and person-centred </w:t>
      </w:r>
      <w:r w:rsidRPr="00B606E0">
        <w:rPr>
          <w:rFonts w:ascii="Arial" w:hAnsi="Arial" w:cs="Arial"/>
          <w:color w:val="0D0D0D" w:themeColor="text1" w:themeTint="F2"/>
          <w:sz w:val="22"/>
          <w:szCs w:val="22"/>
        </w:rPr>
        <w:lastRenderedPageBreak/>
        <w:t xml:space="preserve">care. Although BED is classified as a Feeding or eating disorder within the </w:t>
      </w:r>
      <w:r w:rsidRPr="00B606E0">
        <w:rPr>
          <w:rFonts w:ascii="Arial" w:hAnsi="Arial" w:cs="Arial"/>
          <w:i/>
          <w:iCs/>
          <w:color w:val="0D0D0D" w:themeColor="text1" w:themeTint="F2"/>
          <w:sz w:val="22"/>
          <w:szCs w:val="22"/>
        </w:rPr>
        <w:t xml:space="preserve">International Classification of Diseases, 11th Revision (ICD-11) </w:t>
      </w:r>
      <w:r w:rsidR="00293B2C" w:rsidRPr="00B606E0">
        <w:rPr>
          <w:rFonts w:ascii="Arial" w:hAnsi="Arial" w:cs="Arial"/>
          <w:color w:val="0D0D0D" w:themeColor="text1" w:themeTint="F2"/>
          <w:sz w:val="22"/>
          <w:szCs w:val="22"/>
        </w:rPr>
        <w:t>(World Health Organization, 2019</w:t>
      </w:r>
      <w:r w:rsidR="00CE6EF9" w:rsidRPr="00B606E0">
        <w:rPr>
          <w:rFonts w:ascii="Arial" w:hAnsi="Arial" w:cs="Arial"/>
          <w:color w:val="0D0D0D" w:themeColor="text1" w:themeTint="F2"/>
          <w:sz w:val="22"/>
          <w:szCs w:val="22"/>
        </w:rPr>
        <w:t>f</w:t>
      </w:r>
      <w:r w:rsidR="00293B2C" w:rsidRPr="00B606E0">
        <w:rPr>
          <w:rFonts w:ascii="Arial" w:hAnsi="Arial" w:cs="Arial"/>
          <w:color w:val="0D0D0D" w:themeColor="text1" w:themeTint="F2"/>
          <w:sz w:val="22"/>
          <w:szCs w:val="22"/>
        </w:rPr>
        <w:t>)</w:t>
      </w:r>
      <w:r w:rsidR="00A9070D" w:rsidRPr="00B606E0">
        <w:rPr>
          <w:rFonts w:ascii="Arial" w:hAnsi="Arial" w:cs="Arial"/>
          <w:color w:val="0D0D0D" w:themeColor="text1" w:themeTint="F2"/>
          <w:sz w:val="22"/>
          <w:szCs w:val="22"/>
        </w:rPr>
        <w:t>.</w:t>
      </w:r>
    </w:p>
    <w:p w14:paraId="3A69143A" w14:textId="3537A9ED" w:rsidR="00006A48" w:rsidRPr="00B606E0" w:rsidRDefault="00A9070D" w:rsidP="00B606E0">
      <w:pPr>
        <w:spacing w:line="360" w:lineRule="auto"/>
        <w:jc w:val="both"/>
        <w:rPr>
          <w:rFonts w:ascii="Arial" w:hAnsi="Arial" w:cs="Arial"/>
          <w:color w:val="0D0D0D" w:themeColor="text1" w:themeTint="F2"/>
          <w:sz w:val="22"/>
          <w:szCs w:val="22"/>
        </w:rPr>
      </w:pPr>
      <w:r w:rsidRPr="00B606E0">
        <w:rPr>
          <w:rFonts w:ascii="Arial" w:hAnsi="Arial" w:cs="Arial"/>
          <w:i/>
          <w:iCs/>
          <w:color w:val="0D0D0D" w:themeColor="text1" w:themeTint="F2"/>
          <w:sz w:val="22"/>
          <w:szCs w:val="22"/>
        </w:rPr>
        <w:t>Healthcare</w:t>
      </w:r>
      <w:r w:rsidR="00006A48" w:rsidRPr="00B606E0">
        <w:rPr>
          <w:rFonts w:ascii="Arial" w:hAnsi="Arial" w:cs="Arial"/>
          <w:i/>
          <w:iCs/>
          <w:color w:val="0D0D0D" w:themeColor="text1" w:themeTint="F2"/>
          <w:sz w:val="22"/>
          <w:szCs w:val="22"/>
        </w:rPr>
        <w:t xml:space="preserve"> professionals must also adhere to</w:t>
      </w:r>
      <w:r w:rsidR="00006A48" w:rsidRPr="00B606E0">
        <w:rPr>
          <w:rFonts w:ascii="Arial" w:hAnsi="Arial" w:cs="Arial"/>
          <w:color w:val="0D0D0D" w:themeColor="text1" w:themeTint="F2"/>
          <w:sz w:val="22"/>
          <w:szCs w:val="22"/>
        </w:rPr>
        <w:t xml:space="preserve"> legal and ethical frameworks that protect patients' rights.</w:t>
      </w:r>
    </w:p>
    <w:p w14:paraId="1191ADC4" w14:textId="69DC4857" w:rsidR="005B4F42"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The Mental Capacity Act 2005 provides the legal framework for assessing whether individuals can make informed decisions about their treatment. Most people with BED retain decision-making capacity; however, capacity should be assessed where severe psychological distress affects the ability to consent, with any decisions made in the person's best interests </w:t>
      </w:r>
      <w:r w:rsidR="005B4F42" w:rsidRPr="00B606E0">
        <w:rPr>
          <w:rFonts w:ascii="Arial" w:hAnsi="Arial" w:cs="Arial"/>
          <w:sz w:val="22"/>
          <w:szCs w:val="22"/>
        </w:rPr>
        <w:t>(</w:t>
      </w:r>
      <w:r w:rsidR="00587FE7" w:rsidRPr="00B606E0">
        <w:rPr>
          <w:rFonts w:ascii="Arial" w:hAnsi="Arial" w:cs="Arial"/>
          <w:sz w:val="22"/>
          <w:szCs w:val="22"/>
        </w:rPr>
        <w:t>UK Government, 2005</w:t>
      </w:r>
      <w:r w:rsidR="005B4F42" w:rsidRPr="00B606E0">
        <w:rPr>
          <w:rFonts w:ascii="Arial" w:hAnsi="Arial" w:cs="Arial"/>
          <w:sz w:val="22"/>
          <w:szCs w:val="22"/>
        </w:rPr>
        <w:t>)</w:t>
      </w:r>
      <w:r w:rsidR="00587FE7" w:rsidRPr="00B606E0">
        <w:rPr>
          <w:rFonts w:ascii="Arial" w:hAnsi="Arial" w:cs="Arial"/>
          <w:sz w:val="22"/>
          <w:szCs w:val="22"/>
        </w:rPr>
        <w:t>.</w:t>
      </w:r>
    </w:p>
    <w:p w14:paraId="3AB74D3C" w14:textId="044D32E0" w:rsidR="005B4F42"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The Equality Act 2010 protects individuals with mental health conditions from discrimination. It requires healthcare services to make reasonable adjustments to ensure equal access to assessment and treatment regardless of body size, gender, ethnicity or disability </w:t>
      </w:r>
      <w:r w:rsidR="007B332B" w:rsidRPr="00B606E0">
        <w:rPr>
          <w:rFonts w:ascii="Arial" w:hAnsi="Arial" w:cs="Arial"/>
          <w:sz w:val="22"/>
          <w:szCs w:val="22"/>
        </w:rPr>
        <w:t>(Government Equalities Office, 2011)</w:t>
      </w:r>
      <w:r w:rsidR="007B332B" w:rsidRPr="00B606E0">
        <w:rPr>
          <w:rFonts w:ascii="Arial" w:hAnsi="Arial" w:cs="Arial"/>
          <w:sz w:val="22"/>
          <w:szCs w:val="22"/>
        </w:rPr>
        <w:t>.</w:t>
      </w:r>
    </w:p>
    <w:p w14:paraId="150EBAB2" w14:textId="0FF6264B" w:rsidR="0017374F"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Clinical practice is guided by the National Institute for Health and Care Excellence (NICE) Guideline NG69, which recommends early identification, evidence-based psychological therapies such as Cognitive Behavioural Therapy (CBT), multidisciplinary care and collaborative decision-making throughout treatmen</w:t>
      </w:r>
      <w:r w:rsidR="00F563A8" w:rsidRPr="00B606E0">
        <w:rPr>
          <w:rFonts w:ascii="Arial" w:hAnsi="Arial" w:cs="Arial"/>
          <w:sz w:val="22"/>
          <w:szCs w:val="22"/>
        </w:rPr>
        <w:t xml:space="preserve">t. </w:t>
      </w:r>
      <w:r w:rsidRPr="00B606E0">
        <w:rPr>
          <w:rFonts w:ascii="Arial" w:hAnsi="Arial" w:cs="Arial"/>
          <w:sz w:val="22"/>
          <w:szCs w:val="22"/>
        </w:rPr>
        <w:t>(NICE, 20</w:t>
      </w:r>
      <w:r w:rsidR="00AC74BA" w:rsidRPr="00B606E0">
        <w:rPr>
          <w:rFonts w:ascii="Arial" w:hAnsi="Arial" w:cs="Arial"/>
          <w:sz w:val="22"/>
          <w:szCs w:val="22"/>
        </w:rPr>
        <w:t>20</w:t>
      </w:r>
      <w:r w:rsidR="00F563A8" w:rsidRPr="00B606E0">
        <w:rPr>
          <w:rFonts w:ascii="Arial" w:hAnsi="Arial" w:cs="Arial"/>
          <w:sz w:val="22"/>
          <w:szCs w:val="22"/>
        </w:rPr>
        <w:t>a</w:t>
      </w:r>
      <w:r w:rsidR="0017374F" w:rsidRPr="00B606E0">
        <w:rPr>
          <w:rFonts w:ascii="Arial" w:hAnsi="Arial" w:cs="Arial"/>
          <w:sz w:val="22"/>
          <w:szCs w:val="22"/>
        </w:rPr>
        <w:t>).</w:t>
      </w:r>
    </w:p>
    <w:p w14:paraId="341A91D0" w14:textId="77777777" w:rsidR="0017374F" w:rsidRPr="00B606E0" w:rsidRDefault="0017374F" w:rsidP="00B606E0">
      <w:pPr>
        <w:pStyle w:val="Heading2"/>
        <w:spacing w:line="360" w:lineRule="auto"/>
        <w:jc w:val="both"/>
        <w:rPr>
          <w:rFonts w:ascii="Arial" w:hAnsi="Arial" w:cs="Arial"/>
          <w:sz w:val="22"/>
          <w:szCs w:val="22"/>
        </w:rPr>
      </w:pPr>
    </w:p>
    <w:p w14:paraId="6E56878A" w14:textId="520F7964" w:rsidR="00006A48" w:rsidRPr="00B606E0" w:rsidRDefault="0017374F" w:rsidP="00B606E0">
      <w:pPr>
        <w:pStyle w:val="Heading2"/>
        <w:spacing w:line="360" w:lineRule="auto"/>
        <w:jc w:val="both"/>
        <w:rPr>
          <w:rFonts w:ascii="Arial" w:hAnsi="Arial" w:cs="Arial"/>
          <w:sz w:val="22"/>
          <w:szCs w:val="22"/>
        </w:rPr>
      </w:pPr>
      <w:bookmarkStart w:id="5" w:name="_Toc235908624"/>
      <w:r w:rsidRPr="00B606E0">
        <w:rPr>
          <w:rFonts w:ascii="Arial" w:hAnsi="Arial" w:cs="Arial"/>
          <w:sz w:val="22"/>
          <w:szCs w:val="22"/>
        </w:rPr>
        <w:t xml:space="preserve">4. </w:t>
      </w:r>
      <w:r w:rsidR="00006A48" w:rsidRPr="00B606E0">
        <w:rPr>
          <w:rFonts w:ascii="Arial" w:hAnsi="Arial" w:cs="Arial"/>
          <w:sz w:val="22"/>
          <w:szCs w:val="22"/>
        </w:rPr>
        <w:t>Treatment and Rehabilitation</w:t>
      </w:r>
      <w:bookmarkEnd w:id="5"/>
    </w:p>
    <w:p w14:paraId="089AB1FF" w14:textId="6B78F9DF" w:rsidR="00006A48" w:rsidRPr="00B606E0" w:rsidRDefault="0017374F" w:rsidP="00B606E0">
      <w:pPr>
        <w:pStyle w:val="Heading3"/>
        <w:spacing w:line="360" w:lineRule="auto"/>
        <w:jc w:val="both"/>
        <w:rPr>
          <w:rFonts w:ascii="Arial" w:hAnsi="Arial" w:cs="Arial"/>
          <w:sz w:val="22"/>
          <w:szCs w:val="22"/>
        </w:rPr>
      </w:pPr>
      <w:bookmarkStart w:id="6" w:name="_Toc235908625"/>
      <w:r w:rsidRPr="00B606E0">
        <w:rPr>
          <w:rFonts w:ascii="Arial" w:hAnsi="Arial" w:cs="Arial"/>
          <w:sz w:val="22"/>
          <w:szCs w:val="22"/>
        </w:rPr>
        <w:t xml:space="preserve">4.1 </w:t>
      </w:r>
      <w:r w:rsidR="00006A48" w:rsidRPr="00B606E0">
        <w:rPr>
          <w:rFonts w:ascii="Arial" w:hAnsi="Arial" w:cs="Arial"/>
          <w:sz w:val="22"/>
          <w:szCs w:val="22"/>
        </w:rPr>
        <w:t>Psychological Treatments</w:t>
      </w:r>
      <w:bookmarkEnd w:id="6"/>
    </w:p>
    <w:p w14:paraId="31AB36AA"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The treatment of BED requires a biopsychosocial approach that considers psychological well-being, eating behaviours, physical health and social functioning. Psychological therapies are currently considered the main evidence-based treatment approach.</w:t>
      </w:r>
    </w:p>
    <w:p w14:paraId="2446944F" w14:textId="365733AC" w:rsidR="000659EA"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Cognitive Behavioural Therapy (CBT) has the strongest evidence base for BED treatment. CBT focuses on identifying and changing unhelpful thoughts and behaviours related to food, body image and self-worth. It also helps individuals develop regular eating patterns and learn strategies to manage emotional triggers associated with binge eating </w:t>
      </w:r>
      <w:r w:rsidR="000659EA" w:rsidRPr="00B606E0">
        <w:rPr>
          <w:rFonts w:ascii="Arial" w:hAnsi="Arial" w:cs="Arial"/>
          <w:sz w:val="22"/>
          <w:szCs w:val="22"/>
        </w:rPr>
        <w:t xml:space="preserve">(Goldfein </w:t>
      </w:r>
      <w:r w:rsidR="000659EA" w:rsidRPr="00B606E0">
        <w:rPr>
          <w:rFonts w:ascii="Arial" w:hAnsi="Arial" w:cs="Arial"/>
          <w:sz w:val="22"/>
          <w:szCs w:val="22"/>
        </w:rPr>
        <w:t xml:space="preserve">et al </w:t>
      </w:r>
      <w:r w:rsidR="000659EA" w:rsidRPr="00B606E0">
        <w:rPr>
          <w:rFonts w:ascii="Arial" w:hAnsi="Arial" w:cs="Arial"/>
          <w:sz w:val="22"/>
          <w:szCs w:val="22"/>
        </w:rPr>
        <w:t>2000)</w:t>
      </w:r>
      <w:r w:rsidR="000659EA" w:rsidRPr="00B606E0">
        <w:rPr>
          <w:rFonts w:ascii="Arial" w:hAnsi="Arial" w:cs="Arial"/>
          <w:sz w:val="22"/>
          <w:szCs w:val="22"/>
        </w:rPr>
        <w:t>.</w:t>
      </w:r>
    </w:p>
    <w:p w14:paraId="46B115F3" w14:textId="7BD4DE9E"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Interpersonal Psychotherapy (IPT) is another effective intervention. IPT focuses on the relationship between interpersonal difficulties and binge eating behaviours. It aims to improve communication, relationships and emotional expression. Research suggests that IPT can achieve outcomes like CBT, although improvements may occur more gradually (Wilfley et al., 200</w:t>
      </w:r>
      <w:r w:rsidR="006F7849" w:rsidRPr="00B606E0">
        <w:rPr>
          <w:rFonts w:ascii="Arial" w:hAnsi="Arial" w:cs="Arial"/>
          <w:sz w:val="22"/>
          <w:szCs w:val="22"/>
        </w:rPr>
        <w:t>2</w:t>
      </w:r>
      <w:r w:rsidRPr="00B606E0">
        <w:rPr>
          <w:rFonts w:ascii="Arial" w:hAnsi="Arial" w:cs="Arial"/>
          <w:sz w:val="22"/>
          <w:szCs w:val="22"/>
        </w:rPr>
        <w:t>).</w:t>
      </w:r>
    </w:p>
    <w:p w14:paraId="6DDC4CA9" w14:textId="0FFC504C" w:rsidR="00F33B6F"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lastRenderedPageBreak/>
        <w:t>Dialectical Behaviour Therapy (DBT) has also gained attention, particularly for individuals whose binge eating is strongly connected to emotional distress and impulsivity. DBT teaches skills including emotional regulation, mindfulness and distress tolerance. Although research evidence is smaller compared with CBT, it may be beneficial for individuals with more complex presentations</w:t>
      </w:r>
      <w:r w:rsidR="00F65FAB" w:rsidRPr="00B606E0">
        <w:rPr>
          <w:rFonts w:ascii="Arial" w:hAnsi="Arial" w:cs="Arial"/>
          <w:sz w:val="22"/>
          <w:szCs w:val="22"/>
        </w:rPr>
        <w:t xml:space="preserve">. </w:t>
      </w:r>
      <w:r w:rsidR="00F33B6F" w:rsidRPr="00B606E0">
        <w:rPr>
          <w:rFonts w:ascii="Arial" w:hAnsi="Arial" w:cs="Arial"/>
          <w:color w:val="0D0D0D" w:themeColor="text1" w:themeTint="F2"/>
          <w:sz w:val="22"/>
          <w:szCs w:val="22"/>
        </w:rPr>
        <w:t xml:space="preserve">Psychological treatments work well for binge-eating disorder (BED). Cognitive behavioural therapy (CBT) is the most effective treatment for reducing binge eating. Structured CBT self-help also helps many people. Medicines, including lisdexamfetamine, can reduce binge eating, but the effects are smaller than therapy. There is no strong evidence that combining treatments works better than therapy alone. The studies were mixed in quality, so more high-quality research is needed. Future research should focus on long-term recovery and finding the best </w:t>
      </w:r>
      <w:r w:rsidR="00F33B6F" w:rsidRPr="00B606E0">
        <w:rPr>
          <w:rFonts w:ascii="Arial" w:hAnsi="Arial" w:cs="Arial"/>
          <w:color w:val="0D0D0D" w:themeColor="text1" w:themeTint="F2"/>
          <w:sz w:val="22"/>
          <w:szCs w:val="22"/>
        </w:rPr>
        <w:t xml:space="preserve">treatments. </w:t>
      </w:r>
      <w:r w:rsidR="00F33B6F" w:rsidRPr="00B606E0">
        <w:rPr>
          <w:rFonts w:ascii="Arial" w:hAnsi="Arial" w:cs="Arial"/>
          <w:sz w:val="22"/>
          <w:szCs w:val="22"/>
        </w:rPr>
        <w:t xml:space="preserve">(Hilbert et al., 2019) </w:t>
      </w:r>
    </w:p>
    <w:p w14:paraId="57EDA915" w14:textId="58B2EC70" w:rsidR="00F33B6F" w:rsidRPr="00B606E0" w:rsidRDefault="00F65FAB" w:rsidP="00B606E0">
      <w:pPr>
        <w:spacing w:line="360" w:lineRule="auto"/>
        <w:jc w:val="both"/>
        <w:rPr>
          <w:rFonts w:ascii="Arial" w:hAnsi="Arial" w:cs="Arial"/>
          <w:color w:val="0D0D0D" w:themeColor="text1" w:themeTint="F2"/>
          <w:sz w:val="22"/>
          <w:szCs w:val="22"/>
        </w:rPr>
      </w:pPr>
      <w:r w:rsidRPr="00B606E0">
        <w:rPr>
          <w:rFonts w:ascii="Arial" w:hAnsi="Arial" w:cs="Arial"/>
          <w:color w:val="0D0D0D" w:themeColor="text1" w:themeTint="F2"/>
          <w:sz w:val="22"/>
          <w:szCs w:val="22"/>
        </w:rPr>
        <w:t xml:space="preserve"> </w:t>
      </w:r>
    </w:p>
    <w:p w14:paraId="12A3EC2A" w14:textId="11A84AD4" w:rsidR="00006A48" w:rsidRPr="00B606E0" w:rsidRDefault="00006A48" w:rsidP="00B606E0">
      <w:pPr>
        <w:spacing w:line="360" w:lineRule="auto"/>
        <w:jc w:val="both"/>
        <w:rPr>
          <w:rFonts w:ascii="Arial" w:hAnsi="Arial" w:cs="Arial"/>
          <w:color w:val="0D0D0D" w:themeColor="text1" w:themeTint="F2"/>
          <w:sz w:val="22"/>
          <w:szCs w:val="22"/>
        </w:rPr>
      </w:pPr>
    </w:p>
    <w:p w14:paraId="7DE77926" w14:textId="43348433" w:rsidR="00006A48" w:rsidRPr="00B606E0" w:rsidRDefault="0017374F" w:rsidP="00B606E0">
      <w:pPr>
        <w:pStyle w:val="Heading3"/>
        <w:spacing w:line="360" w:lineRule="auto"/>
        <w:jc w:val="both"/>
        <w:rPr>
          <w:rFonts w:ascii="Arial" w:hAnsi="Arial" w:cs="Arial"/>
          <w:sz w:val="22"/>
          <w:szCs w:val="22"/>
        </w:rPr>
      </w:pPr>
      <w:bookmarkStart w:id="7" w:name="_Toc235908626"/>
      <w:r w:rsidRPr="00B606E0">
        <w:rPr>
          <w:rFonts w:ascii="Arial" w:hAnsi="Arial" w:cs="Arial"/>
          <w:sz w:val="22"/>
          <w:szCs w:val="22"/>
        </w:rPr>
        <w:t xml:space="preserve">4.2 </w:t>
      </w:r>
      <w:r w:rsidR="00006A48" w:rsidRPr="00B606E0">
        <w:rPr>
          <w:rFonts w:ascii="Arial" w:hAnsi="Arial" w:cs="Arial"/>
          <w:sz w:val="22"/>
          <w:szCs w:val="22"/>
        </w:rPr>
        <w:t>Pharmacological Treatment</w:t>
      </w:r>
      <w:bookmarkEnd w:id="7"/>
    </w:p>
    <w:p w14:paraId="341F983F" w14:textId="2EF8E020"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Pharmacological treatment for Binge Eating Disorder (BED) may complement psychological therapy, with lisdexamfetamine reducing binge eating episodes in adults with moderate-to-severe BED and SSRIs benefiting those with co-existing depression or anxiety</w:t>
      </w:r>
      <w:r w:rsidR="00F65FAB" w:rsidRPr="00B606E0">
        <w:rPr>
          <w:rFonts w:ascii="Arial" w:hAnsi="Arial" w:cs="Arial"/>
          <w:sz w:val="22"/>
          <w:szCs w:val="22"/>
        </w:rPr>
        <w:t>. However,</w:t>
      </w:r>
      <w:r w:rsidRPr="00B606E0">
        <w:rPr>
          <w:rFonts w:ascii="Arial" w:hAnsi="Arial" w:cs="Arial"/>
          <w:sz w:val="22"/>
          <w:szCs w:val="22"/>
        </w:rPr>
        <w:t xml:space="preserve"> medication alone is insufficient to address the psychological causes of BED</w:t>
      </w:r>
      <w:r w:rsidR="001F19D9" w:rsidRPr="00B606E0">
        <w:rPr>
          <w:rFonts w:ascii="Arial" w:hAnsi="Arial" w:cs="Arial"/>
          <w:sz w:val="22"/>
          <w:szCs w:val="22"/>
        </w:rPr>
        <w:t>,</w:t>
      </w:r>
      <w:r w:rsidRPr="00B606E0">
        <w:rPr>
          <w:rFonts w:ascii="Arial" w:hAnsi="Arial" w:cs="Arial"/>
          <w:sz w:val="22"/>
          <w:szCs w:val="22"/>
        </w:rPr>
        <w:t xml:space="preserve"> and further research is required on GLP-1 receptor agonists (McElroy </w:t>
      </w:r>
      <w:r w:rsidRPr="00B606E0">
        <w:rPr>
          <w:rFonts w:ascii="Arial" w:hAnsi="Arial" w:cs="Arial"/>
          <w:i/>
          <w:iCs/>
          <w:sz w:val="22"/>
          <w:szCs w:val="22"/>
        </w:rPr>
        <w:t>et al</w:t>
      </w:r>
      <w:r w:rsidRPr="00B606E0">
        <w:rPr>
          <w:rFonts w:ascii="Arial" w:hAnsi="Arial" w:cs="Arial"/>
          <w:sz w:val="22"/>
          <w:szCs w:val="22"/>
        </w:rPr>
        <w:t>., 20</w:t>
      </w:r>
      <w:r w:rsidR="00D0148D" w:rsidRPr="00B606E0">
        <w:rPr>
          <w:rFonts w:ascii="Arial" w:hAnsi="Arial" w:cs="Arial"/>
          <w:sz w:val="22"/>
          <w:szCs w:val="22"/>
        </w:rPr>
        <w:t>12).</w:t>
      </w:r>
      <w:r w:rsidR="00F563A8" w:rsidRPr="00B606E0">
        <w:rPr>
          <w:rFonts w:ascii="Arial" w:hAnsi="Arial" w:cs="Arial"/>
          <w:sz w:val="22"/>
          <w:szCs w:val="22"/>
        </w:rPr>
        <w:t xml:space="preserve"> </w:t>
      </w:r>
    </w:p>
    <w:p w14:paraId="174DD027" w14:textId="77777777" w:rsidR="0017374F" w:rsidRPr="00B606E0" w:rsidRDefault="0017374F" w:rsidP="00B606E0">
      <w:pPr>
        <w:pStyle w:val="Heading2"/>
        <w:spacing w:line="360" w:lineRule="auto"/>
        <w:jc w:val="both"/>
        <w:rPr>
          <w:rFonts w:ascii="Arial" w:hAnsi="Arial" w:cs="Arial"/>
          <w:sz w:val="22"/>
          <w:szCs w:val="22"/>
        </w:rPr>
      </w:pPr>
    </w:p>
    <w:p w14:paraId="3B208307" w14:textId="709CE309" w:rsidR="00006A48" w:rsidRPr="00B606E0" w:rsidRDefault="0017374F" w:rsidP="00B606E0">
      <w:pPr>
        <w:pStyle w:val="Heading2"/>
        <w:spacing w:line="360" w:lineRule="auto"/>
        <w:jc w:val="both"/>
        <w:rPr>
          <w:rFonts w:ascii="Arial" w:hAnsi="Arial" w:cs="Arial"/>
          <w:sz w:val="22"/>
          <w:szCs w:val="22"/>
        </w:rPr>
      </w:pPr>
      <w:bookmarkStart w:id="8" w:name="_Toc235908627"/>
      <w:r w:rsidRPr="00B606E0">
        <w:rPr>
          <w:rFonts w:ascii="Arial" w:hAnsi="Arial" w:cs="Arial"/>
          <w:sz w:val="22"/>
          <w:szCs w:val="22"/>
        </w:rPr>
        <w:t xml:space="preserve">5. </w:t>
      </w:r>
      <w:r w:rsidR="00006A48" w:rsidRPr="00B606E0">
        <w:rPr>
          <w:rFonts w:ascii="Arial" w:hAnsi="Arial" w:cs="Arial"/>
          <w:sz w:val="22"/>
          <w:szCs w:val="22"/>
        </w:rPr>
        <w:t>Treatment and Rehabilitation</w:t>
      </w:r>
      <w:bookmarkEnd w:id="8"/>
      <w:r w:rsidR="00006A48" w:rsidRPr="00B606E0">
        <w:rPr>
          <w:rFonts w:ascii="Arial" w:hAnsi="Arial" w:cs="Arial"/>
          <w:sz w:val="22"/>
          <w:szCs w:val="22"/>
        </w:rPr>
        <w:t xml:space="preserve"> </w:t>
      </w:r>
    </w:p>
    <w:p w14:paraId="694F6AB9" w14:textId="5F7ED76D" w:rsidR="00006A48" w:rsidRPr="00B606E0" w:rsidRDefault="0017374F" w:rsidP="00B606E0">
      <w:pPr>
        <w:pStyle w:val="Heading3"/>
        <w:spacing w:line="360" w:lineRule="auto"/>
        <w:jc w:val="both"/>
        <w:rPr>
          <w:rFonts w:ascii="Arial" w:hAnsi="Arial" w:cs="Arial"/>
          <w:sz w:val="22"/>
          <w:szCs w:val="22"/>
        </w:rPr>
      </w:pPr>
      <w:bookmarkStart w:id="9" w:name="_Toc235908628"/>
      <w:r w:rsidRPr="00B606E0">
        <w:rPr>
          <w:rFonts w:ascii="Arial" w:hAnsi="Arial" w:cs="Arial"/>
          <w:sz w:val="22"/>
          <w:szCs w:val="22"/>
        </w:rPr>
        <w:t xml:space="preserve">5.1 </w:t>
      </w:r>
      <w:r w:rsidR="00006A48" w:rsidRPr="00B606E0">
        <w:rPr>
          <w:rFonts w:ascii="Arial" w:hAnsi="Arial" w:cs="Arial"/>
          <w:sz w:val="22"/>
          <w:szCs w:val="22"/>
        </w:rPr>
        <w:t>Multidisciplinary Rehabilitation Approaches</w:t>
      </w:r>
      <w:bookmarkEnd w:id="9"/>
    </w:p>
    <w:p w14:paraId="26BE2A7A" w14:textId="748E35C5"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Rehabilitation for Binge Eating Disorder (BED) requires a multidisciplinary approach involving psychologists, psychiatrists, dietitians, and other medical professionals to support long-term psychological, physical, and social recovery (National Institute for Health and Care Excellence (NICE, 2020</w:t>
      </w:r>
      <w:r w:rsidR="0042280E" w:rsidRPr="00B606E0">
        <w:rPr>
          <w:rFonts w:ascii="Arial" w:hAnsi="Arial" w:cs="Arial"/>
          <w:sz w:val="22"/>
          <w:szCs w:val="22"/>
        </w:rPr>
        <w:t>a</w:t>
      </w:r>
      <w:r w:rsidRPr="00B606E0">
        <w:rPr>
          <w:rFonts w:ascii="Arial" w:hAnsi="Arial" w:cs="Arial"/>
          <w:sz w:val="22"/>
          <w:szCs w:val="22"/>
        </w:rPr>
        <w:t>). Nutritional rehabilitation focuses on establishing regular eating patterns and improving a flexible relationship with food rather than restrictive dieting</w:t>
      </w:r>
      <w:r w:rsidR="00715D4B" w:rsidRPr="00B606E0">
        <w:rPr>
          <w:rFonts w:ascii="Arial" w:hAnsi="Arial" w:cs="Arial"/>
          <w:sz w:val="22"/>
          <w:szCs w:val="22"/>
        </w:rPr>
        <w:t>. At the same time,</w:t>
      </w:r>
      <w:r w:rsidRPr="00B606E0">
        <w:rPr>
          <w:rFonts w:ascii="Arial" w:hAnsi="Arial" w:cs="Arial"/>
          <w:sz w:val="22"/>
          <w:szCs w:val="22"/>
        </w:rPr>
        <w:t xml:space="preserve"> ongoing physical health monitoring should adopt a weight-inclusive, non-judgemental approach to improve overall health outcomes</w:t>
      </w:r>
      <w:r w:rsidR="00D24227" w:rsidRPr="00B606E0">
        <w:rPr>
          <w:rFonts w:ascii="Arial" w:hAnsi="Arial" w:cs="Arial"/>
          <w:sz w:val="22"/>
          <w:szCs w:val="22"/>
        </w:rPr>
        <w:t xml:space="preserve"> (</w:t>
      </w:r>
      <w:r w:rsidRPr="00B606E0">
        <w:rPr>
          <w:rFonts w:ascii="Arial" w:hAnsi="Arial" w:cs="Arial"/>
          <w:sz w:val="22"/>
          <w:szCs w:val="22"/>
        </w:rPr>
        <w:t>Academy for Eating Disorders, 2022).</w:t>
      </w:r>
    </w:p>
    <w:p w14:paraId="68705A0B" w14:textId="0818D565" w:rsidR="00006A48" w:rsidRPr="00B606E0" w:rsidRDefault="0017374F" w:rsidP="00B606E0">
      <w:pPr>
        <w:pStyle w:val="Heading3"/>
        <w:spacing w:line="360" w:lineRule="auto"/>
        <w:jc w:val="both"/>
        <w:rPr>
          <w:rFonts w:ascii="Arial" w:hAnsi="Arial" w:cs="Arial"/>
          <w:sz w:val="22"/>
          <w:szCs w:val="22"/>
        </w:rPr>
      </w:pPr>
      <w:bookmarkStart w:id="10" w:name="_Toc235908629"/>
      <w:r w:rsidRPr="00B606E0">
        <w:rPr>
          <w:rFonts w:ascii="Arial" w:hAnsi="Arial" w:cs="Arial"/>
          <w:sz w:val="22"/>
          <w:szCs w:val="22"/>
        </w:rPr>
        <w:t xml:space="preserve">5.2 </w:t>
      </w:r>
      <w:r w:rsidR="00006A48" w:rsidRPr="00B606E0">
        <w:rPr>
          <w:rFonts w:ascii="Arial" w:hAnsi="Arial" w:cs="Arial"/>
          <w:sz w:val="22"/>
          <w:szCs w:val="22"/>
        </w:rPr>
        <w:t>Effectiveness and Limitations of Current Treatments</w:t>
      </w:r>
      <w:bookmarkEnd w:id="10"/>
    </w:p>
    <w:p w14:paraId="307A9ED4" w14:textId="2927FB5A"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Although treatments for Binge Eating Disorder (BED) can be effective, limitations include unequal access to specialist care, incomplete recovery and the impact of stigma. Digital interventions such as online CBT and telehealth may improve accessibility, but further </w:t>
      </w:r>
      <w:r w:rsidRPr="00B606E0">
        <w:rPr>
          <w:rFonts w:ascii="Arial" w:hAnsi="Arial" w:cs="Arial"/>
          <w:sz w:val="22"/>
          <w:szCs w:val="22"/>
        </w:rPr>
        <w:lastRenderedPageBreak/>
        <w:t xml:space="preserve">evidence is required regarding their long-term effectiveness, while reducing stigma remains important for treatment engagement and recovery </w:t>
      </w:r>
      <w:r w:rsidR="002228A2" w:rsidRPr="00B606E0">
        <w:rPr>
          <w:rFonts w:ascii="Arial" w:hAnsi="Arial" w:cs="Arial"/>
          <w:sz w:val="22"/>
          <w:szCs w:val="22"/>
        </w:rPr>
        <w:t>(Linardon et al. 2021),</w:t>
      </w:r>
    </w:p>
    <w:p w14:paraId="728C1415" w14:textId="77777777" w:rsidR="002228A2" w:rsidRPr="00B606E0" w:rsidRDefault="002228A2" w:rsidP="00B606E0">
      <w:pPr>
        <w:spacing w:line="360" w:lineRule="auto"/>
        <w:jc w:val="both"/>
        <w:rPr>
          <w:rFonts w:ascii="Arial" w:hAnsi="Arial" w:cs="Arial"/>
          <w:sz w:val="22"/>
          <w:szCs w:val="22"/>
        </w:rPr>
      </w:pPr>
    </w:p>
    <w:p w14:paraId="6B2BED06" w14:textId="407286E7" w:rsidR="00006A48" w:rsidRPr="00B606E0" w:rsidRDefault="004F5825" w:rsidP="00B606E0">
      <w:pPr>
        <w:pStyle w:val="Heading2"/>
        <w:spacing w:line="360" w:lineRule="auto"/>
        <w:jc w:val="both"/>
        <w:rPr>
          <w:rFonts w:ascii="Arial" w:hAnsi="Arial" w:cs="Arial"/>
          <w:sz w:val="22"/>
          <w:szCs w:val="22"/>
        </w:rPr>
      </w:pPr>
      <w:bookmarkStart w:id="11" w:name="_Toc235908630"/>
      <w:r w:rsidRPr="00B606E0">
        <w:rPr>
          <w:rFonts w:ascii="Arial" w:hAnsi="Arial" w:cs="Arial"/>
          <w:sz w:val="22"/>
          <w:szCs w:val="22"/>
        </w:rPr>
        <w:t>6.</w:t>
      </w:r>
      <w:r w:rsidR="0017374F" w:rsidRPr="00B606E0">
        <w:rPr>
          <w:rStyle w:val="Heading1Char"/>
          <w:rFonts w:ascii="Arial" w:hAnsi="Arial" w:cs="Arial"/>
          <w:sz w:val="22"/>
          <w:szCs w:val="22"/>
        </w:rPr>
        <w:t xml:space="preserve"> </w:t>
      </w:r>
      <w:r w:rsidR="00006A48" w:rsidRPr="00B606E0">
        <w:rPr>
          <w:rStyle w:val="Heading1Char"/>
          <w:rFonts w:ascii="Arial" w:hAnsi="Arial" w:cs="Arial"/>
          <w:sz w:val="22"/>
          <w:szCs w:val="22"/>
        </w:rPr>
        <w:t>Current Debates and Emerging Issues</w:t>
      </w:r>
      <w:bookmarkEnd w:id="11"/>
    </w:p>
    <w:p w14:paraId="0F31005C" w14:textId="0BBA6BFA" w:rsidR="00006A48" w:rsidRPr="00B606E0" w:rsidRDefault="0017374F" w:rsidP="00B606E0">
      <w:pPr>
        <w:pStyle w:val="Heading3"/>
        <w:spacing w:line="360" w:lineRule="auto"/>
        <w:jc w:val="both"/>
        <w:rPr>
          <w:rFonts w:ascii="Arial" w:hAnsi="Arial" w:cs="Arial"/>
          <w:sz w:val="22"/>
          <w:szCs w:val="22"/>
        </w:rPr>
      </w:pPr>
      <w:bookmarkStart w:id="12" w:name="_Toc235908631"/>
      <w:r w:rsidRPr="00B606E0">
        <w:rPr>
          <w:rFonts w:ascii="Arial" w:hAnsi="Arial" w:cs="Arial"/>
          <w:sz w:val="22"/>
          <w:szCs w:val="22"/>
        </w:rPr>
        <w:t>6.</w:t>
      </w:r>
      <w:r w:rsidRPr="00B606E0">
        <w:rPr>
          <w:rStyle w:val="SubtitleChar"/>
          <w:rFonts w:ascii="Arial" w:hAnsi="Arial" w:cs="Arial"/>
          <w:sz w:val="22"/>
          <w:szCs w:val="22"/>
        </w:rPr>
        <w:t xml:space="preserve">1 </w:t>
      </w:r>
      <w:r w:rsidR="00006A48" w:rsidRPr="00B606E0">
        <w:rPr>
          <w:rStyle w:val="SubtitleChar"/>
          <w:rFonts w:ascii="Arial" w:hAnsi="Arial" w:cs="Arial"/>
          <w:sz w:val="22"/>
          <w:szCs w:val="22"/>
        </w:rPr>
        <w:t>Classification Debate: Disorder, Behaviour or Addiction?</w:t>
      </w:r>
      <w:bookmarkEnd w:id="12"/>
    </w:p>
    <w:p w14:paraId="51848D08" w14:textId="5C77572C" w:rsidR="00C60B92"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Debates surrounding Binge Eating Disorder (BED) involve whether it should be viewed as a psychiatric disorder, coping behaviour or addiction-like condition. Although the addiction model highlights similarities in reward pathways and compulsive behaviours, evidence suggests BED is a complex disorder influenced by biological, psychological and environmental factors rather than a single mechanism </w:t>
      </w:r>
      <w:r w:rsidR="00C60B92" w:rsidRPr="00B606E0">
        <w:rPr>
          <w:rFonts w:ascii="Arial" w:hAnsi="Arial" w:cs="Arial"/>
          <w:sz w:val="22"/>
          <w:szCs w:val="22"/>
        </w:rPr>
        <w:t>(Burrows et al., 2017)</w:t>
      </w:r>
    </w:p>
    <w:p w14:paraId="7D89CB65" w14:textId="65234B70" w:rsidR="00006A48" w:rsidRPr="00B606E0" w:rsidRDefault="004F5825" w:rsidP="00B606E0">
      <w:pPr>
        <w:spacing w:line="360" w:lineRule="auto"/>
        <w:jc w:val="both"/>
        <w:rPr>
          <w:rFonts w:ascii="Arial" w:hAnsi="Arial" w:cs="Arial"/>
          <w:sz w:val="22"/>
          <w:szCs w:val="22"/>
        </w:rPr>
      </w:pPr>
      <w:r w:rsidRPr="00B606E0">
        <w:rPr>
          <w:rFonts w:ascii="Arial" w:hAnsi="Arial" w:cs="Arial"/>
          <w:sz w:val="22"/>
          <w:szCs w:val="22"/>
        </w:rPr>
        <w:t>6.2</w:t>
      </w:r>
      <w:r w:rsidR="0017374F" w:rsidRPr="00B606E0">
        <w:rPr>
          <w:rFonts w:ascii="Arial" w:hAnsi="Arial" w:cs="Arial"/>
          <w:sz w:val="22"/>
          <w:szCs w:val="22"/>
        </w:rPr>
        <w:t xml:space="preserve"> </w:t>
      </w:r>
      <w:r w:rsidR="00006A48" w:rsidRPr="00B606E0">
        <w:rPr>
          <w:rFonts w:ascii="Arial" w:hAnsi="Arial" w:cs="Arial"/>
          <w:sz w:val="22"/>
          <w:szCs w:val="22"/>
        </w:rPr>
        <w:t>Neurodivergence and Reclassification Issues</w:t>
      </w:r>
    </w:p>
    <w:p w14:paraId="2DD8E3AC" w14:textId="7785DFC8" w:rsidR="00EF63FA"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 xml:space="preserve">The relationship between Binge Eating Disorder (BED) and neurodivergence is increasingly recognised, with ADHD and autism-related characteristics potentially influencing impulsivity, emotional regulation and eating behaviours; however, neurodevelopmental differences are considered contributing factors rather than direct causes of BED, highlighting the need for adapted and inclusive assessment and treatment approaches </w:t>
      </w:r>
      <w:bookmarkStart w:id="13" w:name="_Toc235908632"/>
      <w:r w:rsidR="00EF63FA" w:rsidRPr="00B606E0">
        <w:rPr>
          <w:rFonts w:ascii="Arial" w:hAnsi="Arial" w:cs="Arial"/>
          <w:sz w:val="22"/>
          <w:szCs w:val="22"/>
        </w:rPr>
        <w:t>(Katzman et al., 2017)</w:t>
      </w:r>
      <w:r w:rsidR="00EF63FA" w:rsidRPr="00B606E0">
        <w:rPr>
          <w:rFonts w:ascii="Arial" w:hAnsi="Arial" w:cs="Arial"/>
          <w:sz w:val="22"/>
          <w:szCs w:val="22"/>
        </w:rPr>
        <w:t>.</w:t>
      </w:r>
    </w:p>
    <w:p w14:paraId="3DC093F3" w14:textId="74A30F74" w:rsidR="00006A48" w:rsidRPr="00B606E0" w:rsidRDefault="0017374F" w:rsidP="00B606E0">
      <w:pPr>
        <w:spacing w:line="360" w:lineRule="auto"/>
        <w:jc w:val="both"/>
        <w:rPr>
          <w:rStyle w:val="Heading2Char"/>
          <w:rFonts w:ascii="Arial" w:hAnsi="Arial" w:cs="Arial"/>
          <w:sz w:val="22"/>
          <w:szCs w:val="22"/>
        </w:rPr>
      </w:pPr>
      <w:r w:rsidRPr="00B606E0">
        <w:rPr>
          <w:rFonts w:ascii="Arial" w:hAnsi="Arial" w:cs="Arial"/>
          <w:sz w:val="22"/>
          <w:szCs w:val="22"/>
        </w:rPr>
        <w:t xml:space="preserve">7. </w:t>
      </w:r>
      <w:r w:rsidR="00006A48" w:rsidRPr="00B606E0">
        <w:rPr>
          <w:rStyle w:val="Heading2Char"/>
          <w:rFonts w:ascii="Arial" w:hAnsi="Arial" w:cs="Arial"/>
          <w:sz w:val="22"/>
          <w:szCs w:val="22"/>
        </w:rPr>
        <w:t>Recommendations</w:t>
      </w:r>
      <w:bookmarkEnd w:id="13"/>
    </w:p>
    <w:p w14:paraId="1FF89C6F"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Based on current evidence, several recommendations can improve BED care and future research.</w:t>
      </w:r>
    </w:p>
    <w:p w14:paraId="1F9608EC"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Firstly, healthcare professionals require improved training to recognise BED across different body sizes, genders, ethnicities and age groups. Assessment should focus on psychological symptoms, distress and impairment rather than assumptions based on appearance.</w:t>
      </w:r>
    </w:p>
    <w:p w14:paraId="59E0FADB"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Secondly, treatment services should provide personalised and multidisciplinary care. Although CBT remains highly effective, individuals may require different combinations of psychological therapy, nutritional support, medical care and treatment for related conditions such as depression, anxiety, ADHD or autism.</w:t>
      </w:r>
    </w:p>
    <w:p w14:paraId="27049B72"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Thirdly, healthcare systems should continue developing weight-inclusive approaches. While physical health monitoring is important, weight loss should not be considered the only indicator of recovery. Treatment should measure improvements in quality of life, emotional well-being, confidence and social participation.</w:t>
      </w:r>
    </w:p>
    <w:p w14:paraId="76CC2FDD"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lastRenderedPageBreak/>
        <w:t>Fourthly, future diagnostic frameworks should continue exploring the relationship between BED and neurodivergence. A better understanding of ADHD and autism-related presentations may improve assessment and allow treatment adaptations.</w:t>
      </w:r>
    </w:p>
    <w:p w14:paraId="005F497B" w14:textId="77777777" w:rsidR="0017374F"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Finally, more research is needed into long-term recovery, relapse prevention, digital interventions and culturally appropriate treatments. Greater investment in research and specialist services would improve outcomes for individuals experiencing BED.</w:t>
      </w:r>
    </w:p>
    <w:p w14:paraId="2EAA95B3" w14:textId="759EFE46" w:rsidR="00006A48" w:rsidRPr="00B606E0" w:rsidRDefault="0017374F" w:rsidP="00B606E0">
      <w:pPr>
        <w:pStyle w:val="Heading1"/>
        <w:spacing w:line="360" w:lineRule="auto"/>
        <w:jc w:val="both"/>
        <w:rPr>
          <w:rFonts w:ascii="Arial" w:hAnsi="Arial" w:cs="Arial"/>
          <w:sz w:val="22"/>
          <w:szCs w:val="22"/>
        </w:rPr>
      </w:pPr>
      <w:bookmarkStart w:id="14" w:name="_Toc235908633"/>
      <w:r w:rsidRPr="00B606E0">
        <w:rPr>
          <w:rFonts w:ascii="Arial" w:hAnsi="Arial" w:cs="Arial"/>
          <w:sz w:val="22"/>
          <w:szCs w:val="22"/>
        </w:rPr>
        <w:t xml:space="preserve">8. </w:t>
      </w:r>
      <w:r w:rsidR="00006A48" w:rsidRPr="00B606E0">
        <w:rPr>
          <w:rFonts w:ascii="Arial" w:hAnsi="Arial" w:cs="Arial"/>
          <w:sz w:val="22"/>
          <w:szCs w:val="22"/>
        </w:rPr>
        <w:t>Conclusion</w:t>
      </w:r>
      <w:bookmarkEnd w:id="14"/>
    </w:p>
    <w:p w14:paraId="613DC58C"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Binge Eating Disorder is a significant mental health condition affecting psychological well-being, physical health and social functioning. Its recognition within ICD-11 has improved understanding of BED as a distinct disorder requiring appropriate assessment and treatment.</w:t>
      </w:r>
    </w:p>
    <w:p w14:paraId="19D07DAE"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Diagnosis requires careful evaluation of recurrent binge eating episodes, loss of control, emotional distress and functional impairment. However, underdiagnosis remains a major concern because of weight stigma, gender stereotypes and limited professional awareness.</w:t>
      </w:r>
    </w:p>
    <w:p w14:paraId="6E722C50"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Current evidence supports psychological treatments, particularly Cognitive Behavioural Therapy and Interpersonal Psychotherapy, as effective approaches for reducing binge eating symptoms. Medication may provide additional support for some individuals, but treatment should remain based on a broader biopsychosocial approach.</w:t>
      </w:r>
    </w:p>
    <w:p w14:paraId="2D1AEA6E"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Rehabilitation requires collaboration among healthcare professionals and should address emotional well-being, nutrition, physical health, and social participation. Future approaches should avoid focusing only on weight and instead promote compassionate, person-centred recovery.</w:t>
      </w:r>
    </w:p>
    <w:p w14:paraId="7CA0510E" w14:textId="77777777" w:rsidR="00006A48"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Contemporary debates demonstrate that BED cannot be explained through one single model. Biological factors, psychological processes, neurodivergence, social influences and environmental conditions all contribute to understanding the disorder.</w:t>
      </w:r>
    </w:p>
    <w:p w14:paraId="6C5B0112" w14:textId="7127C1A4" w:rsidR="00017ACE" w:rsidRPr="00B606E0" w:rsidRDefault="00006A48" w:rsidP="00B606E0">
      <w:pPr>
        <w:spacing w:line="360" w:lineRule="auto"/>
        <w:jc w:val="both"/>
        <w:rPr>
          <w:rFonts w:ascii="Arial" w:hAnsi="Arial" w:cs="Arial"/>
          <w:sz w:val="22"/>
          <w:szCs w:val="22"/>
        </w:rPr>
      </w:pPr>
      <w:r w:rsidRPr="00B606E0">
        <w:rPr>
          <w:rFonts w:ascii="Arial" w:hAnsi="Arial" w:cs="Arial"/>
          <w:sz w:val="22"/>
          <w:szCs w:val="22"/>
        </w:rPr>
        <w:t>Overall, ICD-11 provides an important foundation for recognising and treating BED. However, continued improvements are needed in diagnosis, accessibility, professional training and research. A more inclusive and evidence-based approach can reduce inequalities and improve recovery outcomes for individuals affected by Binge Eating Disorder.</w:t>
      </w:r>
      <w:r w:rsidRPr="00B606E0">
        <w:rPr>
          <w:rFonts w:ascii="Arial" w:hAnsi="Arial" w:cs="Arial"/>
          <w:sz w:val="22"/>
          <w:szCs w:val="22"/>
        </w:rPr>
        <w:t xml:space="preserve"> </w:t>
      </w:r>
      <w:r w:rsidRPr="00B606E0">
        <w:rPr>
          <w:rFonts w:ascii="Arial" w:hAnsi="Arial" w:cs="Arial"/>
          <w:sz w:val="22"/>
          <w:szCs w:val="22"/>
        </w:rPr>
        <w:t xml:space="preserve">(World Health </w:t>
      </w:r>
      <w:r w:rsidRPr="00B606E0">
        <w:rPr>
          <w:rFonts w:ascii="Arial" w:hAnsi="Arial" w:cs="Arial"/>
          <w:sz w:val="22"/>
          <w:szCs w:val="22"/>
        </w:rPr>
        <w:t>Organi</w:t>
      </w:r>
      <w:r w:rsidR="00FC6BE9" w:rsidRPr="00B606E0">
        <w:rPr>
          <w:rFonts w:ascii="Arial" w:hAnsi="Arial" w:cs="Arial"/>
          <w:sz w:val="22"/>
          <w:szCs w:val="22"/>
        </w:rPr>
        <w:t>z</w:t>
      </w:r>
      <w:r w:rsidRPr="00B606E0">
        <w:rPr>
          <w:rFonts w:ascii="Arial" w:hAnsi="Arial" w:cs="Arial"/>
          <w:sz w:val="22"/>
          <w:szCs w:val="22"/>
        </w:rPr>
        <w:t>ation</w:t>
      </w:r>
      <w:r w:rsidRPr="00B606E0">
        <w:rPr>
          <w:rFonts w:ascii="Arial" w:hAnsi="Arial" w:cs="Arial"/>
          <w:sz w:val="22"/>
          <w:szCs w:val="22"/>
        </w:rPr>
        <w:t>, 20</w:t>
      </w:r>
      <w:r w:rsidR="00EF63FA" w:rsidRPr="00B606E0">
        <w:rPr>
          <w:rFonts w:ascii="Arial" w:hAnsi="Arial" w:cs="Arial"/>
          <w:sz w:val="22"/>
          <w:szCs w:val="22"/>
        </w:rPr>
        <w:t>19d</w:t>
      </w:r>
      <w:r w:rsidR="00E050E9" w:rsidRPr="00B606E0">
        <w:rPr>
          <w:rFonts w:ascii="Arial" w:hAnsi="Arial" w:cs="Arial"/>
          <w:sz w:val="22"/>
          <w:szCs w:val="22"/>
        </w:rPr>
        <w:t>).</w:t>
      </w:r>
      <w:r w:rsidRPr="00B606E0">
        <w:rPr>
          <w:rFonts w:ascii="Arial" w:hAnsi="Arial" w:cs="Arial"/>
          <w:sz w:val="22"/>
          <w:szCs w:val="22"/>
        </w:rPr>
        <w:t xml:space="preserve"> National Institute for Health and Care Excellence (NICE</w:t>
      </w:r>
      <w:r w:rsidR="0017374F" w:rsidRPr="00B606E0">
        <w:rPr>
          <w:rFonts w:ascii="Arial" w:hAnsi="Arial" w:cs="Arial"/>
          <w:sz w:val="22"/>
          <w:szCs w:val="22"/>
        </w:rPr>
        <w:t>, 20</w:t>
      </w:r>
      <w:r w:rsidR="00AC74BA" w:rsidRPr="00B606E0">
        <w:rPr>
          <w:rFonts w:ascii="Arial" w:hAnsi="Arial" w:cs="Arial"/>
          <w:sz w:val="22"/>
          <w:szCs w:val="22"/>
        </w:rPr>
        <w:t>20b</w:t>
      </w:r>
      <w:r w:rsidR="0017374F" w:rsidRPr="00B606E0">
        <w:rPr>
          <w:rFonts w:ascii="Arial" w:hAnsi="Arial" w:cs="Arial"/>
          <w:sz w:val="22"/>
          <w:szCs w:val="22"/>
        </w:rPr>
        <w:t>).</w:t>
      </w:r>
    </w:p>
    <w:p w14:paraId="403F2C6C" w14:textId="77777777" w:rsidR="00674B15" w:rsidRDefault="00674B15" w:rsidP="00B606E0">
      <w:pPr>
        <w:pStyle w:val="Heading1"/>
        <w:spacing w:line="360" w:lineRule="auto"/>
        <w:jc w:val="both"/>
        <w:rPr>
          <w:rFonts w:ascii="Arial" w:hAnsi="Arial" w:cs="Arial"/>
          <w:sz w:val="22"/>
          <w:szCs w:val="22"/>
        </w:rPr>
      </w:pPr>
      <w:bookmarkStart w:id="15" w:name="_Toc235908634"/>
    </w:p>
    <w:bookmarkEnd w:id="15"/>
    <w:p w14:paraId="295062E4" w14:textId="77777777" w:rsidR="00B606E0" w:rsidRDefault="00B606E0" w:rsidP="00B606E0">
      <w:pPr>
        <w:spacing w:line="360" w:lineRule="auto"/>
        <w:jc w:val="both"/>
        <w:rPr>
          <w:rFonts w:ascii="Arial" w:hAnsi="Arial" w:cs="Arial"/>
          <w:sz w:val="22"/>
          <w:szCs w:val="22"/>
        </w:rPr>
      </w:pPr>
    </w:p>
    <w:p w14:paraId="04254099" w14:textId="77777777" w:rsidR="00674B15" w:rsidRPr="00B606E0" w:rsidRDefault="00674B15" w:rsidP="00674B15">
      <w:pPr>
        <w:pStyle w:val="Heading1"/>
        <w:spacing w:line="360" w:lineRule="auto"/>
        <w:jc w:val="both"/>
        <w:rPr>
          <w:rFonts w:ascii="Arial" w:hAnsi="Arial" w:cs="Arial"/>
          <w:sz w:val="22"/>
          <w:szCs w:val="22"/>
        </w:rPr>
      </w:pPr>
      <w:r w:rsidRPr="00B606E0">
        <w:rPr>
          <w:rFonts w:ascii="Arial" w:hAnsi="Arial" w:cs="Arial"/>
          <w:sz w:val="22"/>
          <w:szCs w:val="22"/>
        </w:rPr>
        <w:lastRenderedPageBreak/>
        <w:t>Reference List</w:t>
      </w:r>
    </w:p>
    <w:p w14:paraId="76B11FFE" w14:textId="77777777" w:rsidR="00674B15" w:rsidRDefault="00674B15" w:rsidP="00B606E0">
      <w:pPr>
        <w:spacing w:line="360" w:lineRule="auto"/>
        <w:jc w:val="both"/>
        <w:rPr>
          <w:rFonts w:ascii="Arial" w:hAnsi="Arial" w:cs="Arial"/>
          <w:sz w:val="22"/>
          <w:szCs w:val="22"/>
        </w:rPr>
      </w:pPr>
    </w:p>
    <w:p w14:paraId="229470D3" w14:textId="018216CB" w:rsidR="00E72E43" w:rsidRPr="00B606E0" w:rsidRDefault="00E72E43" w:rsidP="00B606E0">
      <w:pPr>
        <w:spacing w:line="360" w:lineRule="auto"/>
        <w:jc w:val="both"/>
        <w:rPr>
          <w:rFonts w:ascii="Arial" w:hAnsi="Arial" w:cs="Arial"/>
          <w:sz w:val="22"/>
          <w:szCs w:val="22"/>
        </w:rPr>
      </w:pPr>
      <w:r w:rsidRPr="00B606E0">
        <w:rPr>
          <w:rFonts w:ascii="Arial" w:hAnsi="Arial" w:cs="Arial"/>
          <w:sz w:val="22"/>
          <w:szCs w:val="22"/>
        </w:rPr>
        <w:t xml:space="preserve">Academy for Eating Disorders (2022). </w:t>
      </w:r>
      <w:r w:rsidRPr="00B606E0">
        <w:rPr>
          <w:rFonts w:ascii="Arial" w:hAnsi="Arial" w:cs="Arial"/>
          <w:i/>
          <w:iCs/>
          <w:sz w:val="22"/>
          <w:szCs w:val="22"/>
        </w:rPr>
        <w:t>Weight-Inclusive Care</w:t>
      </w:r>
      <w:r w:rsidRPr="00B606E0">
        <w:rPr>
          <w:rFonts w:ascii="Arial" w:hAnsi="Arial" w:cs="Arial"/>
          <w:sz w:val="22"/>
          <w:szCs w:val="22"/>
        </w:rPr>
        <w:t xml:space="preserve">. Available at: </w:t>
      </w:r>
      <w:hyperlink r:id="rId13" w:tgtFrame="_new" w:history="1">
        <w:r w:rsidRPr="00B606E0">
          <w:rPr>
            <w:rStyle w:val="Hyperlink"/>
            <w:rFonts w:ascii="Arial" w:hAnsi="Arial" w:cs="Arial"/>
            <w:sz w:val="22"/>
            <w:szCs w:val="22"/>
          </w:rPr>
          <w:t>https://www.aedweb.org</w:t>
        </w:r>
      </w:hyperlink>
      <w:r w:rsidRPr="00B606E0">
        <w:rPr>
          <w:rFonts w:ascii="Arial" w:hAnsi="Arial" w:cs="Arial"/>
          <w:sz w:val="22"/>
          <w:szCs w:val="22"/>
        </w:rPr>
        <w:t xml:space="preserve"> (Accessed: 14 July 2026).</w:t>
      </w:r>
    </w:p>
    <w:p w14:paraId="63566CFC" w14:textId="2173B465" w:rsidR="00D24227" w:rsidRPr="00B606E0" w:rsidRDefault="00D24227" w:rsidP="00B606E0">
      <w:pPr>
        <w:spacing w:line="360" w:lineRule="auto"/>
        <w:jc w:val="both"/>
        <w:rPr>
          <w:rFonts w:ascii="Arial" w:hAnsi="Arial" w:cs="Arial"/>
          <w:sz w:val="22"/>
          <w:szCs w:val="22"/>
        </w:rPr>
      </w:pPr>
      <w:r w:rsidRPr="00B606E0">
        <w:rPr>
          <w:rFonts w:ascii="Arial" w:hAnsi="Arial" w:cs="Arial"/>
          <w:sz w:val="22"/>
          <w:szCs w:val="22"/>
        </w:rPr>
        <w:t xml:space="preserve">Abdalla, N. (2019). </w:t>
      </w:r>
      <w:r w:rsidRPr="00B606E0">
        <w:rPr>
          <w:rFonts w:ascii="Arial" w:hAnsi="Arial" w:cs="Arial"/>
          <w:i/>
          <w:iCs/>
          <w:sz w:val="22"/>
          <w:szCs w:val="22"/>
        </w:rPr>
        <w:t>Ambiguous skin ulcer on the ear pinna</w:t>
      </w:r>
      <w:r w:rsidRPr="00B606E0">
        <w:rPr>
          <w:rFonts w:ascii="Arial" w:hAnsi="Arial" w:cs="Arial"/>
          <w:sz w:val="22"/>
          <w:szCs w:val="22"/>
        </w:rPr>
        <w:t xml:space="preserve">. </w:t>
      </w:r>
      <w:r w:rsidRPr="00B606E0">
        <w:rPr>
          <w:rFonts w:ascii="Arial" w:hAnsi="Arial" w:cs="Arial"/>
          <w:i/>
          <w:iCs/>
          <w:sz w:val="22"/>
          <w:szCs w:val="22"/>
        </w:rPr>
        <w:t>Tropical Doctor, 49</w:t>
      </w:r>
      <w:r w:rsidRPr="00B606E0">
        <w:rPr>
          <w:rFonts w:ascii="Arial" w:hAnsi="Arial" w:cs="Arial"/>
          <w:sz w:val="22"/>
          <w:szCs w:val="22"/>
        </w:rPr>
        <w:t xml:space="preserve">(2), 141–143. </w:t>
      </w:r>
      <w:hyperlink r:id="rId14" w:tgtFrame="_new" w:history="1">
        <w:r w:rsidRPr="00B606E0">
          <w:rPr>
            <w:rStyle w:val="Hyperlink"/>
            <w:rFonts w:ascii="Arial" w:hAnsi="Arial" w:cs="Arial"/>
            <w:sz w:val="22"/>
            <w:szCs w:val="22"/>
          </w:rPr>
          <w:t>https://doi.org/10.1177/0049475518821245</w:t>
        </w:r>
      </w:hyperlink>
    </w:p>
    <w:p w14:paraId="181A2852" w14:textId="5D8C4600" w:rsidR="00006A48" w:rsidRPr="00B606E0" w:rsidRDefault="00753676" w:rsidP="00B606E0">
      <w:pPr>
        <w:pStyle w:val="Heading1"/>
        <w:spacing w:line="360" w:lineRule="auto"/>
        <w:jc w:val="both"/>
        <w:rPr>
          <w:rFonts w:ascii="Arial" w:hAnsi="Arial" w:cs="Arial"/>
          <w:sz w:val="22"/>
          <w:szCs w:val="22"/>
        </w:rPr>
      </w:pPr>
      <w:r w:rsidRPr="00B606E0">
        <w:rPr>
          <w:rFonts w:ascii="Arial" w:hAnsi="Arial" w:cs="Arial"/>
          <w:color w:val="262626" w:themeColor="text1" w:themeTint="D9"/>
          <w:sz w:val="22"/>
          <w:szCs w:val="22"/>
        </w:rPr>
        <w:t xml:space="preserve">Al-Adawi, S., Bax, B., Bryant-Waugh, R., Claudino, A. M., Hay, P., Monteleone, P., … Uher, R. (2013). </w:t>
      </w:r>
      <w:r w:rsidRPr="00B606E0">
        <w:rPr>
          <w:rFonts w:ascii="Arial" w:hAnsi="Arial" w:cs="Arial"/>
          <w:i/>
          <w:iCs/>
          <w:color w:val="262626" w:themeColor="text1" w:themeTint="D9"/>
          <w:sz w:val="22"/>
          <w:szCs w:val="22"/>
        </w:rPr>
        <w:t>Revision of ICD – Status update on feeding and eating disorders</w:t>
      </w:r>
      <w:r w:rsidRPr="00B606E0">
        <w:rPr>
          <w:rFonts w:ascii="Arial" w:hAnsi="Arial" w:cs="Arial"/>
          <w:color w:val="262626" w:themeColor="text1" w:themeTint="D9"/>
          <w:sz w:val="22"/>
          <w:szCs w:val="22"/>
        </w:rPr>
        <w:t xml:space="preserve">. </w:t>
      </w:r>
      <w:r w:rsidRPr="00B606E0">
        <w:rPr>
          <w:rFonts w:ascii="Arial" w:hAnsi="Arial" w:cs="Arial"/>
          <w:i/>
          <w:iCs/>
          <w:color w:val="262626" w:themeColor="text1" w:themeTint="D9"/>
          <w:sz w:val="22"/>
          <w:szCs w:val="22"/>
        </w:rPr>
        <w:t>Advances in Eating Disorders, 1</w:t>
      </w:r>
      <w:r w:rsidRPr="00B606E0">
        <w:rPr>
          <w:rFonts w:ascii="Arial" w:hAnsi="Arial" w:cs="Arial"/>
          <w:color w:val="262626" w:themeColor="text1" w:themeTint="D9"/>
          <w:sz w:val="22"/>
          <w:szCs w:val="22"/>
        </w:rPr>
        <w:t>(1), 10–20</w:t>
      </w:r>
      <w:r w:rsidRPr="00B606E0">
        <w:rPr>
          <w:rFonts w:ascii="Arial" w:hAnsi="Arial" w:cs="Arial"/>
          <w:sz w:val="22"/>
          <w:szCs w:val="22"/>
        </w:rPr>
        <w:t xml:space="preserve">. </w:t>
      </w:r>
      <w:hyperlink r:id="rId15" w:tgtFrame="_new" w:history="1">
        <w:r w:rsidRPr="00B606E0">
          <w:rPr>
            <w:rStyle w:val="Hyperlink"/>
            <w:rFonts w:ascii="Arial" w:hAnsi="Arial" w:cs="Arial"/>
            <w:sz w:val="22"/>
            <w:szCs w:val="22"/>
          </w:rPr>
          <w:t>https://doi.org/10.1080/21662630.2013.742971</w:t>
        </w:r>
      </w:hyperlink>
    </w:p>
    <w:p w14:paraId="6656C423" w14:textId="35B9DBB1" w:rsidR="00D24227" w:rsidRPr="00B606E0" w:rsidRDefault="00D24227" w:rsidP="00B606E0">
      <w:pPr>
        <w:spacing w:line="360" w:lineRule="auto"/>
        <w:jc w:val="both"/>
        <w:rPr>
          <w:rFonts w:ascii="Arial" w:hAnsi="Arial" w:cs="Arial"/>
          <w:sz w:val="22"/>
          <w:szCs w:val="22"/>
        </w:rPr>
      </w:pPr>
      <w:r w:rsidRPr="00B606E0">
        <w:rPr>
          <w:rFonts w:ascii="Arial" w:hAnsi="Arial" w:cs="Arial"/>
          <w:sz w:val="22"/>
          <w:szCs w:val="22"/>
        </w:rPr>
        <w:t xml:space="preserve">Burrows, T., Skinner, J., McKenna, R., &amp; Rollo, M. (2017). </w:t>
      </w:r>
      <w:r w:rsidRPr="00B606E0">
        <w:rPr>
          <w:rFonts w:ascii="Arial" w:hAnsi="Arial" w:cs="Arial"/>
          <w:i/>
          <w:iCs/>
          <w:sz w:val="22"/>
          <w:szCs w:val="22"/>
        </w:rPr>
        <w:t>Food addiction, binge eating disorder, and obesity: Is there a relationship?</w:t>
      </w:r>
      <w:r w:rsidRPr="00B606E0">
        <w:rPr>
          <w:rFonts w:ascii="Arial" w:hAnsi="Arial" w:cs="Arial"/>
          <w:sz w:val="22"/>
          <w:szCs w:val="22"/>
        </w:rPr>
        <w:t xml:space="preserve"> </w:t>
      </w:r>
      <w:r w:rsidRPr="00B606E0">
        <w:rPr>
          <w:rFonts w:ascii="Arial" w:hAnsi="Arial" w:cs="Arial"/>
          <w:sz w:val="22"/>
          <w:szCs w:val="22"/>
        </w:rPr>
        <w:t>Behavioural</w:t>
      </w:r>
      <w:r w:rsidRPr="00B606E0">
        <w:rPr>
          <w:rFonts w:ascii="Arial" w:hAnsi="Arial" w:cs="Arial"/>
          <w:i/>
          <w:iCs/>
          <w:sz w:val="22"/>
          <w:szCs w:val="22"/>
        </w:rPr>
        <w:t xml:space="preserve"> Sciences, 7</w:t>
      </w:r>
      <w:r w:rsidRPr="00B606E0">
        <w:rPr>
          <w:rFonts w:ascii="Arial" w:hAnsi="Arial" w:cs="Arial"/>
          <w:sz w:val="22"/>
          <w:szCs w:val="22"/>
        </w:rPr>
        <w:t xml:space="preserve">(3), 54. </w:t>
      </w:r>
      <w:hyperlink r:id="rId16" w:history="1">
        <w:r w:rsidRPr="00B606E0">
          <w:rPr>
            <w:rStyle w:val="Hyperlink"/>
            <w:rFonts w:ascii="Arial" w:hAnsi="Arial" w:cs="Arial"/>
            <w:sz w:val="22"/>
            <w:szCs w:val="22"/>
          </w:rPr>
          <w:t>https://doi.org/10.3390/bs7030054</w:t>
        </w:r>
      </w:hyperlink>
      <w:r w:rsidRPr="00B606E0">
        <w:rPr>
          <w:rFonts w:ascii="Arial" w:hAnsi="Arial" w:cs="Arial"/>
          <w:sz w:val="22"/>
          <w:szCs w:val="22"/>
        </w:rPr>
        <w:t xml:space="preserve"> </w:t>
      </w:r>
    </w:p>
    <w:p w14:paraId="24C6BBF4" w14:textId="473FF919" w:rsidR="00D24227" w:rsidRPr="00B606E0" w:rsidRDefault="00CE6EF9" w:rsidP="00B606E0">
      <w:pPr>
        <w:spacing w:line="360" w:lineRule="auto"/>
        <w:jc w:val="both"/>
        <w:rPr>
          <w:rFonts w:ascii="Arial" w:hAnsi="Arial" w:cs="Arial"/>
          <w:sz w:val="22"/>
          <w:szCs w:val="22"/>
        </w:rPr>
      </w:pPr>
      <w:r w:rsidRPr="00B606E0">
        <w:rPr>
          <w:rFonts w:ascii="Arial" w:hAnsi="Arial" w:cs="Arial"/>
          <w:sz w:val="22"/>
          <w:szCs w:val="22"/>
        </w:rPr>
        <w:t xml:space="preserve">Goldfein, J. A., Devlin, M. J., &amp; Spitzer, R. L. (2000). </w:t>
      </w:r>
      <w:r w:rsidRPr="00B606E0">
        <w:rPr>
          <w:rFonts w:ascii="Arial" w:hAnsi="Arial" w:cs="Arial"/>
          <w:i/>
          <w:iCs/>
          <w:sz w:val="22"/>
          <w:szCs w:val="22"/>
        </w:rPr>
        <w:t>Cognitive behavioural therapy for the treatment of binge eating disorder: What constitutes success?</w:t>
      </w:r>
      <w:r w:rsidRPr="00B606E0">
        <w:rPr>
          <w:rFonts w:ascii="Arial" w:hAnsi="Arial" w:cs="Arial"/>
          <w:sz w:val="22"/>
          <w:szCs w:val="22"/>
        </w:rPr>
        <w:t xml:space="preserve"> </w:t>
      </w:r>
      <w:r w:rsidRPr="00B606E0">
        <w:rPr>
          <w:rFonts w:ascii="Arial" w:hAnsi="Arial" w:cs="Arial"/>
          <w:i/>
          <w:iCs/>
          <w:sz w:val="22"/>
          <w:szCs w:val="22"/>
        </w:rPr>
        <w:t>American Journal of Psychiatry, 157</w:t>
      </w:r>
      <w:r w:rsidRPr="00B606E0">
        <w:rPr>
          <w:rFonts w:ascii="Arial" w:hAnsi="Arial" w:cs="Arial"/>
          <w:sz w:val="22"/>
          <w:szCs w:val="22"/>
        </w:rPr>
        <w:t xml:space="preserve">(7), 1051–1056. </w:t>
      </w:r>
      <w:hyperlink r:id="rId17" w:tgtFrame="_blank" w:history="1">
        <w:r w:rsidRPr="00B606E0">
          <w:rPr>
            <w:rStyle w:val="Hyperlink"/>
            <w:rFonts w:ascii="Arial" w:hAnsi="Arial" w:cs="Arial"/>
            <w:sz w:val="22"/>
            <w:szCs w:val="22"/>
          </w:rPr>
          <w:t>https://doi.org/10.1176/appi.ajp.157.7.1051</w:t>
        </w:r>
      </w:hyperlink>
      <w:r w:rsidRPr="00B606E0">
        <w:rPr>
          <w:rFonts w:ascii="Arial" w:hAnsi="Arial" w:cs="Arial"/>
          <w:sz w:val="22"/>
          <w:szCs w:val="22"/>
        </w:rPr>
        <w:t xml:space="preserve"> </w:t>
      </w:r>
    </w:p>
    <w:p w14:paraId="3DB328E6" w14:textId="7D0D4453" w:rsidR="00006A48" w:rsidRPr="00B606E0" w:rsidRDefault="007B332B" w:rsidP="00B606E0">
      <w:pPr>
        <w:spacing w:line="360" w:lineRule="auto"/>
        <w:jc w:val="both"/>
        <w:rPr>
          <w:rFonts w:ascii="Arial" w:hAnsi="Arial" w:cs="Arial"/>
          <w:sz w:val="22"/>
          <w:szCs w:val="22"/>
        </w:rPr>
      </w:pPr>
      <w:r w:rsidRPr="00B606E0">
        <w:rPr>
          <w:rFonts w:ascii="Arial" w:hAnsi="Arial" w:cs="Arial"/>
          <w:sz w:val="22"/>
          <w:szCs w:val="22"/>
        </w:rPr>
        <w:t xml:space="preserve">Government Equalities Office (2011) </w:t>
      </w:r>
      <w:r w:rsidRPr="00B606E0">
        <w:rPr>
          <w:rFonts w:ascii="Arial" w:hAnsi="Arial" w:cs="Arial"/>
          <w:i/>
          <w:iCs/>
          <w:sz w:val="22"/>
          <w:szCs w:val="22"/>
        </w:rPr>
        <w:t xml:space="preserve">Disability: Equality Act 2010 – Guidance on matters to be </w:t>
      </w:r>
      <w:proofErr w:type="gramStart"/>
      <w:r w:rsidRPr="00B606E0">
        <w:rPr>
          <w:rFonts w:ascii="Arial" w:hAnsi="Arial" w:cs="Arial"/>
          <w:i/>
          <w:iCs/>
          <w:sz w:val="22"/>
          <w:szCs w:val="22"/>
        </w:rPr>
        <w:t>taken into account</w:t>
      </w:r>
      <w:proofErr w:type="gramEnd"/>
      <w:r w:rsidRPr="00B606E0">
        <w:rPr>
          <w:rFonts w:ascii="Arial" w:hAnsi="Arial" w:cs="Arial"/>
          <w:i/>
          <w:iCs/>
          <w:sz w:val="22"/>
          <w:szCs w:val="22"/>
        </w:rPr>
        <w:t xml:space="preserve"> in determining questions relating to the definition of disability</w:t>
      </w:r>
      <w:r w:rsidRPr="00B606E0">
        <w:rPr>
          <w:rFonts w:ascii="Arial" w:hAnsi="Arial" w:cs="Arial"/>
          <w:sz w:val="22"/>
          <w:szCs w:val="22"/>
        </w:rPr>
        <w:t xml:space="preserve">. Available at: </w:t>
      </w:r>
      <w:hyperlink r:id="rId18" w:tgtFrame="_blank" w:history="1">
        <w:r w:rsidRPr="00B606E0">
          <w:rPr>
            <w:rStyle w:val="Hyperlink"/>
            <w:rFonts w:ascii="Arial" w:hAnsi="Arial" w:cs="Arial"/>
            <w:sz w:val="22"/>
            <w:szCs w:val="22"/>
          </w:rPr>
          <w:t>https://www.gov.uk/government/publications/equality-act-guidance/disability-equality-act-2010-guidance-on-matters-to-be-taken-into-account-in-determining-questions-relating-to-the-definition-of-disability-html</w:t>
        </w:r>
      </w:hyperlink>
      <w:r w:rsidRPr="00B606E0">
        <w:rPr>
          <w:rFonts w:ascii="Arial" w:hAnsi="Arial" w:cs="Arial"/>
          <w:sz w:val="22"/>
          <w:szCs w:val="22"/>
        </w:rPr>
        <w:t xml:space="preserve"> (Accessed: 26 July 2026)</w:t>
      </w:r>
    </w:p>
    <w:p w14:paraId="012ABBC0" w14:textId="77777777" w:rsidR="007B332B" w:rsidRPr="00B606E0" w:rsidRDefault="007B332B" w:rsidP="00B606E0">
      <w:pPr>
        <w:spacing w:line="360" w:lineRule="auto"/>
        <w:jc w:val="both"/>
        <w:rPr>
          <w:rFonts w:ascii="Arial" w:hAnsi="Arial" w:cs="Arial"/>
          <w:sz w:val="22"/>
          <w:szCs w:val="22"/>
        </w:rPr>
      </w:pPr>
      <w:r w:rsidRPr="00B606E0">
        <w:rPr>
          <w:rFonts w:ascii="Arial" w:hAnsi="Arial" w:cs="Arial"/>
          <w:sz w:val="22"/>
          <w:szCs w:val="22"/>
        </w:rPr>
        <w:t xml:space="preserve">Hilbert, A., Petroff, D., Herpertz, S., Pietrowsky, R., Tuschen-Caffier, B., Vocks, S. and Schmidt, R. (2019) 'Meta-analysis of the efficacy of psychological and medical treatments for binge-eating disorder', </w:t>
      </w:r>
      <w:r w:rsidRPr="00B606E0">
        <w:rPr>
          <w:rFonts w:ascii="Arial" w:hAnsi="Arial" w:cs="Arial"/>
          <w:i/>
          <w:iCs/>
          <w:sz w:val="22"/>
          <w:szCs w:val="22"/>
        </w:rPr>
        <w:t>Journal of Consulting and Clinical Psychology</w:t>
      </w:r>
      <w:r w:rsidRPr="00B606E0">
        <w:rPr>
          <w:rFonts w:ascii="Arial" w:hAnsi="Arial" w:cs="Arial"/>
          <w:sz w:val="22"/>
          <w:szCs w:val="22"/>
        </w:rPr>
        <w:t xml:space="preserve">, 87(1), pp. 91–105. Available at: </w:t>
      </w:r>
      <w:hyperlink r:id="rId19" w:history="1">
        <w:r w:rsidRPr="00B606E0">
          <w:rPr>
            <w:rStyle w:val="Hyperlink"/>
            <w:rFonts w:ascii="Arial" w:hAnsi="Arial" w:cs="Arial"/>
            <w:sz w:val="22"/>
            <w:szCs w:val="22"/>
          </w:rPr>
          <w:t>https://doi.org/10.1037/ccp0000358</w:t>
        </w:r>
      </w:hyperlink>
      <w:r w:rsidRPr="00B606E0">
        <w:rPr>
          <w:rFonts w:ascii="Arial" w:hAnsi="Arial" w:cs="Arial"/>
          <w:sz w:val="22"/>
          <w:szCs w:val="22"/>
        </w:rPr>
        <w:t xml:space="preserve"> </w:t>
      </w:r>
      <w:r w:rsidRPr="00B606E0">
        <w:rPr>
          <w:rFonts w:ascii="Arial" w:hAnsi="Arial" w:cs="Arial"/>
          <w:sz w:val="22"/>
          <w:szCs w:val="22"/>
        </w:rPr>
        <w:t xml:space="preserve"> (Accessed: 26 July 2026).</w:t>
      </w:r>
    </w:p>
    <w:p w14:paraId="17328C05" w14:textId="12823B58" w:rsidR="00587FE7" w:rsidRPr="00B606E0" w:rsidRDefault="00587FE7" w:rsidP="00B606E0">
      <w:pPr>
        <w:spacing w:line="360" w:lineRule="auto"/>
        <w:jc w:val="both"/>
        <w:rPr>
          <w:rFonts w:ascii="Arial" w:hAnsi="Arial" w:cs="Arial"/>
          <w:sz w:val="22"/>
          <w:szCs w:val="22"/>
        </w:rPr>
      </w:pPr>
      <w:r w:rsidRPr="00B606E0">
        <w:rPr>
          <w:rFonts w:ascii="Arial" w:hAnsi="Arial" w:cs="Arial"/>
          <w:sz w:val="22"/>
          <w:szCs w:val="22"/>
        </w:rPr>
        <w:t xml:space="preserve">Katzman, M.A., Bilkey, T.S., Chokka, P.R., Fallu, A. and Klassen, L.J. (2017) 'Adult ADHD and comorbid disorders: Clinical implications of a dimensional approach', </w:t>
      </w:r>
      <w:r w:rsidRPr="00B606E0">
        <w:rPr>
          <w:rFonts w:ascii="Arial" w:hAnsi="Arial" w:cs="Arial"/>
          <w:i/>
          <w:iCs/>
          <w:sz w:val="22"/>
          <w:szCs w:val="22"/>
        </w:rPr>
        <w:t>BMC Psychiatry</w:t>
      </w:r>
      <w:r w:rsidRPr="00B606E0">
        <w:rPr>
          <w:rFonts w:ascii="Arial" w:hAnsi="Arial" w:cs="Arial"/>
          <w:sz w:val="22"/>
          <w:szCs w:val="22"/>
        </w:rPr>
        <w:t xml:space="preserve">, 17(1), Article 302. Available at: </w:t>
      </w:r>
      <w:hyperlink r:id="rId20" w:tgtFrame="_new" w:history="1">
        <w:r w:rsidRPr="00B606E0">
          <w:rPr>
            <w:rStyle w:val="Hyperlink"/>
            <w:rFonts w:ascii="Arial" w:hAnsi="Arial" w:cs="Arial"/>
            <w:sz w:val="22"/>
            <w:szCs w:val="22"/>
          </w:rPr>
          <w:t>https://doi.org/10.1186/s12888-017-1463-3</w:t>
        </w:r>
      </w:hyperlink>
      <w:r w:rsidRPr="00B606E0">
        <w:rPr>
          <w:rFonts w:ascii="Arial" w:hAnsi="Arial" w:cs="Arial"/>
          <w:sz w:val="22"/>
          <w:szCs w:val="22"/>
        </w:rPr>
        <w:t xml:space="preserve"> (Accessed: 26 July 2026). </w:t>
      </w:r>
    </w:p>
    <w:p w14:paraId="3EA4ED17" w14:textId="53D3F36D" w:rsidR="00A07306" w:rsidRPr="00B606E0" w:rsidRDefault="00A07306" w:rsidP="00B606E0">
      <w:pPr>
        <w:spacing w:line="360" w:lineRule="auto"/>
        <w:jc w:val="both"/>
        <w:rPr>
          <w:rFonts w:ascii="Arial" w:hAnsi="Arial" w:cs="Arial"/>
          <w:sz w:val="22"/>
          <w:szCs w:val="22"/>
        </w:rPr>
      </w:pPr>
      <w:r w:rsidRPr="00B606E0">
        <w:rPr>
          <w:rFonts w:ascii="Arial" w:hAnsi="Arial" w:cs="Arial"/>
          <w:sz w:val="22"/>
          <w:szCs w:val="22"/>
        </w:rPr>
        <w:t xml:space="preserve">Keeley, J.W., Reed, G.M., Roberts, M.C., Evans, S.C., Medina-Mora, M.E., Robles, R., Rebello, T., Sharan, P., </w:t>
      </w:r>
      <w:proofErr w:type="spellStart"/>
      <w:r w:rsidRPr="00B606E0">
        <w:rPr>
          <w:rFonts w:ascii="Arial" w:hAnsi="Arial" w:cs="Arial"/>
          <w:sz w:val="22"/>
          <w:szCs w:val="22"/>
        </w:rPr>
        <w:t>Gureje</w:t>
      </w:r>
      <w:proofErr w:type="spellEnd"/>
      <w:r w:rsidRPr="00B606E0">
        <w:rPr>
          <w:rFonts w:ascii="Arial" w:hAnsi="Arial" w:cs="Arial"/>
          <w:sz w:val="22"/>
          <w:szCs w:val="22"/>
        </w:rPr>
        <w:t xml:space="preserve">, O., First, M.B., Andrews, H.F., Ayuso-Mateos, J.L., Gaebel, W., Zielasek, J. and Saxena, S. (2016) 'Developing a science of clinical utility in diagnostic classification systems: Field study strategies for ICD-11 mental and behavioural disorders', </w:t>
      </w:r>
      <w:r w:rsidRPr="00B606E0">
        <w:rPr>
          <w:rFonts w:ascii="Arial" w:hAnsi="Arial" w:cs="Arial"/>
          <w:i/>
          <w:iCs/>
          <w:sz w:val="22"/>
          <w:szCs w:val="22"/>
        </w:rPr>
        <w:lastRenderedPageBreak/>
        <w:t>American Psychologist</w:t>
      </w:r>
      <w:r w:rsidRPr="00B606E0">
        <w:rPr>
          <w:rFonts w:ascii="Arial" w:hAnsi="Arial" w:cs="Arial"/>
          <w:sz w:val="22"/>
          <w:szCs w:val="22"/>
        </w:rPr>
        <w:t xml:space="preserve">, 71(1), pp. 3–16. Available at: </w:t>
      </w:r>
      <w:hyperlink r:id="rId21" w:history="1">
        <w:r w:rsidRPr="00B606E0">
          <w:rPr>
            <w:rStyle w:val="Hyperlink"/>
            <w:rFonts w:ascii="Arial" w:hAnsi="Arial" w:cs="Arial"/>
            <w:sz w:val="22"/>
            <w:szCs w:val="22"/>
          </w:rPr>
          <w:t>https://doi.org/10.1037/a0039972</w:t>
        </w:r>
      </w:hyperlink>
      <w:r w:rsidRPr="00B606E0">
        <w:rPr>
          <w:rFonts w:ascii="Arial" w:hAnsi="Arial" w:cs="Arial"/>
          <w:sz w:val="22"/>
          <w:szCs w:val="22"/>
        </w:rPr>
        <w:t xml:space="preserve"> </w:t>
      </w:r>
      <w:r w:rsidRPr="00B606E0">
        <w:rPr>
          <w:rFonts w:ascii="Arial" w:hAnsi="Arial" w:cs="Arial"/>
          <w:sz w:val="22"/>
          <w:szCs w:val="22"/>
        </w:rPr>
        <w:t xml:space="preserve"> (Accessed: 2</w:t>
      </w:r>
      <w:r w:rsidRPr="00B606E0">
        <w:rPr>
          <w:rFonts w:ascii="Arial" w:hAnsi="Arial" w:cs="Arial"/>
          <w:sz w:val="22"/>
          <w:szCs w:val="22"/>
        </w:rPr>
        <w:t xml:space="preserve">2 </w:t>
      </w:r>
      <w:r w:rsidRPr="00B606E0">
        <w:rPr>
          <w:rFonts w:ascii="Arial" w:hAnsi="Arial" w:cs="Arial"/>
          <w:sz w:val="22"/>
          <w:szCs w:val="22"/>
        </w:rPr>
        <w:t>July 2026).</w:t>
      </w:r>
    </w:p>
    <w:p w14:paraId="6393F251" w14:textId="3AD3B514" w:rsidR="00A07306" w:rsidRPr="00B606E0" w:rsidRDefault="00A07306" w:rsidP="00B606E0">
      <w:pPr>
        <w:spacing w:line="360" w:lineRule="auto"/>
        <w:jc w:val="both"/>
        <w:rPr>
          <w:rFonts w:ascii="Arial" w:hAnsi="Arial" w:cs="Arial"/>
          <w:sz w:val="22"/>
          <w:szCs w:val="22"/>
        </w:rPr>
      </w:pPr>
      <w:r w:rsidRPr="00B606E0">
        <w:rPr>
          <w:rFonts w:ascii="Arial" w:hAnsi="Arial" w:cs="Arial"/>
          <w:sz w:val="22"/>
          <w:szCs w:val="22"/>
        </w:rPr>
        <w:t xml:space="preserve">Linardon, J., Shatte, A., Messer, M., Firth, J. and Fuller-Tyszkiewicz, M. (2021) 'The efficacy of eHealth interventions for the treatment of adults diagnosed with full or subthreshold binge eating disorder: A systematic review and meta-analysis', </w:t>
      </w:r>
      <w:r w:rsidRPr="00B606E0">
        <w:rPr>
          <w:rFonts w:ascii="Arial" w:hAnsi="Arial" w:cs="Arial"/>
          <w:i/>
          <w:iCs/>
          <w:sz w:val="22"/>
          <w:szCs w:val="22"/>
        </w:rPr>
        <w:t>Journal of Medical Internet Research</w:t>
      </w:r>
      <w:r w:rsidRPr="00B606E0">
        <w:rPr>
          <w:rFonts w:ascii="Arial" w:hAnsi="Arial" w:cs="Arial"/>
          <w:sz w:val="22"/>
          <w:szCs w:val="22"/>
        </w:rPr>
        <w:t xml:space="preserve">, 23(7), e17874. Available at: </w:t>
      </w:r>
      <w:hyperlink r:id="rId22" w:tgtFrame="_new" w:history="1">
        <w:r w:rsidRPr="00B606E0">
          <w:rPr>
            <w:rStyle w:val="Hyperlink"/>
            <w:rFonts w:ascii="Arial" w:hAnsi="Arial" w:cs="Arial"/>
            <w:sz w:val="22"/>
            <w:szCs w:val="22"/>
          </w:rPr>
          <w:t>https://doi.org/10.2196/17874</w:t>
        </w:r>
      </w:hyperlink>
      <w:r w:rsidRPr="00B606E0">
        <w:rPr>
          <w:rFonts w:ascii="Arial" w:hAnsi="Arial" w:cs="Arial"/>
          <w:sz w:val="22"/>
          <w:szCs w:val="22"/>
        </w:rPr>
        <w:t xml:space="preserve"> (Accessed: 2</w:t>
      </w:r>
      <w:r w:rsidRPr="00B606E0">
        <w:rPr>
          <w:rFonts w:ascii="Arial" w:hAnsi="Arial" w:cs="Arial"/>
          <w:sz w:val="22"/>
          <w:szCs w:val="22"/>
        </w:rPr>
        <w:t>1</w:t>
      </w:r>
      <w:r w:rsidRPr="00B606E0">
        <w:rPr>
          <w:rFonts w:ascii="Arial" w:hAnsi="Arial" w:cs="Arial"/>
          <w:sz w:val="22"/>
          <w:szCs w:val="22"/>
        </w:rPr>
        <w:t xml:space="preserve"> July 2026).</w:t>
      </w:r>
    </w:p>
    <w:p w14:paraId="49ACE504" w14:textId="7A90043C" w:rsidR="00A07306" w:rsidRPr="00B606E0" w:rsidRDefault="00A07306" w:rsidP="00B606E0">
      <w:pPr>
        <w:spacing w:line="360" w:lineRule="auto"/>
        <w:jc w:val="both"/>
        <w:rPr>
          <w:rFonts w:ascii="Arial" w:hAnsi="Arial" w:cs="Arial"/>
          <w:sz w:val="22"/>
          <w:szCs w:val="22"/>
        </w:rPr>
      </w:pPr>
      <w:r w:rsidRPr="00B606E0">
        <w:rPr>
          <w:rFonts w:ascii="Arial" w:hAnsi="Arial" w:cs="Arial"/>
          <w:sz w:val="22"/>
          <w:szCs w:val="22"/>
        </w:rPr>
        <w:t xml:space="preserve"> McElroy, S.L., Guerdjikova, A.I., Mori, N. and O’Melia, A.M. (2012) 'Pharmacological management of binge eating disorder: Current and emerging treatment options', </w:t>
      </w:r>
      <w:r w:rsidRPr="00B606E0">
        <w:rPr>
          <w:rFonts w:ascii="Arial" w:hAnsi="Arial" w:cs="Arial"/>
          <w:i/>
          <w:iCs/>
          <w:sz w:val="22"/>
          <w:szCs w:val="22"/>
        </w:rPr>
        <w:t>Therapeutics and Clinical Risk Management</w:t>
      </w:r>
      <w:r w:rsidRPr="00B606E0">
        <w:rPr>
          <w:rFonts w:ascii="Arial" w:hAnsi="Arial" w:cs="Arial"/>
          <w:sz w:val="22"/>
          <w:szCs w:val="22"/>
        </w:rPr>
        <w:t xml:space="preserve">, 8, pp. 219–241. Available at: </w:t>
      </w:r>
      <w:hyperlink r:id="rId23" w:history="1">
        <w:r w:rsidRPr="00B606E0">
          <w:rPr>
            <w:rStyle w:val="Hyperlink"/>
            <w:rFonts w:ascii="Arial" w:hAnsi="Arial" w:cs="Arial"/>
            <w:sz w:val="22"/>
            <w:szCs w:val="22"/>
          </w:rPr>
          <w:t>https://doi.org/10.2147/TCRM.S25574</w:t>
        </w:r>
      </w:hyperlink>
      <w:r w:rsidRPr="00B606E0">
        <w:rPr>
          <w:rFonts w:ascii="Arial" w:hAnsi="Arial" w:cs="Arial"/>
          <w:sz w:val="22"/>
          <w:szCs w:val="22"/>
        </w:rPr>
        <w:t xml:space="preserve"> </w:t>
      </w:r>
      <w:r w:rsidRPr="00B606E0">
        <w:rPr>
          <w:rFonts w:ascii="Arial" w:hAnsi="Arial" w:cs="Arial"/>
          <w:sz w:val="22"/>
          <w:szCs w:val="22"/>
        </w:rPr>
        <w:t>(Accessed: 2</w:t>
      </w:r>
      <w:r w:rsidRPr="00B606E0">
        <w:rPr>
          <w:rFonts w:ascii="Arial" w:hAnsi="Arial" w:cs="Arial"/>
          <w:sz w:val="22"/>
          <w:szCs w:val="22"/>
        </w:rPr>
        <w:t>3</w:t>
      </w:r>
      <w:r w:rsidRPr="00B606E0">
        <w:rPr>
          <w:rFonts w:ascii="Arial" w:hAnsi="Arial" w:cs="Arial"/>
          <w:sz w:val="22"/>
          <w:szCs w:val="22"/>
        </w:rPr>
        <w:t xml:space="preserve"> July 2026).</w:t>
      </w:r>
    </w:p>
    <w:p w14:paraId="08DAAE56" w14:textId="1CBEB309" w:rsidR="00A07306" w:rsidRPr="00B606E0" w:rsidRDefault="00AC74BA" w:rsidP="00B606E0">
      <w:pPr>
        <w:spacing w:line="360" w:lineRule="auto"/>
        <w:jc w:val="both"/>
        <w:rPr>
          <w:rFonts w:ascii="Arial" w:hAnsi="Arial" w:cs="Arial"/>
          <w:sz w:val="22"/>
          <w:szCs w:val="22"/>
        </w:rPr>
      </w:pPr>
      <w:r w:rsidRPr="00B606E0">
        <w:rPr>
          <w:rFonts w:ascii="Arial" w:hAnsi="Arial" w:cs="Arial"/>
          <w:sz w:val="22"/>
          <w:szCs w:val="22"/>
        </w:rPr>
        <w:t xml:space="preserve">National Institute for Health and Care Excellence (2020) </w:t>
      </w:r>
      <w:proofErr w:type="gramStart"/>
      <w:r w:rsidRPr="00B606E0">
        <w:rPr>
          <w:rFonts w:ascii="Arial" w:hAnsi="Arial" w:cs="Arial"/>
          <w:i/>
          <w:iCs/>
          <w:sz w:val="22"/>
          <w:szCs w:val="22"/>
        </w:rPr>
        <w:t>Eating disorders</w:t>
      </w:r>
      <w:proofErr w:type="gramEnd"/>
      <w:r w:rsidRPr="00B606E0">
        <w:rPr>
          <w:rFonts w:ascii="Arial" w:hAnsi="Arial" w:cs="Arial"/>
          <w:i/>
          <w:iCs/>
          <w:sz w:val="22"/>
          <w:szCs w:val="22"/>
        </w:rPr>
        <w:t>: recognition and treatment (NG69).</w:t>
      </w:r>
      <w:r w:rsidRPr="00B606E0">
        <w:rPr>
          <w:rFonts w:ascii="Arial" w:hAnsi="Arial" w:cs="Arial"/>
          <w:sz w:val="22"/>
          <w:szCs w:val="22"/>
        </w:rPr>
        <w:t xml:space="preserve"> Available at: </w:t>
      </w:r>
      <w:hyperlink r:id="rId24" w:tgtFrame="_new" w:history="1">
        <w:r w:rsidRPr="00B606E0">
          <w:rPr>
            <w:rStyle w:val="Hyperlink"/>
            <w:rFonts w:ascii="Arial" w:hAnsi="Arial" w:cs="Arial"/>
            <w:sz w:val="22"/>
            <w:szCs w:val="22"/>
          </w:rPr>
          <w:t>https://www.nice.org.uk/guidance/ng69</w:t>
        </w:r>
      </w:hyperlink>
      <w:r w:rsidRPr="00B606E0">
        <w:rPr>
          <w:rFonts w:ascii="Arial" w:hAnsi="Arial" w:cs="Arial"/>
          <w:sz w:val="22"/>
          <w:szCs w:val="22"/>
        </w:rPr>
        <w:t xml:space="preserve"> (Accessed: 21 July 2026).</w:t>
      </w:r>
    </w:p>
    <w:p w14:paraId="1A8B949B" w14:textId="77777777" w:rsidR="00674B15" w:rsidRPr="00B606E0" w:rsidRDefault="006F7849" w:rsidP="00674B15">
      <w:pPr>
        <w:spacing w:line="360" w:lineRule="auto"/>
        <w:jc w:val="both"/>
        <w:rPr>
          <w:rFonts w:ascii="Arial" w:hAnsi="Arial" w:cs="Arial"/>
          <w:sz w:val="22"/>
          <w:szCs w:val="22"/>
        </w:rPr>
      </w:pPr>
      <w:r w:rsidRPr="00B606E0">
        <w:rPr>
          <w:rFonts w:ascii="Arial" w:hAnsi="Arial" w:cs="Arial"/>
          <w:sz w:val="22"/>
          <w:szCs w:val="22"/>
        </w:rPr>
        <w:t xml:space="preserve">Pollert, G.A., Engel, S.G., Schreiber-Gregory, D.N., Crosby, R.D., Cao, L., Wonderlich, S.A., Tanofsky-Kraff, M. and Mitchell, J.E. (2013). </w:t>
      </w:r>
      <w:r w:rsidRPr="00B606E0">
        <w:rPr>
          <w:rFonts w:ascii="Arial" w:hAnsi="Arial" w:cs="Arial"/>
          <w:i/>
          <w:iCs/>
          <w:sz w:val="22"/>
          <w:szCs w:val="22"/>
        </w:rPr>
        <w:t>The role of eating and emotion in binge eating disorder and loss of control eating</w:t>
      </w:r>
      <w:r w:rsidRPr="00B606E0">
        <w:rPr>
          <w:rFonts w:ascii="Arial" w:hAnsi="Arial" w:cs="Arial"/>
          <w:sz w:val="22"/>
          <w:szCs w:val="22"/>
        </w:rPr>
        <w:t xml:space="preserve">. </w:t>
      </w:r>
      <w:r w:rsidRPr="00B606E0">
        <w:rPr>
          <w:rFonts w:ascii="Arial" w:hAnsi="Arial" w:cs="Arial"/>
          <w:i/>
          <w:iCs/>
          <w:sz w:val="22"/>
          <w:szCs w:val="22"/>
        </w:rPr>
        <w:t>International Journal of Eating Disorders</w:t>
      </w:r>
      <w:r w:rsidRPr="00B606E0">
        <w:rPr>
          <w:rFonts w:ascii="Arial" w:hAnsi="Arial" w:cs="Arial"/>
          <w:sz w:val="22"/>
          <w:szCs w:val="22"/>
        </w:rPr>
        <w:t xml:space="preserve">, </w:t>
      </w:r>
      <w:r w:rsidRPr="00B606E0">
        <w:rPr>
          <w:rFonts w:ascii="Arial" w:hAnsi="Arial" w:cs="Arial"/>
          <w:b/>
          <w:bCs/>
          <w:sz w:val="22"/>
          <w:szCs w:val="22"/>
        </w:rPr>
        <w:t>46</w:t>
      </w:r>
      <w:r w:rsidRPr="00B606E0">
        <w:rPr>
          <w:rFonts w:ascii="Arial" w:hAnsi="Arial" w:cs="Arial"/>
          <w:sz w:val="22"/>
          <w:szCs w:val="22"/>
        </w:rPr>
        <w:t xml:space="preserve">(3), pp. 233–238. </w:t>
      </w:r>
      <w:hyperlink r:id="rId25" w:tgtFrame="_new" w:history="1">
        <w:r w:rsidRPr="00B606E0">
          <w:rPr>
            <w:rStyle w:val="Hyperlink"/>
            <w:rFonts w:ascii="Arial" w:hAnsi="Arial" w:cs="Arial"/>
            <w:sz w:val="22"/>
            <w:szCs w:val="22"/>
          </w:rPr>
          <w:t>https://doi.org/10.1002/eat.22061</w:t>
        </w:r>
      </w:hyperlink>
      <w:r w:rsidR="00674B15">
        <w:rPr>
          <w:rFonts w:ascii="Arial" w:hAnsi="Arial" w:cs="Arial"/>
          <w:sz w:val="22"/>
          <w:szCs w:val="22"/>
        </w:rPr>
        <w:t xml:space="preserve"> </w:t>
      </w:r>
      <w:r w:rsidR="00674B15" w:rsidRPr="00B606E0">
        <w:rPr>
          <w:rFonts w:ascii="Arial" w:hAnsi="Arial" w:cs="Arial"/>
          <w:sz w:val="22"/>
          <w:szCs w:val="22"/>
        </w:rPr>
        <w:t>(Accessed: 14 July 2026).</w:t>
      </w:r>
    </w:p>
    <w:p w14:paraId="49E04C46" w14:textId="77777777" w:rsidR="00674B15" w:rsidRPr="00B606E0" w:rsidRDefault="006F7849" w:rsidP="00674B15">
      <w:pPr>
        <w:spacing w:line="360" w:lineRule="auto"/>
        <w:jc w:val="both"/>
        <w:rPr>
          <w:rFonts w:ascii="Arial" w:hAnsi="Arial" w:cs="Arial"/>
          <w:sz w:val="22"/>
          <w:szCs w:val="22"/>
        </w:rPr>
      </w:pPr>
      <w:r w:rsidRPr="00B606E0">
        <w:rPr>
          <w:rFonts w:ascii="Arial" w:hAnsi="Arial" w:cs="Arial"/>
          <w:sz w:val="22"/>
          <w:szCs w:val="22"/>
        </w:rPr>
        <w:t xml:space="preserve">Reas, D.L., </w:t>
      </w:r>
      <w:proofErr w:type="spellStart"/>
      <w:r w:rsidRPr="00B606E0">
        <w:rPr>
          <w:rFonts w:ascii="Arial" w:hAnsi="Arial" w:cs="Arial"/>
          <w:sz w:val="22"/>
          <w:szCs w:val="22"/>
        </w:rPr>
        <w:t>Masheb</w:t>
      </w:r>
      <w:proofErr w:type="spellEnd"/>
      <w:r w:rsidRPr="00B606E0">
        <w:rPr>
          <w:rFonts w:ascii="Arial" w:hAnsi="Arial" w:cs="Arial"/>
          <w:sz w:val="22"/>
          <w:szCs w:val="22"/>
        </w:rPr>
        <w:t xml:space="preserve">, R.M. and Grilo, C.M. (2004). </w:t>
      </w:r>
      <w:r w:rsidRPr="00B606E0">
        <w:rPr>
          <w:rFonts w:ascii="Arial" w:hAnsi="Arial" w:cs="Arial"/>
          <w:i/>
          <w:iCs/>
          <w:sz w:val="22"/>
          <w:szCs w:val="22"/>
        </w:rPr>
        <w:t xml:space="preserve">Appearance </w:t>
      </w:r>
      <w:r w:rsidR="00674B15">
        <w:rPr>
          <w:rFonts w:ascii="Arial" w:hAnsi="Arial" w:cs="Arial"/>
          <w:i/>
          <w:iCs/>
          <w:sz w:val="22"/>
          <w:szCs w:val="22"/>
        </w:rPr>
        <w:t>vs</w:t>
      </w:r>
      <w:r w:rsidRPr="00B606E0">
        <w:rPr>
          <w:rFonts w:ascii="Arial" w:hAnsi="Arial" w:cs="Arial"/>
          <w:i/>
          <w:iCs/>
          <w:sz w:val="22"/>
          <w:szCs w:val="22"/>
        </w:rPr>
        <w:t xml:space="preserve"> health reasons for seeking treatment among obese patients with binge eating disorder</w:t>
      </w:r>
      <w:r w:rsidRPr="00B606E0">
        <w:rPr>
          <w:rFonts w:ascii="Arial" w:hAnsi="Arial" w:cs="Arial"/>
          <w:sz w:val="22"/>
          <w:szCs w:val="22"/>
        </w:rPr>
        <w:t xml:space="preserve">. Obesity Research, 12(5), pp.758–760. </w:t>
      </w:r>
      <w:hyperlink r:id="rId26" w:history="1">
        <w:r w:rsidRPr="00B606E0">
          <w:rPr>
            <w:rStyle w:val="Hyperlink"/>
            <w:rFonts w:ascii="Arial" w:hAnsi="Arial" w:cs="Arial"/>
            <w:sz w:val="22"/>
            <w:szCs w:val="22"/>
          </w:rPr>
          <w:t>https://doi.org/10.1038/oby.2004.91</w:t>
        </w:r>
      </w:hyperlink>
      <w:r w:rsidR="00674B15">
        <w:rPr>
          <w:rFonts w:ascii="Arial" w:hAnsi="Arial" w:cs="Arial"/>
          <w:sz w:val="22"/>
          <w:szCs w:val="22"/>
        </w:rPr>
        <w:t xml:space="preserve"> </w:t>
      </w:r>
      <w:r w:rsidR="00674B15" w:rsidRPr="00B606E0">
        <w:rPr>
          <w:rFonts w:ascii="Arial" w:hAnsi="Arial" w:cs="Arial"/>
          <w:sz w:val="22"/>
          <w:szCs w:val="22"/>
        </w:rPr>
        <w:t>(Accessed: 14 July 2026).</w:t>
      </w:r>
    </w:p>
    <w:p w14:paraId="2F7A706D" w14:textId="77777777" w:rsidR="00B606E0" w:rsidRPr="00B606E0" w:rsidRDefault="00B606E0" w:rsidP="00B606E0">
      <w:pPr>
        <w:spacing w:line="360" w:lineRule="auto"/>
        <w:jc w:val="both"/>
        <w:rPr>
          <w:rFonts w:ascii="Arial" w:hAnsi="Arial" w:cs="Arial"/>
          <w:sz w:val="22"/>
          <w:szCs w:val="22"/>
        </w:rPr>
      </w:pPr>
      <w:r w:rsidRPr="00B606E0">
        <w:rPr>
          <w:rFonts w:ascii="Arial" w:hAnsi="Arial" w:cs="Arial"/>
          <w:sz w:val="22"/>
          <w:szCs w:val="22"/>
        </w:rPr>
        <w:t xml:space="preserve">UK Government (2005) </w:t>
      </w:r>
      <w:r w:rsidRPr="00B606E0">
        <w:rPr>
          <w:rFonts w:ascii="Arial" w:hAnsi="Arial" w:cs="Arial"/>
          <w:i/>
          <w:iCs/>
          <w:sz w:val="22"/>
          <w:szCs w:val="22"/>
        </w:rPr>
        <w:t>Mental Capacity Act 2005</w:t>
      </w:r>
      <w:r w:rsidRPr="00B606E0">
        <w:rPr>
          <w:rFonts w:ascii="Arial" w:hAnsi="Arial" w:cs="Arial"/>
          <w:sz w:val="22"/>
          <w:szCs w:val="22"/>
        </w:rPr>
        <w:t xml:space="preserve">. Available at: </w:t>
      </w:r>
      <w:hyperlink r:id="rId27" w:tgtFrame="_new" w:history="1">
        <w:r w:rsidRPr="00B606E0">
          <w:rPr>
            <w:rStyle w:val="Hyperlink"/>
            <w:rFonts w:ascii="Arial" w:hAnsi="Arial" w:cs="Arial"/>
            <w:sz w:val="22"/>
            <w:szCs w:val="22"/>
          </w:rPr>
          <w:t>https://www.legislation.gov.uk/ukpga/2005/9/contents</w:t>
        </w:r>
      </w:hyperlink>
      <w:r w:rsidRPr="00B606E0">
        <w:rPr>
          <w:rFonts w:ascii="Arial" w:hAnsi="Arial" w:cs="Arial"/>
          <w:sz w:val="22"/>
          <w:szCs w:val="22"/>
        </w:rPr>
        <w:t xml:space="preserve"> (Accessed: 26 July 2026).</w:t>
      </w:r>
    </w:p>
    <w:p w14:paraId="47157789" w14:textId="77777777" w:rsidR="00674B15" w:rsidRPr="00B606E0" w:rsidRDefault="006F7849" w:rsidP="00674B15">
      <w:pPr>
        <w:spacing w:line="360" w:lineRule="auto"/>
        <w:jc w:val="both"/>
        <w:rPr>
          <w:rFonts w:ascii="Arial" w:hAnsi="Arial" w:cs="Arial"/>
          <w:sz w:val="22"/>
          <w:szCs w:val="22"/>
        </w:rPr>
      </w:pPr>
      <w:r w:rsidRPr="00B606E0">
        <w:rPr>
          <w:rFonts w:ascii="Arial" w:hAnsi="Arial" w:cs="Arial"/>
          <w:sz w:val="22"/>
          <w:szCs w:val="22"/>
        </w:rPr>
        <w:t xml:space="preserve">Wilfley, D.E., Welch, R.R., Stein, R.I., Spurrell, E.B., Cohen, L.R., Saelens, B.E., </w:t>
      </w:r>
      <w:proofErr w:type="spellStart"/>
      <w:r w:rsidRPr="00B606E0">
        <w:rPr>
          <w:rFonts w:ascii="Arial" w:hAnsi="Arial" w:cs="Arial"/>
          <w:sz w:val="22"/>
          <w:szCs w:val="22"/>
        </w:rPr>
        <w:t>Dounchis</w:t>
      </w:r>
      <w:proofErr w:type="spellEnd"/>
      <w:r w:rsidRPr="00B606E0">
        <w:rPr>
          <w:rFonts w:ascii="Arial" w:hAnsi="Arial" w:cs="Arial"/>
          <w:sz w:val="22"/>
          <w:szCs w:val="22"/>
        </w:rPr>
        <w:t xml:space="preserve">, J.Z., Frank, M.A., Wiseman, C.V. and Matt, G.E. (2002) ‘A randomized comparison of group cognitive-behavioral therapy and group interpersonal psychotherapy for the treatment of overweight individuals with binge-eating disorder’, </w:t>
      </w:r>
      <w:r w:rsidRPr="00B606E0">
        <w:rPr>
          <w:rFonts w:ascii="Arial" w:hAnsi="Arial" w:cs="Arial"/>
          <w:i/>
          <w:iCs/>
          <w:sz w:val="22"/>
          <w:szCs w:val="22"/>
        </w:rPr>
        <w:t>Archives of General Psychiatry</w:t>
      </w:r>
      <w:r w:rsidRPr="00B606E0">
        <w:rPr>
          <w:rFonts w:ascii="Arial" w:hAnsi="Arial" w:cs="Arial"/>
          <w:sz w:val="22"/>
          <w:szCs w:val="22"/>
        </w:rPr>
        <w:t xml:space="preserve">, 59(8), pp. 713–721. Available at: </w:t>
      </w:r>
      <w:hyperlink r:id="rId28" w:history="1">
        <w:r w:rsidRPr="00B606E0">
          <w:rPr>
            <w:rStyle w:val="Hyperlink"/>
            <w:rFonts w:ascii="Arial" w:hAnsi="Arial" w:cs="Arial"/>
            <w:sz w:val="22"/>
            <w:szCs w:val="22"/>
          </w:rPr>
          <w:t>https://doi.org/10.1001/archpsyc.59.8.713</w:t>
        </w:r>
      </w:hyperlink>
      <w:r w:rsidR="00674B15">
        <w:rPr>
          <w:rFonts w:ascii="Arial" w:hAnsi="Arial" w:cs="Arial"/>
          <w:sz w:val="22"/>
          <w:szCs w:val="22"/>
        </w:rPr>
        <w:t xml:space="preserve"> </w:t>
      </w:r>
      <w:r w:rsidR="00674B15" w:rsidRPr="00B606E0">
        <w:rPr>
          <w:rFonts w:ascii="Arial" w:hAnsi="Arial" w:cs="Arial"/>
          <w:sz w:val="22"/>
          <w:szCs w:val="22"/>
        </w:rPr>
        <w:t>(Accessed: 14 July 2026).</w:t>
      </w:r>
    </w:p>
    <w:p w14:paraId="20EEA324" w14:textId="67B2ADDF" w:rsidR="006F7849" w:rsidRPr="00B606E0" w:rsidRDefault="006F7849" w:rsidP="00B606E0">
      <w:pPr>
        <w:spacing w:line="360" w:lineRule="auto"/>
        <w:jc w:val="both"/>
        <w:rPr>
          <w:rFonts w:ascii="Arial" w:hAnsi="Arial" w:cs="Arial"/>
          <w:sz w:val="22"/>
          <w:szCs w:val="22"/>
        </w:rPr>
      </w:pPr>
      <w:r w:rsidRPr="00B606E0">
        <w:rPr>
          <w:rFonts w:ascii="Arial" w:hAnsi="Arial" w:cs="Arial"/>
          <w:sz w:val="22"/>
          <w:szCs w:val="22"/>
        </w:rPr>
        <w:t xml:space="preserve">World Health Organization (2019) </w:t>
      </w:r>
      <w:r w:rsidRPr="00B606E0">
        <w:rPr>
          <w:rFonts w:ascii="Arial" w:hAnsi="Arial" w:cs="Arial"/>
          <w:i/>
          <w:iCs/>
          <w:sz w:val="22"/>
          <w:szCs w:val="22"/>
        </w:rPr>
        <w:t xml:space="preserve">International Classification of Diseases 11th Revision (ICD-11): Feeding or </w:t>
      </w:r>
      <w:proofErr w:type="gramStart"/>
      <w:r w:rsidRPr="00B606E0">
        <w:rPr>
          <w:rFonts w:ascii="Arial" w:hAnsi="Arial" w:cs="Arial"/>
          <w:i/>
          <w:iCs/>
          <w:sz w:val="22"/>
          <w:szCs w:val="22"/>
        </w:rPr>
        <w:t>Eating Disorders</w:t>
      </w:r>
      <w:proofErr w:type="gramEnd"/>
      <w:r w:rsidRPr="00B606E0">
        <w:rPr>
          <w:rFonts w:ascii="Arial" w:hAnsi="Arial" w:cs="Arial"/>
          <w:sz w:val="22"/>
          <w:szCs w:val="22"/>
        </w:rPr>
        <w:t xml:space="preserve">. Geneva: World Health Organization. Available at: </w:t>
      </w:r>
      <w:hyperlink r:id="rId29" w:history="1">
        <w:r w:rsidRPr="00B606E0">
          <w:rPr>
            <w:rStyle w:val="Hyperlink"/>
            <w:rFonts w:ascii="Arial" w:hAnsi="Arial" w:cs="Arial"/>
            <w:sz w:val="22"/>
            <w:szCs w:val="22"/>
          </w:rPr>
          <w:t>https://icd.who.int/browse/2025-01/mms/en#/http://id.who.int/icd/entity/1412387533</w:t>
        </w:r>
      </w:hyperlink>
      <w:r w:rsidRPr="00B606E0">
        <w:rPr>
          <w:rFonts w:ascii="Arial" w:hAnsi="Arial" w:cs="Arial"/>
          <w:sz w:val="22"/>
          <w:szCs w:val="22"/>
        </w:rPr>
        <w:t xml:space="preserve"> </w:t>
      </w:r>
    </w:p>
    <w:p w14:paraId="14FE3C44" w14:textId="77777777" w:rsidR="00674B15" w:rsidRPr="00B606E0" w:rsidRDefault="00674B15" w:rsidP="00674B15">
      <w:pPr>
        <w:spacing w:line="360" w:lineRule="auto"/>
        <w:jc w:val="both"/>
        <w:rPr>
          <w:rFonts w:ascii="Arial" w:hAnsi="Arial" w:cs="Arial"/>
          <w:sz w:val="22"/>
          <w:szCs w:val="22"/>
        </w:rPr>
      </w:pPr>
      <w:r w:rsidRPr="00B606E0">
        <w:rPr>
          <w:rFonts w:ascii="Arial" w:hAnsi="Arial" w:cs="Arial"/>
          <w:sz w:val="22"/>
          <w:szCs w:val="22"/>
        </w:rPr>
        <w:t>(Accessed: 14 July 2026).</w:t>
      </w:r>
    </w:p>
    <w:p w14:paraId="14C8FC31" w14:textId="136496EA" w:rsidR="00674B15" w:rsidRDefault="00674B15" w:rsidP="00674B15">
      <w:pPr>
        <w:spacing w:line="360" w:lineRule="auto"/>
        <w:jc w:val="both"/>
      </w:pPr>
    </w:p>
    <w:sectPr w:rsidR="00674B15" w:rsidSect="0017374F">
      <w:headerReference w:type="default" r:id="rId30"/>
      <w:footerReference w:type="default" r:id="rId31"/>
      <w:pgSz w:w="11906" w:h="16838"/>
      <w:pgMar w:top="1440" w:right="1440" w:bottom="1440" w:left="144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DA90E" w14:textId="77777777" w:rsidR="00621869" w:rsidRDefault="00621869" w:rsidP="0017374F">
      <w:pPr>
        <w:spacing w:after="0" w:line="240" w:lineRule="auto"/>
      </w:pPr>
      <w:r>
        <w:separator/>
      </w:r>
    </w:p>
  </w:endnote>
  <w:endnote w:type="continuationSeparator" w:id="0">
    <w:p w14:paraId="615583F7" w14:textId="77777777" w:rsidR="00621869" w:rsidRDefault="00621869" w:rsidP="00173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461"/>
      <w:docPartObj>
        <w:docPartGallery w:val="Page Numbers (Bottom of Page)"/>
        <w:docPartUnique/>
      </w:docPartObj>
    </w:sdtPr>
    <w:sdtEndPr>
      <w:rPr>
        <w:noProof/>
      </w:rPr>
    </w:sdtEndPr>
    <w:sdtContent>
      <w:p w14:paraId="1BD0B6B6" w14:textId="22E2F8A6" w:rsidR="0017374F" w:rsidRDefault="0017374F">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2DEC17AF" w14:textId="77777777" w:rsidR="0017374F" w:rsidRDefault="00173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1ED74" w14:textId="77777777" w:rsidR="00621869" w:rsidRDefault="00621869" w:rsidP="0017374F">
      <w:pPr>
        <w:spacing w:after="0" w:line="240" w:lineRule="auto"/>
      </w:pPr>
      <w:r>
        <w:separator/>
      </w:r>
    </w:p>
  </w:footnote>
  <w:footnote w:type="continuationSeparator" w:id="0">
    <w:p w14:paraId="569B150E" w14:textId="77777777" w:rsidR="00621869" w:rsidRDefault="00621869" w:rsidP="00173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C972" w14:textId="33F314EF" w:rsidR="0017374F" w:rsidRDefault="0017374F">
    <w:pPr>
      <w:pStyle w:val="Header"/>
    </w:pPr>
  </w:p>
  <w:p w14:paraId="3797EE23" w14:textId="77777777" w:rsidR="0017374F" w:rsidRDefault="00173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33D1"/>
    <w:multiLevelType w:val="hybridMultilevel"/>
    <w:tmpl w:val="D8B88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D3F5B"/>
    <w:multiLevelType w:val="multilevel"/>
    <w:tmpl w:val="70DE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93F77"/>
    <w:multiLevelType w:val="multilevel"/>
    <w:tmpl w:val="139A3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214CF"/>
    <w:multiLevelType w:val="hybridMultilevel"/>
    <w:tmpl w:val="D0086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C33AE4"/>
    <w:multiLevelType w:val="hybridMultilevel"/>
    <w:tmpl w:val="22EC2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4C4C37"/>
    <w:multiLevelType w:val="hybridMultilevel"/>
    <w:tmpl w:val="80500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8859BC"/>
    <w:multiLevelType w:val="hybridMultilevel"/>
    <w:tmpl w:val="D12C1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906B7"/>
    <w:multiLevelType w:val="multilevel"/>
    <w:tmpl w:val="97D0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589853">
    <w:abstractNumId w:val="3"/>
  </w:num>
  <w:num w:numId="2" w16cid:durableId="1304038148">
    <w:abstractNumId w:val="5"/>
  </w:num>
  <w:num w:numId="3" w16cid:durableId="955719781">
    <w:abstractNumId w:val="6"/>
  </w:num>
  <w:num w:numId="4" w16cid:durableId="918831827">
    <w:abstractNumId w:val="0"/>
  </w:num>
  <w:num w:numId="5" w16cid:durableId="20478497">
    <w:abstractNumId w:val="4"/>
  </w:num>
  <w:num w:numId="6" w16cid:durableId="796215538">
    <w:abstractNumId w:val="1"/>
  </w:num>
  <w:num w:numId="7" w16cid:durableId="2103335574">
    <w:abstractNumId w:val="2"/>
  </w:num>
  <w:num w:numId="8" w16cid:durableId="20803201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A48"/>
    <w:rsid w:val="00006A48"/>
    <w:rsid w:val="00011BD9"/>
    <w:rsid w:val="00017ACE"/>
    <w:rsid w:val="000436E0"/>
    <w:rsid w:val="000553FE"/>
    <w:rsid w:val="000659EA"/>
    <w:rsid w:val="000837B0"/>
    <w:rsid w:val="000918CA"/>
    <w:rsid w:val="00101A37"/>
    <w:rsid w:val="001472B8"/>
    <w:rsid w:val="0017374F"/>
    <w:rsid w:val="00183443"/>
    <w:rsid w:val="001B27F2"/>
    <w:rsid w:val="001D6865"/>
    <w:rsid w:val="001E2BF4"/>
    <w:rsid w:val="001F19D9"/>
    <w:rsid w:val="002228A2"/>
    <w:rsid w:val="00293B2C"/>
    <w:rsid w:val="002A6AA6"/>
    <w:rsid w:val="00335FD4"/>
    <w:rsid w:val="00392005"/>
    <w:rsid w:val="003B7106"/>
    <w:rsid w:val="003F3424"/>
    <w:rsid w:val="00415943"/>
    <w:rsid w:val="0042280E"/>
    <w:rsid w:val="00496A7E"/>
    <w:rsid w:val="004F5825"/>
    <w:rsid w:val="005755C9"/>
    <w:rsid w:val="00587FE7"/>
    <w:rsid w:val="005B4F42"/>
    <w:rsid w:val="005D4A12"/>
    <w:rsid w:val="005E278D"/>
    <w:rsid w:val="00601AE9"/>
    <w:rsid w:val="00605DC2"/>
    <w:rsid w:val="00621869"/>
    <w:rsid w:val="00660BB7"/>
    <w:rsid w:val="00674B15"/>
    <w:rsid w:val="006A72BB"/>
    <w:rsid w:val="006A7BC2"/>
    <w:rsid w:val="006C21B1"/>
    <w:rsid w:val="006F3700"/>
    <w:rsid w:val="006F7849"/>
    <w:rsid w:val="00715D4B"/>
    <w:rsid w:val="00745EDA"/>
    <w:rsid w:val="00753676"/>
    <w:rsid w:val="007A61B9"/>
    <w:rsid w:val="007B332B"/>
    <w:rsid w:val="007D0AEA"/>
    <w:rsid w:val="00820490"/>
    <w:rsid w:val="00871F86"/>
    <w:rsid w:val="0089104B"/>
    <w:rsid w:val="00A064B2"/>
    <w:rsid w:val="00A07306"/>
    <w:rsid w:val="00A9070D"/>
    <w:rsid w:val="00AC74BA"/>
    <w:rsid w:val="00B20542"/>
    <w:rsid w:val="00B450B3"/>
    <w:rsid w:val="00B606E0"/>
    <w:rsid w:val="00BC5836"/>
    <w:rsid w:val="00BD6D2D"/>
    <w:rsid w:val="00C26B61"/>
    <w:rsid w:val="00C50CC4"/>
    <w:rsid w:val="00C5231D"/>
    <w:rsid w:val="00C60B92"/>
    <w:rsid w:val="00CE0A6A"/>
    <w:rsid w:val="00CE23B1"/>
    <w:rsid w:val="00CE6EF9"/>
    <w:rsid w:val="00D0148D"/>
    <w:rsid w:val="00D0152C"/>
    <w:rsid w:val="00D17CA0"/>
    <w:rsid w:val="00D24227"/>
    <w:rsid w:val="00D43C40"/>
    <w:rsid w:val="00DE03A4"/>
    <w:rsid w:val="00E050E9"/>
    <w:rsid w:val="00E62830"/>
    <w:rsid w:val="00E72E43"/>
    <w:rsid w:val="00EF63FA"/>
    <w:rsid w:val="00F10DE3"/>
    <w:rsid w:val="00F33B6F"/>
    <w:rsid w:val="00F563A8"/>
    <w:rsid w:val="00F65FAB"/>
    <w:rsid w:val="00FA2F4E"/>
    <w:rsid w:val="00FC6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9D5F9"/>
  <w15:chartTrackingRefBased/>
  <w15:docId w15:val="{986F46E0-9F56-432E-9936-3A212569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A48"/>
  </w:style>
  <w:style w:type="paragraph" w:styleId="Heading1">
    <w:name w:val="heading 1"/>
    <w:basedOn w:val="Normal"/>
    <w:next w:val="Normal"/>
    <w:link w:val="Heading1Char"/>
    <w:uiPriority w:val="9"/>
    <w:qFormat/>
    <w:rsid w:val="00006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6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6A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6A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A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A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A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A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A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A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6A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6A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6A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A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A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A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A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A48"/>
    <w:rPr>
      <w:rFonts w:eastAsiaTheme="majorEastAsia" w:cstheme="majorBidi"/>
      <w:color w:val="272727" w:themeColor="text1" w:themeTint="D8"/>
    </w:rPr>
  </w:style>
  <w:style w:type="paragraph" w:styleId="Title">
    <w:name w:val="Title"/>
    <w:basedOn w:val="Normal"/>
    <w:next w:val="Normal"/>
    <w:link w:val="TitleChar"/>
    <w:uiPriority w:val="10"/>
    <w:qFormat/>
    <w:rsid w:val="00006A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A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A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A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6A48"/>
    <w:pPr>
      <w:spacing w:before="160"/>
      <w:jc w:val="center"/>
    </w:pPr>
    <w:rPr>
      <w:i/>
      <w:iCs/>
      <w:color w:val="404040" w:themeColor="text1" w:themeTint="BF"/>
    </w:rPr>
  </w:style>
  <w:style w:type="character" w:customStyle="1" w:styleId="QuoteChar">
    <w:name w:val="Quote Char"/>
    <w:basedOn w:val="DefaultParagraphFont"/>
    <w:link w:val="Quote"/>
    <w:uiPriority w:val="29"/>
    <w:rsid w:val="00006A48"/>
    <w:rPr>
      <w:i/>
      <w:iCs/>
      <w:color w:val="404040" w:themeColor="text1" w:themeTint="BF"/>
    </w:rPr>
  </w:style>
  <w:style w:type="paragraph" w:styleId="ListParagraph">
    <w:name w:val="List Paragraph"/>
    <w:basedOn w:val="Normal"/>
    <w:uiPriority w:val="34"/>
    <w:qFormat/>
    <w:rsid w:val="00006A48"/>
    <w:pPr>
      <w:ind w:left="720"/>
      <w:contextualSpacing/>
    </w:pPr>
  </w:style>
  <w:style w:type="character" w:styleId="IntenseEmphasis">
    <w:name w:val="Intense Emphasis"/>
    <w:basedOn w:val="DefaultParagraphFont"/>
    <w:uiPriority w:val="21"/>
    <w:qFormat/>
    <w:rsid w:val="00006A48"/>
    <w:rPr>
      <w:i/>
      <w:iCs/>
      <w:color w:val="0F4761" w:themeColor="accent1" w:themeShade="BF"/>
    </w:rPr>
  </w:style>
  <w:style w:type="paragraph" w:styleId="IntenseQuote">
    <w:name w:val="Intense Quote"/>
    <w:basedOn w:val="Normal"/>
    <w:next w:val="Normal"/>
    <w:link w:val="IntenseQuoteChar"/>
    <w:uiPriority w:val="30"/>
    <w:qFormat/>
    <w:rsid w:val="00006A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A48"/>
    <w:rPr>
      <w:i/>
      <w:iCs/>
      <w:color w:val="0F4761" w:themeColor="accent1" w:themeShade="BF"/>
    </w:rPr>
  </w:style>
  <w:style w:type="character" w:styleId="IntenseReference">
    <w:name w:val="Intense Reference"/>
    <w:basedOn w:val="DefaultParagraphFont"/>
    <w:uiPriority w:val="32"/>
    <w:qFormat/>
    <w:rsid w:val="00006A48"/>
    <w:rPr>
      <w:b/>
      <w:bCs/>
      <w:smallCaps/>
      <w:color w:val="0F4761" w:themeColor="accent1" w:themeShade="BF"/>
      <w:spacing w:val="5"/>
    </w:rPr>
  </w:style>
  <w:style w:type="paragraph" w:styleId="TOCHeading">
    <w:name w:val="TOC Heading"/>
    <w:basedOn w:val="Heading1"/>
    <w:next w:val="Normal"/>
    <w:uiPriority w:val="39"/>
    <w:unhideWhenUsed/>
    <w:qFormat/>
    <w:rsid w:val="00006A4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7374F"/>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17374F"/>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17374F"/>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1737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74F"/>
  </w:style>
  <w:style w:type="paragraph" w:styleId="Footer">
    <w:name w:val="footer"/>
    <w:basedOn w:val="Normal"/>
    <w:link w:val="FooterChar"/>
    <w:uiPriority w:val="99"/>
    <w:unhideWhenUsed/>
    <w:rsid w:val="001737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74F"/>
  </w:style>
  <w:style w:type="paragraph" w:customStyle="1" w:styleId="Subheading">
    <w:name w:val="Subheading"/>
    <w:basedOn w:val="Normal"/>
    <w:qFormat/>
    <w:rsid w:val="0017374F"/>
    <w:pPr>
      <w:spacing w:line="360" w:lineRule="auto"/>
      <w:jc w:val="both"/>
    </w:pPr>
    <w:rPr>
      <w:rFonts w:ascii="Arial" w:hAnsi="Arial" w:cs="Arial"/>
      <w:b/>
      <w:bCs/>
      <w:sz w:val="22"/>
      <w:szCs w:val="22"/>
    </w:rPr>
  </w:style>
  <w:style w:type="character" w:styleId="Hyperlink">
    <w:name w:val="Hyperlink"/>
    <w:basedOn w:val="DefaultParagraphFont"/>
    <w:uiPriority w:val="99"/>
    <w:unhideWhenUsed/>
    <w:rsid w:val="0017374F"/>
    <w:rPr>
      <w:color w:val="467886" w:themeColor="hyperlink"/>
      <w:u w:val="single"/>
    </w:rPr>
  </w:style>
  <w:style w:type="character" w:styleId="UnresolvedMention">
    <w:name w:val="Unresolved Mention"/>
    <w:basedOn w:val="DefaultParagraphFont"/>
    <w:uiPriority w:val="99"/>
    <w:semiHidden/>
    <w:unhideWhenUsed/>
    <w:rsid w:val="00753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edweb.org" TargetMode="External"/><Relationship Id="rId18" Type="http://schemas.openxmlformats.org/officeDocument/2006/relationships/hyperlink" Target="https://www.gov.uk/government/publications/equality-act-guidance?utm_source=chatgpt.com" TargetMode="External"/><Relationship Id="rId26" Type="http://schemas.openxmlformats.org/officeDocument/2006/relationships/hyperlink" Target="https://doi.org/10.1038/oby.2004.91" TargetMode="External"/><Relationship Id="rId3" Type="http://schemas.openxmlformats.org/officeDocument/2006/relationships/customXml" Target="../customXml/item3.xml"/><Relationship Id="rId21" Type="http://schemas.openxmlformats.org/officeDocument/2006/relationships/hyperlink" Target="https://doi.org/10.1037/a0039972" TargetMode="External"/><Relationship Id="rId7" Type="http://schemas.openxmlformats.org/officeDocument/2006/relationships/settings" Target="settings.xml"/><Relationship Id="rId12" Type="http://schemas.openxmlformats.org/officeDocument/2006/relationships/hyperlink" Target="https://www.glassdoor.co.uk/Job/stoke-on-trent-trinity-support-services-jobs-SRCH_IL.0,14_IC3380817_KO15,39.htm" TargetMode="External"/><Relationship Id="rId17" Type="http://schemas.openxmlformats.org/officeDocument/2006/relationships/hyperlink" Target="https://psychiatryonline.org/doi/10.1176/appi.ajp.157.7.1051?utm_source=chatgpt.com" TargetMode="External"/><Relationship Id="rId25" Type="http://schemas.openxmlformats.org/officeDocument/2006/relationships/hyperlink" Target="https://doi.org/10.1002/eat.22061"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3390/bs7030054" TargetMode="External"/><Relationship Id="rId20" Type="http://schemas.openxmlformats.org/officeDocument/2006/relationships/hyperlink" Target="https://doi.org/10.1186/s12888-017-1463-3" TargetMode="External"/><Relationship Id="rId29" Type="http://schemas.openxmlformats.org/officeDocument/2006/relationships/hyperlink" Target="https://icd.who.int/browse/2025-01/mms/en#/http://id.who.int/icd/entity/14123875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ice.org.uk/guidance/ng69"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80/21662630.2013.742971" TargetMode="External"/><Relationship Id="rId23" Type="http://schemas.openxmlformats.org/officeDocument/2006/relationships/hyperlink" Target="https://doi.org/10.2147/TCRM.S25574" TargetMode="External"/><Relationship Id="rId28" Type="http://schemas.openxmlformats.org/officeDocument/2006/relationships/hyperlink" Target="https://doi.org/10.1001/archpsyc.59.8.713" TargetMode="External"/><Relationship Id="rId10" Type="http://schemas.openxmlformats.org/officeDocument/2006/relationships/endnotes" Target="endnotes.xml"/><Relationship Id="rId19" Type="http://schemas.openxmlformats.org/officeDocument/2006/relationships/hyperlink" Target="https://doi.org/10.1037/ccp0000358"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0049475518821245" TargetMode="External"/><Relationship Id="rId22" Type="http://schemas.openxmlformats.org/officeDocument/2006/relationships/hyperlink" Target="https://doi.org/10.2196/17874" TargetMode="External"/><Relationship Id="rId27" Type="http://schemas.openxmlformats.org/officeDocument/2006/relationships/hyperlink" Target="https://www.legislation.gov.uk/ukpga/2005/9/contents"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46dcd741029f2640d2cdaefd2efb8de8">
  <xsd:schema xmlns:xsd="http://www.w3.org/2001/XMLSchema" xmlns:xs="http://www.w3.org/2001/XMLSchema" xmlns:p="http://schemas.microsoft.com/office/2006/metadata/properties" xmlns:ns3="6642d537-5170-4cd9-a3f2-9ec198ee3eac" targetNamespace="http://schemas.microsoft.com/office/2006/metadata/properties" ma:root="true" ma:fieldsID="e48f342eb12d9e1beddd30292b78314c"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A5DB7D49-9AEB-4A82-8B45-B644286ACF0E}">
  <ds:schemaRefs>
    <ds:schemaRef ds:uri="http://schemas.openxmlformats.org/officeDocument/2006/bibliography"/>
  </ds:schemaRefs>
</ds:datastoreItem>
</file>

<file path=customXml/itemProps2.xml><?xml version="1.0" encoding="utf-8"?>
<ds:datastoreItem xmlns:ds="http://schemas.openxmlformats.org/officeDocument/2006/customXml" ds:itemID="{5B2B51AF-EC6E-418F-BCE8-10C915177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C198A4-B3EE-41AC-BA32-D50828280554}">
  <ds:schemaRefs>
    <ds:schemaRef ds:uri="http://schemas.microsoft.com/sharepoint/v3/contenttype/forms"/>
  </ds:schemaRefs>
</ds:datastoreItem>
</file>

<file path=customXml/itemProps4.xml><?xml version="1.0" encoding="utf-8"?>
<ds:datastoreItem xmlns:ds="http://schemas.openxmlformats.org/officeDocument/2006/customXml" ds:itemID="{91EC05AF-91D2-421D-B90B-95E2A9DB35A0}">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3689</Words>
  <Characters>21033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(2329201)</dc:creator>
  <cp:keywords/>
  <dc:description/>
  <cp:lastModifiedBy>Noreen Akhtar (2329201)</cp:lastModifiedBy>
  <cp:revision>2</cp:revision>
  <dcterms:created xsi:type="dcterms:W3CDTF">2026-07-26T17:20:00Z</dcterms:created>
  <dcterms:modified xsi:type="dcterms:W3CDTF">2026-07-26T17:20:00Z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7775fbea-4381-469a-9389-f438de4900f9</vt:lpwstr>
  </property>
  <property fmtid="{D5CDD505-2E9C-101B-9397-08002B2CF9AE}" pid="3" name="ContentTypeId">
    <vt:lpwstr>0x010100E3345881D5A19F4FA532CBA535E9E684</vt:lpwstr>
  </property>
</Properties>
</file>