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213B79D" w14:textId="77777777" w:rsidR="00F2744B" w:rsidRDefault="00F2744B" w:rsidP="00653B75">
      <w:pPr>
        <w:spacing w:line="360" w:lineRule="auto"/>
        <w:jc w:val="both"/>
        <w:rPr>
          <w:rFonts w:ascii="Arial" w:hAnsi="Arial" w:cs="Arial"/>
          <w:b/>
          <w:bCs/>
          <w:lang w:val="en-US"/>
        </w:rPr>
      </w:pPr>
      <w:bookmarkStart w:id="0" w:name="OLE_LINK6"/>
      <w:bookmarkStart w:id="1" w:name="OLE_LINK7"/>
    </w:p>
    <w:p w14:paraId="0B231989" w14:textId="77777777" w:rsidR="00F2744B" w:rsidRDefault="00F2744B" w:rsidP="00653B75">
      <w:pPr>
        <w:spacing w:line="360" w:lineRule="auto"/>
        <w:jc w:val="both"/>
        <w:rPr>
          <w:rFonts w:ascii="Arial" w:hAnsi="Arial" w:cs="Arial"/>
          <w:b/>
          <w:bCs/>
          <w:lang w:val="en-US"/>
        </w:rPr>
      </w:pPr>
    </w:p>
    <w:p w14:paraId="34334F75" w14:textId="5DF96ADB" w:rsidR="00F2744B" w:rsidRDefault="0015136E" w:rsidP="00653B75">
      <w:pPr>
        <w:spacing w:line="360" w:lineRule="auto"/>
        <w:jc w:val="both"/>
        <w:rPr>
          <w:rFonts w:ascii="Arial" w:hAnsi="Arial" w:cs="Arial"/>
          <w:b/>
          <w:bCs/>
          <w:lang w:val="en-US"/>
        </w:rPr>
      </w:pPr>
      <w:r>
        <w:rPr>
          <w:rFonts w:ascii="Arial" w:hAnsi="Arial" w:cs="Arial"/>
          <w:b/>
          <w:bCs/>
          <w:lang w:val="en-US"/>
        </w:rPr>
        <w:t xml:space="preserve">                                 </w:t>
      </w:r>
      <w:r w:rsidR="0062280B">
        <w:rPr>
          <w:rFonts w:ascii="Arial" w:hAnsi="Arial" w:cs="Arial"/>
          <w:b/>
          <w:bCs/>
          <w:noProof/>
          <w:lang w:val="en-US"/>
        </w:rPr>
        <w:drawing>
          <wp:inline distT="0" distB="0" distL="0" distR="0" wp14:anchorId="67D99AC8" wp14:editId="1F7611F5">
            <wp:extent cx="2641600" cy="1590351"/>
            <wp:effectExtent l="101600" t="114300" r="101600" b="149860"/>
            <wp:docPr id="20208414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084141" name="Picture 202084141"/>
                    <pic:cNvPicPr/>
                  </pic:nvPicPr>
                  <pic:blipFill>
                    <a:blip r:embed="rId8">
                      <a:extLst>
                        <a:ext uri="{28A0092B-C50C-407E-A947-70E740481C1C}">
                          <a14:useLocalDpi xmlns:a14="http://schemas.microsoft.com/office/drawing/2010/main" val="0"/>
                        </a:ext>
                      </a:extLst>
                    </a:blip>
                    <a:stretch>
                      <a:fillRect/>
                    </a:stretch>
                  </pic:blipFill>
                  <pic:spPr>
                    <a:xfrm>
                      <a:off x="0" y="0"/>
                      <a:ext cx="2650211" cy="1595535"/>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1B60D360" w14:textId="77777777" w:rsidR="00F2744B" w:rsidRDefault="00F2744B" w:rsidP="00653B75">
      <w:pPr>
        <w:spacing w:line="360" w:lineRule="auto"/>
        <w:jc w:val="both"/>
        <w:rPr>
          <w:rFonts w:ascii="Arial" w:hAnsi="Arial" w:cs="Arial"/>
          <w:b/>
          <w:bCs/>
          <w:lang w:val="en-US"/>
        </w:rPr>
      </w:pPr>
    </w:p>
    <w:p w14:paraId="08C1EB71" w14:textId="640E8067" w:rsidR="002235BF" w:rsidRPr="00E75519" w:rsidRDefault="00E75519" w:rsidP="0055413B">
      <w:pPr>
        <w:spacing w:line="360" w:lineRule="auto"/>
        <w:jc w:val="center"/>
        <w:rPr>
          <w:rFonts w:ascii="Arial" w:hAnsi="Arial" w:cs="Arial"/>
          <w:b/>
          <w:bCs/>
          <w:lang w:val="en-US"/>
        </w:rPr>
      </w:pPr>
      <w:r w:rsidRPr="00E75519">
        <w:rPr>
          <w:rFonts w:ascii="Arial" w:hAnsi="Arial" w:cs="Arial"/>
          <w:b/>
          <w:bCs/>
          <w:lang w:val="en-US"/>
        </w:rPr>
        <w:t>Master of Business  Administration</w:t>
      </w:r>
    </w:p>
    <w:p w14:paraId="280D80CD" w14:textId="77777777" w:rsidR="00E75519" w:rsidRPr="00E75519" w:rsidRDefault="00E75519" w:rsidP="0055413B">
      <w:pPr>
        <w:spacing w:line="360" w:lineRule="auto"/>
        <w:jc w:val="center"/>
        <w:rPr>
          <w:rFonts w:ascii="Arial" w:hAnsi="Arial" w:cs="Arial"/>
          <w:b/>
          <w:bCs/>
          <w:lang w:val="en-US"/>
        </w:rPr>
      </w:pPr>
    </w:p>
    <w:p w14:paraId="4B24D19D" w14:textId="0E8575A2" w:rsidR="001C6E8D" w:rsidRDefault="00E75519" w:rsidP="0055413B">
      <w:pPr>
        <w:spacing w:line="360" w:lineRule="auto"/>
        <w:jc w:val="center"/>
        <w:rPr>
          <w:rFonts w:ascii="Arial" w:hAnsi="Arial" w:cs="Arial"/>
          <w:b/>
          <w:bCs/>
          <w:lang w:val="en-US"/>
        </w:rPr>
      </w:pPr>
      <w:r w:rsidRPr="00E75519">
        <w:rPr>
          <w:rFonts w:ascii="Arial" w:hAnsi="Arial" w:cs="Arial"/>
          <w:b/>
          <w:bCs/>
          <w:lang w:val="en-US"/>
        </w:rPr>
        <w:t>Module</w:t>
      </w:r>
      <w:r w:rsidR="00F2744B">
        <w:rPr>
          <w:rFonts w:ascii="Arial" w:hAnsi="Arial" w:cs="Arial"/>
          <w:b/>
          <w:bCs/>
          <w:lang w:val="en-US"/>
        </w:rPr>
        <w:t xml:space="preserve"> : </w:t>
      </w:r>
      <w:r w:rsidRPr="001C6E8D">
        <w:rPr>
          <w:rFonts w:ascii="Arial" w:hAnsi="Arial" w:cs="Arial"/>
          <w:lang w:val="en-US"/>
        </w:rPr>
        <w:t xml:space="preserve">Marketing </w:t>
      </w:r>
      <w:r w:rsidR="001C6E8D" w:rsidRPr="001C6E8D">
        <w:rPr>
          <w:rFonts w:ascii="Arial" w:hAnsi="Arial" w:cs="Arial"/>
          <w:lang w:val="en-US"/>
        </w:rPr>
        <w:t>Management</w:t>
      </w:r>
    </w:p>
    <w:p w14:paraId="1EBD5F9F" w14:textId="620A1639" w:rsidR="00941B3C" w:rsidRDefault="00941B3C" w:rsidP="0055413B">
      <w:pPr>
        <w:spacing w:line="360" w:lineRule="auto"/>
        <w:jc w:val="center"/>
        <w:rPr>
          <w:rFonts w:ascii="Arial" w:hAnsi="Arial" w:cs="Arial"/>
          <w:b/>
          <w:bCs/>
          <w:lang w:val="en-US"/>
        </w:rPr>
      </w:pPr>
    </w:p>
    <w:p w14:paraId="38038324" w14:textId="5DACC474" w:rsidR="00941B3C" w:rsidRPr="00941B3C" w:rsidRDefault="00941B3C" w:rsidP="0055413B">
      <w:pPr>
        <w:spacing w:line="360" w:lineRule="auto"/>
        <w:jc w:val="center"/>
        <w:rPr>
          <w:rFonts w:ascii="Arial" w:hAnsi="Arial" w:cs="Arial"/>
          <w:bCs/>
          <w:lang w:val="en-US"/>
        </w:rPr>
      </w:pPr>
      <w:r>
        <w:rPr>
          <w:rFonts w:ascii="Arial" w:hAnsi="Arial" w:cs="Arial"/>
          <w:b/>
          <w:bCs/>
          <w:lang w:val="en-US"/>
        </w:rPr>
        <w:t xml:space="preserve">Submission Title : </w:t>
      </w:r>
      <w:r>
        <w:rPr>
          <w:rFonts w:ascii="Arial" w:hAnsi="Arial" w:cs="Arial"/>
          <w:bCs/>
          <w:lang w:val="en-US"/>
        </w:rPr>
        <w:t>Apple Health Guard Brand Extension</w:t>
      </w:r>
    </w:p>
    <w:p w14:paraId="60BF5D92" w14:textId="77777777" w:rsidR="00F1169A" w:rsidRDefault="00F1169A" w:rsidP="0055413B">
      <w:pPr>
        <w:spacing w:line="360" w:lineRule="auto"/>
        <w:jc w:val="center"/>
        <w:rPr>
          <w:rFonts w:ascii="Arial" w:hAnsi="Arial" w:cs="Arial"/>
          <w:b/>
          <w:bCs/>
          <w:lang w:val="en-US"/>
        </w:rPr>
      </w:pPr>
    </w:p>
    <w:p w14:paraId="7262BC49" w14:textId="413A80E5" w:rsidR="00BF4055" w:rsidRPr="00BF4055" w:rsidRDefault="00BF4055" w:rsidP="0055413B">
      <w:pPr>
        <w:spacing w:line="360" w:lineRule="auto"/>
        <w:jc w:val="center"/>
        <w:rPr>
          <w:rFonts w:ascii="Arial" w:hAnsi="Arial" w:cs="Arial"/>
          <w:lang w:val="en-US"/>
        </w:rPr>
      </w:pPr>
      <w:r>
        <w:rPr>
          <w:rFonts w:ascii="Arial" w:hAnsi="Arial" w:cs="Arial"/>
          <w:b/>
          <w:bCs/>
          <w:lang w:val="en-US"/>
        </w:rPr>
        <w:t xml:space="preserve">Module code : </w:t>
      </w:r>
      <w:r w:rsidR="00F1169A">
        <w:rPr>
          <w:rFonts w:ascii="Arial" w:hAnsi="Arial" w:cs="Arial"/>
          <w:lang w:val="en-US"/>
        </w:rPr>
        <w:t>LCMB7024</w:t>
      </w:r>
    </w:p>
    <w:p w14:paraId="301EA206" w14:textId="77777777" w:rsidR="001C6E8D" w:rsidRDefault="001C6E8D" w:rsidP="0055413B">
      <w:pPr>
        <w:spacing w:line="360" w:lineRule="auto"/>
        <w:jc w:val="center"/>
        <w:rPr>
          <w:rFonts w:ascii="Arial" w:hAnsi="Arial" w:cs="Arial"/>
          <w:b/>
          <w:bCs/>
          <w:lang w:val="en-US"/>
        </w:rPr>
      </w:pPr>
    </w:p>
    <w:p w14:paraId="56C191A3" w14:textId="537E44F7" w:rsidR="00E75519" w:rsidRPr="001C6E8D" w:rsidRDefault="001C6E8D" w:rsidP="0055413B">
      <w:pPr>
        <w:spacing w:line="360" w:lineRule="auto"/>
        <w:jc w:val="center"/>
        <w:rPr>
          <w:rFonts w:ascii="Arial" w:hAnsi="Arial" w:cs="Arial"/>
          <w:lang w:val="en-US"/>
        </w:rPr>
      </w:pPr>
      <w:r>
        <w:rPr>
          <w:rFonts w:ascii="Arial" w:hAnsi="Arial" w:cs="Arial"/>
          <w:b/>
          <w:bCs/>
          <w:lang w:val="en-US"/>
        </w:rPr>
        <w:t xml:space="preserve">Lecturer :   </w:t>
      </w:r>
      <w:r w:rsidR="00F1169A" w:rsidRPr="00F1169A">
        <w:rPr>
          <w:rFonts w:ascii="Arial" w:hAnsi="Arial" w:cs="Arial"/>
          <w:lang w:val="en-US"/>
        </w:rPr>
        <w:t xml:space="preserve">Dr. Mustakkima Afrin </w:t>
      </w:r>
      <w:r w:rsidR="00E75519" w:rsidRPr="00F1169A">
        <w:rPr>
          <w:rFonts w:ascii="Arial" w:hAnsi="Arial" w:cs="Arial"/>
          <w:lang w:val="en-US"/>
        </w:rPr>
        <w:br/>
      </w:r>
      <w:r w:rsidR="00E75519" w:rsidRPr="00E75519">
        <w:rPr>
          <w:rFonts w:ascii="Arial" w:hAnsi="Arial" w:cs="Arial"/>
          <w:b/>
          <w:bCs/>
          <w:lang w:val="en-US"/>
        </w:rPr>
        <w:br/>
        <w:t>Student name :</w:t>
      </w:r>
      <w:r>
        <w:rPr>
          <w:rFonts w:ascii="Arial" w:hAnsi="Arial" w:cs="Arial"/>
          <w:b/>
          <w:bCs/>
          <w:lang w:val="en-US"/>
        </w:rPr>
        <w:t xml:space="preserve"> </w:t>
      </w:r>
      <w:r w:rsidRPr="001C6E8D">
        <w:rPr>
          <w:rFonts w:ascii="Arial" w:hAnsi="Arial" w:cs="Arial"/>
          <w:lang w:val="en-US"/>
        </w:rPr>
        <w:t>Patel Shubham Rakesh</w:t>
      </w:r>
    </w:p>
    <w:p w14:paraId="6363BE65" w14:textId="77777777" w:rsidR="00F2744B" w:rsidRPr="00E75519" w:rsidRDefault="00F2744B" w:rsidP="0055413B">
      <w:pPr>
        <w:spacing w:line="360" w:lineRule="auto"/>
        <w:jc w:val="center"/>
        <w:rPr>
          <w:rFonts w:ascii="Arial" w:hAnsi="Arial" w:cs="Arial"/>
          <w:b/>
          <w:bCs/>
          <w:lang w:val="en-US"/>
        </w:rPr>
      </w:pPr>
    </w:p>
    <w:p w14:paraId="5B621271" w14:textId="6D450A89" w:rsidR="00E75519" w:rsidRPr="00F1169A" w:rsidRDefault="00E75519" w:rsidP="0055413B">
      <w:pPr>
        <w:spacing w:line="360" w:lineRule="auto"/>
        <w:jc w:val="center"/>
        <w:rPr>
          <w:rFonts w:ascii="Arial" w:hAnsi="Arial" w:cs="Arial"/>
          <w:lang w:val="en-US"/>
        </w:rPr>
      </w:pPr>
      <w:r w:rsidRPr="00E75519">
        <w:rPr>
          <w:rFonts w:ascii="Arial" w:hAnsi="Arial" w:cs="Arial"/>
          <w:b/>
          <w:bCs/>
          <w:lang w:val="en-US"/>
        </w:rPr>
        <w:t>Student ID :</w:t>
      </w:r>
      <w:r w:rsidR="00F1169A">
        <w:rPr>
          <w:rFonts w:ascii="Arial" w:hAnsi="Arial" w:cs="Arial"/>
          <w:b/>
          <w:bCs/>
          <w:lang w:val="en-US"/>
        </w:rPr>
        <w:t xml:space="preserve"> </w:t>
      </w:r>
      <w:r w:rsidR="00F1169A" w:rsidRPr="00F1169A">
        <w:rPr>
          <w:rFonts w:ascii="Arial" w:hAnsi="Arial" w:cs="Arial"/>
          <w:lang w:val="en-US"/>
        </w:rPr>
        <w:t>2531460</w:t>
      </w:r>
    </w:p>
    <w:p w14:paraId="1EA835A4" w14:textId="77777777" w:rsidR="00F2744B" w:rsidRPr="00E75519" w:rsidRDefault="00F2744B" w:rsidP="0055413B">
      <w:pPr>
        <w:spacing w:line="360" w:lineRule="auto"/>
        <w:jc w:val="center"/>
        <w:rPr>
          <w:rFonts w:ascii="Arial" w:hAnsi="Arial" w:cs="Arial"/>
          <w:b/>
          <w:bCs/>
          <w:lang w:val="en-US"/>
        </w:rPr>
      </w:pPr>
    </w:p>
    <w:p w14:paraId="23FF909D" w14:textId="1EAB21EF" w:rsidR="00E75519" w:rsidRPr="001C6E8D" w:rsidRDefault="00E75519" w:rsidP="0055413B">
      <w:pPr>
        <w:spacing w:line="360" w:lineRule="auto"/>
        <w:jc w:val="center"/>
        <w:rPr>
          <w:rFonts w:ascii="Arial" w:hAnsi="Arial" w:cs="Arial"/>
          <w:lang w:val="en-US"/>
        </w:rPr>
      </w:pPr>
      <w:r w:rsidRPr="00E75519">
        <w:rPr>
          <w:rFonts w:ascii="Arial" w:hAnsi="Arial" w:cs="Arial"/>
          <w:b/>
          <w:bCs/>
          <w:lang w:val="en-US"/>
        </w:rPr>
        <w:t>Word count :</w:t>
      </w:r>
      <w:r w:rsidR="001C6E8D">
        <w:rPr>
          <w:rFonts w:ascii="Arial" w:hAnsi="Arial" w:cs="Arial"/>
          <w:b/>
          <w:bCs/>
          <w:lang w:val="en-US"/>
        </w:rPr>
        <w:t xml:space="preserve"> </w:t>
      </w:r>
      <w:r w:rsidR="001C6E8D" w:rsidRPr="001C6E8D">
        <w:rPr>
          <w:rFonts w:ascii="Arial" w:hAnsi="Arial" w:cs="Arial"/>
          <w:lang w:val="en-US"/>
        </w:rPr>
        <w:t>2</w:t>
      </w:r>
      <w:r w:rsidR="001C76B0">
        <w:rPr>
          <w:rFonts w:ascii="Arial" w:hAnsi="Arial" w:cs="Arial"/>
          <w:lang w:val="en-US"/>
        </w:rPr>
        <w:t>567</w:t>
      </w:r>
    </w:p>
    <w:p w14:paraId="5ED87B4D" w14:textId="77777777" w:rsidR="00E75519" w:rsidRPr="00E75519" w:rsidRDefault="00E75519" w:rsidP="00653B75">
      <w:pPr>
        <w:spacing w:line="360" w:lineRule="auto"/>
        <w:jc w:val="both"/>
        <w:rPr>
          <w:rFonts w:ascii="Arial" w:hAnsi="Arial" w:cs="Arial"/>
          <w:b/>
          <w:bCs/>
          <w:lang w:val="en-US"/>
        </w:rPr>
      </w:pPr>
    </w:p>
    <w:p w14:paraId="263E90A9" w14:textId="77777777" w:rsidR="00E75519" w:rsidRPr="00E75519" w:rsidRDefault="00E75519" w:rsidP="00653B75">
      <w:pPr>
        <w:spacing w:line="360" w:lineRule="auto"/>
        <w:jc w:val="both"/>
        <w:rPr>
          <w:rFonts w:ascii="Arial" w:hAnsi="Arial" w:cs="Arial"/>
          <w:b/>
          <w:bCs/>
          <w:lang w:val="en-US"/>
        </w:rPr>
      </w:pPr>
    </w:p>
    <w:p w14:paraId="48174F3B" w14:textId="77777777" w:rsidR="00E75519" w:rsidRPr="00E75519" w:rsidRDefault="00E75519" w:rsidP="00653B75">
      <w:pPr>
        <w:spacing w:line="360" w:lineRule="auto"/>
        <w:jc w:val="both"/>
        <w:rPr>
          <w:rFonts w:ascii="Arial" w:hAnsi="Arial" w:cs="Arial"/>
          <w:b/>
          <w:bCs/>
          <w:lang w:val="en-US"/>
        </w:rPr>
      </w:pPr>
    </w:p>
    <w:p w14:paraId="6A436A15" w14:textId="77777777" w:rsidR="00E75519" w:rsidRPr="00E75519" w:rsidRDefault="00E75519" w:rsidP="00653B75">
      <w:pPr>
        <w:spacing w:line="360" w:lineRule="auto"/>
        <w:jc w:val="both"/>
        <w:rPr>
          <w:rFonts w:ascii="Arial" w:hAnsi="Arial" w:cs="Arial"/>
          <w:b/>
          <w:bCs/>
          <w:lang w:val="en-US"/>
        </w:rPr>
      </w:pPr>
    </w:p>
    <w:p w14:paraId="1E81F605" w14:textId="77777777" w:rsidR="00E75519" w:rsidRPr="00E75519" w:rsidRDefault="00E75519" w:rsidP="00653B75">
      <w:pPr>
        <w:spacing w:line="360" w:lineRule="auto"/>
        <w:jc w:val="both"/>
        <w:rPr>
          <w:rFonts w:ascii="Arial" w:hAnsi="Arial" w:cs="Arial"/>
          <w:b/>
          <w:bCs/>
          <w:lang w:val="en-US"/>
        </w:rPr>
      </w:pPr>
    </w:p>
    <w:p w14:paraId="1DCC094A" w14:textId="77777777" w:rsidR="00E75519" w:rsidRDefault="00E75519" w:rsidP="00653B75">
      <w:pPr>
        <w:spacing w:line="360" w:lineRule="auto"/>
        <w:jc w:val="both"/>
        <w:rPr>
          <w:rFonts w:ascii="Arial" w:hAnsi="Arial" w:cs="Arial"/>
          <w:b/>
          <w:bCs/>
          <w:lang w:val="en-US"/>
        </w:rPr>
      </w:pPr>
    </w:p>
    <w:p w14:paraId="719B48B9" w14:textId="77777777" w:rsidR="001A60D0" w:rsidRDefault="001A60D0" w:rsidP="00653B75">
      <w:pPr>
        <w:spacing w:line="360" w:lineRule="auto"/>
        <w:jc w:val="both"/>
        <w:rPr>
          <w:rFonts w:ascii="Arial" w:hAnsi="Arial" w:cs="Arial"/>
          <w:b/>
          <w:bCs/>
          <w:lang w:val="en-US"/>
        </w:rPr>
      </w:pPr>
    </w:p>
    <w:p w14:paraId="340FA363" w14:textId="77777777" w:rsidR="0062280B" w:rsidRDefault="0062280B" w:rsidP="00653B75">
      <w:pPr>
        <w:spacing w:line="360" w:lineRule="auto"/>
        <w:jc w:val="both"/>
        <w:rPr>
          <w:rFonts w:ascii="Arial" w:hAnsi="Arial" w:cs="Arial"/>
          <w:b/>
          <w:bCs/>
          <w:lang w:val="en-US"/>
        </w:rPr>
      </w:pPr>
    </w:p>
    <w:p w14:paraId="17373101" w14:textId="77777777" w:rsidR="0062280B" w:rsidRDefault="0062280B" w:rsidP="00653B75">
      <w:pPr>
        <w:spacing w:line="360" w:lineRule="auto"/>
        <w:jc w:val="both"/>
        <w:rPr>
          <w:rFonts w:ascii="Arial" w:hAnsi="Arial" w:cs="Arial"/>
          <w:b/>
          <w:bCs/>
          <w:lang w:val="en-US"/>
        </w:rPr>
      </w:pPr>
    </w:p>
    <w:p w14:paraId="6192E0A0" w14:textId="77777777" w:rsidR="0062280B" w:rsidRDefault="0062280B" w:rsidP="00653B75">
      <w:pPr>
        <w:spacing w:line="360" w:lineRule="auto"/>
        <w:jc w:val="both"/>
        <w:rPr>
          <w:rFonts w:ascii="Arial" w:hAnsi="Arial" w:cs="Arial"/>
          <w:b/>
          <w:bCs/>
          <w:lang w:val="en-US"/>
        </w:rPr>
      </w:pPr>
    </w:p>
    <w:p w14:paraId="3012164D" w14:textId="77777777" w:rsidR="0062280B" w:rsidRPr="00E75519" w:rsidRDefault="0062280B" w:rsidP="00653B75">
      <w:pPr>
        <w:spacing w:line="360" w:lineRule="auto"/>
        <w:jc w:val="both"/>
        <w:rPr>
          <w:rFonts w:ascii="Arial" w:hAnsi="Arial" w:cs="Arial"/>
          <w:b/>
          <w:bCs/>
          <w:lang w:val="en-US"/>
        </w:rPr>
      </w:pPr>
    </w:p>
    <w:p w14:paraId="49ADE2E4" w14:textId="77777777" w:rsidR="00E75519" w:rsidRPr="00E75519" w:rsidRDefault="00E75519" w:rsidP="00653B75">
      <w:pPr>
        <w:spacing w:line="360" w:lineRule="auto"/>
        <w:jc w:val="both"/>
        <w:rPr>
          <w:rFonts w:ascii="Arial" w:hAnsi="Arial" w:cs="Arial"/>
          <w:b/>
          <w:bCs/>
          <w:lang w:val="en-US"/>
        </w:rPr>
      </w:pPr>
    </w:p>
    <w:p w14:paraId="4D7E146E" w14:textId="77777777" w:rsidR="00E75519" w:rsidRPr="00E75519" w:rsidRDefault="00E75519" w:rsidP="00653B75">
      <w:pPr>
        <w:spacing w:line="360" w:lineRule="auto"/>
        <w:jc w:val="both"/>
        <w:rPr>
          <w:rFonts w:ascii="Arial" w:hAnsi="Arial" w:cs="Arial"/>
          <w:b/>
          <w:bCs/>
          <w:lang w:val="en-US"/>
        </w:rPr>
      </w:pPr>
    </w:p>
    <w:p w14:paraId="29529237" w14:textId="0F22FB58" w:rsidR="00E75519" w:rsidRDefault="00E75519" w:rsidP="00653B75">
      <w:pPr>
        <w:spacing w:line="360" w:lineRule="auto"/>
        <w:jc w:val="both"/>
        <w:rPr>
          <w:rFonts w:ascii="Arial" w:hAnsi="Arial" w:cs="Arial"/>
          <w:b/>
          <w:bCs/>
          <w:u w:val="single"/>
          <w:lang w:val="en-US"/>
        </w:rPr>
      </w:pPr>
      <w:r w:rsidRPr="00DD0B93">
        <w:rPr>
          <w:rFonts w:ascii="Arial" w:hAnsi="Arial" w:cs="Arial"/>
          <w:b/>
          <w:bCs/>
          <w:u w:val="single"/>
          <w:lang w:val="en-US"/>
        </w:rPr>
        <w:t>TABLE CONTENT</w:t>
      </w:r>
    </w:p>
    <w:tbl>
      <w:tblPr>
        <w:tblStyle w:val="TableGrid"/>
        <w:tblW w:w="0" w:type="auto"/>
        <w:tblLook w:val="04A0" w:firstRow="1" w:lastRow="0" w:firstColumn="1" w:lastColumn="0" w:noHBand="0" w:noVBand="1"/>
      </w:tblPr>
      <w:tblGrid>
        <w:gridCol w:w="704"/>
        <w:gridCol w:w="7229"/>
        <w:gridCol w:w="1083"/>
      </w:tblGrid>
      <w:tr w:rsidR="0062280B" w14:paraId="629C821B" w14:textId="77777777" w:rsidTr="0062280B">
        <w:tc>
          <w:tcPr>
            <w:tcW w:w="704" w:type="dxa"/>
          </w:tcPr>
          <w:p w14:paraId="403769EC" w14:textId="24DB9807" w:rsidR="0062280B" w:rsidRDefault="0062280B" w:rsidP="00653B75">
            <w:pPr>
              <w:spacing w:line="360" w:lineRule="auto"/>
              <w:jc w:val="both"/>
              <w:rPr>
                <w:rFonts w:ascii="Arial" w:hAnsi="Arial" w:cs="Arial"/>
                <w:b/>
                <w:bCs/>
                <w:lang w:val="en-US"/>
              </w:rPr>
            </w:pPr>
            <w:r>
              <w:rPr>
                <w:rFonts w:ascii="Arial" w:hAnsi="Arial" w:cs="Arial"/>
                <w:b/>
                <w:bCs/>
                <w:lang w:val="en-US"/>
              </w:rPr>
              <w:t>No</w:t>
            </w:r>
          </w:p>
        </w:tc>
        <w:tc>
          <w:tcPr>
            <w:tcW w:w="7229" w:type="dxa"/>
          </w:tcPr>
          <w:p w14:paraId="28E762DE" w14:textId="1A039265" w:rsidR="0062280B" w:rsidRDefault="0062280B" w:rsidP="00653B75">
            <w:pPr>
              <w:spacing w:line="360" w:lineRule="auto"/>
              <w:jc w:val="both"/>
              <w:rPr>
                <w:rFonts w:ascii="Arial" w:hAnsi="Arial" w:cs="Arial"/>
                <w:b/>
                <w:bCs/>
                <w:lang w:val="en-US"/>
              </w:rPr>
            </w:pPr>
            <w:r>
              <w:rPr>
                <w:rFonts w:ascii="Arial" w:hAnsi="Arial" w:cs="Arial"/>
                <w:b/>
                <w:bCs/>
                <w:lang w:val="en-US"/>
              </w:rPr>
              <w:t>Content</w:t>
            </w:r>
          </w:p>
        </w:tc>
        <w:tc>
          <w:tcPr>
            <w:tcW w:w="1083" w:type="dxa"/>
          </w:tcPr>
          <w:p w14:paraId="4FC8BA36" w14:textId="1613DA8D" w:rsidR="0062280B" w:rsidRDefault="0062280B" w:rsidP="00653B75">
            <w:pPr>
              <w:spacing w:line="360" w:lineRule="auto"/>
              <w:jc w:val="both"/>
              <w:rPr>
                <w:rFonts w:ascii="Arial" w:hAnsi="Arial" w:cs="Arial"/>
                <w:b/>
                <w:bCs/>
                <w:lang w:val="en-US"/>
              </w:rPr>
            </w:pPr>
            <w:r>
              <w:rPr>
                <w:rFonts w:ascii="Arial" w:hAnsi="Arial" w:cs="Arial"/>
                <w:b/>
                <w:bCs/>
                <w:lang w:val="en-US"/>
              </w:rPr>
              <w:t>Pg no.</w:t>
            </w:r>
          </w:p>
        </w:tc>
      </w:tr>
      <w:tr w:rsidR="00346F12" w14:paraId="32BFB374" w14:textId="77777777" w:rsidTr="0062280B">
        <w:tc>
          <w:tcPr>
            <w:tcW w:w="704" w:type="dxa"/>
          </w:tcPr>
          <w:p w14:paraId="75BD458F" w14:textId="2A6C6195" w:rsidR="00346F12" w:rsidRDefault="00346F12" w:rsidP="00653B75">
            <w:pPr>
              <w:spacing w:line="360" w:lineRule="auto"/>
              <w:jc w:val="both"/>
              <w:rPr>
                <w:rFonts w:ascii="Arial" w:hAnsi="Arial" w:cs="Arial"/>
                <w:b/>
                <w:bCs/>
                <w:lang w:val="en-US"/>
              </w:rPr>
            </w:pPr>
            <w:r>
              <w:rPr>
                <w:rFonts w:ascii="Arial" w:hAnsi="Arial" w:cs="Arial"/>
                <w:b/>
                <w:bCs/>
                <w:lang w:val="en-US"/>
              </w:rPr>
              <w:t>1</w:t>
            </w:r>
          </w:p>
        </w:tc>
        <w:tc>
          <w:tcPr>
            <w:tcW w:w="7229" w:type="dxa"/>
          </w:tcPr>
          <w:p w14:paraId="364B0976" w14:textId="30FE8B10" w:rsidR="00346F12" w:rsidRDefault="00346F12" w:rsidP="00653B75">
            <w:pPr>
              <w:spacing w:line="360" w:lineRule="auto"/>
              <w:jc w:val="both"/>
              <w:rPr>
                <w:rFonts w:ascii="Arial" w:hAnsi="Arial" w:cs="Arial"/>
                <w:bCs/>
                <w:lang w:val="en-US"/>
              </w:rPr>
            </w:pPr>
            <w:r>
              <w:rPr>
                <w:rFonts w:ascii="Arial" w:hAnsi="Arial" w:cs="Arial"/>
                <w:bCs/>
                <w:lang w:val="en-US"/>
              </w:rPr>
              <w:t>Element 1 : Brand Extension</w:t>
            </w:r>
          </w:p>
          <w:p w14:paraId="015E7426" w14:textId="4BCA87E6" w:rsidR="00346F12" w:rsidRDefault="00346F12" w:rsidP="00653B75">
            <w:pPr>
              <w:pStyle w:val="ListParagraph"/>
              <w:numPr>
                <w:ilvl w:val="1"/>
                <w:numId w:val="16"/>
              </w:numPr>
              <w:spacing w:line="360" w:lineRule="auto"/>
              <w:jc w:val="both"/>
              <w:rPr>
                <w:rFonts w:ascii="Arial" w:hAnsi="Arial" w:cs="Arial"/>
                <w:bCs/>
                <w:lang w:val="en-US"/>
              </w:rPr>
            </w:pPr>
            <w:r>
              <w:rPr>
                <w:rFonts w:ascii="Arial" w:hAnsi="Arial" w:cs="Arial"/>
                <w:bCs/>
                <w:lang w:val="en-US"/>
              </w:rPr>
              <w:t>Introduction</w:t>
            </w:r>
          </w:p>
          <w:p w14:paraId="2F8CD1D6" w14:textId="77777777" w:rsidR="00346F12" w:rsidRPr="00346F12" w:rsidRDefault="00346F12" w:rsidP="00653B75">
            <w:pPr>
              <w:pStyle w:val="ListParagraph"/>
              <w:numPr>
                <w:ilvl w:val="1"/>
                <w:numId w:val="16"/>
              </w:numPr>
              <w:spacing w:line="360" w:lineRule="auto"/>
              <w:jc w:val="both"/>
              <w:rPr>
                <w:rFonts w:ascii="Arial" w:hAnsi="Arial" w:cs="Arial"/>
                <w:bCs/>
                <w:lang w:val="en-US"/>
              </w:rPr>
            </w:pPr>
            <w:r w:rsidRPr="00346F12">
              <w:rPr>
                <w:rFonts w:ascii="Arial" w:hAnsi="Arial" w:cs="Arial"/>
                <w:bCs/>
                <w:lang w:val="en-US"/>
              </w:rPr>
              <w:t>Brand Extension</w:t>
            </w:r>
          </w:p>
          <w:p w14:paraId="485ACAA5" w14:textId="77777777" w:rsidR="00346F12" w:rsidRPr="00346F12" w:rsidRDefault="00346F12" w:rsidP="00653B75">
            <w:pPr>
              <w:pStyle w:val="ListParagraph"/>
              <w:numPr>
                <w:ilvl w:val="1"/>
                <w:numId w:val="16"/>
              </w:numPr>
              <w:spacing w:line="360" w:lineRule="auto"/>
              <w:jc w:val="both"/>
              <w:rPr>
                <w:rFonts w:ascii="Arial" w:hAnsi="Arial" w:cs="Arial"/>
                <w:bCs/>
                <w:lang w:val="en-US"/>
              </w:rPr>
            </w:pPr>
            <w:r>
              <w:rPr>
                <w:rFonts w:ascii="Arial" w:hAnsi="Arial" w:cs="Arial"/>
                <w:bCs/>
                <w:lang w:val="en-US"/>
              </w:rPr>
              <w:t>Current Trends</w:t>
            </w:r>
          </w:p>
          <w:p w14:paraId="79226C0B" w14:textId="5E1CF5DB" w:rsidR="00346F12" w:rsidRPr="00346F12" w:rsidRDefault="00346F12" w:rsidP="00653B75">
            <w:pPr>
              <w:pStyle w:val="ListParagraph"/>
              <w:numPr>
                <w:ilvl w:val="1"/>
                <w:numId w:val="16"/>
              </w:numPr>
              <w:spacing w:line="360" w:lineRule="auto"/>
              <w:jc w:val="both"/>
              <w:rPr>
                <w:rFonts w:ascii="Arial" w:hAnsi="Arial" w:cs="Arial"/>
                <w:bCs/>
                <w:lang w:val="en-US"/>
              </w:rPr>
            </w:pPr>
            <w:r>
              <w:rPr>
                <w:rFonts w:ascii="Arial" w:hAnsi="Arial" w:cs="Arial"/>
                <w:bCs/>
                <w:lang w:val="en-US"/>
              </w:rPr>
              <w:t>Sustainbility</w:t>
            </w:r>
          </w:p>
        </w:tc>
        <w:tc>
          <w:tcPr>
            <w:tcW w:w="1083" w:type="dxa"/>
          </w:tcPr>
          <w:p w14:paraId="3897CDD2" w14:textId="7CC37430" w:rsidR="00346F12" w:rsidRPr="00653B75" w:rsidRDefault="00653B75" w:rsidP="00653B75">
            <w:pPr>
              <w:spacing w:line="360" w:lineRule="auto"/>
              <w:jc w:val="both"/>
              <w:rPr>
                <w:rFonts w:ascii="Arial" w:hAnsi="Arial" w:cs="Arial"/>
                <w:bCs/>
                <w:lang w:val="en-US"/>
              </w:rPr>
            </w:pPr>
            <w:r>
              <w:rPr>
                <w:rFonts w:ascii="Arial" w:hAnsi="Arial" w:cs="Arial"/>
                <w:bCs/>
                <w:lang w:val="en-US"/>
              </w:rPr>
              <w:t>3</w:t>
            </w:r>
          </w:p>
        </w:tc>
      </w:tr>
      <w:tr w:rsidR="0062280B" w14:paraId="44D08FBA" w14:textId="77777777" w:rsidTr="00C45C01">
        <w:trPr>
          <w:trHeight w:val="595"/>
        </w:trPr>
        <w:tc>
          <w:tcPr>
            <w:tcW w:w="704" w:type="dxa"/>
          </w:tcPr>
          <w:p w14:paraId="3CD45BD3" w14:textId="3029BC08" w:rsidR="0062280B" w:rsidRDefault="00346F12" w:rsidP="00653B75">
            <w:pPr>
              <w:spacing w:line="360" w:lineRule="auto"/>
              <w:jc w:val="both"/>
              <w:rPr>
                <w:rFonts w:ascii="Arial" w:hAnsi="Arial" w:cs="Arial"/>
                <w:b/>
                <w:lang w:val="en-US"/>
              </w:rPr>
            </w:pPr>
            <w:r>
              <w:rPr>
                <w:rFonts w:ascii="Arial" w:hAnsi="Arial" w:cs="Arial"/>
                <w:b/>
                <w:lang w:val="en-US"/>
              </w:rPr>
              <w:t>2</w:t>
            </w:r>
          </w:p>
          <w:p w14:paraId="29383381" w14:textId="39D37CC7" w:rsidR="00346F12" w:rsidRPr="00346F12" w:rsidRDefault="00346F12" w:rsidP="00653B75">
            <w:pPr>
              <w:spacing w:line="360" w:lineRule="auto"/>
              <w:jc w:val="both"/>
              <w:rPr>
                <w:rFonts w:ascii="Arial" w:hAnsi="Arial" w:cs="Arial"/>
                <w:b/>
                <w:lang w:val="en-US"/>
              </w:rPr>
            </w:pPr>
          </w:p>
        </w:tc>
        <w:tc>
          <w:tcPr>
            <w:tcW w:w="7229" w:type="dxa"/>
          </w:tcPr>
          <w:p w14:paraId="6C1CB2B4" w14:textId="4C1F42DE" w:rsidR="0062280B" w:rsidRPr="0062280B" w:rsidRDefault="0062280B" w:rsidP="00653B75">
            <w:pPr>
              <w:spacing w:line="360" w:lineRule="auto"/>
              <w:jc w:val="both"/>
              <w:rPr>
                <w:rFonts w:ascii="Arial" w:hAnsi="Arial" w:cs="Arial"/>
                <w:color w:val="040C28"/>
              </w:rPr>
            </w:pPr>
            <w:r>
              <w:rPr>
                <w:rFonts w:ascii="Arial" w:hAnsi="Arial" w:cs="Arial"/>
                <w:lang w:val="en-US"/>
              </w:rPr>
              <w:t xml:space="preserve">Element 2 : </w:t>
            </w:r>
            <w:r w:rsidRPr="0062280B">
              <w:rPr>
                <w:rFonts w:ascii="Arial" w:hAnsi="Arial" w:cs="Arial"/>
                <w:color w:val="040C28"/>
              </w:rPr>
              <w:t>Segmentation , Targeting , Differentiation and Positioning ( STDP ) analysis</w:t>
            </w:r>
          </w:p>
        </w:tc>
        <w:tc>
          <w:tcPr>
            <w:tcW w:w="1083" w:type="dxa"/>
          </w:tcPr>
          <w:p w14:paraId="2400913D" w14:textId="3D79B628" w:rsidR="0062280B" w:rsidRPr="0062280B" w:rsidRDefault="00653B75" w:rsidP="00653B75">
            <w:pPr>
              <w:spacing w:line="360" w:lineRule="auto"/>
              <w:jc w:val="both"/>
              <w:rPr>
                <w:rFonts w:ascii="Arial" w:hAnsi="Arial" w:cs="Arial"/>
                <w:lang w:val="en-US"/>
              </w:rPr>
            </w:pPr>
            <w:r>
              <w:rPr>
                <w:rFonts w:ascii="Arial" w:hAnsi="Arial" w:cs="Arial"/>
                <w:lang w:val="en-US"/>
              </w:rPr>
              <w:t>4</w:t>
            </w:r>
          </w:p>
        </w:tc>
      </w:tr>
      <w:tr w:rsidR="0062280B" w14:paraId="36CAAF62" w14:textId="77777777" w:rsidTr="0062280B">
        <w:tc>
          <w:tcPr>
            <w:tcW w:w="704" w:type="dxa"/>
          </w:tcPr>
          <w:p w14:paraId="10269FC0" w14:textId="66550ED2" w:rsidR="0062280B" w:rsidRPr="00346F12" w:rsidRDefault="00346F12" w:rsidP="00653B75">
            <w:pPr>
              <w:spacing w:line="360" w:lineRule="auto"/>
              <w:jc w:val="both"/>
              <w:rPr>
                <w:rFonts w:ascii="Arial" w:hAnsi="Arial" w:cs="Arial"/>
                <w:b/>
                <w:lang w:val="en-US"/>
              </w:rPr>
            </w:pPr>
            <w:r>
              <w:rPr>
                <w:rFonts w:ascii="Arial" w:hAnsi="Arial" w:cs="Arial"/>
                <w:b/>
                <w:lang w:val="en-US"/>
              </w:rPr>
              <w:t>3</w:t>
            </w:r>
          </w:p>
        </w:tc>
        <w:tc>
          <w:tcPr>
            <w:tcW w:w="7229" w:type="dxa"/>
          </w:tcPr>
          <w:p w14:paraId="07352D72" w14:textId="77777777" w:rsidR="0062280B" w:rsidRPr="001C6E8D" w:rsidRDefault="0062280B" w:rsidP="00653B75">
            <w:pPr>
              <w:spacing w:line="360" w:lineRule="auto"/>
              <w:ind w:left="360"/>
              <w:jc w:val="both"/>
              <w:rPr>
                <w:rFonts w:ascii="Arial" w:hAnsi="Arial" w:cs="Arial"/>
                <w:noProof/>
              </w:rPr>
            </w:pPr>
            <w:r w:rsidRPr="001C6E8D">
              <w:rPr>
                <w:rFonts w:ascii="Arial" w:hAnsi="Arial" w:cs="Arial"/>
                <w:lang w:val="en-US"/>
              </w:rPr>
              <w:t xml:space="preserve">Element 3 : </w:t>
            </w:r>
            <w:r w:rsidRPr="001C6E8D">
              <w:rPr>
                <w:rFonts w:ascii="Arial" w:hAnsi="Arial" w:cs="Arial"/>
                <w:noProof/>
              </w:rPr>
              <w:t>Marketing Mix – The 7Ps</w:t>
            </w:r>
          </w:p>
          <w:p w14:paraId="534DC54D" w14:textId="780B3F9C" w:rsidR="0062280B" w:rsidRDefault="001C6E8D" w:rsidP="00653B75">
            <w:pPr>
              <w:spacing w:line="360" w:lineRule="auto"/>
              <w:jc w:val="both"/>
              <w:rPr>
                <w:rFonts w:ascii="Arial" w:hAnsi="Arial" w:cs="Arial"/>
                <w:noProof/>
              </w:rPr>
            </w:pPr>
            <w:r w:rsidRPr="001C6E8D">
              <w:rPr>
                <w:rFonts w:ascii="Arial" w:hAnsi="Arial" w:cs="Arial"/>
                <w:noProof/>
              </w:rPr>
              <w:t>3.1 Critical Discussion of the Marketing Mix</w:t>
            </w:r>
          </w:p>
          <w:p w14:paraId="34CB3FAC" w14:textId="62943C01" w:rsidR="001C6E8D" w:rsidRPr="001C6E8D" w:rsidRDefault="001C6E8D" w:rsidP="00653B75">
            <w:pPr>
              <w:spacing w:line="360" w:lineRule="auto"/>
              <w:jc w:val="both"/>
              <w:rPr>
                <w:rFonts w:ascii="Arial" w:hAnsi="Arial" w:cs="Arial"/>
                <w:noProof/>
              </w:rPr>
            </w:pPr>
            <w:r w:rsidRPr="001C6E8D">
              <w:rPr>
                <w:rFonts w:ascii="Arial" w:hAnsi="Arial" w:cs="Arial"/>
                <w:noProof/>
              </w:rPr>
              <w:t>3.2 Strategic Coherence of the 7Ps</w:t>
            </w:r>
          </w:p>
        </w:tc>
        <w:tc>
          <w:tcPr>
            <w:tcW w:w="1083" w:type="dxa"/>
          </w:tcPr>
          <w:p w14:paraId="13ABAEA4" w14:textId="77777777" w:rsidR="0062280B" w:rsidRDefault="001C6E8D" w:rsidP="00653B75">
            <w:pPr>
              <w:spacing w:line="360" w:lineRule="auto"/>
              <w:jc w:val="both"/>
              <w:rPr>
                <w:rFonts w:ascii="Arial" w:hAnsi="Arial" w:cs="Arial"/>
                <w:lang w:val="en-US"/>
              </w:rPr>
            </w:pPr>
            <w:r>
              <w:rPr>
                <w:rFonts w:ascii="Arial" w:hAnsi="Arial" w:cs="Arial"/>
                <w:lang w:val="en-US"/>
              </w:rPr>
              <w:t>8</w:t>
            </w:r>
          </w:p>
          <w:p w14:paraId="6C48E100" w14:textId="77777777" w:rsidR="001C6E8D" w:rsidRDefault="001C6E8D" w:rsidP="00653B75">
            <w:pPr>
              <w:spacing w:line="360" w:lineRule="auto"/>
              <w:jc w:val="both"/>
              <w:rPr>
                <w:rFonts w:ascii="Arial" w:hAnsi="Arial" w:cs="Arial"/>
                <w:lang w:val="en-US"/>
              </w:rPr>
            </w:pPr>
            <w:r>
              <w:rPr>
                <w:rFonts w:ascii="Arial" w:hAnsi="Arial" w:cs="Arial"/>
                <w:lang w:val="en-US"/>
              </w:rPr>
              <w:t>10</w:t>
            </w:r>
          </w:p>
          <w:p w14:paraId="745688CA" w14:textId="5BAC2680" w:rsidR="001C6E8D" w:rsidRPr="0062280B" w:rsidRDefault="001C6E8D" w:rsidP="00653B75">
            <w:pPr>
              <w:spacing w:line="360" w:lineRule="auto"/>
              <w:jc w:val="both"/>
              <w:rPr>
                <w:rFonts w:ascii="Arial" w:hAnsi="Arial" w:cs="Arial"/>
                <w:lang w:val="en-US"/>
              </w:rPr>
            </w:pPr>
            <w:r>
              <w:rPr>
                <w:rFonts w:ascii="Arial" w:hAnsi="Arial" w:cs="Arial"/>
                <w:lang w:val="en-US"/>
              </w:rPr>
              <w:t>11</w:t>
            </w:r>
          </w:p>
        </w:tc>
      </w:tr>
      <w:tr w:rsidR="0062280B" w14:paraId="17C3E138" w14:textId="77777777" w:rsidTr="0062280B">
        <w:tc>
          <w:tcPr>
            <w:tcW w:w="704" w:type="dxa"/>
          </w:tcPr>
          <w:p w14:paraId="18B72223" w14:textId="682675C3" w:rsidR="0062280B" w:rsidRPr="00346F12" w:rsidRDefault="00346F12" w:rsidP="00653B75">
            <w:pPr>
              <w:spacing w:line="360" w:lineRule="auto"/>
              <w:jc w:val="both"/>
              <w:rPr>
                <w:rFonts w:ascii="Arial" w:hAnsi="Arial" w:cs="Arial"/>
                <w:b/>
                <w:lang w:val="en-US"/>
              </w:rPr>
            </w:pPr>
            <w:r>
              <w:rPr>
                <w:rFonts w:ascii="Arial" w:hAnsi="Arial" w:cs="Arial"/>
                <w:b/>
                <w:lang w:val="en-US"/>
              </w:rPr>
              <w:t>4</w:t>
            </w:r>
          </w:p>
        </w:tc>
        <w:tc>
          <w:tcPr>
            <w:tcW w:w="7229" w:type="dxa"/>
          </w:tcPr>
          <w:p w14:paraId="44A562E5" w14:textId="2680B420" w:rsidR="0062280B" w:rsidRPr="0062280B" w:rsidRDefault="001C6E8D" w:rsidP="00653B75">
            <w:pPr>
              <w:spacing w:line="360" w:lineRule="auto"/>
              <w:jc w:val="both"/>
              <w:rPr>
                <w:rFonts w:ascii="Arial" w:hAnsi="Arial" w:cs="Arial"/>
                <w:lang w:val="en-US"/>
              </w:rPr>
            </w:pPr>
            <w:r>
              <w:rPr>
                <w:rFonts w:ascii="Arial" w:hAnsi="Arial" w:cs="Arial"/>
                <w:lang w:val="en-US"/>
              </w:rPr>
              <w:t>Element 4 : Reflection</w:t>
            </w:r>
          </w:p>
        </w:tc>
        <w:tc>
          <w:tcPr>
            <w:tcW w:w="1083" w:type="dxa"/>
          </w:tcPr>
          <w:p w14:paraId="17CFBE4A" w14:textId="07BF8813" w:rsidR="0062280B" w:rsidRPr="0062280B" w:rsidRDefault="001C6E8D" w:rsidP="00653B75">
            <w:pPr>
              <w:spacing w:line="360" w:lineRule="auto"/>
              <w:jc w:val="both"/>
              <w:rPr>
                <w:rFonts w:ascii="Arial" w:hAnsi="Arial" w:cs="Arial"/>
                <w:lang w:val="en-US"/>
              </w:rPr>
            </w:pPr>
            <w:r>
              <w:rPr>
                <w:rFonts w:ascii="Arial" w:hAnsi="Arial" w:cs="Arial"/>
                <w:lang w:val="en-US"/>
              </w:rPr>
              <w:t>1</w:t>
            </w:r>
            <w:r w:rsidR="0055413B">
              <w:rPr>
                <w:rFonts w:ascii="Arial" w:hAnsi="Arial" w:cs="Arial"/>
                <w:lang w:val="en-US"/>
              </w:rPr>
              <w:t>2</w:t>
            </w:r>
          </w:p>
        </w:tc>
      </w:tr>
      <w:tr w:rsidR="0062280B" w14:paraId="7CE3B7D4" w14:textId="77777777" w:rsidTr="0062280B">
        <w:tc>
          <w:tcPr>
            <w:tcW w:w="704" w:type="dxa"/>
          </w:tcPr>
          <w:p w14:paraId="50A3EDFF" w14:textId="328AF3E3" w:rsidR="0062280B" w:rsidRPr="00346F12" w:rsidRDefault="00346F12" w:rsidP="00653B75">
            <w:pPr>
              <w:spacing w:line="360" w:lineRule="auto"/>
              <w:jc w:val="both"/>
              <w:rPr>
                <w:rFonts w:ascii="Arial" w:hAnsi="Arial" w:cs="Arial"/>
                <w:b/>
                <w:lang w:val="en-US"/>
              </w:rPr>
            </w:pPr>
            <w:r>
              <w:rPr>
                <w:rFonts w:ascii="Arial" w:hAnsi="Arial" w:cs="Arial"/>
                <w:b/>
                <w:lang w:val="en-US"/>
              </w:rPr>
              <w:t>5</w:t>
            </w:r>
          </w:p>
        </w:tc>
        <w:tc>
          <w:tcPr>
            <w:tcW w:w="7229" w:type="dxa"/>
          </w:tcPr>
          <w:p w14:paraId="3BEE2282" w14:textId="0DBB0B5E" w:rsidR="0062280B" w:rsidRPr="0062280B" w:rsidRDefault="001C6E8D" w:rsidP="00653B75">
            <w:pPr>
              <w:spacing w:line="360" w:lineRule="auto"/>
              <w:jc w:val="both"/>
              <w:rPr>
                <w:rFonts w:ascii="Arial" w:hAnsi="Arial" w:cs="Arial"/>
                <w:lang w:val="en-US"/>
              </w:rPr>
            </w:pPr>
            <w:r w:rsidRPr="001C6E8D">
              <w:rPr>
                <w:rFonts w:ascii="Arial" w:hAnsi="Arial" w:cs="Arial"/>
                <w:lang w:val="en-US"/>
              </w:rPr>
              <w:t>Reference</w:t>
            </w:r>
          </w:p>
        </w:tc>
        <w:tc>
          <w:tcPr>
            <w:tcW w:w="1083" w:type="dxa"/>
          </w:tcPr>
          <w:p w14:paraId="39AEAB05" w14:textId="02208590" w:rsidR="0062280B" w:rsidRPr="0062280B" w:rsidRDefault="001C6E8D" w:rsidP="00653B75">
            <w:pPr>
              <w:spacing w:line="360" w:lineRule="auto"/>
              <w:jc w:val="both"/>
              <w:rPr>
                <w:rFonts w:ascii="Arial" w:hAnsi="Arial" w:cs="Arial"/>
                <w:lang w:val="en-US"/>
              </w:rPr>
            </w:pPr>
            <w:r>
              <w:rPr>
                <w:rFonts w:ascii="Arial" w:hAnsi="Arial" w:cs="Arial"/>
                <w:lang w:val="en-US"/>
              </w:rPr>
              <w:t>1</w:t>
            </w:r>
            <w:r w:rsidR="0055413B">
              <w:rPr>
                <w:rFonts w:ascii="Arial" w:hAnsi="Arial" w:cs="Arial"/>
                <w:lang w:val="en-US"/>
              </w:rPr>
              <w:t>4</w:t>
            </w:r>
          </w:p>
        </w:tc>
      </w:tr>
      <w:tr w:rsidR="0062280B" w14:paraId="03E6D0B1" w14:textId="77777777" w:rsidTr="0062280B">
        <w:tc>
          <w:tcPr>
            <w:tcW w:w="704" w:type="dxa"/>
          </w:tcPr>
          <w:p w14:paraId="47103820" w14:textId="30E5B7FE" w:rsidR="0062280B" w:rsidRPr="001C6E8D" w:rsidRDefault="0062280B" w:rsidP="00653B75">
            <w:pPr>
              <w:pStyle w:val="ListParagraph"/>
              <w:numPr>
                <w:ilvl w:val="0"/>
                <w:numId w:val="15"/>
              </w:numPr>
              <w:spacing w:line="360" w:lineRule="auto"/>
              <w:jc w:val="both"/>
              <w:rPr>
                <w:rFonts w:ascii="Arial" w:hAnsi="Arial" w:cs="Arial"/>
                <w:lang w:val="en-US"/>
              </w:rPr>
            </w:pPr>
          </w:p>
        </w:tc>
        <w:tc>
          <w:tcPr>
            <w:tcW w:w="7229" w:type="dxa"/>
          </w:tcPr>
          <w:p w14:paraId="5446040F" w14:textId="17BB1127" w:rsidR="0062280B" w:rsidRPr="0062280B" w:rsidRDefault="001C6E8D" w:rsidP="00653B75">
            <w:pPr>
              <w:spacing w:line="360" w:lineRule="auto"/>
              <w:jc w:val="both"/>
              <w:rPr>
                <w:rFonts w:ascii="Arial" w:hAnsi="Arial" w:cs="Arial"/>
                <w:lang w:val="en-US"/>
              </w:rPr>
            </w:pPr>
            <w:r>
              <w:rPr>
                <w:rFonts w:ascii="Arial" w:hAnsi="Arial" w:cs="Arial"/>
                <w:lang w:val="en-US"/>
              </w:rPr>
              <w:t>Appendix</w:t>
            </w:r>
          </w:p>
        </w:tc>
        <w:tc>
          <w:tcPr>
            <w:tcW w:w="1083" w:type="dxa"/>
          </w:tcPr>
          <w:p w14:paraId="1D168486" w14:textId="7153A872" w:rsidR="0062280B" w:rsidRPr="0062280B" w:rsidRDefault="001C6E8D" w:rsidP="00653B75">
            <w:pPr>
              <w:spacing w:line="360" w:lineRule="auto"/>
              <w:jc w:val="both"/>
              <w:rPr>
                <w:rFonts w:ascii="Arial" w:hAnsi="Arial" w:cs="Arial"/>
                <w:lang w:val="en-US"/>
              </w:rPr>
            </w:pPr>
            <w:r>
              <w:rPr>
                <w:rFonts w:ascii="Arial" w:hAnsi="Arial" w:cs="Arial"/>
                <w:lang w:val="en-US"/>
              </w:rPr>
              <w:t>1</w:t>
            </w:r>
            <w:r w:rsidR="0055413B">
              <w:rPr>
                <w:rFonts w:ascii="Arial" w:hAnsi="Arial" w:cs="Arial"/>
                <w:lang w:val="en-US"/>
              </w:rPr>
              <w:t>6</w:t>
            </w:r>
          </w:p>
        </w:tc>
      </w:tr>
    </w:tbl>
    <w:p w14:paraId="3E1FE75E" w14:textId="77777777" w:rsidR="00E75519" w:rsidRDefault="00E75519" w:rsidP="00653B75">
      <w:pPr>
        <w:spacing w:line="360" w:lineRule="auto"/>
        <w:jc w:val="both"/>
        <w:rPr>
          <w:rFonts w:ascii="Arial" w:hAnsi="Arial" w:cs="Arial"/>
          <w:b/>
          <w:bCs/>
          <w:lang w:val="en-US"/>
        </w:rPr>
      </w:pPr>
    </w:p>
    <w:p w14:paraId="1E6C5750" w14:textId="77777777" w:rsidR="00E75519" w:rsidRDefault="00E75519" w:rsidP="00653B75">
      <w:pPr>
        <w:spacing w:line="360" w:lineRule="auto"/>
        <w:jc w:val="both"/>
        <w:rPr>
          <w:rFonts w:ascii="Arial" w:hAnsi="Arial" w:cs="Arial"/>
          <w:b/>
          <w:bCs/>
          <w:lang w:val="en-US"/>
        </w:rPr>
      </w:pPr>
    </w:p>
    <w:p w14:paraId="6509245D" w14:textId="77777777" w:rsidR="00E75519" w:rsidRDefault="00E75519" w:rsidP="00653B75">
      <w:pPr>
        <w:spacing w:line="360" w:lineRule="auto"/>
        <w:jc w:val="both"/>
        <w:rPr>
          <w:rFonts w:ascii="Arial" w:hAnsi="Arial" w:cs="Arial"/>
          <w:b/>
          <w:bCs/>
          <w:lang w:val="en-US"/>
        </w:rPr>
      </w:pPr>
    </w:p>
    <w:p w14:paraId="60F50C93" w14:textId="77777777" w:rsidR="00E75519" w:rsidRDefault="00E75519" w:rsidP="00653B75">
      <w:pPr>
        <w:spacing w:line="360" w:lineRule="auto"/>
        <w:jc w:val="both"/>
        <w:rPr>
          <w:rFonts w:ascii="Arial" w:hAnsi="Arial" w:cs="Arial"/>
          <w:b/>
          <w:bCs/>
          <w:lang w:val="en-US"/>
        </w:rPr>
      </w:pPr>
    </w:p>
    <w:p w14:paraId="25BFFECA" w14:textId="77777777" w:rsidR="00E75519" w:rsidRDefault="00E75519" w:rsidP="00653B75">
      <w:pPr>
        <w:spacing w:line="360" w:lineRule="auto"/>
        <w:jc w:val="both"/>
        <w:rPr>
          <w:rFonts w:ascii="Arial" w:hAnsi="Arial" w:cs="Arial"/>
          <w:b/>
          <w:bCs/>
          <w:lang w:val="en-US"/>
        </w:rPr>
      </w:pPr>
    </w:p>
    <w:p w14:paraId="3F59EA08" w14:textId="77777777" w:rsidR="00E75519" w:rsidRDefault="00E75519" w:rsidP="00653B75">
      <w:pPr>
        <w:spacing w:line="360" w:lineRule="auto"/>
        <w:jc w:val="both"/>
        <w:rPr>
          <w:rFonts w:ascii="Arial" w:hAnsi="Arial" w:cs="Arial"/>
          <w:b/>
          <w:bCs/>
          <w:lang w:val="en-US"/>
        </w:rPr>
      </w:pPr>
    </w:p>
    <w:p w14:paraId="3C85CE9E" w14:textId="77777777" w:rsidR="00E75519" w:rsidRDefault="00E75519" w:rsidP="00653B75">
      <w:pPr>
        <w:spacing w:line="360" w:lineRule="auto"/>
        <w:jc w:val="both"/>
        <w:rPr>
          <w:rFonts w:ascii="Arial" w:hAnsi="Arial" w:cs="Arial"/>
          <w:b/>
          <w:bCs/>
          <w:lang w:val="en-US"/>
        </w:rPr>
      </w:pPr>
    </w:p>
    <w:p w14:paraId="61BDD386" w14:textId="77777777" w:rsidR="00E75519" w:rsidRDefault="00E75519" w:rsidP="00653B75">
      <w:pPr>
        <w:spacing w:line="360" w:lineRule="auto"/>
        <w:jc w:val="both"/>
        <w:rPr>
          <w:rFonts w:ascii="Arial" w:hAnsi="Arial" w:cs="Arial"/>
          <w:b/>
          <w:bCs/>
          <w:lang w:val="en-US"/>
        </w:rPr>
      </w:pPr>
    </w:p>
    <w:p w14:paraId="2A455518" w14:textId="77777777" w:rsidR="00E75519" w:rsidRDefault="00E75519" w:rsidP="00653B75">
      <w:pPr>
        <w:spacing w:line="360" w:lineRule="auto"/>
        <w:jc w:val="both"/>
        <w:rPr>
          <w:rFonts w:ascii="Arial" w:hAnsi="Arial" w:cs="Arial"/>
          <w:b/>
          <w:bCs/>
          <w:lang w:val="en-US"/>
        </w:rPr>
      </w:pPr>
    </w:p>
    <w:p w14:paraId="2713E1DB" w14:textId="77777777" w:rsidR="00E75519" w:rsidRDefault="00E75519" w:rsidP="00653B75">
      <w:pPr>
        <w:spacing w:line="360" w:lineRule="auto"/>
        <w:jc w:val="both"/>
        <w:rPr>
          <w:rFonts w:ascii="Arial" w:hAnsi="Arial" w:cs="Arial"/>
          <w:b/>
          <w:bCs/>
          <w:lang w:val="en-US"/>
        </w:rPr>
      </w:pPr>
    </w:p>
    <w:p w14:paraId="78221886" w14:textId="77777777" w:rsidR="00E75519" w:rsidRDefault="00E75519" w:rsidP="00653B75">
      <w:pPr>
        <w:spacing w:line="360" w:lineRule="auto"/>
        <w:jc w:val="both"/>
        <w:rPr>
          <w:rFonts w:ascii="Arial" w:hAnsi="Arial" w:cs="Arial"/>
          <w:b/>
          <w:bCs/>
          <w:lang w:val="en-US"/>
        </w:rPr>
      </w:pPr>
    </w:p>
    <w:p w14:paraId="43CAA151" w14:textId="77777777" w:rsidR="00E75519" w:rsidRDefault="00E75519" w:rsidP="00653B75">
      <w:pPr>
        <w:spacing w:line="360" w:lineRule="auto"/>
        <w:jc w:val="both"/>
        <w:rPr>
          <w:rFonts w:ascii="Arial" w:hAnsi="Arial" w:cs="Arial"/>
          <w:b/>
          <w:bCs/>
          <w:lang w:val="en-US"/>
        </w:rPr>
      </w:pPr>
    </w:p>
    <w:p w14:paraId="1AB13440" w14:textId="77777777" w:rsidR="00E75519" w:rsidRDefault="00E75519" w:rsidP="00653B75">
      <w:pPr>
        <w:spacing w:line="360" w:lineRule="auto"/>
        <w:jc w:val="both"/>
        <w:rPr>
          <w:rFonts w:ascii="Arial" w:hAnsi="Arial" w:cs="Arial"/>
          <w:b/>
          <w:bCs/>
          <w:lang w:val="en-US"/>
        </w:rPr>
      </w:pPr>
    </w:p>
    <w:p w14:paraId="55140F21" w14:textId="77777777" w:rsidR="00E75519" w:rsidRDefault="00E75519" w:rsidP="00653B75">
      <w:pPr>
        <w:spacing w:line="360" w:lineRule="auto"/>
        <w:jc w:val="both"/>
        <w:rPr>
          <w:rFonts w:ascii="Arial" w:hAnsi="Arial" w:cs="Arial"/>
          <w:b/>
          <w:bCs/>
          <w:lang w:val="en-US"/>
        </w:rPr>
      </w:pPr>
    </w:p>
    <w:p w14:paraId="64B458DD" w14:textId="492792A0" w:rsidR="00C71D17" w:rsidRDefault="00C71D17" w:rsidP="00653B75">
      <w:pPr>
        <w:spacing w:line="360" w:lineRule="auto"/>
        <w:jc w:val="both"/>
        <w:rPr>
          <w:rFonts w:ascii="Arial" w:hAnsi="Arial" w:cs="Arial"/>
          <w:b/>
          <w:bCs/>
          <w:lang w:val="en-US"/>
        </w:rPr>
      </w:pPr>
    </w:p>
    <w:p w14:paraId="0AC16BF6" w14:textId="7E8DB5CB" w:rsidR="00C71D17" w:rsidRDefault="00C71D17" w:rsidP="00653B75">
      <w:pPr>
        <w:spacing w:line="360" w:lineRule="auto"/>
        <w:jc w:val="both"/>
        <w:rPr>
          <w:rFonts w:ascii="Arial" w:hAnsi="Arial" w:cs="Arial"/>
          <w:b/>
          <w:bCs/>
          <w:u w:val="single"/>
          <w:lang w:val="en-US"/>
        </w:rPr>
      </w:pPr>
      <w:r w:rsidRPr="00C71D17">
        <w:rPr>
          <w:rFonts w:ascii="Arial" w:hAnsi="Arial" w:cs="Arial"/>
          <w:b/>
          <w:bCs/>
          <w:u w:val="single"/>
          <w:lang w:val="en-US"/>
        </w:rPr>
        <w:t>Element 1 : Brand Extension</w:t>
      </w:r>
    </w:p>
    <w:p w14:paraId="4C295531" w14:textId="77777777" w:rsidR="00941B3C" w:rsidRPr="00C71D17" w:rsidRDefault="00941B3C" w:rsidP="00653B75">
      <w:pPr>
        <w:spacing w:line="360" w:lineRule="auto"/>
        <w:jc w:val="both"/>
        <w:rPr>
          <w:rFonts w:ascii="Arial" w:hAnsi="Arial" w:cs="Arial"/>
          <w:b/>
          <w:bCs/>
          <w:u w:val="single"/>
          <w:lang w:val="en-US"/>
        </w:rPr>
      </w:pPr>
    </w:p>
    <w:p w14:paraId="39578606" w14:textId="4A989B29" w:rsidR="00C71D17" w:rsidRDefault="00C71D17" w:rsidP="00653B75">
      <w:pPr>
        <w:spacing w:line="360" w:lineRule="auto"/>
        <w:jc w:val="both"/>
        <w:rPr>
          <w:rFonts w:ascii="Arial" w:hAnsi="Arial" w:cs="Arial"/>
          <w:b/>
          <w:bCs/>
          <w:lang w:val="en-US"/>
        </w:rPr>
      </w:pPr>
      <w:r w:rsidRPr="00C71D17">
        <w:rPr>
          <w:rFonts w:ascii="Arial" w:hAnsi="Arial" w:cs="Arial"/>
          <w:b/>
          <w:bCs/>
          <w:lang w:val="en-US"/>
        </w:rPr>
        <w:t>1.1</w:t>
      </w:r>
      <w:r>
        <w:rPr>
          <w:rFonts w:ascii="Arial" w:hAnsi="Arial" w:cs="Arial"/>
          <w:b/>
          <w:bCs/>
          <w:lang w:val="en-US"/>
        </w:rPr>
        <w:t xml:space="preserve"> </w:t>
      </w:r>
      <w:r w:rsidRPr="00C71D17">
        <w:rPr>
          <w:rFonts w:ascii="Arial" w:hAnsi="Arial" w:cs="Arial"/>
          <w:b/>
          <w:bCs/>
          <w:lang w:val="en-US"/>
        </w:rPr>
        <w:t>Introduction</w:t>
      </w:r>
    </w:p>
    <w:p w14:paraId="15CCE400" w14:textId="77777777" w:rsidR="00C71D17" w:rsidRPr="00C71D17" w:rsidRDefault="00C71D17" w:rsidP="00653B75">
      <w:pPr>
        <w:spacing w:line="276" w:lineRule="auto"/>
        <w:jc w:val="both"/>
        <w:rPr>
          <w:rFonts w:ascii="Arial" w:eastAsia="Calibri" w:hAnsi="Arial" w:cs="Arial"/>
          <w:color w:val="1C2833"/>
          <w:kern w:val="24"/>
          <w:lang w:val="en-US"/>
          <w14:ligatures w14:val="none"/>
        </w:rPr>
      </w:pPr>
      <w:r w:rsidRPr="00C71D17">
        <w:rPr>
          <w:rFonts w:ascii="Arial" w:eastAsia="Calibri" w:hAnsi="Arial" w:cs="Arial"/>
          <w:color w:val="1C2833"/>
          <w:kern w:val="24"/>
          <w:lang w:val="en-US"/>
        </w:rPr>
        <w:t>This poster presents Apple Health Guard  a brand extension that takes Apple into the health insurance market, using Apple Watch data to personalise premiums and reward healthy behaviour.</w:t>
      </w:r>
    </w:p>
    <w:p w14:paraId="6970F63D" w14:textId="77777777" w:rsidR="00C71D17" w:rsidRPr="00C71D17" w:rsidRDefault="00C71D17" w:rsidP="00653B75">
      <w:pPr>
        <w:spacing w:line="360" w:lineRule="auto"/>
        <w:jc w:val="both"/>
        <w:rPr>
          <w:rFonts w:ascii="Arial" w:hAnsi="Arial" w:cs="Arial"/>
          <w:b/>
          <w:bCs/>
          <w:lang w:val="en-US"/>
        </w:rPr>
      </w:pPr>
    </w:p>
    <w:p w14:paraId="6DBD5CDC" w14:textId="1D842888" w:rsidR="00C71D17" w:rsidRDefault="00C71D17" w:rsidP="00653B75">
      <w:pPr>
        <w:pStyle w:val="ListParagraph"/>
        <w:numPr>
          <w:ilvl w:val="1"/>
          <w:numId w:val="17"/>
        </w:numPr>
        <w:spacing w:line="360" w:lineRule="auto"/>
        <w:jc w:val="both"/>
        <w:rPr>
          <w:rFonts w:ascii="Arial" w:hAnsi="Arial" w:cs="Arial"/>
          <w:b/>
          <w:bCs/>
          <w:lang w:val="en-US"/>
        </w:rPr>
      </w:pPr>
      <w:r w:rsidRPr="00C71D17">
        <w:rPr>
          <w:rFonts w:ascii="Arial" w:hAnsi="Arial" w:cs="Arial"/>
          <w:b/>
          <w:bCs/>
          <w:lang w:val="en-US"/>
        </w:rPr>
        <w:t>Brand Extension</w:t>
      </w:r>
    </w:p>
    <w:p w14:paraId="3239031C" w14:textId="77777777" w:rsidR="00C71D17" w:rsidRPr="00C71D17" w:rsidRDefault="00C71D17" w:rsidP="00653B75">
      <w:pPr>
        <w:spacing w:line="276" w:lineRule="auto"/>
        <w:jc w:val="both"/>
        <w:rPr>
          <w:rFonts w:ascii="Arial" w:eastAsia="Calibri" w:hAnsi="Arial" w:cs="Arial"/>
          <w:color w:val="1C2833"/>
          <w:kern w:val="24"/>
          <w:lang w:val="en-US"/>
          <w14:ligatures w14:val="none"/>
        </w:rPr>
      </w:pPr>
      <w:r w:rsidRPr="00C71D17">
        <w:rPr>
          <w:rFonts w:ascii="Arial" w:eastAsia="Calibri" w:hAnsi="Arial" w:cs="Arial"/>
          <w:color w:val="1C2833"/>
          <w:kern w:val="24"/>
          <w:lang w:val="en-US"/>
        </w:rPr>
        <w:t>Apple Inc. (founded 1976) is a global tech leader valued at over $3 trillion. Health Guard uses biometric data from Apple Watch  heart rate, ECG, sleep  to offer dynamic insurance premiums. Healthier habits mean lower costs for the customer (Kotler et al., 2024).</w:t>
      </w:r>
    </w:p>
    <w:p w14:paraId="05427B9E" w14:textId="77777777" w:rsidR="00C71D17" w:rsidRPr="00C71D17" w:rsidRDefault="00C71D17" w:rsidP="00653B75">
      <w:pPr>
        <w:spacing w:line="360" w:lineRule="auto"/>
        <w:jc w:val="both"/>
        <w:rPr>
          <w:rFonts w:ascii="Arial" w:hAnsi="Arial" w:cs="Arial"/>
          <w:b/>
          <w:bCs/>
          <w:lang w:val="en-US"/>
        </w:rPr>
      </w:pPr>
    </w:p>
    <w:p w14:paraId="14A0451B" w14:textId="72139F94" w:rsidR="00C71D17" w:rsidRDefault="00C71D17" w:rsidP="00653B75">
      <w:pPr>
        <w:pStyle w:val="ListParagraph"/>
        <w:numPr>
          <w:ilvl w:val="1"/>
          <w:numId w:val="17"/>
        </w:numPr>
        <w:spacing w:line="360" w:lineRule="auto"/>
        <w:jc w:val="both"/>
        <w:rPr>
          <w:rFonts w:ascii="Arial" w:hAnsi="Arial" w:cs="Arial"/>
          <w:b/>
          <w:bCs/>
          <w:lang w:val="en-US"/>
        </w:rPr>
      </w:pPr>
      <w:r w:rsidRPr="00C71D17">
        <w:rPr>
          <w:rFonts w:ascii="Arial" w:hAnsi="Arial" w:cs="Arial"/>
          <w:b/>
          <w:bCs/>
          <w:lang w:val="en-US"/>
        </w:rPr>
        <w:t>Current Trends</w:t>
      </w:r>
    </w:p>
    <w:p w14:paraId="6F3E458E" w14:textId="77777777" w:rsidR="00C71D17" w:rsidRPr="00C71D17" w:rsidRDefault="00C71D17" w:rsidP="00653B75">
      <w:pPr>
        <w:spacing w:line="276" w:lineRule="auto"/>
        <w:jc w:val="both"/>
        <w:rPr>
          <w:rFonts w:ascii="Arial" w:hAnsi="Arial" w:cs="Arial"/>
          <w:color w:val="000000" w:themeColor="text1"/>
          <w:kern w:val="24"/>
          <w:lang w:val="en-US"/>
          <w14:ligatures w14:val="none"/>
        </w:rPr>
      </w:pPr>
      <w:r w:rsidRPr="00C71D17">
        <w:rPr>
          <w:rFonts w:ascii="Arial" w:hAnsi="Arial" w:cs="Arial"/>
          <w:color w:val="000000" w:themeColor="text1"/>
          <w:kern w:val="24"/>
          <w:lang w:val="en-US"/>
        </w:rPr>
        <w:t>The digital health market a projected to reach $650 billion by 2030. consumers especially younger generations want transparent, tech enabled insurance. With  550 million+ apple watch users already tracking  health daily the audience and infrastructure are ready.</w:t>
      </w:r>
    </w:p>
    <w:p w14:paraId="394857CD" w14:textId="77777777" w:rsidR="00C71D17" w:rsidRPr="00C71D17" w:rsidRDefault="00C71D17" w:rsidP="00653B75">
      <w:pPr>
        <w:spacing w:line="360" w:lineRule="auto"/>
        <w:jc w:val="both"/>
        <w:rPr>
          <w:rFonts w:ascii="Arial" w:hAnsi="Arial" w:cs="Arial"/>
          <w:b/>
          <w:bCs/>
          <w:lang w:val="en-US"/>
        </w:rPr>
      </w:pPr>
    </w:p>
    <w:p w14:paraId="145D07D6" w14:textId="5A927888" w:rsidR="00941B3C" w:rsidRPr="00941B3C" w:rsidRDefault="00C71D17" w:rsidP="00653B75">
      <w:pPr>
        <w:pStyle w:val="ListParagraph"/>
        <w:numPr>
          <w:ilvl w:val="1"/>
          <w:numId w:val="17"/>
        </w:numPr>
        <w:jc w:val="both"/>
        <w:rPr>
          <w:rFonts w:ascii="Arial" w:hAnsi="Arial" w:cs="Arial"/>
          <w:b/>
          <w:bCs/>
          <w:lang w:val="en-US"/>
        </w:rPr>
      </w:pPr>
      <w:r w:rsidRPr="00941B3C">
        <w:rPr>
          <w:rFonts w:ascii="Arial" w:hAnsi="Arial" w:cs="Arial"/>
          <w:b/>
          <w:bCs/>
          <w:lang w:val="en-US"/>
        </w:rPr>
        <w:t>Sustainbility</w:t>
      </w:r>
    </w:p>
    <w:p w14:paraId="6A324A0D" w14:textId="77777777" w:rsidR="00941B3C" w:rsidRDefault="00941B3C" w:rsidP="00653B75">
      <w:pPr>
        <w:jc w:val="both"/>
        <w:rPr>
          <w:rFonts w:ascii="Arial" w:hAnsi="Arial" w:cs="Arial"/>
          <w:b/>
          <w:bCs/>
          <w:lang w:val="en-US"/>
        </w:rPr>
      </w:pPr>
    </w:p>
    <w:p w14:paraId="71E52FD2" w14:textId="4026E321" w:rsidR="00941B3C" w:rsidRPr="00941B3C" w:rsidRDefault="00941B3C" w:rsidP="00653B75">
      <w:pPr>
        <w:spacing w:line="276" w:lineRule="auto"/>
        <w:jc w:val="both"/>
        <w:rPr>
          <w:rFonts w:ascii="Arial" w:hAnsi="Arial" w:cs="Arial"/>
          <w:color w:val="000000" w:themeColor="text1"/>
          <w:kern w:val="24"/>
          <w:lang w:val="en-US"/>
          <w14:ligatures w14:val="none"/>
        </w:rPr>
      </w:pPr>
      <w:r w:rsidRPr="00941B3C">
        <w:rPr>
          <w:rFonts w:ascii="Arial" w:hAnsi="Arial" w:cs="Arial"/>
          <w:color w:val="000000" w:themeColor="text1"/>
          <w:kern w:val="24"/>
          <w:lang w:val="en-US"/>
        </w:rPr>
        <w:t>Apple commits full carbon neutrality by 2030 so Health Guard runs on clean infrastructure from launch. The preventive model reduces unnecessary hospital admissions, supporting UN SGG 3 . On device data processing  upholds user privacy a core ethical differentiator.</w:t>
      </w:r>
    </w:p>
    <w:p w14:paraId="3C033644" w14:textId="2EE44E25" w:rsidR="00F633B3" w:rsidRPr="00941B3C" w:rsidRDefault="00C71D17" w:rsidP="00653B75">
      <w:pPr>
        <w:spacing w:line="276" w:lineRule="auto"/>
        <w:jc w:val="both"/>
        <w:rPr>
          <w:rFonts w:ascii="Arial" w:hAnsi="Arial" w:cs="Arial"/>
          <w:b/>
          <w:bCs/>
          <w:lang w:val="en-US"/>
        </w:rPr>
      </w:pPr>
      <w:r w:rsidRPr="00941B3C">
        <w:rPr>
          <w:rFonts w:ascii="Arial" w:hAnsi="Arial" w:cs="Arial"/>
          <w:b/>
          <w:bCs/>
          <w:lang w:val="en-US"/>
        </w:rPr>
        <w:br w:type="page"/>
      </w:r>
    </w:p>
    <w:p w14:paraId="56CEFF37" w14:textId="77777777" w:rsidR="00941B3C" w:rsidRPr="00941B3C" w:rsidRDefault="00941B3C" w:rsidP="00653B75">
      <w:pPr>
        <w:jc w:val="both"/>
        <w:rPr>
          <w:rFonts w:ascii="Arial" w:hAnsi="Arial" w:cs="Arial"/>
          <w:b/>
          <w:bCs/>
          <w:lang w:val="en-US"/>
        </w:rPr>
      </w:pPr>
    </w:p>
    <w:p w14:paraId="4E7A4DBB" w14:textId="07969D2A" w:rsidR="00F633B3" w:rsidRDefault="00F633B3" w:rsidP="00653B75">
      <w:pPr>
        <w:spacing w:line="360" w:lineRule="auto"/>
        <w:jc w:val="both"/>
        <w:rPr>
          <w:rFonts w:ascii="Arial" w:hAnsi="Arial" w:cs="Arial"/>
          <w:b/>
          <w:bCs/>
          <w:color w:val="040C28"/>
          <w:u w:val="single"/>
        </w:rPr>
      </w:pPr>
      <w:bookmarkStart w:id="2" w:name="OLE_LINK2"/>
      <w:bookmarkStart w:id="3" w:name="OLE_LINK5"/>
      <w:r w:rsidRPr="00F633B3">
        <w:rPr>
          <w:rFonts w:ascii="Arial" w:hAnsi="Arial" w:cs="Arial"/>
          <w:b/>
          <w:bCs/>
          <w:color w:val="040C28"/>
          <w:u w:val="single"/>
        </w:rPr>
        <w:t>Element 2 : Segmentation , Targeting , Differentiation and Positioning ( STDP ) analysis</w:t>
      </w:r>
    </w:p>
    <w:p w14:paraId="35613B54" w14:textId="77777777" w:rsidR="00290345" w:rsidRDefault="00290345" w:rsidP="00653B75">
      <w:pPr>
        <w:spacing w:line="360" w:lineRule="auto"/>
        <w:jc w:val="both"/>
        <w:rPr>
          <w:rFonts w:ascii="Arial" w:hAnsi="Arial" w:cs="Arial"/>
          <w:b/>
          <w:bCs/>
          <w:color w:val="040C28"/>
          <w:u w:val="single"/>
        </w:rPr>
      </w:pPr>
    </w:p>
    <w:p w14:paraId="6CF344DD" w14:textId="3817FED1" w:rsidR="00290345" w:rsidRDefault="00290345" w:rsidP="00653B75">
      <w:pPr>
        <w:spacing w:line="360" w:lineRule="auto"/>
        <w:jc w:val="both"/>
        <w:rPr>
          <w:rFonts w:ascii="Arial" w:hAnsi="Arial" w:cs="Arial"/>
          <w:b/>
          <w:bCs/>
          <w:color w:val="040C28"/>
        </w:rPr>
      </w:pPr>
      <w:r w:rsidRPr="00290345">
        <w:rPr>
          <w:rFonts w:ascii="Arial" w:hAnsi="Arial" w:cs="Arial"/>
          <w:b/>
          <w:bCs/>
          <w:color w:val="040C28"/>
        </w:rPr>
        <w:t xml:space="preserve">2.1  Segmentation </w:t>
      </w:r>
      <w:r>
        <w:rPr>
          <w:rFonts w:ascii="Arial" w:hAnsi="Arial" w:cs="Arial"/>
          <w:b/>
          <w:bCs/>
          <w:color w:val="040C28"/>
        </w:rPr>
        <w:t>:</w:t>
      </w:r>
    </w:p>
    <w:p w14:paraId="6FAC1F5E" w14:textId="0B97785D" w:rsidR="00290345" w:rsidRDefault="00290345" w:rsidP="00653B75">
      <w:pPr>
        <w:spacing w:line="276" w:lineRule="auto"/>
        <w:jc w:val="both"/>
        <w:rPr>
          <w:rFonts w:ascii="Arial" w:hAnsi="Arial" w:cs="Arial"/>
          <w:color w:val="040C28"/>
        </w:rPr>
      </w:pPr>
      <w:r>
        <w:rPr>
          <w:rFonts w:ascii="Arial" w:hAnsi="Arial" w:cs="Arial"/>
          <w:color w:val="040C28"/>
        </w:rPr>
        <w:t>Market segmentation divides a broad consumer market  into sub groups based on shared characteristics.</w:t>
      </w:r>
    </w:p>
    <w:p w14:paraId="39B6B840" w14:textId="77777777" w:rsidR="00290345" w:rsidRDefault="00290345" w:rsidP="00653B75">
      <w:pPr>
        <w:spacing w:line="360" w:lineRule="auto"/>
        <w:jc w:val="both"/>
        <w:rPr>
          <w:rFonts w:ascii="Arial" w:hAnsi="Arial" w:cs="Arial"/>
          <w:color w:val="040C28"/>
        </w:rPr>
      </w:pPr>
    </w:p>
    <w:tbl>
      <w:tblPr>
        <w:tblStyle w:val="GridTable1Light-Accent1"/>
        <w:tblW w:w="9634" w:type="dxa"/>
        <w:tblLook w:val="04A0" w:firstRow="1" w:lastRow="0" w:firstColumn="1" w:lastColumn="0" w:noHBand="0" w:noVBand="1"/>
      </w:tblPr>
      <w:tblGrid>
        <w:gridCol w:w="1838"/>
        <w:gridCol w:w="2693"/>
        <w:gridCol w:w="5103"/>
      </w:tblGrid>
      <w:tr w:rsidR="00290345" w14:paraId="6B2C2C62" w14:textId="77777777" w:rsidTr="004409D6">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38" w:type="dxa"/>
          </w:tcPr>
          <w:p w14:paraId="058D1F7B" w14:textId="426433AA" w:rsidR="00290345" w:rsidRPr="00290345" w:rsidRDefault="00290345" w:rsidP="00653B75">
            <w:pPr>
              <w:spacing w:line="360" w:lineRule="auto"/>
              <w:jc w:val="both"/>
              <w:rPr>
                <w:rFonts w:ascii="Arial" w:hAnsi="Arial" w:cs="Arial"/>
                <w:color w:val="040C28"/>
              </w:rPr>
            </w:pPr>
            <w:r w:rsidRPr="00290345">
              <w:rPr>
                <w:rFonts w:ascii="Arial" w:hAnsi="Arial" w:cs="Arial"/>
                <w:color w:val="040C28"/>
              </w:rPr>
              <w:t>Variable</w:t>
            </w:r>
          </w:p>
        </w:tc>
        <w:tc>
          <w:tcPr>
            <w:tcW w:w="2693" w:type="dxa"/>
          </w:tcPr>
          <w:p w14:paraId="11FD7772" w14:textId="77477145" w:rsidR="00290345" w:rsidRDefault="00290345" w:rsidP="00653B75">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color w:val="040C28"/>
              </w:rPr>
            </w:pPr>
            <w:r>
              <w:rPr>
                <w:rFonts w:ascii="Arial" w:hAnsi="Arial" w:cs="Arial"/>
                <w:color w:val="040C28"/>
              </w:rPr>
              <w:t>Basis</w:t>
            </w:r>
          </w:p>
        </w:tc>
        <w:tc>
          <w:tcPr>
            <w:tcW w:w="5103" w:type="dxa"/>
          </w:tcPr>
          <w:p w14:paraId="43DC0803" w14:textId="0AD1537D" w:rsidR="00290345" w:rsidRDefault="00290345" w:rsidP="00653B75">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color w:val="040C28"/>
              </w:rPr>
            </w:pPr>
            <w:r>
              <w:rPr>
                <w:rFonts w:ascii="Arial" w:hAnsi="Arial" w:cs="Arial"/>
                <w:color w:val="040C28"/>
              </w:rPr>
              <w:t>Target segment</w:t>
            </w:r>
          </w:p>
        </w:tc>
      </w:tr>
      <w:tr w:rsidR="00290345" w14:paraId="59D75EF0" w14:textId="77777777" w:rsidTr="004409D6">
        <w:tc>
          <w:tcPr>
            <w:cnfStyle w:val="001000000000" w:firstRow="0" w:lastRow="0" w:firstColumn="1" w:lastColumn="0" w:oddVBand="0" w:evenVBand="0" w:oddHBand="0" w:evenHBand="0" w:firstRowFirstColumn="0" w:firstRowLastColumn="0" w:lastRowFirstColumn="0" w:lastRowLastColumn="0"/>
            <w:tcW w:w="1838" w:type="dxa"/>
          </w:tcPr>
          <w:p w14:paraId="18AFAEE1" w14:textId="1B7C99C9" w:rsidR="00290345" w:rsidRPr="00290345" w:rsidRDefault="00290345" w:rsidP="00653B75">
            <w:pPr>
              <w:spacing w:line="276" w:lineRule="auto"/>
              <w:jc w:val="both"/>
              <w:rPr>
                <w:rFonts w:ascii="Arial" w:hAnsi="Arial" w:cs="Arial"/>
                <w:b w:val="0"/>
                <w:bCs w:val="0"/>
                <w:color w:val="040C28"/>
              </w:rPr>
            </w:pPr>
            <w:r w:rsidRPr="00290345">
              <w:rPr>
                <w:rFonts w:ascii="Arial" w:hAnsi="Arial" w:cs="Arial"/>
                <w:b w:val="0"/>
                <w:bCs w:val="0"/>
                <w:color w:val="040C28"/>
              </w:rPr>
              <w:t>Geographic</w:t>
            </w:r>
          </w:p>
        </w:tc>
        <w:tc>
          <w:tcPr>
            <w:tcW w:w="2693" w:type="dxa"/>
          </w:tcPr>
          <w:p w14:paraId="26D4AA35" w14:textId="4CF1327E" w:rsidR="00290345" w:rsidRPr="00290345" w:rsidRDefault="00290345" w:rsidP="00653B75">
            <w:pPr>
              <w:spacing w:line="276"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color w:val="040C28"/>
              </w:rPr>
            </w:pPr>
            <w:r>
              <w:rPr>
                <w:rFonts w:ascii="Arial" w:hAnsi="Arial" w:cs="Arial"/>
                <w:color w:val="040C28"/>
              </w:rPr>
              <w:t>Country , urban density , healthcare system type</w:t>
            </w:r>
          </w:p>
        </w:tc>
        <w:tc>
          <w:tcPr>
            <w:tcW w:w="5103" w:type="dxa"/>
          </w:tcPr>
          <w:p w14:paraId="47927D22" w14:textId="36F23AAC" w:rsidR="00290345" w:rsidRPr="00290345" w:rsidRDefault="00290345" w:rsidP="00653B75">
            <w:pPr>
              <w:spacing w:line="276"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color w:val="040C28"/>
              </w:rPr>
            </w:pPr>
            <w:r>
              <w:rPr>
                <w:rFonts w:ascii="Arial" w:hAnsi="Arial" w:cs="Arial"/>
                <w:color w:val="040C28"/>
              </w:rPr>
              <w:t>Uk</w:t>
            </w:r>
            <w:r w:rsidR="00CB2412">
              <w:rPr>
                <w:rFonts w:ascii="Arial" w:hAnsi="Arial" w:cs="Arial"/>
                <w:color w:val="040C28"/>
              </w:rPr>
              <w:t xml:space="preserve">, US,  Australia, Germany, Urban / suburban </w:t>
            </w:r>
            <w:r w:rsidR="0055413B">
              <w:rPr>
                <w:rFonts w:ascii="Arial" w:hAnsi="Arial" w:cs="Arial"/>
                <w:color w:val="040C28"/>
              </w:rPr>
              <w:t>,</w:t>
            </w:r>
            <w:r w:rsidR="00CB2412">
              <w:rPr>
                <w:rFonts w:ascii="Arial" w:hAnsi="Arial" w:cs="Arial"/>
                <w:color w:val="040C28"/>
              </w:rPr>
              <w:t xml:space="preserve"> high smartphone penetration , established private insurance frame works.</w:t>
            </w:r>
          </w:p>
        </w:tc>
      </w:tr>
      <w:tr w:rsidR="00290345" w14:paraId="00E08928" w14:textId="77777777" w:rsidTr="004409D6">
        <w:tc>
          <w:tcPr>
            <w:cnfStyle w:val="001000000000" w:firstRow="0" w:lastRow="0" w:firstColumn="1" w:lastColumn="0" w:oddVBand="0" w:evenVBand="0" w:oddHBand="0" w:evenHBand="0" w:firstRowFirstColumn="0" w:firstRowLastColumn="0" w:lastRowFirstColumn="0" w:lastRowLastColumn="0"/>
            <w:tcW w:w="1838" w:type="dxa"/>
          </w:tcPr>
          <w:p w14:paraId="3661F202" w14:textId="1624706A" w:rsidR="00290345" w:rsidRPr="00290345" w:rsidRDefault="00290345" w:rsidP="00653B75">
            <w:pPr>
              <w:spacing w:line="276" w:lineRule="auto"/>
              <w:jc w:val="both"/>
              <w:rPr>
                <w:rFonts w:ascii="Arial" w:hAnsi="Arial" w:cs="Arial"/>
                <w:b w:val="0"/>
                <w:bCs w:val="0"/>
                <w:color w:val="040C28"/>
              </w:rPr>
            </w:pPr>
            <w:r w:rsidRPr="00290345">
              <w:rPr>
                <w:rFonts w:ascii="Arial" w:hAnsi="Arial" w:cs="Arial"/>
                <w:b w:val="0"/>
                <w:bCs w:val="0"/>
                <w:color w:val="040C28"/>
              </w:rPr>
              <w:t>Demographic</w:t>
            </w:r>
          </w:p>
        </w:tc>
        <w:tc>
          <w:tcPr>
            <w:tcW w:w="2693" w:type="dxa"/>
          </w:tcPr>
          <w:p w14:paraId="668E01E1" w14:textId="0BE3CD41" w:rsidR="00290345" w:rsidRPr="00290345" w:rsidRDefault="00CB2412" w:rsidP="00653B75">
            <w:pPr>
              <w:spacing w:line="276"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color w:val="040C28"/>
              </w:rPr>
            </w:pPr>
            <w:r>
              <w:rPr>
                <w:rFonts w:ascii="Arial" w:hAnsi="Arial" w:cs="Arial"/>
                <w:color w:val="040C28"/>
              </w:rPr>
              <w:t>Age , income , occupation , life stage</w:t>
            </w:r>
          </w:p>
        </w:tc>
        <w:tc>
          <w:tcPr>
            <w:tcW w:w="5103" w:type="dxa"/>
          </w:tcPr>
          <w:p w14:paraId="70EAF5B1" w14:textId="35FE0FBE" w:rsidR="00290345" w:rsidRPr="00290345" w:rsidRDefault="00CB2412" w:rsidP="00653B75">
            <w:pPr>
              <w:spacing w:line="276"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color w:val="040C28"/>
              </w:rPr>
            </w:pPr>
            <w:r>
              <w:rPr>
                <w:rFonts w:ascii="Arial" w:hAnsi="Arial" w:cs="Arial"/>
                <w:color w:val="040C28"/>
              </w:rPr>
              <w:t xml:space="preserve">Age 25-45 </w:t>
            </w:r>
            <w:r w:rsidR="0055413B">
              <w:rPr>
                <w:rFonts w:ascii="Arial" w:hAnsi="Arial" w:cs="Arial"/>
                <w:color w:val="040C28"/>
              </w:rPr>
              <w:t>,</w:t>
            </w:r>
            <w:r>
              <w:rPr>
                <w:rFonts w:ascii="Arial" w:hAnsi="Arial" w:cs="Arial"/>
                <w:color w:val="040C28"/>
              </w:rPr>
              <w:t xml:space="preserve"> middle to upper income </w:t>
            </w:r>
            <w:r w:rsidR="0055413B">
              <w:rPr>
                <w:rFonts w:ascii="Arial" w:hAnsi="Arial" w:cs="Arial"/>
                <w:color w:val="040C28"/>
              </w:rPr>
              <w:t xml:space="preserve">, </w:t>
            </w:r>
            <w:r>
              <w:rPr>
                <w:rFonts w:ascii="Arial" w:hAnsi="Arial" w:cs="Arial"/>
                <w:color w:val="040C28"/>
              </w:rPr>
              <w:t xml:space="preserve">full-time / self-employed </w:t>
            </w:r>
            <w:r w:rsidR="0055413B">
              <w:rPr>
                <w:rFonts w:ascii="Arial" w:hAnsi="Arial" w:cs="Arial"/>
                <w:color w:val="040C28"/>
              </w:rPr>
              <w:t>,</w:t>
            </w:r>
            <w:r>
              <w:rPr>
                <w:rFonts w:ascii="Arial" w:hAnsi="Arial" w:cs="Arial"/>
                <w:color w:val="040C28"/>
              </w:rPr>
              <w:t xml:space="preserve"> high technology literacy.</w:t>
            </w:r>
          </w:p>
        </w:tc>
      </w:tr>
      <w:tr w:rsidR="00290345" w14:paraId="0D9E748D" w14:textId="77777777" w:rsidTr="004409D6">
        <w:tc>
          <w:tcPr>
            <w:cnfStyle w:val="001000000000" w:firstRow="0" w:lastRow="0" w:firstColumn="1" w:lastColumn="0" w:oddVBand="0" w:evenVBand="0" w:oddHBand="0" w:evenHBand="0" w:firstRowFirstColumn="0" w:firstRowLastColumn="0" w:lastRowFirstColumn="0" w:lastRowLastColumn="0"/>
            <w:tcW w:w="1838" w:type="dxa"/>
          </w:tcPr>
          <w:p w14:paraId="40FA6EC4" w14:textId="0EF9556C" w:rsidR="00290345" w:rsidRPr="00290345" w:rsidRDefault="00290345" w:rsidP="00653B75">
            <w:pPr>
              <w:spacing w:line="276" w:lineRule="auto"/>
              <w:jc w:val="both"/>
              <w:rPr>
                <w:rFonts w:ascii="Arial" w:hAnsi="Arial" w:cs="Arial"/>
                <w:b w:val="0"/>
                <w:bCs w:val="0"/>
                <w:color w:val="040C28"/>
              </w:rPr>
            </w:pPr>
            <w:r w:rsidRPr="00290345">
              <w:rPr>
                <w:rFonts w:ascii="Arial" w:hAnsi="Arial" w:cs="Arial"/>
                <w:b w:val="0"/>
                <w:bCs w:val="0"/>
                <w:color w:val="040C28"/>
              </w:rPr>
              <w:t>Psychographic</w:t>
            </w:r>
          </w:p>
        </w:tc>
        <w:tc>
          <w:tcPr>
            <w:tcW w:w="2693" w:type="dxa"/>
          </w:tcPr>
          <w:p w14:paraId="627827A0" w14:textId="77CB2645" w:rsidR="00290345" w:rsidRPr="00290345" w:rsidRDefault="00CB2412" w:rsidP="00653B75">
            <w:pPr>
              <w:spacing w:line="276"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color w:val="040C28"/>
              </w:rPr>
            </w:pPr>
            <w:r>
              <w:rPr>
                <w:rFonts w:ascii="Arial" w:hAnsi="Arial" w:cs="Arial"/>
                <w:color w:val="040C28"/>
              </w:rPr>
              <w:t>Lifestyle , values , tech attitudes</w:t>
            </w:r>
          </w:p>
        </w:tc>
        <w:tc>
          <w:tcPr>
            <w:tcW w:w="5103" w:type="dxa"/>
          </w:tcPr>
          <w:p w14:paraId="369502F0" w14:textId="7B5880A8" w:rsidR="00290345" w:rsidRPr="00290345" w:rsidRDefault="00CB2412" w:rsidP="00653B75">
            <w:pPr>
              <w:spacing w:line="276"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color w:val="040C28"/>
              </w:rPr>
            </w:pPr>
            <w:r>
              <w:rPr>
                <w:rFonts w:ascii="Arial" w:hAnsi="Arial" w:cs="Arial"/>
                <w:color w:val="040C28"/>
              </w:rPr>
              <w:t xml:space="preserve">Proactive wellness seeker </w:t>
            </w:r>
            <w:r w:rsidR="0055413B">
              <w:rPr>
                <w:rFonts w:ascii="Arial" w:hAnsi="Arial" w:cs="Arial"/>
                <w:color w:val="040C28"/>
              </w:rPr>
              <w:t>,</w:t>
            </w:r>
            <w:r>
              <w:rPr>
                <w:rFonts w:ascii="Arial" w:hAnsi="Arial" w:cs="Arial"/>
                <w:color w:val="040C28"/>
              </w:rPr>
              <w:t xml:space="preserve"> tech forward professional </w:t>
            </w:r>
            <w:r w:rsidR="0055413B">
              <w:rPr>
                <w:rFonts w:ascii="Arial" w:hAnsi="Arial" w:cs="Arial"/>
                <w:color w:val="040C28"/>
              </w:rPr>
              <w:t>,</w:t>
            </w:r>
            <w:r>
              <w:rPr>
                <w:rFonts w:ascii="Arial" w:hAnsi="Arial" w:cs="Arial"/>
                <w:color w:val="040C28"/>
              </w:rPr>
              <w:t xml:space="preserve"> value conscious health investor.</w:t>
            </w:r>
          </w:p>
        </w:tc>
      </w:tr>
      <w:tr w:rsidR="00290345" w14:paraId="50973DB7" w14:textId="77777777" w:rsidTr="004409D6">
        <w:tc>
          <w:tcPr>
            <w:cnfStyle w:val="001000000000" w:firstRow="0" w:lastRow="0" w:firstColumn="1" w:lastColumn="0" w:oddVBand="0" w:evenVBand="0" w:oddHBand="0" w:evenHBand="0" w:firstRowFirstColumn="0" w:firstRowLastColumn="0" w:lastRowFirstColumn="0" w:lastRowLastColumn="0"/>
            <w:tcW w:w="1838" w:type="dxa"/>
          </w:tcPr>
          <w:p w14:paraId="12EA0404" w14:textId="0E4ECB95" w:rsidR="00290345" w:rsidRPr="00290345" w:rsidRDefault="00290345" w:rsidP="00653B75">
            <w:pPr>
              <w:spacing w:line="276" w:lineRule="auto"/>
              <w:jc w:val="both"/>
              <w:rPr>
                <w:rFonts w:ascii="Arial" w:hAnsi="Arial" w:cs="Arial"/>
                <w:b w:val="0"/>
                <w:bCs w:val="0"/>
                <w:color w:val="040C28"/>
              </w:rPr>
            </w:pPr>
            <w:r w:rsidRPr="00290345">
              <w:rPr>
                <w:rFonts w:ascii="Arial" w:hAnsi="Arial" w:cs="Arial"/>
                <w:b w:val="0"/>
                <w:bCs w:val="0"/>
                <w:color w:val="040C28"/>
              </w:rPr>
              <w:t>Behavioural</w:t>
            </w:r>
          </w:p>
        </w:tc>
        <w:tc>
          <w:tcPr>
            <w:tcW w:w="2693" w:type="dxa"/>
          </w:tcPr>
          <w:p w14:paraId="36A8C92C" w14:textId="4A7B374D" w:rsidR="00290345" w:rsidRPr="00290345" w:rsidRDefault="00CB2412" w:rsidP="00653B75">
            <w:pPr>
              <w:spacing w:line="276"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color w:val="040C28"/>
              </w:rPr>
            </w:pPr>
            <w:r>
              <w:rPr>
                <w:rFonts w:ascii="Arial" w:hAnsi="Arial" w:cs="Arial"/>
                <w:color w:val="040C28"/>
              </w:rPr>
              <w:t>Usage rate , brand loyalty , benefits sought</w:t>
            </w:r>
          </w:p>
        </w:tc>
        <w:tc>
          <w:tcPr>
            <w:tcW w:w="5103" w:type="dxa"/>
          </w:tcPr>
          <w:p w14:paraId="043A6DE9" w14:textId="2FE88B3D" w:rsidR="00290345" w:rsidRPr="00290345" w:rsidRDefault="00CB2412" w:rsidP="00653B75">
            <w:pPr>
              <w:spacing w:line="276"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color w:val="040C28"/>
              </w:rPr>
            </w:pPr>
            <w:r>
              <w:rPr>
                <w:rFonts w:ascii="Arial" w:hAnsi="Arial" w:cs="Arial"/>
                <w:color w:val="040C28"/>
              </w:rPr>
              <w:t xml:space="preserve">Active apple watch users </w:t>
            </w:r>
            <w:r w:rsidR="0055413B">
              <w:rPr>
                <w:rFonts w:ascii="Arial" w:hAnsi="Arial" w:cs="Arial"/>
                <w:color w:val="040C28"/>
              </w:rPr>
              <w:t>,</w:t>
            </w:r>
            <w:r>
              <w:rPr>
                <w:rFonts w:ascii="Arial" w:hAnsi="Arial" w:cs="Arial"/>
                <w:color w:val="040C28"/>
              </w:rPr>
              <w:t xml:space="preserve"> high ecosystem loyalty </w:t>
            </w:r>
            <w:r w:rsidR="0055413B">
              <w:rPr>
                <w:rFonts w:ascii="Arial" w:hAnsi="Arial" w:cs="Arial"/>
                <w:color w:val="040C28"/>
              </w:rPr>
              <w:t>,</w:t>
            </w:r>
            <w:r>
              <w:rPr>
                <w:rFonts w:ascii="Arial" w:hAnsi="Arial" w:cs="Arial"/>
                <w:color w:val="040C28"/>
              </w:rPr>
              <w:t xml:space="preserve"> health tracking behaviour.</w:t>
            </w:r>
          </w:p>
        </w:tc>
      </w:tr>
    </w:tbl>
    <w:p w14:paraId="1566EDD5" w14:textId="77777777" w:rsidR="00941B3C" w:rsidRDefault="00941B3C" w:rsidP="00653B75">
      <w:pPr>
        <w:spacing w:line="360" w:lineRule="auto"/>
        <w:jc w:val="both"/>
        <w:rPr>
          <w:rFonts w:ascii="Arial" w:hAnsi="Arial" w:cs="Arial"/>
          <w:b/>
          <w:bCs/>
          <w:color w:val="040C28"/>
        </w:rPr>
      </w:pPr>
    </w:p>
    <w:p w14:paraId="33651DE5" w14:textId="687C87E7" w:rsidR="005900B4" w:rsidRDefault="005900B4" w:rsidP="0055413B">
      <w:pPr>
        <w:spacing w:line="360" w:lineRule="auto"/>
        <w:jc w:val="center"/>
        <w:rPr>
          <w:rFonts w:ascii="Arial" w:hAnsi="Arial" w:cs="Arial"/>
          <w:b/>
          <w:bCs/>
          <w:color w:val="040C28"/>
        </w:rPr>
      </w:pPr>
      <w:r w:rsidRPr="005900B4">
        <w:rPr>
          <w:rFonts w:ascii="Arial" w:hAnsi="Arial" w:cs="Arial"/>
          <w:b/>
          <w:bCs/>
          <w:color w:val="040C28"/>
        </w:rPr>
        <w:t>Age distribution of primary target</w:t>
      </w:r>
    </w:p>
    <w:p w14:paraId="389D193A" w14:textId="2276C682" w:rsidR="00941B3C" w:rsidRDefault="00941B3C" w:rsidP="00653B75">
      <w:pPr>
        <w:spacing w:line="360" w:lineRule="auto"/>
        <w:jc w:val="both"/>
        <w:rPr>
          <w:rFonts w:ascii="Arial" w:hAnsi="Arial" w:cs="Arial"/>
          <w:b/>
          <w:bCs/>
          <w:color w:val="040C28"/>
        </w:rPr>
      </w:pPr>
    </w:p>
    <w:p w14:paraId="7733492B" w14:textId="5DF4114C" w:rsidR="001A60D0" w:rsidRDefault="00941B3C" w:rsidP="00653B75">
      <w:pPr>
        <w:spacing w:line="360" w:lineRule="auto"/>
        <w:jc w:val="both"/>
        <w:rPr>
          <w:rFonts w:ascii="Arial" w:hAnsi="Arial" w:cs="Arial"/>
          <w:b/>
          <w:bCs/>
          <w:color w:val="040C28"/>
        </w:rPr>
      </w:pPr>
      <w:r w:rsidRPr="005900B4">
        <w:rPr>
          <w:b/>
          <w:bCs/>
          <w:noProof/>
        </w:rPr>
        <w:drawing>
          <wp:anchor distT="0" distB="0" distL="114300" distR="114300" simplePos="0" relativeHeight="251658240" behindDoc="0" locked="0" layoutInCell="1" allowOverlap="1" wp14:anchorId="48A748F0" wp14:editId="562B34E3">
            <wp:simplePos x="0" y="0"/>
            <wp:positionH relativeFrom="margin">
              <wp:align>center</wp:align>
            </wp:positionH>
            <wp:positionV relativeFrom="paragraph">
              <wp:posOffset>14743</wp:posOffset>
            </wp:positionV>
            <wp:extent cx="4501515" cy="3752850"/>
            <wp:effectExtent l="0" t="0" r="13335" b="0"/>
            <wp:wrapSquare wrapText="bothSides"/>
            <wp:docPr id="1375147910" name="Chart 1">
              <a:extLst xmlns:a="http://schemas.openxmlformats.org/drawingml/2006/main">
                <a:ext uri="{FF2B5EF4-FFF2-40B4-BE49-F238E27FC236}">
                  <a16:creationId xmlns:a16="http://schemas.microsoft.com/office/drawing/2014/main" id="{9461FEC4-4B37-907F-C3D1-3810A123A96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14:sizeRelH relativeFrom="margin">
              <wp14:pctWidth>0</wp14:pctWidth>
            </wp14:sizeRelH>
            <wp14:sizeRelV relativeFrom="margin">
              <wp14:pctHeight>0</wp14:pctHeight>
            </wp14:sizeRelV>
          </wp:anchor>
        </w:drawing>
      </w:r>
    </w:p>
    <w:p w14:paraId="1C88294D" w14:textId="77777777" w:rsidR="005900B4" w:rsidRDefault="005900B4" w:rsidP="00653B75">
      <w:pPr>
        <w:spacing w:line="360" w:lineRule="auto"/>
        <w:jc w:val="both"/>
        <w:rPr>
          <w:rFonts w:ascii="Arial" w:hAnsi="Arial" w:cs="Arial"/>
          <w:b/>
          <w:bCs/>
          <w:color w:val="040C28"/>
        </w:rPr>
      </w:pPr>
    </w:p>
    <w:p w14:paraId="753E8F24" w14:textId="4938A113" w:rsidR="005900B4" w:rsidRDefault="005900B4" w:rsidP="00653B75">
      <w:pPr>
        <w:spacing w:line="360" w:lineRule="auto"/>
        <w:jc w:val="both"/>
        <w:rPr>
          <w:rFonts w:ascii="Arial" w:hAnsi="Arial" w:cs="Arial"/>
          <w:b/>
          <w:bCs/>
          <w:color w:val="040C28"/>
        </w:rPr>
      </w:pPr>
      <w:r>
        <w:rPr>
          <w:rFonts w:ascii="Arial" w:hAnsi="Arial" w:cs="Arial"/>
          <w:b/>
          <w:bCs/>
          <w:color w:val="040C28"/>
        </w:rPr>
        <w:br/>
      </w:r>
    </w:p>
    <w:p w14:paraId="02530B14" w14:textId="77777777" w:rsidR="005900B4" w:rsidRDefault="005900B4" w:rsidP="00653B75">
      <w:pPr>
        <w:spacing w:line="360" w:lineRule="auto"/>
        <w:jc w:val="both"/>
        <w:rPr>
          <w:rFonts w:ascii="Arial" w:hAnsi="Arial" w:cs="Arial"/>
          <w:b/>
          <w:bCs/>
          <w:color w:val="040C28"/>
        </w:rPr>
      </w:pPr>
    </w:p>
    <w:p w14:paraId="1A5F65ED" w14:textId="77777777" w:rsidR="005900B4" w:rsidRDefault="005900B4" w:rsidP="00653B75">
      <w:pPr>
        <w:spacing w:line="360" w:lineRule="auto"/>
        <w:jc w:val="both"/>
        <w:rPr>
          <w:rFonts w:ascii="Arial" w:hAnsi="Arial" w:cs="Arial"/>
          <w:b/>
          <w:bCs/>
          <w:color w:val="040C28"/>
        </w:rPr>
      </w:pPr>
    </w:p>
    <w:p w14:paraId="239B264E" w14:textId="77777777" w:rsidR="005900B4" w:rsidRDefault="005900B4" w:rsidP="00653B75">
      <w:pPr>
        <w:spacing w:line="360" w:lineRule="auto"/>
        <w:jc w:val="both"/>
        <w:rPr>
          <w:rFonts w:ascii="Arial" w:hAnsi="Arial" w:cs="Arial"/>
          <w:b/>
          <w:bCs/>
          <w:color w:val="040C28"/>
        </w:rPr>
      </w:pPr>
    </w:p>
    <w:p w14:paraId="6FEB7871" w14:textId="77777777" w:rsidR="005900B4" w:rsidRDefault="005900B4" w:rsidP="00653B75">
      <w:pPr>
        <w:spacing w:line="360" w:lineRule="auto"/>
        <w:jc w:val="both"/>
        <w:rPr>
          <w:rFonts w:ascii="Arial" w:hAnsi="Arial" w:cs="Arial"/>
          <w:b/>
          <w:bCs/>
          <w:color w:val="040C28"/>
        </w:rPr>
      </w:pPr>
    </w:p>
    <w:p w14:paraId="23CA52E1" w14:textId="77777777" w:rsidR="005900B4" w:rsidRDefault="005900B4" w:rsidP="00653B75">
      <w:pPr>
        <w:spacing w:line="360" w:lineRule="auto"/>
        <w:jc w:val="both"/>
        <w:rPr>
          <w:rFonts w:ascii="Arial" w:hAnsi="Arial" w:cs="Arial"/>
          <w:b/>
          <w:bCs/>
          <w:color w:val="040C28"/>
        </w:rPr>
      </w:pPr>
    </w:p>
    <w:p w14:paraId="08FB4555" w14:textId="77777777" w:rsidR="005900B4" w:rsidRDefault="005900B4" w:rsidP="00653B75">
      <w:pPr>
        <w:spacing w:line="360" w:lineRule="auto"/>
        <w:jc w:val="both"/>
        <w:rPr>
          <w:rFonts w:ascii="Arial" w:hAnsi="Arial" w:cs="Arial"/>
          <w:b/>
          <w:bCs/>
          <w:color w:val="040C28"/>
        </w:rPr>
      </w:pPr>
    </w:p>
    <w:p w14:paraId="4435319A" w14:textId="77777777" w:rsidR="005900B4" w:rsidRDefault="005900B4" w:rsidP="00653B75">
      <w:pPr>
        <w:spacing w:line="360" w:lineRule="auto"/>
        <w:jc w:val="both"/>
        <w:rPr>
          <w:rFonts w:ascii="Arial" w:hAnsi="Arial" w:cs="Arial"/>
          <w:b/>
          <w:bCs/>
          <w:color w:val="040C28"/>
        </w:rPr>
      </w:pPr>
    </w:p>
    <w:p w14:paraId="13BB1F48" w14:textId="77777777" w:rsidR="0062280B" w:rsidRDefault="0062280B" w:rsidP="00653B75">
      <w:pPr>
        <w:spacing w:line="360" w:lineRule="auto"/>
        <w:jc w:val="both"/>
        <w:rPr>
          <w:rFonts w:ascii="Arial" w:hAnsi="Arial" w:cs="Arial"/>
          <w:b/>
          <w:bCs/>
          <w:color w:val="040C28"/>
        </w:rPr>
      </w:pPr>
    </w:p>
    <w:p w14:paraId="08BE24C6" w14:textId="77777777" w:rsidR="007E3DB3" w:rsidRDefault="007E3DB3" w:rsidP="00653B75">
      <w:pPr>
        <w:spacing w:line="360" w:lineRule="auto"/>
        <w:jc w:val="both"/>
        <w:rPr>
          <w:rFonts w:ascii="Arial" w:hAnsi="Arial" w:cs="Arial"/>
          <w:b/>
          <w:bCs/>
          <w:color w:val="040C28"/>
        </w:rPr>
      </w:pPr>
    </w:p>
    <w:p w14:paraId="5F285B0D" w14:textId="056C4668" w:rsidR="007E3DB3" w:rsidRDefault="007E3DB3" w:rsidP="00653B75">
      <w:pPr>
        <w:spacing w:line="360" w:lineRule="auto"/>
        <w:jc w:val="both"/>
        <w:rPr>
          <w:rFonts w:ascii="Arial" w:hAnsi="Arial" w:cs="Arial"/>
          <w:b/>
          <w:bCs/>
          <w:color w:val="040C28"/>
        </w:rPr>
      </w:pPr>
    </w:p>
    <w:p w14:paraId="38E8AF7C" w14:textId="51A0EB68" w:rsidR="0055413B" w:rsidRDefault="0055413B" w:rsidP="00653B75">
      <w:pPr>
        <w:spacing w:line="360" w:lineRule="auto"/>
        <w:jc w:val="both"/>
        <w:rPr>
          <w:rFonts w:ascii="Arial" w:hAnsi="Arial" w:cs="Arial"/>
          <w:b/>
          <w:bCs/>
          <w:color w:val="040C28"/>
        </w:rPr>
      </w:pPr>
    </w:p>
    <w:p w14:paraId="2573D9F0" w14:textId="77777777" w:rsidR="0055413B" w:rsidRDefault="0055413B" w:rsidP="00653B75">
      <w:pPr>
        <w:spacing w:line="360" w:lineRule="auto"/>
        <w:jc w:val="both"/>
        <w:rPr>
          <w:rFonts w:ascii="Arial" w:hAnsi="Arial" w:cs="Arial"/>
          <w:b/>
          <w:bCs/>
          <w:color w:val="040C28"/>
        </w:rPr>
      </w:pPr>
    </w:p>
    <w:p w14:paraId="5969121D" w14:textId="0B21D99C" w:rsidR="00D9371D" w:rsidRDefault="00D9371D" w:rsidP="0055413B">
      <w:pPr>
        <w:spacing w:line="360" w:lineRule="auto"/>
        <w:jc w:val="center"/>
        <w:rPr>
          <w:rFonts w:ascii="Arial" w:hAnsi="Arial" w:cs="Arial"/>
          <w:b/>
          <w:bCs/>
          <w:color w:val="040C28"/>
        </w:rPr>
      </w:pPr>
      <w:r>
        <w:rPr>
          <w:rFonts w:ascii="Arial" w:hAnsi="Arial" w:cs="Arial"/>
          <w:b/>
          <w:bCs/>
          <w:color w:val="040C28"/>
        </w:rPr>
        <w:lastRenderedPageBreak/>
        <w:t>Income distribution of primary target</w:t>
      </w:r>
    </w:p>
    <w:p w14:paraId="374FA1DA" w14:textId="77777777" w:rsidR="00941B3C" w:rsidRDefault="00941B3C" w:rsidP="00653B75">
      <w:pPr>
        <w:spacing w:line="360" w:lineRule="auto"/>
        <w:jc w:val="both"/>
        <w:rPr>
          <w:rFonts w:ascii="Arial" w:hAnsi="Arial" w:cs="Arial"/>
          <w:b/>
          <w:bCs/>
          <w:color w:val="040C28"/>
        </w:rPr>
      </w:pPr>
    </w:p>
    <w:p w14:paraId="550E3279" w14:textId="1CB31D68" w:rsidR="00D9371D" w:rsidRDefault="00D9371D" w:rsidP="00653B75">
      <w:pPr>
        <w:spacing w:line="360" w:lineRule="auto"/>
        <w:jc w:val="both"/>
        <w:rPr>
          <w:rFonts w:ascii="Arial" w:hAnsi="Arial" w:cs="Arial"/>
          <w:b/>
          <w:bCs/>
          <w:color w:val="040C28"/>
        </w:rPr>
      </w:pPr>
      <w:r>
        <w:rPr>
          <w:noProof/>
        </w:rPr>
        <w:drawing>
          <wp:inline distT="0" distB="0" distL="0" distR="0" wp14:anchorId="167E1346" wp14:editId="53CAC904">
            <wp:extent cx="5080883" cy="3148717"/>
            <wp:effectExtent l="0" t="0" r="5715" b="13970"/>
            <wp:docPr id="863152050" name="Chart 1">
              <a:extLst xmlns:a="http://schemas.openxmlformats.org/drawingml/2006/main">
                <a:ext uri="{FF2B5EF4-FFF2-40B4-BE49-F238E27FC236}">
                  <a16:creationId xmlns:a16="http://schemas.microsoft.com/office/drawing/2014/main" id="{8B48E4BB-9D3B-9EE9-1340-A9621022D81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2B13DBBD" w14:textId="31F1E1C9" w:rsidR="007E3DB3" w:rsidRDefault="003B5AE8" w:rsidP="00653B75">
      <w:pPr>
        <w:spacing w:line="360" w:lineRule="auto"/>
        <w:jc w:val="both"/>
        <w:rPr>
          <w:rFonts w:ascii="Arial" w:hAnsi="Arial" w:cs="Arial"/>
          <w:i/>
          <w:iCs/>
          <w:color w:val="040C28"/>
        </w:rPr>
      </w:pPr>
      <w:r w:rsidRPr="003B5AE8">
        <w:rPr>
          <w:rFonts w:ascii="Arial" w:hAnsi="Arial" w:cs="Arial"/>
          <w:i/>
          <w:iCs/>
          <w:color w:val="040C28"/>
        </w:rPr>
        <w:t>Source: Kotler et al. (2024); Statista (2025); PwC Health Research Institute (2024)</w:t>
      </w:r>
    </w:p>
    <w:p w14:paraId="0F8D5CC9" w14:textId="3D2D45D7" w:rsidR="007E3DB3" w:rsidRDefault="007E3DB3" w:rsidP="00653B75">
      <w:pPr>
        <w:spacing w:line="360" w:lineRule="auto"/>
        <w:jc w:val="both"/>
        <w:rPr>
          <w:rFonts w:ascii="Arial" w:hAnsi="Arial" w:cs="Arial"/>
          <w:i/>
          <w:iCs/>
          <w:color w:val="040C28"/>
        </w:rPr>
      </w:pPr>
    </w:p>
    <w:p w14:paraId="0CDD1323" w14:textId="77777777" w:rsidR="007E3DB3" w:rsidRPr="003B5AE8" w:rsidRDefault="007E3DB3" w:rsidP="00653B75">
      <w:pPr>
        <w:spacing w:line="360" w:lineRule="auto"/>
        <w:jc w:val="both"/>
        <w:rPr>
          <w:rFonts w:ascii="Arial" w:hAnsi="Arial" w:cs="Arial"/>
          <w:i/>
          <w:iCs/>
          <w:color w:val="040C28"/>
        </w:rPr>
      </w:pPr>
    </w:p>
    <w:p w14:paraId="6E49DBD0" w14:textId="77032CD8" w:rsidR="005900B4" w:rsidRDefault="003B5AE8" w:rsidP="00653B75">
      <w:pPr>
        <w:spacing w:line="360" w:lineRule="auto"/>
        <w:jc w:val="both"/>
        <w:rPr>
          <w:rFonts w:ascii="Arial" w:hAnsi="Arial" w:cs="Arial"/>
          <w:b/>
          <w:bCs/>
          <w:color w:val="040C28"/>
        </w:rPr>
      </w:pPr>
      <w:bookmarkStart w:id="4" w:name="OLE_LINK1"/>
      <w:r>
        <w:rPr>
          <w:rFonts w:ascii="Arial" w:hAnsi="Arial" w:cs="Arial"/>
          <w:b/>
          <w:bCs/>
          <w:color w:val="040C28"/>
        </w:rPr>
        <w:t>2.2 Targeting :</w:t>
      </w:r>
    </w:p>
    <w:p w14:paraId="5FD2F6C8" w14:textId="171C6A8D" w:rsidR="00517E8F" w:rsidRDefault="00517E8F" w:rsidP="00653B75">
      <w:pPr>
        <w:spacing w:line="276" w:lineRule="auto"/>
        <w:jc w:val="both"/>
        <w:rPr>
          <w:rFonts w:ascii="Arial" w:hAnsi="Arial" w:cs="Arial"/>
          <w:color w:val="040C28"/>
        </w:rPr>
      </w:pPr>
      <w:r w:rsidRPr="00517E8F">
        <w:rPr>
          <w:rFonts w:ascii="Arial" w:hAnsi="Arial" w:cs="Arial"/>
          <w:color w:val="040C28"/>
        </w:rPr>
        <w:t>Apple Health Guard will focus on adopting a differentiated target approach and will focus more on targeting the 'Proactive Wellness Seeker' and 'Tech-Forward Professional' psychographic groups aged between 25 to 45 years. These customers have high connectivity through digital channels, are economically active, and are keen to purchase any product that would enhance their convenience and overall wellbeing. The Proactive Wellness Seeker targets customers who track their physical activities, diet, sleep, and other health-related aspects and would be easily attracted to insurance products based on their health behavio</w:t>
      </w:r>
      <w:r>
        <w:rPr>
          <w:rFonts w:ascii="Arial" w:hAnsi="Arial" w:cs="Arial"/>
          <w:color w:val="040C28"/>
        </w:rPr>
        <w:t>u</w:t>
      </w:r>
      <w:r w:rsidRPr="00517E8F">
        <w:rPr>
          <w:rFonts w:ascii="Arial" w:hAnsi="Arial" w:cs="Arial"/>
          <w:color w:val="040C28"/>
        </w:rPr>
        <w:t>r.</w:t>
      </w:r>
    </w:p>
    <w:p w14:paraId="4EDD33E3" w14:textId="77777777" w:rsidR="00517E8F" w:rsidRPr="00517E8F" w:rsidRDefault="00517E8F" w:rsidP="00653B75">
      <w:pPr>
        <w:spacing w:line="276" w:lineRule="auto"/>
        <w:jc w:val="both"/>
        <w:rPr>
          <w:rFonts w:ascii="Arial" w:hAnsi="Arial" w:cs="Arial"/>
          <w:color w:val="040C28"/>
        </w:rPr>
      </w:pPr>
    </w:p>
    <w:p w14:paraId="466B001A" w14:textId="3B5244A7" w:rsidR="005900B4" w:rsidRDefault="00517E8F" w:rsidP="00653B75">
      <w:pPr>
        <w:spacing w:line="276" w:lineRule="auto"/>
        <w:jc w:val="both"/>
        <w:rPr>
          <w:rFonts w:ascii="Arial" w:hAnsi="Arial" w:cs="Arial"/>
          <w:color w:val="040C28"/>
        </w:rPr>
      </w:pPr>
      <w:r w:rsidRPr="00517E8F">
        <w:rPr>
          <w:rFonts w:ascii="Arial" w:hAnsi="Arial" w:cs="Arial"/>
          <w:color w:val="040C28"/>
        </w:rPr>
        <w:t>These assumptions are based on the following three key premises. Firstly, Apple currently accounts for about 27% of the worldwide smartwatch market share, meaning that the firm has immediate access to a substantial number of existing customers with Apple Watches, which understand and have confidence in the company’s capabilities regarding health monitoring and management (IDC, 2025). Secondly, the target audience – younger adults – is currently experiencing the fastest growth in demand for privately purchased health insurance due to increasing waiting times at NHS hospitals and growing attention towards self-care since the pandemic outbreak (McKinsey &amp; Company, 2024). Thirdly, this customer group demonstrates high readiness to use novel InsurTech solutions.</w:t>
      </w:r>
    </w:p>
    <w:bookmarkEnd w:id="4"/>
    <w:p w14:paraId="6622617C" w14:textId="77777777" w:rsidR="007E3DB3" w:rsidRDefault="007E3DB3" w:rsidP="00653B75">
      <w:pPr>
        <w:spacing w:line="360" w:lineRule="auto"/>
        <w:jc w:val="both"/>
        <w:rPr>
          <w:rFonts w:ascii="Arial" w:hAnsi="Arial" w:cs="Arial"/>
          <w:i/>
          <w:iCs/>
          <w:color w:val="040C28"/>
        </w:rPr>
      </w:pPr>
    </w:p>
    <w:p w14:paraId="02A0B7D2" w14:textId="6F810063" w:rsidR="001A60D0" w:rsidRPr="00517E8F" w:rsidRDefault="007F753F" w:rsidP="00653B75">
      <w:pPr>
        <w:spacing w:line="360" w:lineRule="auto"/>
        <w:jc w:val="both"/>
        <w:rPr>
          <w:rFonts w:ascii="Arial" w:hAnsi="Arial" w:cs="Arial"/>
          <w:i/>
          <w:iCs/>
          <w:color w:val="040C28"/>
        </w:rPr>
      </w:pPr>
      <w:r w:rsidRPr="00F2744B">
        <w:rPr>
          <w:rFonts w:ascii="Arial" w:hAnsi="Arial" w:cs="Arial"/>
          <w:i/>
          <w:iCs/>
          <w:color w:val="040C28"/>
        </w:rPr>
        <w:lastRenderedPageBreak/>
        <w:t>Figure 2 : UK health insurance market size &amp; growth forecast (</w:t>
      </w:r>
      <w:r w:rsidR="00F2744B" w:rsidRPr="00F2744B">
        <w:rPr>
          <w:rFonts w:ascii="Arial" w:hAnsi="Arial" w:cs="Arial"/>
          <w:i/>
          <w:iCs/>
          <w:color w:val="040C28"/>
        </w:rPr>
        <w:t>£bn)</w:t>
      </w:r>
    </w:p>
    <w:p w14:paraId="6F9D1363" w14:textId="5FD91FCB" w:rsidR="00F2744B" w:rsidRPr="005900B4" w:rsidRDefault="00F2744B" w:rsidP="00653B75">
      <w:pPr>
        <w:spacing w:line="360" w:lineRule="auto"/>
        <w:jc w:val="both"/>
        <w:rPr>
          <w:rFonts w:ascii="Arial" w:hAnsi="Arial" w:cs="Arial"/>
          <w:b/>
          <w:bCs/>
          <w:color w:val="040C28"/>
        </w:rPr>
      </w:pPr>
      <w:r>
        <w:rPr>
          <w:rFonts w:ascii="Arial" w:hAnsi="Arial" w:cs="Arial"/>
          <w:b/>
          <w:bCs/>
          <w:color w:val="040C28"/>
        </w:rPr>
        <w:t>UK Health insurance market opportunity</w:t>
      </w:r>
    </w:p>
    <w:p w14:paraId="2D54BAA0" w14:textId="688B8639" w:rsidR="005900B4" w:rsidRDefault="00F2744B" w:rsidP="00653B75">
      <w:pPr>
        <w:spacing w:line="360" w:lineRule="auto"/>
        <w:jc w:val="both"/>
        <w:rPr>
          <w:noProof/>
        </w:rPr>
      </w:pPr>
      <w:r>
        <w:rPr>
          <w:noProof/>
        </w:rPr>
        <w:drawing>
          <wp:inline distT="0" distB="0" distL="0" distR="0" wp14:anchorId="4BA914DE" wp14:editId="4D4AC810">
            <wp:extent cx="5518205" cy="2186609"/>
            <wp:effectExtent l="0" t="0" r="6350" b="4445"/>
            <wp:docPr id="1337619475" name="Chart 1">
              <a:extLst xmlns:a="http://schemas.openxmlformats.org/drawingml/2006/main">
                <a:ext uri="{FF2B5EF4-FFF2-40B4-BE49-F238E27FC236}">
                  <a16:creationId xmlns:a16="http://schemas.microsoft.com/office/drawing/2014/main" id="{3B32AA16-B35C-86FF-591A-40F9F805CD7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4D197A4F" w14:textId="2CA5FF2E" w:rsidR="005900B4" w:rsidRPr="001A60D0" w:rsidRDefault="001A60D0" w:rsidP="00653B75">
      <w:pPr>
        <w:spacing w:line="360" w:lineRule="auto"/>
        <w:jc w:val="both"/>
        <w:rPr>
          <w:rFonts w:ascii="Arial" w:hAnsi="Arial" w:cs="Arial"/>
          <w:i/>
          <w:iCs/>
          <w:noProof/>
        </w:rPr>
      </w:pPr>
      <w:r w:rsidRPr="001A60D0">
        <w:rPr>
          <w:rFonts w:ascii="Arial" w:hAnsi="Arial" w:cs="Arial"/>
          <w:i/>
          <w:iCs/>
          <w:noProof/>
        </w:rPr>
        <w:t>Source: Deloitte (2024) Global Health Care Outlook; McKinsey &amp; Company (2024)</w:t>
      </w:r>
    </w:p>
    <w:p w14:paraId="3D57714E" w14:textId="773B4274" w:rsidR="001A60D0" w:rsidRPr="001A60D0" w:rsidRDefault="005900B4" w:rsidP="00653B75">
      <w:pPr>
        <w:spacing w:line="360" w:lineRule="auto"/>
        <w:jc w:val="both"/>
        <w:rPr>
          <w:rFonts w:ascii="Arial" w:hAnsi="Arial" w:cs="Arial"/>
          <w:b/>
          <w:bCs/>
          <w:noProof/>
        </w:rPr>
      </w:pPr>
      <w:r w:rsidRPr="001A60D0">
        <w:rPr>
          <w:rFonts w:ascii="Arial" w:hAnsi="Arial" w:cs="Arial"/>
          <w:noProof/>
        </w:rPr>
        <w:br w:type="textWrapping" w:clear="all"/>
      </w:r>
      <w:r w:rsidR="001A60D0" w:rsidRPr="001A60D0">
        <w:rPr>
          <w:rFonts w:ascii="Arial" w:hAnsi="Arial" w:cs="Arial"/>
          <w:b/>
          <w:bCs/>
          <w:noProof/>
        </w:rPr>
        <w:t>2.3 Differentiation</w:t>
      </w:r>
      <w:r w:rsidR="001A60D0">
        <w:rPr>
          <w:rFonts w:ascii="Arial" w:hAnsi="Arial" w:cs="Arial"/>
          <w:b/>
          <w:bCs/>
          <w:noProof/>
        </w:rPr>
        <w:t xml:space="preserve"> :</w:t>
      </w:r>
    </w:p>
    <w:p w14:paraId="187333F5" w14:textId="053DF869" w:rsidR="004409D6" w:rsidRDefault="004409D6" w:rsidP="00653B75">
      <w:pPr>
        <w:spacing w:line="276" w:lineRule="auto"/>
        <w:jc w:val="both"/>
        <w:rPr>
          <w:rFonts w:ascii="Arial" w:hAnsi="Arial" w:cs="Arial"/>
          <w:noProof/>
        </w:rPr>
      </w:pPr>
      <w:r w:rsidRPr="004409D6">
        <w:rPr>
          <w:rFonts w:ascii="Arial" w:hAnsi="Arial" w:cs="Arial"/>
          <w:noProof/>
        </w:rPr>
        <w:t>Differentiation refers to how companies differentiate themselves from their competitors in terms of their product or service offerings in ways that customers find valuable (Porter, 1985; Kotler et al., 2024). The differentiation strategy of Apple Health Guard can be explained in terms of four key areas:</w:t>
      </w:r>
    </w:p>
    <w:p w14:paraId="6DC45AE9" w14:textId="77777777" w:rsidR="0062280B" w:rsidRPr="004409D6" w:rsidRDefault="0062280B" w:rsidP="00653B75">
      <w:pPr>
        <w:spacing w:line="276" w:lineRule="auto"/>
        <w:jc w:val="both"/>
        <w:rPr>
          <w:rFonts w:ascii="Arial" w:hAnsi="Arial" w:cs="Arial"/>
          <w:noProof/>
        </w:rPr>
      </w:pPr>
    </w:p>
    <w:p w14:paraId="69DB0955" w14:textId="356F7D6E" w:rsidR="00517E8F" w:rsidRPr="004409D6" w:rsidRDefault="004409D6" w:rsidP="00653B75">
      <w:pPr>
        <w:spacing w:line="276" w:lineRule="auto"/>
        <w:jc w:val="both"/>
        <w:rPr>
          <w:rFonts w:ascii="Arial" w:hAnsi="Arial" w:cs="Arial"/>
          <w:noProof/>
        </w:rPr>
      </w:pPr>
      <w:r w:rsidRPr="004409D6">
        <w:rPr>
          <w:rFonts w:ascii="Arial" w:hAnsi="Arial" w:cs="Arial"/>
          <w:noProof/>
        </w:rPr>
        <w:t>Dynamic and Biometrically Driven Premiums: Unlike conventional insurers that apply actuarial models, the premiums calculated using Apple Health Guard involve dynamic and real-time data collection from the Apple Watch such as resting heart rates, electrocardiogram (ECG), sleep quality, and activity. As customers' health becomes better, they receive more favourable premiums (Financial Times, 2025).</w:t>
      </w:r>
    </w:p>
    <w:p w14:paraId="13E5A7AA" w14:textId="37714591" w:rsidR="00517E8F" w:rsidRDefault="004409D6" w:rsidP="00653B75">
      <w:pPr>
        <w:spacing w:line="276" w:lineRule="auto"/>
        <w:jc w:val="both"/>
        <w:rPr>
          <w:rFonts w:ascii="Arial" w:hAnsi="Arial" w:cs="Arial"/>
          <w:noProof/>
        </w:rPr>
      </w:pPr>
      <w:r w:rsidRPr="004409D6">
        <w:rPr>
          <w:rFonts w:ascii="Arial" w:hAnsi="Arial" w:cs="Arial"/>
          <w:noProof/>
        </w:rPr>
        <w:t>Ecosystem Integration: By using Apple Health Guard, customers can easily manage claims and insurance premiums without navigating through multiple interfaces. Customers can access all relevant information via existing interfaces for Apple Health and Apple Wallet.</w:t>
      </w:r>
    </w:p>
    <w:p w14:paraId="61EB79A7" w14:textId="77777777" w:rsidR="0062280B" w:rsidRPr="004409D6" w:rsidRDefault="0062280B" w:rsidP="00653B75">
      <w:pPr>
        <w:spacing w:line="276" w:lineRule="auto"/>
        <w:jc w:val="both"/>
        <w:rPr>
          <w:rFonts w:ascii="Arial" w:hAnsi="Arial" w:cs="Arial"/>
          <w:noProof/>
        </w:rPr>
      </w:pPr>
    </w:p>
    <w:p w14:paraId="18D48B8F" w14:textId="398B1252" w:rsidR="004409D6" w:rsidRDefault="00BF4055" w:rsidP="00653B75">
      <w:pPr>
        <w:spacing w:line="276" w:lineRule="auto"/>
        <w:jc w:val="both"/>
        <w:rPr>
          <w:rFonts w:ascii="Arial" w:hAnsi="Arial" w:cs="Arial"/>
          <w:noProof/>
        </w:rPr>
      </w:pPr>
      <w:r w:rsidRPr="00BF4055">
        <w:rPr>
          <w:rFonts w:ascii="Arial" w:hAnsi="Arial" w:cs="Arial"/>
          <w:noProof/>
        </w:rPr>
        <w:t>Data processing on the device in relation to Privacy by Design: In order to ensure privacy by design, all the biometric data gathered using the Apple Health Guard application is processed locally within the device itself</w:t>
      </w:r>
      <w:r w:rsidR="004409D6" w:rsidRPr="004409D6">
        <w:rPr>
          <w:rFonts w:ascii="Arial" w:hAnsi="Arial" w:cs="Arial"/>
          <w:noProof/>
        </w:rPr>
        <w:t>. This is consistent with Apple's current privacy standards. In contrast to Apple’s rival InsurTech companies, Apple does not process data using the cloud.</w:t>
      </w:r>
    </w:p>
    <w:p w14:paraId="09D70FFB" w14:textId="77777777" w:rsidR="0062280B" w:rsidRPr="004409D6" w:rsidRDefault="0062280B" w:rsidP="00653B75">
      <w:pPr>
        <w:spacing w:line="276" w:lineRule="auto"/>
        <w:jc w:val="both"/>
        <w:rPr>
          <w:rFonts w:ascii="Arial" w:hAnsi="Arial" w:cs="Arial"/>
          <w:noProof/>
        </w:rPr>
      </w:pPr>
    </w:p>
    <w:p w14:paraId="02745DCF" w14:textId="3B6F4E82" w:rsidR="00BE1EC0" w:rsidRDefault="004409D6" w:rsidP="00653B75">
      <w:pPr>
        <w:spacing w:line="276" w:lineRule="auto"/>
        <w:jc w:val="both"/>
        <w:rPr>
          <w:rFonts w:ascii="Arial" w:hAnsi="Arial" w:cs="Arial"/>
          <w:noProof/>
        </w:rPr>
      </w:pPr>
      <w:r w:rsidRPr="004409D6">
        <w:rPr>
          <w:rFonts w:ascii="Arial" w:hAnsi="Arial" w:cs="Arial"/>
          <w:noProof/>
        </w:rPr>
        <w:t>Preventive Health Care Model: Through incentivizing healthy behavior and offering insights about health, the Apple Health Guard is able to position itself as a wellness partner as opposed to a claims handler. Through its preventive model, there will be less likelihood of hospitalization for the customer and the insurer as well.</w:t>
      </w:r>
    </w:p>
    <w:p w14:paraId="276B82DA" w14:textId="77777777" w:rsidR="0062280B" w:rsidRPr="004409D6" w:rsidRDefault="0062280B" w:rsidP="00653B75">
      <w:pPr>
        <w:spacing w:line="360" w:lineRule="auto"/>
        <w:jc w:val="both"/>
        <w:rPr>
          <w:rFonts w:ascii="Arial" w:hAnsi="Arial" w:cs="Arial"/>
          <w:noProof/>
        </w:rPr>
      </w:pPr>
    </w:p>
    <w:p w14:paraId="474BEC5C" w14:textId="18B78F4A" w:rsidR="00BE1EC0" w:rsidRDefault="00440954" w:rsidP="00653B75">
      <w:pPr>
        <w:spacing w:line="360" w:lineRule="auto"/>
        <w:jc w:val="both"/>
        <w:rPr>
          <w:rFonts w:ascii="Arial" w:hAnsi="Arial" w:cs="Arial"/>
          <w:b/>
          <w:bCs/>
          <w:noProof/>
        </w:rPr>
      </w:pPr>
      <w:r w:rsidRPr="00440954">
        <w:rPr>
          <w:rFonts w:ascii="Arial" w:hAnsi="Arial" w:cs="Arial"/>
          <w:b/>
          <w:bCs/>
          <w:noProof/>
        </w:rPr>
        <w:lastRenderedPageBreak/>
        <w:t>2.4 Positioning :</w:t>
      </w:r>
    </w:p>
    <w:p w14:paraId="6BAC6A3C" w14:textId="04B64556" w:rsidR="004409D6" w:rsidRPr="004409D6" w:rsidRDefault="004409D6" w:rsidP="00653B75">
      <w:pPr>
        <w:spacing w:line="360" w:lineRule="auto"/>
        <w:jc w:val="both"/>
        <w:rPr>
          <w:rFonts w:ascii="Arial" w:hAnsi="Arial" w:cs="Arial"/>
          <w:i/>
          <w:iCs/>
          <w:noProof/>
        </w:rPr>
      </w:pPr>
      <w:r w:rsidRPr="004409D6">
        <w:rPr>
          <w:rFonts w:ascii="Arial" w:hAnsi="Arial" w:cs="Arial"/>
          <w:i/>
          <w:iCs/>
          <w:noProof/>
        </w:rPr>
        <w:t>Figure 3 : Competitive Positioning Map – Health insurance market</w:t>
      </w:r>
    </w:p>
    <w:p w14:paraId="1B688CFE" w14:textId="60C97213" w:rsidR="00440954" w:rsidRDefault="004409D6" w:rsidP="00653B75">
      <w:pPr>
        <w:spacing w:line="360" w:lineRule="auto"/>
        <w:jc w:val="both"/>
        <w:rPr>
          <w:rFonts w:ascii="Arial" w:hAnsi="Arial" w:cs="Arial"/>
          <w:noProof/>
        </w:rPr>
      </w:pPr>
      <w:r>
        <w:rPr>
          <w:noProof/>
        </w:rPr>
        <w:drawing>
          <wp:inline distT="0" distB="0" distL="0" distR="0" wp14:anchorId="43B6CC1A" wp14:editId="2243909F">
            <wp:extent cx="5709037" cy="1908313"/>
            <wp:effectExtent l="0" t="0" r="6350" b="15875"/>
            <wp:docPr id="1671506690" name="Chart 1">
              <a:extLst xmlns:a="http://schemas.openxmlformats.org/drawingml/2006/main">
                <a:ext uri="{FF2B5EF4-FFF2-40B4-BE49-F238E27FC236}">
                  <a16:creationId xmlns:a16="http://schemas.microsoft.com/office/drawing/2014/main" id="{3FD29AC2-CD02-5E10-53DF-E60AD545CC3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4FCA330D" w14:textId="1B155716" w:rsidR="00653B75" w:rsidRPr="004409D6" w:rsidRDefault="004409D6" w:rsidP="00653B75">
      <w:pPr>
        <w:spacing w:line="360" w:lineRule="auto"/>
        <w:ind w:left="360"/>
        <w:jc w:val="both"/>
        <w:rPr>
          <w:rFonts w:ascii="Arial" w:hAnsi="Arial" w:cs="Arial"/>
          <w:i/>
          <w:iCs/>
          <w:noProof/>
        </w:rPr>
      </w:pPr>
      <w:r w:rsidRPr="004409D6">
        <w:rPr>
          <w:rFonts w:ascii="Arial" w:hAnsi="Arial" w:cs="Arial"/>
          <w:i/>
          <w:iCs/>
          <w:noProof/>
        </w:rPr>
        <w:t>Source: Interbrand (2025); Mintel (2025); Company analysis</w:t>
      </w:r>
    </w:p>
    <w:p w14:paraId="08210129" w14:textId="5E7D6F85" w:rsidR="00C53345" w:rsidRPr="00C53345" w:rsidRDefault="00C53345" w:rsidP="00653B75">
      <w:pPr>
        <w:spacing w:line="276" w:lineRule="auto"/>
        <w:ind w:left="360"/>
        <w:jc w:val="both"/>
        <w:rPr>
          <w:rFonts w:ascii="Arial" w:hAnsi="Arial" w:cs="Arial"/>
          <w:noProof/>
        </w:rPr>
      </w:pPr>
      <w:r w:rsidRPr="00C53345">
        <w:rPr>
          <w:rFonts w:ascii="Arial" w:hAnsi="Arial" w:cs="Arial"/>
          <w:noProof/>
        </w:rPr>
        <w:t>Positioned as the most advanced and personalized health insurance system in the world that respects its user’s privacy, Apple Health Guard will cater exclusively to the needs of individuals who care about their health and appreciate seamless technology integration in their lives. The positioning message reads: 'For health-conscious Apple users from 25 to 45 years of age, Apple Health Guard is the only health insurance that uses your own biometric information to give you cheaper rates due to your healthy lifestyle choices thanks to the privacy and reliability of Apple.</w:t>
      </w:r>
    </w:p>
    <w:p w14:paraId="753624BC" w14:textId="77777777" w:rsidR="00C53345" w:rsidRPr="00C53345" w:rsidRDefault="00C53345" w:rsidP="00653B75">
      <w:pPr>
        <w:spacing w:line="276" w:lineRule="auto"/>
        <w:ind w:left="360"/>
        <w:jc w:val="both"/>
        <w:rPr>
          <w:rFonts w:ascii="Arial" w:hAnsi="Arial" w:cs="Arial"/>
          <w:noProof/>
        </w:rPr>
      </w:pPr>
    </w:p>
    <w:p w14:paraId="067A893A" w14:textId="5DE09A67" w:rsidR="00C53345" w:rsidRDefault="00C53345" w:rsidP="00653B75">
      <w:pPr>
        <w:spacing w:line="276" w:lineRule="auto"/>
        <w:ind w:left="360"/>
        <w:jc w:val="both"/>
        <w:rPr>
          <w:rFonts w:ascii="Arial" w:hAnsi="Arial" w:cs="Arial"/>
          <w:noProof/>
        </w:rPr>
      </w:pPr>
      <w:r w:rsidRPr="00C53345">
        <w:rPr>
          <w:rFonts w:ascii="Arial" w:hAnsi="Arial" w:cs="Arial"/>
          <w:noProof/>
        </w:rPr>
        <w:t>The positioning occupies a unique position on the perceptual map between private health insurers such as Bupa and AXA and wellness apps like Vitality and Babylon Health. Unlike the former, Apple Health Guard cannot be considered a regular insurance provider but rather a health-insurance technology combination that relies on the established credibility of the Apple brand, which has been proven time and again to be one of the most trusted technology brands across the globe (Interbrand, 2025)</w:t>
      </w:r>
      <w:bookmarkEnd w:id="2"/>
    </w:p>
    <w:p w14:paraId="04E6F59A" w14:textId="77777777" w:rsidR="0062280B" w:rsidRDefault="0062280B" w:rsidP="00653B75">
      <w:pPr>
        <w:spacing w:line="276" w:lineRule="auto"/>
        <w:ind w:left="360"/>
        <w:jc w:val="both"/>
        <w:rPr>
          <w:rFonts w:ascii="Arial" w:hAnsi="Arial" w:cs="Arial"/>
          <w:noProof/>
        </w:rPr>
      </w:pPr>
    </w:p>
    <w:p w14:paraId="17A027CD" w14:textId="77777777" w:rsidR="0062280B" w:rsidRDefault="0062280B" w:rsidP="00653B75">
      <w:pPr>
        <w:spacing w:line="360" w:lineRule="auto"/>
        <w:ind w:left="360"/>
        <w:jc w:val="both"/>
        <w:rPr>
          <w:rFonts w:ascii="Arial" w:hAnsi="Arial" w:cs="Arial"/>
          <w:noProof/>
        </w:rPr>
      </w:pPr>
    </w:p>
    <w:p w14:paraId="41FB5FE8" w14:textId="77777777" w:rsidR="0062280B" w:rsidRDefault="0062280B" w:rsidP="00653B75">
      <w:pPr>
        <w:spacing w:line="360" w:lineRule="auto"/>
        <w:ind w:left="360"/>
        <w:jc w:val="both"/>
        <w:rPr>
          <w:rFonts w:ascii="Arial" w:hAnsi="Arial" w:cs="Arial"/>
          <w:noProof/>
        </w:rPr>
      </w:pPr>
    </w:p>
    <w:p w14:paraId="1209E557" w14:textId="77777777" w:rsidR="0062280B" w:rsidRDefault="0062280B" w:rsidP="00653B75">
      <w:pPr>
        <w:spacing w:line="360" w:lineRule="auto"/>
        <w:ind w:left="360"/>
        <w:jc w:val="both"/>
        <w:rPr>
          <w:rFonts w:ascii="Arial" w:hAnsi="Arial" w:cs="Arial"/>
          <w:noProof/>
        </w:rPr>
      </w:pPr>
    </w:p>
    <w:p w14:paraId="10DC972F" w14:textId="77777777" w:rsidR="0062280B" w:rsidRDefault="0062280B" w:rsidP="00653B75">
      <w:pPr>
        <w:spacing w:line="360" w:lineRule="auto"/>
        <w:ind w:left="360"/>
        <w:jc w:val="both"/>
        <w:rPr>
          <w:rFonts w:ascii="Arial" w:hAnsi="Arial" w:cs="Arial"/>
          <w:noProof/>
        </w:rPr>
      </w:pPr>
    </w:p>
    <w:p w14:paraId="619BC5E3" w14:textId="77777777" w:rsidR="007E3DB3" w:rsidRDefault="007E3DB3" w:rsidP="00653B75">
      <w:pPr>
        <w:spacing w:line="360" w:lineRule="auto"/>
        <w:jc w:val="both"/>
        <w:rPr>
          <w:rFonts w:ascii="Arial" w:hAnsi="Arial" w:cs="Arial"/>
          <w:noProof/>
        </w:rPr>
      </w:pPr>
      <w:bookmarkStart w:id="5" w:name="OLE_LINK4"/>
      <w:bookmarkStart w:id="6" w:name="OLE_LINK3"/>
      <w:bookmarkEnd w:id="3"/>
    </w:p>
    <w:p w14:paraId="0F6D0E07" w14:textId="150FDA03" w:rsidR="007E3DB3" w:rsidRDefault="007E3DB3" w:rsidP="00653B75">
      <w:pPr>
        <w:spacing w:line="360" w:lineRule="auto"/>
        <w:jc w:val="both"/>
        <w:rPr>
          <w:rFonts w:ascii="Arial" w:hAnsi="Arial" w:cs="Arial"/>
          <w:b/>
          <w:bCs/>
          <w:noProof/>
          <w:u w:val="single"/>
        </w:rPr>
      </w:pPr>
    </w:p>
    <w:p w14:paraId="1C2B6C0D" w14:textId="48DCE2B9" w:rsidR="00653B75" w:rsidRDefault="00653B75" w:rsidP="00653B75">
      <w:pPr>
        <w:spacing w:line="360" w:lineRule="auto"/>
        <w:jc w:val="both"/>
        <w:rPr>
          <w:rFonts w:ascii="Arial" w:hAnsi="Arial" w:cs="Arial"/>
          <w:b/>
          <w:bCs/>
          <w:noProof/>
          <w:u w:val="single"/>
        </w:rPr>
      </w:pPr>
    </w:p>
    <w:p w14:paraId="5CF2AF4B" w14:textId="653BB326" w:rsidR="00653B75" w:rsidRDefault="00653B75" w:rsidP="00653B75">
      <w:pPr>
        <w:spacing w:line="360" w:lineRule="auto"/>
        <w:jc w:val="both"/>
        <w:rPr>
          <w:rFonts w:ascii="Arial" w:hAnsi="Arial" w:cs="Arial"/>
          <w:b/>
          <w:bCs/>
          <w:noProof/>
          <w:u w:val="single"/>
        </w:rPr>
      </w:pPr>
    </w:p>
    <w:p w14:paraId="3E54B004" w14:textId="51F162EB" w:rsidR="00653B75" w:rsidRDefault="00653B75" w:rsidP="00653B75">
      <w:pPr>
        <w:spacing w:line="360" w:lineRule="auto"/>
        <w:jc w:val="both"/>
        <w:rPr>
          <w:rFonts w:ascii="Arial" w:hAnsi="Arial" w:cs="Arial"/>
          <w:b/>
          <w:bCs/>
          <w:noProof/>
          <w:u w:val="single"/>
        </w:rPr>
      </w:pPr>
    </w:p>
    <w:p w14:paraId="346CA691" w14:textId="77777777" w:rsidR="00653B75" w:rsidRDefault="00653B75" w:rsidP="00653B75">
      <w:pPr>
        <w:spacing w:line="360" w:lineRule="auto"/>
        <w:jc w:val="both"/>
        <w:rPr>
          <w:rFonts w:ascii="Arial" w:hAnsi="Arial" w:cs="Arial"/>
          <w:b/>
          <w:bCs/>
          <w:noProof/>
          <w:u w:val="single"/>
        </w:rPr>
      </w:pPr>
    </w:p>
    <w:p w14:paraId="4C2377C5" w14:textId="77777777" w:rsidR="001C76B0" w:rsidRDefault="00E4040B" w:rsidP="001C76B0">
      <w:pPr>
        <w:spacing w:line="360" w:lineRule="auto"/>
        <w:jc w:val="both"/>
        <w:rPr>
          <w:rFonts w:ascii="Arial" w:hAnsi="Arial" w:cs="Arial"/>
          <w:b/>
          <w:bCs/>
          <w:noProof/>
          <w:u w:val="single"/>
        </w:rPr>
      </w:pPr>
      <w:r w:rsidRPr="00E60E91">
        <w:rPr>
          <w:rFonts w:ascii="Arial" w:hAnsi="Arial" w:cs="Arial"/>
          <w:b/>
          <w:bCs/>
          <w:noProof/>
          <w:u w:val="single"/>
        </w:rPr>
        <w:lastRenderedPageBreak/>
        <w:t xml:space="preserve">Element 3 : </w:t>
      </w:r>
      <w:r w:rsidR="00E60E91" w:rsidRPr="00E60E91">
        <w:rPr>
          <w:rFonts w:ascii="Arial" w:hAnsi="Arial" w:cs="Arial"/>
          <w:b/>
          <w:bCs/>
          <w:noProof/>
          <w:u w:val="single"/>
        </w:rPr>
        <w:t>Marketing Mix – The 7Ps</w:t>
      </w:r>
    </w:p>
    <w:p w14:paraId="36FC5DCA" w14:textId="0FABC7FA" w:rsidR="00C06F8F" w:rsidRPr="001C76B0" w:rsidRDefault="00C06F8F" w:rsidP="001C76B0">
      <w:pPr>
        <w:spacing w:line="276" w:lineRule="auto"/>
        <w:jc w:val="both"/>
        <w:rPr>
          <w:rFonts w:ascii="Arial" w:hAnsi="Arial" w:cs="Arial"/>
          <w:b/>
          <w:bCs/>
          <w:noProof/>
          <w:u w:val="single"/>
        </w:rPr>
      </w:pPr>
      <w:r w:rsidRPr="00C06F8F">
        <w:rPr>
          <w:rFonts w:ascii="Arial" w:hAnsi="Arial" w:cs="Arial"/>
          <w:noProof/>
        </w:rPr>
        <w:t>In this part, critical analysis of the health product, Apple HealthGuard is done through the application of the 7Ps marketing mix model. This model enhances the 4Ps model by including additional elements such as People, Process and Physical Evidence. These additional elements make it particularly applicable to services.</w:t>
      </w:r>
    </w:p>
    <w:p w14:paraId="144D0F47" w14:textId="77777777" w:rsidR="007E3DB3" w:rsidRPr="00C06F8F" w:rsidRDefault="007E3DB3" w:rsidP="00653B75">
      <w:pPr>
        <w:spacing w:line="276" w:lineRule="auto"/>
        <w:jc w:val="both"/>
        <w:rPr>
          <w:rFonts w:ascii="Arial" w:hAnsi="Arial" w:cs="Arial"/>
          <w:noProof/>
        </w:rPr>
      </w:pPr>
    </w:p>
    <w:p w14:paraId="7FF21402" w14:textId="6E333DCE" w:rsidR="00E60E91" w:rsidRDefault="00D11BE7" w:rsidP="00653B75">
      <w:pPr>
        <w:spacing w:line="360" w:lineRule="auto"/>
        <w:ind w:left="360"/>
        <w:jc w:val="both"/>
        <w:rPr>
          <w:rFonts w:ascii="Arial" w:hAnsi="Arial" w:cs="Arial"/>
          <w:noProof/>
        </w:rPr>
      </w:pPr>
      <w:r>
        <w:rPr>
          <w:noProof/>
        </w:rPr>
        <w:drawing>
          <wp:inline distT="0" distB="0" distL="0" distR="0" wp14:anchorId="0DB68C18" wp14:editId="7B2701CD">
            <wp:extent cx="4095750" cy="2324100"/>
            <wp:effectExtent l="0" t="0" r="6350" b="12700"/>
            <wp:docPr id="543520501" name="Chart 1">
              <a:extLst xmlns:a="http://schemas.openxmlformats.org/drawingml/2006/main">
                <a:ext uri="{FF2B5EF4-FFF2-40B4-BE49-F238E27FC236}">
                  <a16:creationId xmlns:a16="http://schemas.microsoft.com/office/drawing/2014/main" id="{61EDAD99-815B-F1C9-1633-0DB816EB63E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4CAD7C4C" w14:textId="2FBADE0A" w:rsidR="00D11BE7" w:rsidRDefault="00D11BE7" w:rsidP="00653B75">
      <w:pPr>
        <w:spacing w:line="360" w:lineRule="auto"/>
        <w:ind w:left="360"/>
        <w:jc w:val="both"/>
        <w:rPr>
          <w:rFonts w:ascii="Arial" w:hAnsi="Arial" w:cs="Arial"/>
          <w:i/>
          <w:iCs/>
          <w:noProof/>
        </w:rPr>
      </w:pPr>
      <w:r w:rsidRPr="00D11BE7">
        <w:rPr>
          <w:rFonts w:ascii="Arial" w:hAnsi="Arial" w:cs="Arial"/>
          <w:i/>
          <w:iCs/>
          <w:noProof/>
        </w:rPr>
        <w:t>Figure 5 : Apple HealthGuard Marketing Mix – 7Ps strategic emphasis distribution</w:t>
      </w:r>
    </w:p>
    <w:p w14:paraId="2EE4E207" w14:textId="77777777" w:rsidR="00653B75" w:rsidRDefault="00653B75" w:rsidP="00653B75">
      <w:pPr>
        <w:spacing w:line="360" w:lineRule="auto"/>
        <w:ind w:left="360"/>
        <w:jc w:val="both"/>
        <w:rPr>
          <w:rFonts w:ascii="Arial" w:hAnsi="Arial" w:cs="Arial"/>
          <w:i/>
          <w:iCs/>
          <w:noProof/>
        </w:rPr>
      </w:pPr>
    </w:p>
    <w:p w14:paraId="7D9A4CB0" w14:textId="0F869509" w:rsidR="000714A1" w:rsidRPr="000714A1" w:rsidRDefault="00D11BE7" w:rsidP="00653B75">
      <w:pPr>
        <w:pStyle w:val="ListParagraph"/>
        <w:numPr>
          <w:ilvl w:val="0"/>
          <w:numId w:val="11"/>
        </w:numPr>
        <w:spacing w:line="360" w:lineRule="auto"/>
        <w:jc w:val="both"/>
        <w:rPr>
          <w:rFonts w:ascii="Arial" w:hAnsi="Arial" w:cs="Arial"/>
          <w:noProof/>
        </w:rPr>
      </w:pPr>
      <w:r w:rsidRPr="00D11BE7">
        <w:rPr>
          <w:rFonts w:ascii="Arial" w:hAnsi="Arial" w:cs="Arial"/>
          <w:b/>
          <w:bCs/>
          <w:noProof/>
        </w:rPr>
        <w:t>Product</w:t>
      </w:r>
      <w:r w:rsidRPr="00D11BE7">
        <w:rPr>
          <w:rFonts w:ascii="Arial" w:hAnsi="Arial" w:cs="Arial"/>
          <w:noProof/>
        </w:rPr>
        <w:t xml:space="preserve"> :</w:t>
      </w:r>
    </w:p>
    <w:p w14:paraId="69139DA8" w14:textId="237CFC71" w:rsidR="00D11BE7" w:rsidRDefault="000714A1" w:rsidP="00653B75">
      <w:pPr>
        <w:spacing w:line="276" w:lineRule="auto"/>
        <w:ind w:left="360"/>
        <w:jc w:val="both"/>
        <w:rPr>
          <w:rFonts w:ascii="Arial" w:hAnsi="Arial" w:cs="Arial"/>
          <w:noProof/>
        </w:rPr>
      </w:pPr>
      <w:r w:rsidRPr="000714A1">
        <w:rPr>
          <w:rFonts w:ascii="Arial" w:hAnsi="Arial" w:cs="Arial"/>
          <w:noProof/>
        </w:rPr>
        <w:t>HealthGuard by Apple is an innovative health insurance plan that uses the real-time biometrics provided by the Apple Watch, such as heart rate, ECG, sleep quality, and activity data, to set dynamic premium pricing and incentivize healthy behavior. The product turns insurance from being an insurance against risks to a health insurance solution based on preventive care. According to Kotler et al. (2024), a product is any item that meets the wants or needs of its target market. In this case, HealthGuard meets the increasing market demands for individualized health insurance products.</w:t>
      </w:r>
    </w:p>
    <w:p w14:paraId="16EEBBCA" w14:textId="77777777" w:rsidR="00C3609B" w:rsidRPr="000714A1" w:rsidRDefault="00C3609B" w:rsidP="00653B75">
      <w:pPr>
        <w:spacing w:line="360" w:lineRule="auto"/>
        <w:ind w:left="360"/>
        <w:jc w:val="both"/>
        <w:rPr>
          <w:rFonts w:ascii="Arial" w:hAnsi="Arial" w:cs="Arial"/>
          <w:noProof/>
        </w:rPr>
      </w:pPr>
    </w:p>
    <w:p w14:paraId="29285697" w14:textId="39102714" w:rsidR="000714A1" w:rsidRDefault="000714A1" w:rsidP="00653B75">
      <w:pPr>
        <w:pStyle w:val="ListParagraph"/>
        <w:numPr>
          <w:ilvl w:val="0"/>
          <w:numId w:val="11"/>
        </w:numPr>
        <w:spacing w:line="360" w:lineRule="auto"/>
        <w:jc w:val="both"/>
        <w:rPr>
          <w:rFonts w:ascii="Arial" w:hAnsi="Arial" w:cs="Arial"/>
          <w:b/>
          <w:bCs/>
          <w:noProof/>
        </w:rPr>
      </w:pPr>
      <w:r w:rsidRPr="000714A1">
        <w:rPr>
          <w:rFonts w:ascii="Arial" w:hAnsi="Arial" w:cs="Arial"/>
          <w:b/>
          <w:bCs/>
          <w:noProof/>
        </w:rPr>
        <w:t>Price :</w:t>
      </w:r>
    </w:p>
    <w:p w14:paraId="1A037ED7" w14:textId="3BB7F592" w:rsidR="000714A1" w:rsidRPr="000714A1" w:rsidRDefault="000714A1" w:rsidP="00653B75">
      <w:pPr>
        <w:spacing w:line="276" w:lineRule="auto"/>
        <w:ind w:left="360"/>
        <w:jc w:val="both"/>
        <w:rPr>
          <w:rFonts w:ascii="Arial" w:hAnsi="Arial" w:cs="Arial"/>
          <w:noProof/>
        </w:rPr>
      </w:pPr>
      <w:r w:rsidRPr="000714A1">
        <w:rPr>
          <w:rFonts w:ascii="Arial" w:hAnsi="Arial" w:cs="Arial"/>
          <w:noProof/>
        </w:rPr>
        <w:t>HealthGuard adopts dynamic usage-based pricing. Base premiums are benchmarked competitively, with customers sustaining healthy habits receiving progressive discounts of up to 30% monthly (Figure 6). This value-based pricing approach (Kotler et al., 2024) aligns price with perceived benefit and addresses adverse selection  the tendency for higher-risk</w:t>
      </w:r>
    </w:p>
    <w:p w14:paraId="28413CAF" w14:textId="6C2AAAAE" w:rsidR="00D11BE7" w:rsidRDefault="000714A1" w:rsidP="00653B75">
      <w:pPr>
        <w:spacing w:line="276" w:lineRule="auto"/>
        <w:ind w:left="360"/>
        <w:jc w:val="both"/>
        <w:rPr>
          <w:rFonts w:ascii="Arial" w:hAnsi="Arial" w:cs="Arial"/>
          <w:noProof/>
        </w:rPr>
      </w:pPr>
      <w:r w:rsidRPr="000714A1">
        <w:rPr>
          <w:rFonts w:ascii="Arial" w:hAnsi="Arial" w:cs="Arial"/>
          <w:noProof/>
        </w:rPr>
        <w:t>individuals to disproportionately self-select into insurance pools (Akerlof, 1970). The model creates measurable, transparent value for consumers while reducing claims frequency risk for the insurer a structural improvement over the opaque actuarial models of traditional competitors (Armstrong and Kotler, 2019).</w:t>
      </w:r>
    </w:p>
    <w:p w14:paraId="73738AAA" w14:textId="77777777" w:rsidR="00C3609B" w:rsidRDefault="00C3609B" w:rsidP="00653B75">
      <w:pPr>
        <w:spacing w:line="360" w:lineRule="auto"/>
        <w:ind w:left="360"/>
        <w:jc w:val="both"/>
        <w:rPr>
          <w:rFonts w:ascii="Arial" w:hAnsi="Arial" w:cs="Arial"/>
          <w:noProof/>
        </w:rPr>
      </w:pPr>
    </w:p>
    <w:p w14:paraId="208209D9" w14:textId="1B54AA92" w:rsidR="000714A1" w:rsidRPr="000714A1" w:rsidRDefault="000714A1" w:rsidP="00653B75">
      <w:pPr>
        <w:pStyle w:val="ListParagraph"/>
        <w:numPr>
          <w:ilvl w:val="0"/>
          <w:numId w:val="11"/>
        </w:numPr>
        <w:spacing w:line="360" w:lineRule="auto"/>
        <w:jc w:val="both"/>
        <w:rPr>
          <w:rFonts w:ascii="Arial" w:hAnsi="Arial" w:cs="Arial"/>
          <w:noProof/>
        </w:rPr>
      </w:pPr>
      <w:r w:rsidRPr="000714A1">
        <w:rPr>
          <w:rFonts w:ascii="Arial" w:hAnsi="Arial" w:cs="Arial"/>
          <w:b/>
          <w:bCs/>
          <w:noProof/>
        </w:rPr>
        <w:lastRenderedPageBreak/>
        <w:t>Place :</w:t>
      </w:r>
    </w:p>
    <w:p w14:paraId="0730A01F" w14:textId="21A6F5A3" w:rsidR="000714A1" w:rsidRDefault="000714A1" w:rsidP="00653B75">
      <w:pPr>
        <w:spacing w:line="276" w:lineRule="auto"/>
        <w:ind w:left="360"/>
        <w:jc w:val="both"/>
        <w:rPr>
          <w:rFonts w:ascii="Arial" w:hAnsi="Arial" w:cs="Arial"/>
          <w:noProof/>
        </w:rPr>
      </w:pPr>
      <w:r w:rsidRPr="000714A1">
        <w:rPr>
          <w:rFonts w:ascii="Arial" w:hAnsi="Arial" w:cs="Arial"/>
          <w:noProof/>
        </w:rPr>
        <w:t>Distribution is digital-first, natively embedded within the Apple ecosystem via the Apple Health app, Apple Store, and apple.com  frictionless for existing device users. No physical branches are required. For regulatory compliance and claims management, HealthGuard partners with licensed underwriters in each target market. This indirect channel strategy (Kotler et al., 2024) allows Apple to maintain full UX control while leveraging partner regulatory expertise  a model already proven with Apple Pay and Apple Card (Apple, 2024; Chaffey and Ellis-Chadwick, 2022).</w:t>
      </w:r>
    </w:p>
    <w:p w14:paraId="418CFE9E" w14:textId="77777777" w:rsidR="00C3609B" w:rsidRDefault="00C3609B" w:rsidP="00653B75">
      <w:pPr>
        <w:spacing w:line="360" w:lineRule="auto"/>
        <w:ind w:left="360"/>
        <w:jc w:val="both"/>
        <w:rPr>
          <w:rFonts w:ascii="Arial" w:hAnsi="Arial" w:cs="Arial"/>
          <w:noProof/>
        </w:rPr>
      </w:pPr>
    </w:p>
    <w:p w14:paraId="65CC8CB3" w14:textId="1A207649" w:rsidR="000714A1" w:rsidRPr="000714A1" w:rsidRDefault="000714A1" w:rsidP="00653B75">
      <w:pPr>
        <w:pStyle w:val="ListParagraph"/>
        <w:numPr>
          <w:ilvl w:val="0"/>
          <w:numId w:val="11"/>
        </w:numPr>
        <w:spacing w:line="360" w:lineRule="auto"/>
        <w:jc w:val="both"/>
        <w:rPr>
          <w:rFonts w:ascii="Arial" w:hAnsi="Arial" w:cs="Arial"/>
          <w:noProof/>
        </w:rPr>
      </w:pPr>
      <w:r w:rsidRPr="000714A1">
        <w:rPr>
          <w:rFonts w:ascii="Arial" w:hAnsi="Arial" w:cs="Arial"/>
          <w:b/>
          <w:bCs/>
          <w:noProof/>
        </w:rPr>
        <w:t>Promotion :</w:t>
      </w:r>
    </w:p>
    <w:p w14:paraId="0E2A195D" w14:textId="7A9AC164" w:rsidR="00C3609B" w:rsidRDefault="000714A1" w:rsidP="00653B75">
      <w:pPr>
        <w:spacing w:line="276" w:lineRule="auto"/>
        <w:ind w:left="360"/>
        <w:jc w:val="both"/>
        <w:rPr>
          <w:rFonts w:ascii="Arial" w:hAnsi="Arial" w:cs="Arial"/>
          <w:noProof/>
        </w:rPr>
      </w:pPr>
      <w:r w:rsidRPr="000714A1">
        <w:rPr>
          <w:rFonts w:ascii="Arial" w:hAnsi="Arial" w:cs="Arial"/>
          <w:noProof/>
        </w:rPr>
        <w:t>HealthGuard’s IMC includes TV ads, Instagram posts, YouTube videos, App Store listings, and collaborations with influencers in the healthcare industry. According to De Pelsmacker et al. (2021), IMC is crucial in ensuring uniformity in messaging across different channels. The flagship Apple product launch event held annually in September will be the main platform for the product introduction. The content marketing strategy includes well-being challenges, tutorials, and in-app push notifications that will target current users of Apple Watch.</w:t>
      </w:r>
    </w:p>
    <w:p w14:paraId="1DFA17CF" w14:textId="77777777" w:rsidR="00653B75" w:rsidRDefault="00653B75" w:rsidP="00653B75">
      <w:pPr>
        <w:spacing w:line="276" w:lineRule="auto"/>
        <w:ind w:left="360"/>
        <w:jc w:val="both"/>
        <w:rPr>
          <w:rFonts w:ascii="Arial" w:hAnsi="Arial" w:cs="Arial"/>
          <w:noProof/>
        </w:rPr>
      </w:pPr>
    </w:p>
    <w:p w14:paraId="6320753F" w14:textId="77777777" w:rsidR="00653B75" w:rsidRDefault="00790399" w:rsidP="00653B75">
      <w:pPr>
        <w:pStyle w:val="ListParagraph"/>
        <w:numPr>
          <w:ilvl w:val="0"/>
          <w:numId w:val="11"/>
        </w:numPr>
        <w:spacing w:line="360" w:lineRule="auto"/>
        <w:jc w:val="both"/>
        <w:rPr>
          <w:rFonts w:ascii="Arial" w:hAnsi="Arial" w:cs="Arial"/>
          <w:b/>
          <w:bCs/>
          <w:noProof/>
        </w:rPr>
      </w:pPr>
      <w:r w:rsidRPr="00790399">
        <w:rPr>
          <w:rFonts w:ascii="Arial" w:hAnsi="Arial" w:cs="Arial"/>
          <w:b/>
          <w:bCs/>
          <w:noProof/>
        </w:rPr>
        <w:t>People :</w:t>
      </w:r>
    </w:p>
    <w:p w14:paraId="64917DF8" w14:textId="1E702B0E" w:rsidR="00C06F8F" w:rsidRPr="00653B75" w:rsidRDefault="00C06F8F" w:rsidP="00653B75">
      <w:pPr>
        <w:spacing w:line="276" w:lineRule="auto"/>
        <w:ind w:left="720"/>
        <w:jc w:val="both"/>
        <w:rPr>
          <w:rFonts w:ascii="Arial" w:hAnsi="Arial" w:cs="Arial"/>
          <w:b/>
          <w:bCs/>
          <w:noProof/>
        </w:rPr>
      </w:pPr>
      <w:r w:rsidRPr="00653B75">
        <w:rPr>
          <w:rFonts w:ascii="Arial" w:hAnsi="Arial" w:cs="Arial"/>
          <w:color w:val="000000"/>
        </w:rPr>
        <w:t>Health</w:t>
      </w:r>
      <w:r w:rsidR="00653B75">
        <w:rPr>
          <w:rFonts w:ascii="Arial" w:hAnsi="Arial" w:cs="Arial"/>
          <w:color w:val="000000"/>
        </w:rPr>
        <w:t xml:space="preserve"> </w:t>
      </w:r>
      <w:r w:rsidRPr="00653B75">
        <w:rPr>
          <w:rFonts w:ascii="Arial" w:hAnsi="Arial" w:cs="Arial"/>
          <w:color w:val="000000"/>
        </w:rPr>
        <w:t xml:space="preserve">Guard requires insurance underwriters, healthcare data scientists, UX </w:t>
      </w:r>
      <w:r w:rsidR="00653B75" w:rsidRPr="00653B75">
        <w:rPr>
          <w:rFonts w:ascii="Arial" w:hAnsi="Arial" w:cs="Arial"/>
          <w:color w:val="000000"/>
        </w:rPr>
        <w:t xml:space="preserve">    </w:t>
      </w:r>
      <w:r w:rsidRPr="00653B75">
        <w:rPr>
          <w:rFonts w:ascii="Arial" w:hAnsi="Arial" w:cs="Arial"/>
          <w:color w:val="000000"/>
        </w:rPr>
        <w:t>designers, and customer service experts. Employee quality strongly shapes customer perceptions of service quality. Specialists simplify complex insurance terms and maintain premium standards. An AI in-app assistant resolves most issues quickly, while complex cases are handled by human experts.</w:t>
      </w:r>
    </w:p>
    <w:p w14:paraId="3626D1DF" w14:textId="77777777" w:rsidR="0062280B" w:rsidRDefault="0062280B" w:rsidP="00653B75">
      <w:pPr>
        <w:spacing w:line="360" w:lineRule="auto"/>
        <w:jc w:val="both"/>
        <w:rPr>
          <w:rFonts w:ascii="Arial" w:hAnsi="Arial" w:cs="Arial"/>
          <w:noProof/>
        </w:rPr>
      </w:pPr>
    </w:p>
    <w:p w14:paraId="52057509" w14:textId="6A66A0CA" w:rsidR="00790399" w:rsidRDefault="00790399" w:rsidP="00653B75">
      <w:pPr>
        <w:pStyle w:val="ListParagraph"/>
        <w:numPr>
          <w:ilvl w:val="0"/>
          <w:numId w:val="11"/>
        </w:numPr>
        <w:spacing w:line="360" w:lineRule="auto"/>
        <w:jc w:val="both"/>
        <w:rPr>
          <w:rFonts w:ascii="Arial" w:hAnsi="Arial" w:cs="Arial"/>
          <w:b/>
          <w:bCs/>
          <w:noProof/>
        </w:rPr>
      </w:pPr>
      <w:r w:rsidRPr="00790399">
        <w:rPr>
          <w:rFonts w:ascii="Arial" w:hAnsi="Arial" w:cs="Arial"/>
          <w:b/>
          <w:bCs/>
          <w:noProof/>
        </w:rPr>
        <w:t>Process :</w:t>
      </w:r>
    </w:p>
    <w:p w14:paraId="39F9BCF5" w14:textId="5D296B63" w:rsidR="00C3609B" w:rsidRDefault="00790399" w:rsidP="00653B75">
      <w:pPr>
        <w:spacing w:line="276" w:lineRule="auto"/>
        <w:ind w:left="360"/>
        <w:jc w:val="both"/>
        <w:rPr>
          <w:rFonts w:ascii="Arial" w:hAnsi="Arial" w:cs="Arial"/>
          <w:noProof/>
        </w:rPr>
      </w:pPr>
      <w:r w:rsidRPr="00790399">
        <w:rPr>
          <w:rFonts w:ascii="Arial" w:hAnsi="Arial" w:cs="Arial"/>
          <w:noProof/>
        </w:rPr>
        <w:t>The entire customer journey is digitalized; the onboarding process takes less than five minutes through the Apple ID and pairing process with the smartphone. The claims process is handled using the app, with all wearable data automatically filled out. An artificial intelligence (AI) triage system automatically approves claims that meet the criteria within 24 hours. The premium calculations are done each month on the basis of the health score for the previous 30 days. According to Wilson et al. (2016), process design is an important factor that influences service quality perception.</w:t>
      </w:r>
    </w:p>
    <w:p w14:paraId="0BD04F4C" w14:textId="77777777" w:rsidR="00C06F8F" w:rsidRDefault="00C06F8F" w:rsidP="00653B75">
      <w:pPr>
        <w:spacing w:line="360" w:lineRule="auto"/>
        <w:ind w:left="360"/>
        <w:jc w:val="both"/>
        <w:rPr>
          <w:rFonts w:ascii="Arial" w:hAnsi="Arial" w:cs="Arial"/>
          <w:noProof/>
        </w:rPr>
      </w:pPr>
    </w:p>
    <w:p w14:paraId="1F5F5709" w14:textId="7E335027" w:rsidR="00790399" w:rsidRDefault="00790399" w:rsidP="00653B75">
      <w:pPr>
        <w:pStyle w:val="ListParagraph"/>
        <w:numPr>
          <w:ilvl w:val="0"/>
          <w:numId w:val="11"/>
        </w:numPr>
        <w:spacing w:line="360" w:lineRule="auto"/>
        <w:jc w:val="both"/>
        <w:rPr>
          <w:rFonts w:ascii="Arial" w:hAnsi="Arial" w:cs="Arial"/>
          <w:b/>
          <w:bCs/>
          <w:noProof/>
        </w:rPr>
      </w:pPr>
      <w:r w:rsidRPr="00790399">
        <w:rPr>
          <w:rFonts w:ascii="Arial" w:hAnsi="Arial" w:cs="Arial"/>
          <w:b/>
          <w:bCs/>
          <w:noProof/>
        </w:rPr>
        <w:t>Physical Evidence :</w:t>
      </w:r>
    </w:p>
    <w:p w14:paraId="6F8E168B" w14:textId="3DC4D0AA" w:rsidR="00C3609B" w:rsidRDefault="00C3609B" w:rsidP="00653B75">
      <w:pPr>
        <w:spacing w:line="276" w:lineRule="auto"/>
        <w:ind w:left="360"/>
        <w:jc w:val="both"/>
        <w:rPr>
          <w:rFonts w:ascii="Arial" w:hAnsi="Arial" w:cs="Arial"/>
          <w:noProof/>
        </w:rPr>
      </w:pPr>
      <w:r w:rsidRPr="00C3609B">
        <w:rPr>
          <w:rFonts w:ascii="Arial" w:hAnsi="Arial" w:cs="Arial"/>
          <w:noProof/>
        </w:rPr>
        <w:t xml:space="preserve">In the case of Apple HealthGuard, the tangibles are primarily virtual. They include the user interface of the application, policies, dashboards, and progress reports. They form an excellent servicescape and enable customers to develop quality </w:t>
      </w:r>
      <w:r w:rsidRPr="00C3609B">
        <w:rPr>
          <w:rFonts w:ascii="Arial" w:hAnsi="Arial" w:cs="Arial"/>
          <w:noProof/>
        </w:rPr>
        <w:lastRenderedPageBreak/>
        <w:t>perceptions. The Apple Watch serves as a reliable source of credibility and trustworthiness.</w:t>
      </w:r>
    </w:p>
    <w:p w14:paraId="4285E3E6" w14:textId="77777777" w:rsidR="0055413B" w:rsidRDefault="0055413B" w:rsidP="00653B75">
      <w:pPr>
        <w:spacing w:line="276" w:lineRule="auto"/>
        <w:ind w:left="360"/>
        <w:jc w:val="both"/>
        <w:rPr>
          <w:rFonts w:ascii="Arial" w:hAnsi="Arial" w:cs="Arial"/>
          <w:noProof/>
        </w:rPr>
      </w:pPr>
    </w:p>
    <w:p w14:paraId="0F7F9A44" w14:textId="01CFEDE3" w:rsidR="00790399" w:rsidRPr="00994E4D" w:rsidRDefault="00790399" w:rsidP="0055413B">
      <w:pPr>
        <w:spacing w:line="360" w:lineRule="auto"/>
        <w:jc w:val="both"/>
        <w:rPr>
          <w:rFonts w:ascii="Arial" w:hAnsi="Arial" w:cs="Arial"/>
          <w:b/>
          <w:bCs/>
          <w:noProof/>
          <w:u w:val="single"/>
        </w:rPr>
      </w:pPr>
      <w:r w:rsidRPr="00994E4D">
        <w:rPr>
          <w:rFonts w:ascii="Arial" w:hAnsi="Arial" w:cs="Arial"/>
          <w:b/>
          <w:bCs/>
          <w:noProof/>
          <w:u w:val="single"/>
        </w:rPr>
        <w:t>3.1 Critical Discussion of the Marketing Mix :</w:t>
      </w:r>
    </w:p>
    <w:p w14:paraId="299395FD" w14:textId="1196E228" w:rsidR="00790399" w:rsidRDefault="00790399" w:rsidP="00653B75">
      <w:pPr>
        <w:spacing w:line="360" w:lineRule="auto"/>
        <w:ind w:left="360"/>
        <w:jc w:val="both"/>
        <w:rPr>
          <w:rFonts w:ascii="Arial" w:hAnsi="Arial" w:cs="Arial"/>
          <w:b/>
          <w:bCs/>
          <w:noProof/>
        </w:rPr>
      </w:pPr>
      <w:r w:rsidRPr="00790399">
        <w:rPr>
          <w:rFonts w:ascii="Arial" w:hAnsi="Arial" w:cs="Arial"/>
          <w:b/>
          <w:bCs/>
          <w:noProof/>
        </w:rPr>
        <w:t xml:space="preserve">Product and Price </w:t>
      </w:r>
      <w:r>
        <w:rPr>
          <w:rFonts w:ascii="Arial" w:hAnsi="Arial" w:cs="Arial"/>
          <w:b/>
          <w:bCs/>
          <w:noProof/>
        </w:rPr>
        <w:t>–</w:t>
      </w:r>
    </w:p>
    <w:p w14:paraId="0E5F3D76" w14:textId="1DC8808E" w:rsidR="00C3609B" w:rsidRDefault="00C3609B" w:rsidP="00653B75">
      <w:pPr>
        <w:spacing w:line="276" w:lineRule="auto"/>
        <w:ind w:left="360"/>
        <w:jc w:val="both"/>
        <w:rPr>
          <w:rFonts w:ascii="Arial" w:hAnsi="Arial" w:cs="Arial"/>
          <w:noProof/>
        </w:rPr>
      </w:pPr>
      <w:r w:rsidRPr="00C3609B">
        <w:rPr>
          <w:rFonts w:ascii="Arial" w:hAnsi="Arial" w:cs="Arial"/>
          <w:noProof/>
        </w:rPr>
        <w:t>HealthGuard by Apple represents a new approach to converting regular insurance into an individualized scheme whereby the actions of the client will influence his/her premiums depending on his/her healthy behavior. This is value co-creation as the consumer creates the value he/she gets out of the product or service. The biometric capabilities of HealthGuard create a competitive advantage for the company and represent disruption in comparison to the other players in the insurance business. The price dynamics eliminate adverse selection by providing more information at all times.</w:t>
      </w:r>
    </w:p>
    <w:p w14:paraId="2FF893DD" w14:textId="77777777" w:rsidR="00653B75" w:rsidRPr="00C3609B" w:rsidRDefault="00653B75" w:rsidP="00653B75">
      <w:pPr>
        <w:spacing w:line="276" w:lineRule="auto"/>
        <w:ind w:left="360"/>
        <w:jc w:val="both"/>
        <w:rPr>
          <w:rFonts w:ascii="Arial" w:hAnsi="Arial" w:cs="Arial"/>
          <w:noProof/>
        </w:rPr>
      </w:pPr>
    </w:p>
    <w:p w14:paraId="19C497F9" w14:textId="1DF2A612" w:rsidR="00790399" w:rsidRDefault="00806E52" w:rsidP="00653B75">
      <w:pPr>
        <w:spacing w:line="360" w:lineRule="auto"/>
        <w:jc w:val="both"/>
        <w:rPr>
          <w:rFonts w:ascii="Arial" w:hAnsi="Arial" w:cs="Arial"/>
          <w:noProof/>
        </w:rPr>
      </w:pPr>
      <w:r>
        <w:rPr>
          <w:noProof/>
        </w:rPr>
        <w:drawing>
          <wp:inline distT="0" distB="0" distL="0" distR="0" wp14:anchorId="00D9BECF" wp14:editId="1C3BA6BF">
            <wp:extent cx="5888182" cy="1727200"/>
            <wp:effectExtent l="0" t="0" r="17780" b="12700"/>
            <wp:docPr id="878945654" name="Chart 1">
              <a:extLst xmlns:a="http://schemas.openxmlformats.org/drawingml/2006/main">
                <a:ext uri="{FF2B5EF4-FFF2-40B4-BE49-F238E27FC236}">
                  <a16:creationId xmlns:a16="http://schemas.microsoft.com/office/drawing/2014/main" id="{5CC74CC1-E8ED-2384-256D-AED3FAA483D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19275356" w14:textId="6E4D5BAD" w:rsidR="00EA6151" w:rsidRDefault="00EA6151" w:rsidP="00653B75">
      <w:pPr>
        <w:spacing w:line="360" w:lineRule="auto"/>
        <w:jc w:val="both"/>
        <w:rPr>
          <w:rFonts w:ascii="Arial" w:hAnsi="Arial" w:cs="Arial"/>
          <w:i/>
          <w:iCs/>
          <w:noProof/>
        </w:rPr>
      </w:pPr>
      <w:r w:rsidRPr="00EA6151">
        <w:rPr>
          <w:rFonts w:ascii="Arial" w:hAnsi="Arial" w:cs="Arial"/>
          <w:i/>
          <w:iCs/>
          <w:noProof/>
        </w:rPr>
        <w:t>Figure 6 : HealthGuard Dynamic Pricing vs. Traditional Fixed Premium – monthly estimates (GBP)</w:t>
      </w:r>
    </w:p>
    <w:p w14:paraId="28C2E63F" w14:textId="77777777" w:rsidR="00653B75" w:rsidRDefault="00653B75" w:rsidP="00653B75">
      <w:pPr>
        <w:spacing w:line="360" w:lineRule="auto"/>
        <w:jc w:val="both"/>
        <w:rPr>
          <w:rFonts w:ascii="Arial" w:hAnsi="Arial" w:cs="Arial"/>
          <w:i/>
          <w:iCs/>
          <w:noProof/>
        </w:rPr>
      </w:pPr>
    </w:p>
    <w:p w14:paraId="00211A91" w14:textId="1C90CB45" w:rsidR="00994E4D" w:rsidRDefault="00994E4D" w:rsidP="00653B75">
      <w:pPr>
        <w:spacing w:line="276" w:lineRule="auto"/>
        <w:ind w:left="360"/>
        <w:jc w:val="both"/>
        <w:rPr>
          <w:rFonts w:ascii="Arial" w:hAnsi="Arial" w:cs="Arial"/>
          <w:noProof/>
        </w:rPr>
      </w:pPr>
      <w:r w:rsidRPr="00653B75">
        <w:rPr>
          <w:rFonts w:ascii="Arial" w:hAnsi="Arial" w:cs="Arial"/>
          <w:b/>
          <w:noProof/>
        </w:rPr>
        <w:t>Regulatory Risk</w:t>
      </w:r>
      <w:r w:rsidR="00653B75">
        <w:rPr>
          <w:rFonts w:ascii="Arial" w:hAnsi="Arial" w:cs="Arial"/>
          <w:b/>
          <w:noProof/>
        </w:rPr>
        <w:t xml:space="preserve"> </w:t>
      </w:r>
      <w:r w:rsidRPr="00994E4D">
        <w:rPr>
          <w:rFonts w:ascii="Arial" w:hAnsi="Arial" w:cs="Arial"/>
          <w:noProof/>
        </w:rPr>
        <w:t>: Another risk associated with indirect discrimination could stem from biometric pricing as such a system could possibly discriminate against patients suffering from chronic diseases. It would be essential to engage with the FCA (UK) and the authorities of the target countries before launching the product (Information Commissioner's Office, 2021).</w:t>
      </w:r>
    </w:p>
    <w:p w14:paraId="5284E029" w14:textId="77777777" w:rsidR="00C3609B" w:rsidRPr="00994E4D" w:rsidRDefault="00C3609B" w:rsidP="00653B75">
      <w:pPr>
        <w:spacing w:line="360" w:lineRule="auto"/>
        <w:ind w:left="360"/>
        <w:jc w:val="both"/>
        <w:rPr>
          <w:rFonts w:ascii="Arial" w:hAnsi="Arial" w:cs="Arial"/>
          <w:noProof/>
        </w:rPr>
      </w:pPr>
    </w:p>
    <w:p w14:paraId="1104E819" w14:textId="646EC0EA" w:rsidR="00994E4D" w:rsidRPr="00994E4D" w:rsidRDefault="00994E4D" w:rsidP="00653B75">
      <w:pPr>
        <w:spacing w:line="360" w:lineRule="auto"/>
        <w:ind w:left="360"/>
        <w:jc w:val="both"/>
        <w:rPr>
          <w:rFonts w:ascii="Arial" w:hAnsi="Arial" w:cs="Arial"/>
          <w:b/>
          <w:bCs/>
          <w:noProof/>
        </w:rPr>
      </w:pPr>
      <w:r w:rsidRPr="00994E4D">
        <w:rPr>
          <w:rFonts w:ascii="Arial" w:hAnsi="Arial" w:cs="Arial"/>
          <w:b/>
          <w:bCs/>
          <w:noProof/>
        </w:rPr>
        <w:t>Place and Promotion</w:t>
      </w:r>
    </w:p>
    <w:p w14:paraId="7C1349D0" w14:textId="0BBF2831" w:rsidR="00C3609B" w:rsidRDefault="00994E4D" w:rsidP="00653B75">
      <w:pPr>
        <w:spacing w:line="276" w:lineRule="auto"/>
        <w:ind w:left="360"/>
        <w:jc w:val="both"/>
        <w:rPr>
          <w:rFonts w:ascii="Arial" w:hAnsi="Arial" w:cs="Arial"/>
          <w:noProof/>
        </w:rPr>
      </w:pPr>
      <w:r w:rsidRPr="00994E4D">
        <w:rPr>
          <w:rFonts w:ascii="Arial" w:hAnsi="Arial" w:cs="Arial"/>
          <w:noProof/>
        </w:rPr>
        <w:t>This digital marketing approach caters to the desire of the target segment for in-application purchasing, eliminating the need for a separate website. The downside, however, is that the app would exclude customers not using Apple devices. Future product development should explore the potential of integrating with Android wearables.</w:t>
      </w:r>
    </w:p>
    <w:p w14:paraId="1CA2BC57" w14:textId="688C98D9" w:rsidR="00C3609B" w:rsidRDefault="00C3609B" w:rsidP="00653B75">
      <w:pPr>
        <w:spacing w:line="360" w:lineRule="auto"/>
        <w:ind w:left="360"/>
        <w:jc w:val="both"/>
        <w:rPr>
          <w:rFonts w:ascii="Arial" w:hAnsi="Arial" w:cs="Arial"/>
          <w:noProof/>
        </w:rPr>
      </w:pPr>
    </w:p>
    <w:p w14:paraId="74D0B949" w14:textId="77777777" w:rsidR="00653B75" w:rsidRPr="00994E4D" w:rsidRDefault="00653B75" w:rsidP="00653B75">
      <w:pPr>
        <w:spacing w:line="360" w:lineRule="auto"/>
        <w:ind w:left="360"/>
        <w:jc w:val="both"/>
        <w:rPr>
          <w:rFonts w:ascii="Arial" w:hAnsi="Arial" w:cs="Arial"/>
          <w:noProof/>
        </w:rPr>
      </w:pPr>
    </w:p>
    <w:p w14:paraId="75663D45" w14:textId="07EBCD8B" w:rsidR="00994E4D" w:rsidRPr="00994E4D" w:rsidRDefault="00994E4D" w:rsidP="00653B75">
      <w:pPr>
        <w:spacing w:line="360" w:lineRule="auto"/>
        <w:ind w:left="360"/>
        <w:jc w:val="both"/>
        <w:rPr>
          <w:rFonts w:ascii="Arial" w:hAnsi="Arial" w:cs="Arial"/>
          <w:b/>
          <w:bCs/>
          <w:noProof/>
        </w:rPr>
      </w:pPr>
      <w:r w:rsidRPr="00994E4D">
        <w:rPr>
          <w:rFonts w:ascii="Arial" w:hAnsi="Arial" w:cs="Arial"/>
          <w:b/>
          <w:bCs/>
          <w:noProof/>
        </w:rPr>
        <w:t>Promotion</w:t>
      </w:r>
    </w:p>
    <w:p w14:paraId="6E49790E" w14:textId="77777777" w:rsidR="00994E4D" w:rsidRPr="00994E4D" w:rsidRDefault="00994E4D" w:rsidP="00653B75">
      <w:pPr>
        <w:spacing w:line="276" w:lineRule="auto"/>
        <w:ind w:left="360"/>
        <w:jc w:val="both"/>
        <w:rPr>
          <w:rFonts w:ascii="Arial" w:hAnsi="Arial" w:cs="Arial"/>
          <w:noProof/>
        </w:rPr>
      </w:pPr>
      <w:r w:rsidRPr="00994E4D">
        <w:rPr>
          <w:rFonts w:ascii="Arial" w:hAnsi="Arial" w:cs="Arial"/>
          <w:noProof/>
        </w:rPr>
        <w:lastRenderedPageBreak/>
        <w:t>The use of aspirational storytelling in promotion by Apple (Kapferer, 2012) is evident with HealthGuard. Promotional messages concentrate on highlighting benefits rather than risks to customers. According to de Pelsmacker et al., this positive approach to health promotion is superior to the fear-driven approach when targeting health-conscious consumers with high disposable incomes (2021).</w:t>
      </w:r>
    </w:p>
    <w:p w14:paraId="4669CD09" w14:textId="77777777" w:rsidR="00994E4D" w:rsidRDefault="00994E4D" w:rsidP="00653B75">
      <w:pPr>
        <w:spacing w:line="360" w:lineRule="auto"/>
        <w:ind w:left="360"/>
        <w:jc w:val="both"/>
        <w:rPr>
          <w:rFonts w:ascii="Arial" w:hAnsi="Arial" w:cs="Arial"/>
          <w:noProof/>
        </w:rPr>
      </w:pPr>
    </w:p>
    <w:p w14:paraId="13B5FD35" w14:textId="7C38FC9F" w:rsidR="00994E4D" w:rsidRPr="00994E4D" w:rsidRDefault="00994E4D" w:rsidP="00653B75">
      <w:pPr>
        <w:spacing w:line="360" w:lineRule="auto"/>
        <w:ind w:left="360"/>
        <w:jc w:val="both"/>
        <w:rPr>
          <w:rFonts w:ascii="Arial" w:hAnsi="Arial" w:cs="Arial"/>
          <w:b/>
          <w:bCs/>
          <w:noProof/>
        </w:rPr>
      </w:pPr>
      <w:r w:rsidRPr="00994E4D">
        <w:rPr>
          <w:rFonts w:ascii="Arial" w:hAnsi="Arial" w:cs="Arial"/>
          <w:b/>
          <w:bCs/>
          <w:noProof/>
        </w:rPr>
        <w:t>People, Process, and Physical Evidence</w:t>
      </w:r>
    </w:p>
    <w:p w14:paraId="47BF9C1E" w14:textId="77777777" w:rsidR="00994E4D" w:rsidRPr="00994E4D" w:rsidRDefault="00994E4D" w:rsidP="00653B75">
      <w:pPr>
        <w:spacing w:line="276" w:lineRule="auto"/>
        <w:ind w:left="360"/>
        <w:jc w:val="both"/>
        <w:rPr>
          <w:rFonts w:ascii="Arial" w:hAnsi="Arial" w:cs="Arial"/>
          <w:noProof/>
        </w:rPr>
      </w:pPr>
      <w:r w:rsidRPr="00994E4D">
        <w:rPr>
          <w:rFonts w:ascii="Arial" w:hAnsi="Arial" w:cs="Arial"/>
          <w:noProof/>
        </w:rPr>
        <w:t>According to Zeithaml et al. (2018), customers' views about the quality of services offered by financial institutions are heavily dependent on their interactions with people and process factors. In this regard, the hybrid service model proposed by HealthGuard ensures that the physical aspect of health insurance is considered, alongside the emotions associated with health insurance.</w:t>
      </w:r>
    </w:p>
    <w:p w14:paraId="1CD4F7C7" w14:textId="77777777" w:rsidR="00994E4D" w:rsidRPr="00994E4D" w:rsidRDefault="00994E4D" w:rsidP="00653B75">
      <w:pPr>
        <w:spacing w:line="276" w:lineRule="auto"/>
        <w:ind w:left="360"/>
        <w:jc w:val="both"/>
        <w:rPr>
          <w:rFonts w:ascii="Arial" w:hAnsi="Arial" w:cs="Arial"/>
          <w:noProof/>
        </w:rPr>
      </w:pPr>
    </w:p>
    <w:p w14:paraId="4E86C0F7" w14:textId="31324EB5" w:rsidR="00994E4D" w:rsidRDefault="00994E4D" w:rsidP="00653B75">
      <w:pPr>
        <w:spacing w:line="276" w:lineRule="auto"/>
        <w:ind w:left="360"/>
        <w:jc w:val="both"/>
        <w:rPr>
          <w:rFonts w:ascii="Arial" w:hAnsi="Arial" w:cs="Arial"/>
          <w:noProof/>
        </w:rPr>
      </w:pPr>
      <w:r w:rsidRPr="00994E4D">
        <w:rPr>
          <w:rFonts w:ascii="Arial" w:hAnsi="Arial" w:cs="Arial"/>
          <w:noProof/>
        </w:rPr>
        <w:t>The servicescape theory of Bitner (1992) suggests that the environment affects the perception of the quality of services provided. In the case of HealthGuard, the Apple Watch becomes the most powerful physical evidence since it offers high precision and premium quality and has established credibility within the health sector.</w:t>
      </w:r>
    </w:p>
    <w:p w14:paraId="7E38D59D" w14:textId="77777777" w:rsidR="00C3609B" w:rsidRDefault="00C3609B" w:rsidP="00653B75">
      <w:pPr>
        <w:spacing w:line="360" w:lineRule="auto"/>
        <w:ind w:left="360"/>
        <w:jc w:val="both"/>
        <w:rPr>
          <w:rFonts w:ascii="Arial" w:hAnsi="Arial" w:cs="Arial"/>
          <w:noProof/>
        </w:rPr>
      </w:pPr>
    </w:p>
    <w:p w14:paraId="43431472" w14:textId="314069A2" w:rsidR="00994E4D" w:rsidRPr="00994E4D" w:rsidRDefault="00994E4D" w:rsidP="00653B75">
      <w:pPr>
        <w:spacing w:line="360" w:lineRule="auto"/>
        <w:ind w:left="360"/>
        <w:jc w:val="both"/>
        <w:rPr>
          <w:rFonts w:ascii="Arial" w:hAnsi="Arial" w:cs="Arial"/>
          <w:b/>
          <w:bCs/>
          <w:noProof/>
          <w:u w:val="single"/>
        </w:rPr>
      </w:pPr>
      <w:r w:rsidRPr="00994E4D">
        <w:rPr>
          <w:rFonts w:ascii="Arial" w:hAnsi="Arial" w:cs="Arial"/>
          <w:b/>
          <w:bCs/>
          <w:noProof/>
          <w:u w:val="single"/>
        </w:rPr>
        <w:t>3.2 Strategic Coherence of the 7Ps</w:t>
      </w:r>
    </w:p>
    <w:p w14:paraId="43757C98" w14:textId="3A798B4C" w:rsidR="00994E4D" w:rsidRDefault="00C3609B" w:rsidP="00653B75">
      <w:pPr>
        <w:spacing w:line="276" w:lineRule="auto"/>
        <w:ind w:left="360"/>
        <w:jc w:val="both"/>
        <w:rPr>
          <w:rFonts w:ascii="Arial" w:hAnsi="Arial" w:cs="Arial"/>
          <w:noProof/>
        </w:rPr>
      </w:pPr>
      <w:r w:rsidRPr="00C3609B">
        <w:rPr>
          <w:rFonts w:ascii="Arial" w:hAnsi="Arial" w:cs="Arial"/>
          <w:noProof/>
        </w:rPr>
        <w:t>In conclusion, the overall alignment and synergy between the 7 Ps of Apple HealthGuard are quite appropriate and complementary. There is good congruence between what the company offers as a product, how they price it to encourage desirable health practices, the use of distribution through their current network, and promoting their brand position effectively. Good congruence among all 7 Ps tends to be associated with success in the market place. Though there may be other concerns, the marketing mix strategy is strong.</w:t>
      </w:r>
    </w:p>
    <w:p w14:paraId="0AA24292" w14:textId="77777777" w:rsidR="00C06F8F" w:rsidRDefault="00C06F8F" w:rsidP="00653B75">
      <w:pPr>
        <w:spacing w:line="276" w:lineRule="auto"/>
        <w:ind w:left="360"/>
        <w:jc w:val="both"/>
        <w:rPr>
          <w:rFonts w:ascii="Arial" w:hAnsi="Arial" w:cs="Arial"/>
          <w:noProof/>
        </w:rPr>
      </w:pPr>
    </w:p>
    <w:p w14:paraId="64B70894" w14:textId="77777777" w:rsidR="00C3609B" w:rsidRDefault="00C3609B" w:rsidP="00653B75">
      <w:pPr>
        <w:spacing w:line="360" w:lineRule="auto"/>
        <w:ind w:left="360"/>
        <w:jc w:val="both"/>
        <w:rPr>
          <w:rFonts w:ascii="Arial" w:hAnsi="Arial" w:cs="Arial"/>
          <w:noProof/>
        </w:rPr>
      </w:pPr>
    </w:p>
    <w:p w14:paraId="7D02FED9" w14:textId="77777777" w:rsidR="00C3609B" w:rsidRDefault="00C3609B" w:rsidP="00653B75">
      <w:pPr>
        <w:spacing w:line="360" w:lineRule="auto"/>
        <w:ind w:left="360"/>
        <w:jc w:val="both"/>
        <w:rPr>
          <w:rFonts w:ascii="Arial" w:hAnsi="Arial" w:cs="Arial"/>
          <w:noProof/>
        </w:rPr>
      </w:pPr>
    </w:p>
    <w:p w14:paraId="1AED0D54" w14:textId="77777777" w:rsidR="00C3609B" w:rsidRDefault="00C3609B" w:rsidP="00653B75">
      <w:pPr>
        <w:spacing w:line="360" w:lineRule="auto"/>
        <w:ind w:left="360"/>
        <w:jc w:val="both"/>
        <w:rPr>
          <w:rFonts w:ascii="Arial" w:hAnsi="Arial" w:cs="Arial"/>
          <w:noProof/>
        </w:rPr>
      </w:pPr>
    </w:p>
    <w:p w14:paraId="7840CF29" w14:textId="77777777" w:rsidR="00994E4D" w:rsidRDefault="00994E4D" w:rsidP="00653B75">
      <w:pPr>
        <w:spacing w:line="360" w:lineRule="auto"/>
        <w:ind w:left="360"/>
        <w:jc w:val="both"/>
        <w:rPr>
          <w:rFonts w:ascii="Arial" w:hAnsi="Arial" w:cs="Arial"/>
          <w:noProof/>
        </w:rPr>
      </w:pPr>
    </w:p>
    <w:p w14:paraId="7E3E1D22" w14:textId="77777777" w:rsidR="00994E4D" w:rsidRDefault="00994E4D" w:rsidP="00653B75">
      <w:pPr>
        <w:spacing w:line="360" w:lineRule="auto"/>
        <w:ind w:left="360"/>
        <w:jc w:val="both"/>
        <w:rPr>
          <w:rFonts w:ascii="Arial" w:hAnsi="Arial" w:cs="Arial"/>
          <w:noProof/>
        </w:rPr>
      </w:pPr>
    </w:p>
    <w:p w14:paraId="3B02D279" w14:textId="77777777" w:rsidR="00994E4D" w:rsidRDefault="00994E4D" w:rsidP="00653B75">
      <w:pPr>
        <w:spacing w:line="360" w:lineRule="auto"/>
        <w:ind w:left="360"/>
        <w:jc w:val="both"/>
        <w:rPr>
          <w:rFonts w:ascii="Arial" w:hAnsi="Arial" w:cs="Arial"/>
          <w:noProof/>
        </w:rPr>
      </w:pPr>
    </w:p>
    <w:p w14:paraId="24FE2B28" w14:textId="77777777" w:rsidR="00994E4D" w:rsidRDefault="00994E4D" w:rsidP="00653B75">
      <w:pPr>
        <w:spacing w:line="360" w:lineRule="auto"/>
        <w:ind w:left="360"/>
        <w:jc w:val="both"/>
        <w:rPr>
          <w:rFonts w:ascii="Arial" w:hAnsi="Arial" w:cs="Arial"/>
          <w:noProof/>
        </w:rPr>
      </w:pPr>
    </w:p>
    <w:p w14:paraId="00DFA561" w14:textId="77777777" w:rsidR="00994E4D" w:rsidRDefault="00994E4D" w:rsidP="00653B75">
      <w:pPr>
        <w:spacing w:line="360" w:lineRule="auto"/>
        <w:ind w:left="360"/>
        <w:jc w:val="both"/>
        <w:rPr>
          <w:rFonts w:ascii="Arial" w:hAnsi="Arial" w:cs="Arial"/>
          <w:noProof/>
        </w:rPr>
      </w:pPr>
    </w:p>
    <w:p w14:paraId="001C450F" w14:textId="77777777" w:rsidR="00C3609B" w:rsidRDefault="00C3609B" w:rsidP="00653B75">
      <w:pPr>
        <w:spacing w:line="360" w:lineRule="auto"/>
        <w:ind w:left="360"/>
        <w:jc w:val="both"/>
        <w:rPr>
          <w:rFonts w:ascii="Arial" w:hAnsi="Arial" w:cs="Arial"/>
          <w:noProof/>
        </w:rPr>
      </w:pPr>
    </w:p>
    <w:p w14:paraId="19767836" w14:textId="77777777" w:rsidR="00C3609B" w:rsidRDefault="00C3609B" w:rsidP="00653B75">
      <w:pPr>
        <w:spacing w:line="360" w:lineRule="auto"/>
        <w:ind w:left="360"/>
        <w:jc w:val="both"/>
        <w:rPr>
          <w:rFonts w:ascii="Arial" w:hAnsi="Arial" w:cs="Arial"/>
          <w:noProof/>
        </w:rPr>
      </w:pPr>
    </w:p>
    <w:bookmarkEnd w:id="5"/>
    <w:p w14:paraId="05FD2EA4" w14:textId="77777777" w:rsidR="00C3609B" w:rsidRDefault="00C3609B" w:rsidP="00653B75">
      <w:pPr>
        <w:spacing w:line="360" w:lineRule="auto"/>
        <w:ind w:left="360"/>
        <w:jc w:val="both"/>
        <w:rPr>
          <w:rFonts w:ascii="Arial" w:hAnsi="Arial" w:cs="Arial"/>
          <w:noProof/>
        </w:rPr>
      </w:pPr>
    </w:p>
    <w:bookmarkEnd w:id="6"/>
    <w:p w14:paraId="721D7C63" w14:textId="34B0999D" w:rsidR="00994E4D" w:rsidRDefault="00994E4D" w:rsidP="00653B75">
      <w:pPr>
        <w:spacing w:line="360" w:lineRule="auto"/>
        <w:jc w:val="both"/>
        <w:rPr>
          <w:rFonts w:ascii="Arial" w:hAnsi="Arial" w:cs="Arial"/>
          <w:b/>
          <w:bCs/>
          <w:noProof/>
          <w:u w:val="single"/>
        </w:rPr>
      </w:pPr>
      <w:r w:rsidRPr="00994E4D">
        <w:rPr>
          <w:rFonts w:ascii="Arial" w:hAnsi="Arial" w:cs="Arial"/>
          <w:b/>
          <w:bCs/>
          <w:noProof/>
          <w:u w:val="single"/>
        </w:rPr>
        <w:lastRenderedPageBreak/>
        <w:t>Element 4 : Reflection</w:t>
      </w:r>
    </w:p>
    <w:p w14:paraId="7601EDA2" w14:textId="77777777" w:rsidR="0055413B" w:rsidRPr="00994E4D" w:rsidRDefault="0055413B" w:rsidP="00653B75">
      <w:pPr>
        <w:spacing w:line="360" w:lineRule="auto"/>
        <w:jc w:val="both"/>
        <w:rPr>
          <w:rFonts w:ascii="Arial" w:hAnsi="Arial" w:cs="Arial"/>
          <w:b/>
          <w:bCs/>
          <w:noProof/>
          <w:u w:val="single"/>
        </w:rPr>
      </w:pPr>
    </w:p>
    <w:p w14:paraId="60EAC288" w14:textId="43064947" w:rsidR="00DD0B93" w:rsidRDefault="00DD0B93" w:rsidP="00653B75">
      <w:pPr>
        <w:pStyle w:val="ListParagraph"/>
        <w:numPr>
          <w:ilvl w:val="0"/>
          <w:numId w:val="13"/>
        </w:numPr>
        <w:spacing w:line="276" w:lineRule="auto"/>
        <w:jc w:val="both"/>
        <w:rPr>
          <w:rFonts w:ascii="Arial" w:hAnsi="Arial" w:cs="Arial"/>
          <w:noProof/>
        </w:rPr>
      </w:pPr>
      <w:r w:rsidRPr="00DD0B93">
        <w:rPr>
          <w:rFonts w:ascii="Arial" w:hAnsi="Arial" w:cs="Arial"/>
          <w:noProof/>
        </w:rPr>
        <w:t>This part will reflect on the process of developing an Apple HealthGuard brand extension portfolio, including concept generation, poster presentation, skill development, and what can be done better next time. Reflection is crucial for personal professional development since it allows analyzing outcomes as well as the learning process. This assignment helped to develop my decision-making skills through theoretical and practical application.</w:t>
      </w:r>
    </w:p>
    <w:p w14:paraId="6335F225" w14:textId="77777777" w:rsidR="0055413B" w:rsidRPr="00DD0B93" w:rsidRDefault="0055413B" w:rsidP="0055413B">
      <w:pPr>
        <w:pStyle w:val="ListParagraph"/>
        <w:spacing w:line="276" w:lineRule="auto"/>
        <w:ind w:left="1080"/>
        <w:jc w:val="both"/>
        <w:rPr>
          <w:rFonts w:ascii="Arial" w:hAnsi="Arial" w:cs="Arial"/>
          <w:noProof/>
        </w:rPr>
      </w:pPr>
    </w:p>
    <w:p w14:paraId="2935B313" w14:textId="27976EFA" w:rsidR="00DD0B93" w:rsidRDefault="00DD0B93" w:rsidP="00653B75">
      <w:pPr>
        <w:pStyle w:val="ListParagraph"/>
        <w:numPr>
          <w:ilvl w:val="0"/>
          <w:numId w:val="13"/>
        </w:numPr>
        <w:spacing w:line="276" w:lineRule="auto"/>
        <w:jc w:val="both"/>
        <w:rPr>
          <w:rFonts w:ascii="Arial" w:hAnsi="Arial" w:cs="Arial"/>
          <w:noProof/>
        </w:rPr>
      </w:pPr>
      <w:r w:rsidRPr="00DD0B93">
        <w:rPr>
          <w:rFonts w:ascii="Arial" w:hAnsi="Arial" w:cs="Arial"/>
          <w:noProof/>
        </w:rPr>
        <w:t>Creating a concept of a brand extension entailed considering the strategic marketing theory along with the practical experience in the marketplace. Initially, I planned to generate an idea for a line extension to fit into the current product range of Apple. Afterward, applying the Kotler et al. approach of a brand development matrix, it became clear that launching a new product into a different category had more strategy behind it. Moreover, testing an idea against Aaker's criteria for a brand extension equity, relevance, and enhancement  was particularly beneficial for me.</w:t>
      </w:r>
    </w:p>
    <w:p w14:paraId="7789381F" w14:textId="77777777" w:rsidR="0055413B" w:rsidRPr="0055413B" w:rsidRDefault="0055413B" w:rsidP="0055413B">
      <w:pPr>
        <w:spacing w:line="276" w:lineRule="auto"/>
        <w:jc w:val="both"/>
        <w:rPr>
          <w:rFonts w:ascii="Arial" w:hAnsi="Arial" w:cs="Arial"/>
          <w:noProof/>
        </w:rPr>
      </w:pPr>
    </w:p>
    <w:p w14:paraId="0C23A750" w14:textId="78AD062A" w:rsidR="00DD0B93" w:rsidRDefault="00DD0B93" w:rsidP="00653B75">
      <w:pPr>
        <w:pStyle w:val="ListParagraph"/>
        <w:numPr>
          <w:ilvl w:val="0"/>
          <w:numId w:val="13"/>
        </w:numPr>
        <w:spacing w:line="276" w:lineRule="auto"/>
        <w:jc w:val="both"/>
        <w:rPr>
          <w:rFonts w:ascii="Arial" w:hAnsi="Arial" w:cs="Arial"/>
          <w:noProof/>
        </w:rPr>
      </w:pPr>
      <w:r w:rsidRPr="00DD0B93">
        <w:rPr>
          <w:rFonts w:ascii="Arial" w:hAnsi="Arial" w:cs="Arial"/>
          <w:noProof/>
        </w:rPr>
        <w:t>Another problem encountered was the need for uniformity in all the elements of the marketing strategy. Some suggestions on the pricing and promotion aspects of the early models of the 7Ps were not in line with the positioning concept of STDP. Reviewing the position statement provided me with a solution to this problem and taught me about the importance of positioning in the development of any marketing strategy. This is because positioning can be considered the most crucial element in marketing, according to Ries &amp; Trout.</w:t>
      </w:r>
    </w:p>
    <w:p w14:paraId="20D260F6" w14:textId="77777777" w:rsidR="0055413B" w:rsidRPr="0055413B" w:rsidRDefault="0055413B" w:rsidP="0055413B">
      <w:pPr>
        <w:spacing w:line="276" w:lineRule="auto"/>
        <w:jc w:val="both"/>
        <w:rPr>
          <w:rFonts w:ascii="Arial" w:hAnsi="Arial" w:cs="Arial"/>
          <w:noProof/>
        </w:rPr>
      </w:pPr>
    </w:p>
    <w:p w14:paraId="4ED65F82" w14:textId="3342F1C5" w:rsidR="00DD0B93" w:rsidRDefault="00DD0B93" w:rsidP="00653B75">
      <w:pPr>
        <w:pStyle w:val="ListParagraph"/>
        <w:numPr>
          <w:ilvl w:val="0"/>
          <w:numId w:val="13"/>
        </w:numPr>
        <w:spacing w:line="276" w:lineRule="auto"/>
        <w:jc w:val="both"/>
        <w:rPr>
          <w:rFonts w:ascii="Arial" w:hAnsi="Arial" w:cs="Arial"/>
          <w:noProof/>
        </w:rPr>
      </w:pPr>
      <w:r w:rsidRPr="00DD0B93">
        <w:rPr>
          <w:rFonts w:ascii="Arial" w:hAnsi="Arial" w:cs="Arial"/>
          <w:noProof/>
        </w:rPr>
        <w:t>Preparation for the poster presentation enhanced my communication skills. Delivering an entire analysis on a single poster in 3-5 minutes involved prioritising the information presented. I had initially incorporated more information into my presentation that was not useful. Nevertheless, once I understood the requirements of both the investors and consumers, I created the poster, using headlines and important statistics. It has allowed me to develop skills in conveying the main message without making it difficult.</w:t>
      </w:r>
    </w:p>
    <w:p w14:paraId="2A41D182" w14:textId="77777777" w:rsidR="0055413B" w:rsidRPr="0055413B" w:rsidRDefault="0055413B" w:rsidP="0055413B">
      <w:pPr>
        <w:spacing w:line="276" w:lineRule="auto"/>
        <w:jc w:val="both"/>
        <w:rPr>
          <w:rFonts w:ascii="Arial" w:hAnsi="Arial" w:cs="Arial"/>
          <w:noProof/>
        </w:rPr>
      </w:pPr>
    </w:p>
    <w:p w14:paraId="111AE7F4" w14:textId="4D182A7B" w:rsidR="00DD0B93" w:rsidRDefault="00DD0B93" w:rsidP="00653B75">
      <w:pPr>
        <w:pStyle w:val="ListParagraph"/>
        <w:numPr>
          <w:ilvl w:val="0"/>
          <w:numId w:val="13"/>
        </w:numPr>
        <w:spacing w:line="276" w:lineRule="auto"/>
        <w:jc w:val="both"/>
        <w:rPr>
          <w:rFonts w:ascii="Arial" w:hAnsi="Arial" w:cs="Arial"/>
          <w:noProof/>
        </w:rPr>
      </w:pPr>
      <w:r w:rsidRPr="00DD0B93">
        <w:rPr>
          <w:rFonts w:ascii="Arial" w:hAnsi="Arial" w:cs="Arial"/>
          <w:noProof/>
        </w:rPr>
        <w:t xml:space="preserve">The following skills and insights were gained through this exercise. </w:t>
      </w:r>
      <w:r w:rsidR="00BF4055" w:rsidRPr="00BF4055">
        <w:rPr>
          <w:rFonts w:ascii="Arial" w:hAnsi="Arial" w:cs="Arial"/>
          <w:noProof/>
        </w:rPr>
        <w:t>First, it dawned on me that the whole process of STDP is conducted in an integrated manner, not separately. Segmentation, targeting, differentiation, and positioning should all work together for effective outcomes.</w:t>
      </w:r>
      <w:r w:rsidRPr="00DD0B93">
        <w:rPr>
          <w:rFonts w:ascii="Arial" w:hAnsi="Arial" w:cs="Arial"/>
          <w:noProof/>
        </w:rPr>
        <w:t xml:space="preserve">Secondly, using the 7Ps framework taught me that the PPsPP are especially vital in the case of marketing services products. For instance, Apple Watch may serve as evidence for an intangible insurance service. Thirdly, this project improved </w:t>
      </w:r>
      <w:r w:rsidRPr="00DD0B93">
        <w:rPr>
          <w:rFonts w:ascii="Arial" w:hAnsi="Arial" w:cs="Arial"/>
          <w:noProof/>
        </w:rPr>
        <w:lastRenderedPageBreak/>
        <w:t>my ability to consider various risks and regulations when devising marketing strategy. The consideration of regulations related to biometric pricing taught me that marketing decisions require collaboration with the relevant departments. Lastly, this project taught me the significance of using an evidence-based approach through academic sources, industry reports, and regulations.</w:t>
      </w:r>
    </w:p>
    <w:p w14:paraId="33229431" w14:textId="77777777" w:rsidR="0055413B" w:rsidRPr="0055413B" w:rsidRDefault="0055413B" w:rsidP="0055413B">
      <w:pPr>
        <w:spacing w:line="276" w:lineRule="auto"/>
        <w:jc w:val="both"/>
        <w:rPr>
          <w:rFonts w:ascii="Arial" w:hAnsi="Arial" w:cs="Arial"/>
          <w:noProof/>
        </w:rPr>
      </w:pPr>
    </w:p>
    <w:p w14:paraId="585F9703" w14:textId="50413A6E" w:rsidR="00994E4D" w:rsidRPr="00DD0B93" w:rsidRDefault="00DD0B93" w:rsidP="00653B75">
      <w:pPr>
        <w:pStyle w:val="ListParagraph"/>
        <w:numPr>
          <w:ilvl w:val="0"/>
          <w:numId w:val="13"/>
        </w:numPr>
        <w:spacing w:line="276" w:lineRule="auto"/>
        <w:jc w:val="both"/>
        <w:rPr>
          <w:rFonts w:ascii="Arial" w:hAnsi="Arial" w:cs="Arial"/>
          <w:noProof/>
        </w:rPr>
      </w:pPr>
      <w:r w:rsidRPr="00DD0B93">
        <w:rPr>
          <w:rFonts w:ascii="Arial" w:hAnsi="Arial" w:cs="Arial"/>
          <w:noProof/>
        </w:rPr>
        <w:t>There were two shortcomings identified during this exercise. First of all, the dynamic pricing model was based on estimates and not calculated by actuaries. In real-life cases, precise modelling will be critical; thus, improvement in finance is necessary.Second, the segmentation process relied solely on secondary data. Had primary data collection methods like focus groups and interviews been used, more demographic information would have been collected about the target population.</w:t>
      </w:r>
    </w:p>
    <w:p w14:paraId="08D82FFD" w14:textId="77777777" w:rsidR="00994E4D" w:rsidRDefault="00994E4D" w:rsidP="00653B75">
      <w:pPr>
        <w:spacing w:line="360" w:lineRule="auto"/>
        <w:ind w:left="360"/>
        <w:jc w:val="both"/>
        <w:rPr>
          <w:rFonts w:ascii="Arial" w:hAnsi="Arial" w:cs="Arial"/>
          <w:noProof/>
        </w:rPr>
      </w:pPr>
    </w:p>
    <w:p w14:paraId="6AF70634" w14:textId="77777777" w:rsidR="00DD0B93" w:rsidRDefault="00DD0B93" w:rsidP="00653B75">
      <w:pPr>
        <w:spacing w:line="360" w:lineRule="auto"/>
        <w:ind w:left="360"/>
        <w:jc w:val="both"/>
        <w:rPr>
          <w:rFonts w:ascii="Arial" w:hAnsi="Arial" w:cs="Arial"/>
          <w:noProof/>
        </w:rPr>
      </w:pPr>
    </w:p>
    <w:p w14:paraId="5A955CBF" w14:textId="77777777" w:rsidR="00DD0B93" w:rsidRDefault="00DD0B93" w:rsidP="00653B75">
      <w:pPr>
        <w:spacing w:line="360" w:lineRule="auto"/>
        <w:ind w:left="360"/>
        <w:jc w:val="both"/>
        <w:rPr>
          <w:rFonts w:ascii="Arial" w:hAnsi="Arial" w:cs="Arial"/>
          <w:noProof/>
        </w:rPr>
      </w:pPr>
    </w:p>
    <w:p w14:paraId="2B72BB0B" w14:textId="77777777" w:rsidR="00DD0B93" w:rsidRDefault="00DD0B93" w:rsidP="00653B75">
      <w:pPr>
        <w:spacing w:line="360" w:lineRule="auto"/>
        <w:ind w:left="360"/>
        <w:jc w:val="both"/>
        <w:rPr>
          <w:rFonts w:ascii="Arial" w:hAnsi="Arial" w:cs="Arial"/>
          <w:noProof/>
        </w:rPr>
      </w:pPr>
    </w:p>
    <w:p w14:paraId="6963DC76" w14:textId="77777777" w:rsidR="00DD0B93" w:rsidRDefault="00DD0B93" w:rsidP="00653B75">
      <w:pPr>
        <w:spacing w:line="360" w:lineRule="auto"/>
        <w:ind w:left="360"/>
        <w:jc w:val="both"/>
        <w:rPr>
          <w:rFonts w:ascii="Arial" w:hAnsi="Arial" w:cs="Arial"/>
          <w:noProof/>
        </w:rPr>
      </w:pPr>
    </w:p>
    <w:p w14:paraId="1AD88EB4" w14:textId="77777777" w:rsidR="00DD0B93" w:rsidRDefault="00DD0B93" w:rsidP="00653B75">
      <w:pPr>
        <w:spacing w:line="360" w:lineRule="auto"/>
        <w:ind w:left="360"/>
        <w:jc w:val="both"/>
        <w:rPr>
          <w:rFonts w:ascii="Arial" w:hAnsi="Arial" w:cs="Arial"/>
          <w:noProof/>
        </w:rPr>
      </w:pPr>
    </w:p>
    <w:p w14:paraId="454D35AE" w14:textId="77777777" w:rsidR="00DD0B93" w:rsidRDefault="00DD0B93" w:rsidP="00653B75">
      <w:pPr>
        <w:spacing w:line="360" w:lineRule="auto"/>
        <w:ind w:left="360"/>
        <w:jc w:val="both"/>
        <w:rPr>
          <w:rFonts w:ascii="Arial" w:hAnsi="Arial" w:cs="Arial"/>
          <w:noProof/>
        </w:rPr>
      </w:pPr>
    </w:p>
    <w:p w14:paraId="2DE9F554" w14:textId="77777777" w:rsidR="00DD0B93" w:rsidRDefault="00DD0B93" w:rsidP="00653B75">
      <w:pPr>
        <w:spacing w:line="360" w:lineRule="auto"/>
        <w:jc w:val="both"/>
        <w:rPr>
          <w:rFonts w:ascii="Arial" w:hAnsi="Arial" w:cs="Arial"/>
          <w:noProof/>
        </w:rPr>
      </w:pPr>
    </w:p>
    <w:p w14:paraId="485186D9" w14:textId="77777777" w:rsidR="00DD0B93" w:rsidRDefault="00DD0B93" w:rsidP="00653B75">
      <w:pPr>
        <w:spacing w:line="360" w:lineRule="auto"/>
        <w:ind w:left="360"/>
        <w:jc w:val="both"/>
        <w:rPr>
          <w:rFonts w:ascii="Arial" w:hAnsi="Arial" w:cs="Arial"/>
          <w:noProof/>
        </w:rPr>
      </w:pPr>
    </w:p>
    <w:p w14:paraId="4C8C97F9" w14:textId="77777777" w:rsidR="00DD0B93" w:rsidRDefault="00DD0B93" w:rsidP="00653B75">
      <w:pPr>
        <w:spacing w:line="360" w:lineRule="auto"/>
        <w:jc w:val="both"/>
        <w:rPr>
          <w:rFonts w:ascii="Arial" w:hAnsi="Arial" w:cs="Arial"/>
          <w:noProof/>
        </w:rPr>
      </w:pPr>
    </w:p>
    <w:p w14:paraId="28A7CBD2" w14:textId="456E81EB" w:rsidR="00C45C01" w:rsidRDefault="00C45C01" w:rsidP="00653B75">
      <w:pPr>
        <w:spacing w:line="360" w:lineRule="auto"/>
        <w:jc w:val="both"/>
        <w:rPr>
          <w:rFonts w:ascii="Arial" w:hAnsi="Arial" w:cs="Arial"/>
          <w:noProof/>
        </w:rPr>
      </w:pPr>
    </w:p>
    <w:p w14:paraId="3B7AFDDF" w14:textId="786A2442" w:rsidR="0055413B" w:rsidRDefault="0055413B" w:rsidP="00653B75">
      <w:pPr>
        <w:spacing w:line="360" w:lineRule="auto"/>
        <w:jc w:val="both"/>
        <w:rPr>
          <w:rFonts w:ascii="Arial" w:hAnsi="Arial" w:cs="Arial"/>
          <w:noProof/>
        </w:rPr>
      </w:pPr>
    </w:p>
    <w:p w14:paraId="1AFDE66C" w14:textId="197D8D2F" w:rsidR="0055413B" w:rsidRDefault="0055413B" w:rsidP="00653B75">
      <w:pPr>
        <w:spacing w:line="360" w:lineRule="auto"/>
        <w:jc w:val="both"/>
        <w:rPr>
          <w:rFonts w:ascii="Arial" w:hAnsi="Arial" w:cs="Arial"/>
          <w:noProof/>
        </w:rPr>
      </w:pPr>
    </w:p>
    <w:p w14:paraId="009E16A6" w14:textId="4BD79839" w:rsidR="0055413B" w:rsidRDefault="0055413B" w:rsidP="00653B75">
      <w:pPr>
        <w:spacing w:line="360" w:lineRule="auto"/>
        <w:jc w:val="both"/>
        <w:rPr>
          <w:rFonts w:ascii="Arial" w:hAnsi="Arial" w:cs="Arial"/>
          <w:noProof/>
        </w:rPr>
      </w:pPr>
    </w:p>
    <w:p w14:paraId="28F7AC35" w14:textId="409648F7" w:rsidR="0055413B" w:rsidRDefault="0055413B" w:rsidP="00653B75">
      <w:pPr>
        <w:spacing w:line="360" w:lineRule="auto"/>
        <w:jc w:val="both"/>
        <w:rPr>
          <w:rFonts w:ascii="Arial" w:hAnsi="Arial" w:cs="Arial"/>
          <w:noProof/>
        </w:rPr>
      </w:pPr>
    </w:p>
    <w:p w14:paraId="607A1228" w14:textId="46176DFC" w:rsidR="0055413B" w:rsidRDefault="0055413B" w:rsidP="00653B75">
      <w:pPr>
        <w:spacing w:line="360" w:lineRule="auto"/>
        <w:jc w:val="both"/>
        <w:rPr>
          <w:rFonts w:ascii="Arial" w:hAnsi="Arial" w:cs="Arial"/>
          <w:noProof/>
        </w:rPr>
      </w:pPr>
    </w:p>
    <w:p w14:paraId="0BE33424" w14:textId="26540985" w:rsidR="0055413B" w:rsidRDefault="0055413B" w:rsidP="00653B75">
      <w:pPr>
        <w:spacing w:line="360" w:lineRule="auto"/>
        <w:jc w:val="both"/>
        <w:rPr>
          <w:rFonts w:ascii="Arial" w:hAnsi="Arial" w:cs="Arial"/>
          <w:noProof/>
        </w:rPr>
      </w:pPr>
    </w:p>
    <w:p w14:paraId="00FDEEE3" w14:textId="28C23D74" w:rsidR="0055413B" w:rsidRDefault="0055413B" w:rsidP="00653B75">
      <w:pPr>
        <w:spacing w:line="360" w:lineRule="auto"/>
        <w:jc w:val="both"/>
        <w:rPr>
          <w:rFonts w:ascii="Arial" w:hAnsi="Arial" w:cs="Arial"/>
          <w:noProof/>
        </w:rPr>
      </w:pPr>
    </w:p>
    <w:p w14:paraId="3EBC4D74" w14:textId="58F436F7" w:rsidR="0055413B" w:rsidRDefault="0055413B" w:rsidP="00653B75">
      <w:pPr>
        <w:spacing w:line="360" w:lineRule="auto"/>
        <w:jc w:val="both"/>
        <w:rPr>
          <w:rFonts w:ascii="Arial" w:hAnsi="Arial" w:cs="Arial"/>
          <w:noProof/>
        </w:rPr>
      </w:pPr>
    </w:p>
    <w:p w14:paraId="7A02AB26" w14:textId="77777777" w:rsidR="0055413B" w:rsidRDefault="0055413B" w:rsidP="0055413B">
      <w:pPr>
        <w:spacing w:line="360" w:lineRule="auto"/>
        <w:jc w:val="both"/>
        <w:rPr>
          <w:rFonts w:ascii="Arial" w:hAnsi="Arial" w:cs="Arial"/>
          <w:noProof/>
        </w:rPr>
      </w:pPr>
    </w:p>
    <w:p w14:paraId="0E2B479E" w14:textId="77777777" w:rsidR="0055413B" w:rsidRDefault="0055413B" w:rsidP="0055413B">
      <w:pPr>
        <w:spacing w:line="360" w:lineRule="auto"/>
        <w:jc w:val="both"/>
        <w:rPr>
          <w:rFonts w:ascii="Arial" w:hAnsi="Arial" w:cs="Arial"/>
          <w:b/>
          <w:bCs/>
          <w:noProof/>
          <w:u w:val="single"/>
        </w:rPr>
      </w:pPr>
    </w:p>
    <w:p w14:paraId="76827F28" w14:textId="77777777" w:rsidR="003F4B4B" w:rsidRDefault="003F4B4B" w:rsidP="0055413B">
      <w:pPr>
        <w:spacing w:line="360" w:lineRule="auto"/>
        <w:jc w:val="center"/>
        <w:rPr>
          <w:rFonts w:ascii="Arial" w:hAnsi="Arial" w:cs="Arial"/>
          <w:b/>
          <w:bCs/>
          <w:noProof/>
          <w:u w:val="single"/>
        </w:rPr>
      </w:pPr>
    </w:p>
    <w:p w14:paraId="65BFF4B4" w14:textId="77777777" w:rsidR="003F4B4B" w:rsidRDefault="003F4B4B" w:rsidP="0055413B">
      <w:pPr>
        <w:spacing w:line="360" w:lineRule="auto"/>
        <w:jc w:val="center"/>
        <w:rPr>
          <w:rFonts w:ascii="Arial" w:hAnsi="Arial" w:cs="Arial"/>
          <w:b/>
          <w:bCs/>
          <w:noProof/>
          <w:u w:val="single"/>
        </w:rPr>
      </w:pPr>
    </w:p>
    <w:p w14:paraId="7DC70224" w14:textId="075512D4" w:rsidR="00DD0B93" w:rsidRDefault="00DD0B93" w:rsidP="0055413B">
      <w:pPr>
        <w:spacing w:line="360" w:lineRule="auto"/>
        <w:jc w:val="center"/>
        <w:rPr>
          <w:rFonts w:ascii="Arial" w:hAnsi="Arial" w:cs="Arial"/>
          <w:b/>
          <w:bCs/>
          <w:noProof/>
          <w:u w:val="single"/>
        </w:rPr>
      </w:pPr>
      <w:r w:rsidRPr="00DD0B93">
        <w:rPr>
          <w:rFonts w:ascii="Arial" w:hAnsi="Arial" w:cs="Arial"/>
          <w:b/>
          <w:bCs/>
          <w:noProof/>
          <w:u w:val="single"/>
        </w:rPr>
        <w:lastRenderedPageBreak/>
        <w:t>Reference:</w:t>
      </w:r>
    </w:p>
    <w:p w14:paraId="6819B86B" w14:textId="77777777" w:rsidR="0055413B" w:rsidRDefault="0055413B" w:rsidP="00653B75">
      <w:pPr>
        <w:spacing w:line="360" w:lineRule="auto"/>
        <w:ind w:left="360"/>
        <w:jc w:val="both"/>
        <w:rPr>
          <w:rFonts w:ascii="Arial" w:hAnsi="Arial" w:cs="Arial"/>
          <w:noProof/>
        </w:rPr>
      </w:pPr>
    </w:p>
    <w:p w14:paraId="580F3D64" w14:textId="2D671EEA" w:rsidR="002533F3" w:rsidRPr="002533F3" w:rsidRDefault="002533F3" w:rsidP="00653B75">
      <w:pPr>
        <w:spacing w:line="360" w:lineRule="auto"/>
        <w:ind w:left="360"/>
        <w:jc w:val="both"/>
        <w:rPr>
          <w:rFonts w:ascii="Arial" w:hAnsi="Arial" w:cs="Arial"/>
          <w:noProof/>
        </w:rPr>
      </w:pPr>
      <w:r w:rsidRPr="002533F3">
        <w:rPr>
          <w:rFonts w:ascii="Arial" w:hAnsi="Arial" w:cs="Arial"/>
          <w:noProof/>
        </w:rPr>
        <w:t>1.</w:t>
      </w:r>
      <w:r w:rsidRPr="002533F3">
        <w:rPr>
          <w:rFonts w:ascii="Arial" w:hAnsi="Arial" w:cs="Arial"/>
          <w:noProof/>
        </w:rPr>
        <w:tab/>
        <w:t>Akerlof, G. A. (1970). The market for lemons: Quality uncertainty and the market mechanism. The Quarterly Journal of Economics, 84(3), 488-500.</w:t>
      </w:r>
    </w:p>
    <w:p w14:paraId="5BB31079" w14:textId="77777777" w:rsidR="002533F3" w:rsidRPr="002533F3" w:rsidRDefault="002533F3" w:rsidP="00653B75">
      <w:pPr>
        <w:spacing w:line="360" w:lineRule="auto"/>
        <w:ind w:left="360"/>
        <w:jc w:val="both"/>
        <w:rPr>
          <w:rFonts w:ascii="Arial" w:hAnsi="Arial" w:cs="Arial"/>
          <w:noProof/>
        </w:rPr>
      </w:pPr>
    </w:p>
    <w:p w14:paraId="7F8BE86A" w14:textId="77777777" w:rsidR="002533F3" w:rsidRPr="002533F3" w:rsidRDefault="002533F3" w:rsidP="00653B75">
      <w:pPr>
        <w:spacing w:line="360" w:lineRule="auto"/>
        <w:ind w:left="360"/>
        <w:jc w:val="both"/>
        <w:rPr>
          <w:rFonts w:ascii="Arial" w:hAnsi="Arial" w:cs="Arial"/>
          <w:noProof/>
        </w:rPr>
      </w:pPr>
      <w:r w:rsidRPr="002533F3">
        <w:rPr>
          <w:rFonts w:ascii="Arial" w:hAnsi="Arial" w:cs="Arial"/>
          <w:noProof/>
        </w:rPr>
        <w:t>2.</w:t>
      </w:r>
      <w:r w:rsidRPr="002533F3">
        <w:rPr>
          <w:rFonts w:ascii="Arial" w:hAnsi="Arial" w:cs="Arial"/>
          <w:noProof/>
        </w:rPr>
        <w:tab/>
        <w:t>Armstrong, G., &amp; Kotler, P. (2019). Marketing: An introduction (14th ed.). Pearson Education.</w:t>
      </w:r>
    </w:p>
    <w:p w14:paraId="35603161" w14:textId="77777777" w:rsidR="002533F3" w:rsidRPr="002533F3" w:rsidRDefault="002533F3" w:rsidP="00653B75">
      <w:pPr>
        <w:spacing w:line="360" w:lineRule="auto"/>
        <w:ind w:left="360"/>
        <w:jc w:val="both"/>
        <w:rPr>
          <w:rFonts w:ascii="Arial" w:hAnsi="Arial" w:cs="Arial"/>
          <w:noProof/>
        </w:rPr>
      </w:pPr>
    </w:p>
    <w:p w14:paraId="46532E47" w14:textId="77777777" w:rsidR="002533F3" w:rsidRPr="002533F3" w:rsidRDefault="002533F3" w:rsidP="00653B75">
      <w:pPr>
        <w:spacing w:line="360" w:lineRule="auto"/>
        <w:ind w:left="360"/>
        <w:jc w:val="both"/>
        <w:rPr>
          <w:rFonts w:ascii="Arial" w:hAnsi="Arial" w:cs="Arial"/>
          <w:noProof/>
        </w:rPr>
      </w:pPr>
      <w:r w:rsidRPr="002533F3">
        <w:rPr>
          <w:rFonts w:ascii="Arial" w:hAnsi="Arial" w:cs="Arial"/>
          <w:noProof/>
        </w:rPr>
        <w:t>3.</w:t>
      </w:r>
      <w:r w:rsidRPr="002533F3">
        <w:rPr>
          <w:rFonts w:ascii="Arial" w:hAnsi="Arial" w:cs="Arial"/>
          <w:noProof/>
        </w:rPr>
        <w:tab/>
        <w:t>Bitner, M. J. (1992). Servicescapes: The impact of physical surroundings on customers and employees. Journal of Marketing, 56(2), 57-71.</w:t>
      </w:r>
    </w:p>
    <w:p w14:paraId="0023440C" w14:textId="77777777" w:rsidR="002533F3" w:rsidRPr="002533F3" w:rsidRDefault="002533F3" w:rsidP="00653B75">
      <w:pPr>
        <w:spacing w:line="360" w:lineRule="auto"/>
        <w:ind w:left="360"/>
        <w:jc w:val="both"/>
        <w:rPr>
          <w:rFonts w:ascii="Arial" w:hAnsi="Arial" w:cs="Arial"/>
          <w:noProof/>
        </w:rPr>
      </w:pPr>
    </w:p>
    <w:p w14:paraId="63F62333" w14:textId="77777777" w:rsidR="002533F3" w:rsidRPr="002533F3" w:rsidRDefault="002533F3" w:rsidP="00653B75">
      <w:pPr>
        <w:spacing w:line="360" w:lineRule="auto"/>
        <w:ind w:left="360"/>
        <w:jc w:val="both"/>
        <w:rPr>
          <w:rFonts w:ascii="Arial" w:hAnsi="Arial" w:cs="Arial"/>
          <w:noProof/>
        </w:rPr>
      </w:pPr>
      <w:r w:rsidRPr="002533F3">
        <w:rPr>
          <w:rFonts w:ascii="Arial" w:hAnsi="Arial" w:cs="Arial"/>
          <w:noProof/>
        </w:rPr>
        <w:t>4.</w:t>
      </w:r>
      <w:r w:rsidRPr="002533F3">
        <w:rPr>
          <w:rFonts w:ascii="Arial" w:hAnsi="Arial" w:cs="Arial"/>
          <w:noProof/>
        </w:rPr>
        <w:tab/>
        <w:t>Chaffey, D., &amp; Ellis-Chadwick, F. (2022). Digital marketing: Strategy, implementation and practice (7th ed.). Pearson Education.</w:t>
      </w:r>
    </w:p>
    <w:p w14:paraId="74B1471F" w14:textId="77777777" w:rsidR="002533F3" w:rsidRPr="002533F3" w:rsidRDefault="002533F3" w:rsidP="00653B75">
      <w:pPr>
        <w:spacing w:line="360" w:lineRule="auto"/>
        <w:ind w:left="360"/>
        <w:jc w:val="both"/>
        <w:rPr>
          <w:rFonts w:ascii="Arial" w:hAnsi="Arial" w:cs="Arial"/>
          <w:noProof/>
        </w:rPr>
      </w:pPr>
    </w:p>
    <w:p w14:paraId="5002788E" w14:textId="77777777" w:rsidR="002533F3" w:rsidRPr="002533F3" w:rsidRDefault="002533F3" w:rsidP="00653B75">
      <w:pPr>
        <w:spacing w:line="360" w:lineRule="auto"/>
        <w:ind w:left="360"/>
        <w:jc w:val="both"/>
        <w:rPr>
          <w:rFonts w:ascii="Arial" w:hAnsi="Arial" w:cs="Arial"/>
          <w:noProof/>
        </w:rPr>
      </w:pPr>
      <w:r w:rsidRPr="002533F3">
        <w:rPr>
          <w:rFonts w:ascii="Arial" w:hAnsi="Arial" w:cs="Arial"/>
          <w:noProof/>
        </w:rPr>
        <w:t>5.</w:t>
      </w:r>
      <w:r w:rsidRPr="002533F3">
        <w:rPr>
          <w:rFonts w:ascii="Arial" w:hAnsi="Arial" w:cs="Arial"/>
          <w:noProof/>
        </w:rPr>
        <w:tab/>
        <w:t>de Pelsmacker, P., Geuens, M., &amp; Van den Bergh, J. (2021). Marketing communications: A European perspective (6th ed.). Pearson Education.</w:t>
      </w:r>
    </w:p>
    <w:p w14:paraId="09D7C904" w14:textId="77777777" w:rsidR="002533F3" w:rsidRPr="002533F3" w:rsidRDefault="002533F3" w:rsidP="00653B75">
      <w:pPr>
        <w:spacing w:line="360" w:lineRule="auto"/>
        <w:ind w:left="360"/>
        <w:jc w:val="both"/>
        <w:rPr>
          <w:rFonts w:ascii="Arial" w:hAnsi="Arial" w:cs="Arial"/>
          <w:noProof/>
        </w:rPr>
      </w:pPr>
    </w:p>
    <w:p w14:paraId="3647415F" w14:textId="6D717D94" w:rsidR="002533F3" w:rsidRPr="002533F3" w:rsidRDefault="002533F3" w:rsidP="00653B75">
      <w:pPr>
        <w:spacing w:line="360" w:lineRule="auto"/>
        <w:ind w:left="360"/>
        <w:jc w:val="both"/>
        <w:rPr>
          <w:rFonts w:ascii="Arial" w:hAnsi="Arial" w:cs="Arial"/>
          <w:noProof/>
        </w:rPr>
      </w:pPr>
      <w:r w:rsidRPr="002533F3">
        <w:rPr>
          <w:rFonts w:ascii="Arial" w:hAnsi="Arial" w:cs="Arial"/>
          <w:noProof/>
        </w:rPr>
        <w:t>6.</w:t>
      </w:r>
      <w:r w:rsidRPr="002533F3">
        <w:rPr>
          <w:rFonts w:ascii="Arial" w:hAnsi="Arial" w:cs="Arial"/>
          <w:noProof/>
        </w:rPr>
        <w:tab/>
        <w:t xml:space="preserve">Deloitte. (2024). Global health care outlook: A world in transition. Retrieved from </w:t>
      </w:r>
      <w:hyperlink r:id="rId15" w:history="1">
        <w:r w:rsidRPr="00861E54">
          <w:rPr>
            <w:rStyle w:val="Hyperlink"/>
            <w:rFonts w:ascii="Arial" w:hAnsi="Arial" w:cs="Arial"/>
            <w:noProof/>
          </w:rPr>
          <w:t>www.deloitte.com/insights</w:t>
        </w:r>
      </w:hyperlink>
    </w:p>
    <w:p w14:paraId="66A3A5B6" w14:textId="77777777" w:rsidR="002533F3" w:rsidRPr="002533F3" w:rsidRDefault="002533F3" w:rsidP="00653B75">
      <w:pPr>
        <w:spacing w:line="360" w:lineRule="auto"/>
        <w:ind w:left="360"/>
        <w:jc w:val="both"/>
        <w:rPr>
          <w:rFonts w:ascii="Arial" w:hAnsi="Arial" w:cs="Arial"/>
          <w:noProof/>
        </w:rPr>
      </w:pPr>
    </w:p>
    <w:p w14:paraId="2F192CE8" w14:textId="35EB8EF4" w:rsidR="002533F3" w:rsidRPr="002533F3" w:rsidRDefault="002533F3" w:rsidP="00653B75">
      <w:pPr>
        <w:spacing w:line="360" w:lineRule="auto"/>
        <w:ind w:left="360"/>
        <w:jc w:val="both"/>
        <w:rPr>
          <w:rFonts w:ascii="Arial" w:hAnsi="Arial" w:cs="Arial"/>
          <w:noProof/>
        </w:rPr>
      </w:pPr>
      <w:r w:rsidRPr="002533F3">
        <w:rPr>
          <w:rFonts w:ascii="Arial" w:hAnsi="Arial" w:cs="Arial"/>
          <w:noProof/>
        </w:rPr>
        <w:t>7.</w:t>
      </w:r>
      <w:r w:rsidRPr="002533F3">
        <w:rPr>
          <w:rFonts w:ascii="Arial" w:hAnsi="Arial" w:cs="Arial"/>
          <w:noProof/>
        </w:rPr>
        <w:tab/>
        <w:t xml:space="preserve">IDC. (2025). Worldwide smartwatch market share and forecasts. Retrieved from </w:t>
      </w:r>
      <w:hyperlink r:id="rId16" w:history="1">
        <w:r w:rsidRPr="00861E54">
          <w:rPr>
            <w:rStyle w:val="Hyperlink"/>
            <w:rFonts w:ascii="Arial" w:hAnsi="Arial" w:cs="Arial"/>
            <w:noProof/>
          </w:rPr>
          <w:t>www.idc.com/wearables</w:t>
        </w:r>
      </w:hyperlink>
    </w:p>
    <w:p w14:paraId="73DC886F" w14:textId="77777777" w:rsidR="002533F3" w:rsidRPr="002533F3" w:rsidRDefault="002533F3" w:rsidP="00653B75">
      <w:pPr>
        <w:spacing w:line="360" w:lineRule="auto"/>
        <w:ind w:left="360"/>
        <w:jc w:val="both"/>
        <w:rPr>
          <w:rFonts w:ascii="Arial" w:hAnsi="Arial" w:cs="Arial"/>
          <w:noProof/>
        </w:rPr>
      </w:pPr>
    </w:p>
    <w:p w14:paraId="6E6B0774" w14:textId="77777777" w:rsidR="002533F3" w:rsidRPr="002533F3" w:rsidRDefault="002533F3" w:rsidP="00653B75">
      <w:pPr>
        <w:spacing w:line="360" w:lineRule="auto"/>
        <w:ind w:left="360"/>
        <w:jc w:val="both"/>
        <w:rPr>
          <w:rFonts w:ascii="Arial" w:hAnsi="Arial" w:cs="Arial"/>
          <w:noProof/>
        </w:rPr>
      </w:pPr>
      <w:r w:rsidRPr="002533F3">
        <w:rPr>
          <w:rFonts w:ascii="Arial" w:hAnsi="Arial" w:cs="Arial"/>
          <w:noProof/>
        </w:rPr>
        <w:t>8.</w:t>
      </w:r>
      <w:r w:rsidRPr="002533F3">
        <w:rPr>
          <w:rFonts w:ascii="Arial" w:hAnsi="Arial" w:cs="Arial"/>
          <w:noProof/>
        </w:rPr>
        <w:tab/>
        <w:t>Information Commissioner's Office. (2021). Guidance on biometric data protection and GDPR compliance. London: ICO Publications.</w:t>
      </w:r>
    </w:p>
    <w:p w14:paraId="1B09D42B" w14:textId="77777777" w:rsidR="002533F3" w:rsidRPr="002533F3" w:rsidRDefault="002533F3" w:rsidP="00653B75">
      <w:pPr>
        <w:spacing w:line="360" w:lineRule="auto"/>
        <w:ind w:left="360"/>
        <w:jc w:val="both"/>
        <w:rPr>
          <w:rFonts w:ascii="Arial" w:hAnsi="Arial" w:cs="Arial"/>
          <w:noProof/>
        </w:rPr>
      </w:pPr>
    </w:p>
    <w:p w14:paraId="631D462B" w14:textId="77777777" w:rsidR="002533F3" w:rsidRPr="002533F3" w:rsidRDefault="002533F3" w:rsidP="00653B75">
      <w:pPr>
        <w:spacing w:line="360" w:lineRule="auto"/>
        <w:ind w:left="360"/>
        <w:jc w:val="both"/>
        <w:rPr>
          <w:rFonts w:ascii="Arial" w:hAnsi="Arial" w:cs="Arial"/>
          <w:noProof/>
        </w:rPr>
      </w:pPr>
      <w:r w:rsidRPr="002533F3">
        <w:rPr>
          <w:rFonts w:ascii="Arial" w:hAnsi="Arial" w:cs="Arial"/>
          <w:noProof/>
        </w:rPr>
        <w:t>9.</w:t>
      </w:r>
      <w:r w:rsidRPr="002533F3">
        <w:rPr>
          <w:rFonts w:ascii="Arial" w:hAnsi="Arial" w:cs="Arial"/>
          <w:noProof/>
        </w:rPr>
        <w:tab/>
        <w:t>Kapferer, J. N. (2012). The new strategic brand management: Creating and sustaining brand equity long term (5th ed.). London: Kogan Page.</w:t>
      </w:r>
    </w:p>
    <w:p w14:paraId="7519C393" w14:textId="77777777" w:rsidR="002533F3" w:rsidRPr="002533F3" w:rsidRDefault="002533F3" w:rsidP="00653B75">
      <w:pPr>
        <w:spacing w:line="360" w:lineRule="auto"/>
        <w:ind w:left="360"/>
        <w:jc w:val="both"/>
        <w:rPr>
          <w:rFonts w:ascii="Arial" w:hAnsi="Arial" w:cs="Arial"/>
          <w:noProof/>
        </w:rPr>
      </w:pPr>
    </w:p>
    <w:p w14:paraId="7870C414" w14:textId="77777777" w:rsidR="002533F3" w:rsidRPr="002533F3" w:rsidRDefault="002533F3" w:rsidP="00653B75">
      <w:pPr>
        <w:spacing w:line="360" w:lineRule="auto"/>
        <w:ind w:left="360"/>
        <w:jc w:val="both"/>
        <w:rPr>
          <w:rFonts w:ascii="Arial" w:hAnsi="Arial" w:cs="Arial"/>
          <w:noProof/>
        </w:rPr>
      </w:pPr>
      <w:r w:rsidRPr="002533F3">
        <w:rPr>
          <w:rFonts w:ascii="Arial" w:hAnsi="Arial" w:cs="Arial"/>
          <w:noProof/>
        </w:rPr>
        <w:t>10.</w:t>
      </w:r>
      <w:r w:rsidRPr="002533F3">
        <w:rPr>
          <w:rFonts w:ascii="Arial" w:hAnsi="Arial" w:cs="Arial"/>
          <w:noProof/>
        </w:rPr>
        <w:tab/>
        <w:t>Kotler, P., Armstrong, G., Harris, L. C., &amp; Piercy, N. (2024). Principles of marketing (8th European ed.). Pearson Education.</w:t>
      </w:r>
    </w:p>
    <w:p w14:paraId="191F1FD7" w14:textId="77777777" w:rsidR="002533F3" w:rsidRPr="002533F3" w:rsidRDefault="002533F3" w:rsidP="00653B75">
      <w:pPr>
        <w:spacing w:line="360" w:lineRule="auto"/>
        <w:ind w:left="360"/>
        <w:jc w:val="both"/>
        <w:rPr>
          <w:rFonts w:ascii="Arial" w:hAnsi="Arial" w:cs="Arial"/>
          <w:noProof/>
        </w:rPr>
      </w:pPr>
    </w:p>
    <w:p w14:paraId="5A153639" w14:textId="28D7E79B" w:rsidR="002533F3" w:rsidRPr="002533F3" w:rsidRDefault="002533F3" w:rsidP="00653B75">
      <w:pPr>
        <w:spacing w:line="360" w:lineRule="auto"/>
        <w:ind w:left="360"/>
        <w:jc w:val="both"/>
        <w:rPr>
          <w:rFonts w:ascii="Arial" w:hAnsi="Arial" w:cs="Arial"/>
          <w:noProof/>
        </w:rPr>
      </w:pPr>
      <w:r w:rsidRPr="002533F3">
        <w:rPr>
          <w:rFonts w:ascii="Arial" w:hAnsi="Arial" w:cs="Arial"/>
          <w:noProof/>
        </w:rPr>
        <w:lastRenderedPageBreak/>
        <w:t>11.</w:t>
      </w:r>
      <w:r w:rsidRPr="002533F3">
        <w:rPr>
          <w:rFonts w:ascii="Arial" w:hAnsi="Arial" w:cs="Arial"/>
          <w:noProof/>
        </w:rPr>
        <w:tab/>
        <w:t xml:space="preserve">McKinsey &amp; Company. (2024). Healthcare insurance trends 2024: Private sector growth and NHS alternatives. Retrieved from </w:t>
      </w:r>
      <w:hyperlink r:id="rId17" w:history="1">
        <w:r w:rsidRPr="00861E54">
          <w:rPr>
            <w:rStyle w:val="Hyperlink"/>
            <w:rFonts w:ascii="Arial" w:hAnsi="Arial" w:cs="Arial"/>
            <w:noProof/>
          </w:rPr>
          <w:t>www.mckinsey.com/healthcare</w:t>
        </w:r>
      </w:hyperlink>
    </w:p>
    <w:p w14:paraId="7ACE0E9B" w14:textId="77777777" w:rsidR="002533F3" w:rsidRPr="002533F3" w:rsidRDefault="002533F3" w:rsidP="00653B75">
      <w:pPr>
        <w:spacing w:line="360" w:lineRule="auto"/>
        <w:ind w:left="360"/>
        <w:jc w:val="both"/>
        <w:rPr>
          <w:rFonts w:ascii="Arial" w:hAnsi="Arial" w:cs="Arial"/>
          <w:noProof/>
        </w:rPr>
      </w:pPr>
    </w:p>
    <w:p w14:paraId="4E1351B6" w14:textId="77777777" w:rsidR="002533F3" w:rsidRPr="002533F3" w:rsidRDefault="002533F3" w:rsidP="00653B75">
      <w:pPr>
        <w:spacing w:line="360" w:lineRule="auto"/>
        <w:ind w:left="360"/>
        <w:jc w:val="both"/>
        <w:rPr>
          <w:rFonts w:ascii="Arial" w:hAnsi="Arial" w:cs="Arial"/>
          <w:noProof/>
        </w:rPr>
      </w:pPr>
      <w:r w:rsidRPr="002533F3">
        <w:rPr>
          <w:rFonts w:ascii="Arial" w:hAnsi="Arial" w:cs="Arial"/>
          <w:noProof/>
        </w:rPr>
        <w:t>12.</w:t>
      </w:r>
      <w:r w:rsidRPr="002533F3">
        <w:rPr>
          <w:rFonts w:ascii="Arial" w:hAnsi="Arial" w:cs="Arial"/>
          <w:noProof/>
        </w:rPr>
        <w:tab/>
        <w:t>Porter, M. E. (1985). Competitive advantage: Creating and sustaining superior performance. New York: Free Press.</w:t>
      </w:r>
    </w:p>
    <w:p w14:paraId="56328144" w14:textId="77777777" w:rsidR="002533F3" w:rsidRPr="002533F3" w:rsidRDefault="002533F3" w:rsidP="00653B75">
      <w:pPr>
        <w:spacing w:line="360" w:lineRule="auto"/>
        <w:ind w:left="360"/>
        <w:jc w:val="both"/>
        <w:rPr>
          <w:rFonts w:ascii="Arial" w:hAnsi="Arial" w:cs="Arial"/>
          <w:noProof/>
        </w:rPr>
      </w:pPr>
    </w:p>
    <w:p w14:paraId="6A95F8D9" w14:textId="77777777" w:rsidR="002533F3" w:rsidRPr="002533F3" w:rsidRDefault="002533F3" w:rsidP="00653B75">
      <w:pPr>
        <w:spacing w:line="360" w:lineRule="auto"/>
        <w:ind w:left="360"/>
        <w:jc w:val="both"/>
        <w:rPr>
          <w:rFonts w:ascii="Arial" w:hAnsi="Arial" w:cs="Arial"/>
          <w:noProof/>
        </w:rPr>
      </w:pPr>
      <w:r w:rsidRPr="002533F3">
        <w:rPr>
          <w:rFonts w:ascii="Arial" w:hAnsi="Arial" w:cs="Arial"/>
          <w:noProof/>
        </w:rPr>
        <w:t>13.</w:t>
      </w:r>
      <w:r w:rsidRPr="002533F3">
        <w:rPr>
          <w:rFonts w:ascii="Arial" w:hAnsi="Arial" w:cs="Arial"/>
          <w:noProof/>
        </w:rPr>
        <w:tab/>
        <w:t>Ries, A., &amp; Trout, J. (2001). Positioning: The battle for your mind (20th anniversary ed.). New York: McGraw-Hill.</w:t>
      </w:r>
    </w:p>
    <w:p w14:paraId="1678934C" w14:textId="77777777" w:rsidR="002533F3" w:rsidRPr="002533F3" w:rsidRDefault="002533F3" w:rsidP="00653B75">
      <w:pPr>
        <w:spacing w:line="360" w:lineRule="auto"/>
        <w:ind w:left="360"/>
        <w:jc w:val="both"/>
        <w:rPr>
          <w:rFonts w:ascii="Arial" w:hAnsi="Arial" w:cs="Arial"/>
          <w:noProof/>
        </w:rPr>
      </w:pPr>
    </w:p>
    <w:p w14:paraId="2AB784C1" w14:textId="74C3D962" w:rsidR="002533F3" w:rsidRPr="002533F3" w:rsidRDefault="002533F3" w:rsidP="00653B75">
      <w:pPr>
        <w:spacing w:line="360" w:lineRule="auto"/>
        <w:ind w:left="360"/>
        <w:jc w:val="both"/>
        <w:rPr>
          <w:rFonts w:ascii="Arial" w:hAnsi="Arial" w:cs="Arial"/>
          <w:noProof/>
        </w:rPr>
      </w:pPr>
      <w:r w:rsidRPr="002533F3">
        <w:rPr>
          <w:rFonts w:ascii="Arial" w:hAnsi="Arial" w:cs="Arial"/>
          <w:noProof/>
        </w:rPr>
        <w:t>14.</w:t>
      </w:r>
      <w:r w:rsidRPr="002533F3">
        <w:rPr>
          <w:rFonts w:ascii="Arial" w:hAnsi="Arial" w:cs="Arial"/>
          <w:noProof/>
        </w:rPr>
        <w:tab/>
        <w:t>Zeithaml, V. A., Bitner, M. J., &amp; Gremler, D. D. (2018). Services marketing: Integrating customer focus across the firm (7th ed.). New York: McGraw-Hill Education.</w:t>
      </w:r>
    </w:p>
    <w:p w14:paraId="5D6CB827" w14:textId="77777777" w:rsidR="002533F3" w:rsidRPr="002533F3" w:rsidRDefault="002533F3" w:rsidP="00653B75">
      <w:pPr>
        <w:spacing w:line="360" w:lineRule="auto"/>
        <w:ind w:left="360"/>
        <w:jc w:val="both"/>
        <w:rPr>
          <w:rFonts w:ascii="Arial" w:hAnsi="Arial" w:cs="Arial"/>
          <w:noProof/>
        </w:rPr>
      </w:pPr>
    </w:p>
    <w:p w14:paraId="6C4AC5E4" w14:textId="2EE19A6B" w:rsidR="002533F3" w:rsidRPr="00C45C01" w:rsidRDefault="002533F3" w:rsidP="00653B75">
      <w:pPr>
        <w:spacing w:line="360" w:lineRule="auto"/>
        <w:ind w:left="360"/>
        <w:jc w:val="both"/>
        <w:rPr>
          <w:rFonts w:ascii="Arial" w:hAnsi="Arial" w:cs="Arial"/>
          <w:noProof/>
        </w:rPr>
      </w:pPr>
      <w:r w:rsidRPr="002533F3">
        <w:rPr>
          <w:rFonts w:ascii="Arial" w:hAnsi="Arial" w:cs="Arial"/>
          <w:noProof/>
        </w:rPr>
        <w:t>15.</w:t>
      </w:r>
      <w:r w:rsidRPr="002533F3">
        <w:rPr>
          <w:rFonts w:ascii="Arial" w:hAnsi="Arial" w:cs="Arial"/>
          <w:noProof/>
        </w:rPr>
        <w:tab/>
        <w:t>Wilson, A., Zeithaml, V. A., Bitner, M. J., &amp; Gremler, D. D. (2016). Services marketing: Integrating customer focus across the firm (3rd European ed.). Maidenhead: McGraw-Hill Education.</w:t>
      </w:r>
    </w:p>
    <w:p w14:paraId="0D84858D" w14:textId="77777777" w:rsidR="00DD0B93" w:rsidRPr="00C45C01" w:rsidRDefault="00DD0B93" w:rsidP="00653B75">
      <w:pPr>
        <w:spacing w:line="360" w:lineRule="auto"/>
        <w:ind w:left="360"/>
        <w:jc w:val="both"/>
        <w:rPr>
          <w:rFonts w:ascii="Arial" w:hAnsi="Arial" w:cs="Arial"/>
          <w:noProof/>
        </w:rPr>
      </w:pPr>
    </w:p>
    <w:p w14:paraId="2C8B5A27" w14:textId="77777777" w:rsidR="00DD0B93" w:rsidRPr="00C45C01" w:rsidRDefault="00DD0B93" w:rsidP="00653B75">
      <w:pPr>
        <w:spacing w:line="360" w:lineRule="auto"/>
        <w:ind w:left="360"/>
        <w:jc w:val="both"/>
        <w:rPr>
          <w:rFonts w:ascii="Arial" w:hAnsi="Arial" w:cs="Arial"/>
          <w:noProof/>
        </w:rPr>
      </w:pPr>
    </w:p>
    <w:p w14:paraId="38BD8B49" w14:textId="77777777" w:rsidR="00DD0B93" w:rsidRPr="00C45C01" w:rsidRDefault="00DD0B93" w:rsidP="00653B75">
      <w:pPr>
        <w:spacing w:line="360" w:lineRule="auto"/>
        <w:ind w:left="360"/>
        <w:jc w:val="both"/>
        <w:rPr>
          <w:rFonts w:ascii="Arial" w:hAnsi="Arial" w:cs="Arial"/>
          <w:noProof/>
        </w:rPr>
      </w:pPr>
    </w:p>
    <w:p w14:paraId="2CA4DAAA" w14:textId="77777777" w:rsidR="00DD0B93" w:rsidRDefault="00DD0B93" w:rsidP="00653B75">
      <w:pPr>
        <w:spacing w:line="360" w:lineRule="auto"/>
        <w:ind w:left="360"/>
        <w:jc w:val="both"/>
        <w:rPr>
          <w:rFonts w:ascii="Arial" w:hAnsi="Arial" w:cs="Arial"/>
          <w:noProof/>
        </w:rPr>
      </w:pPr>
    </w:p>
    <w:p w14:paraId="63A1646E" w14:textId="77777777" w:rsidR="00BF4055" w:rsidRDefault="00BF4055" w:rsidP="00653B75">
      <w:pPr>
        <w:spacing w:line="360" w:lineRule="auto"/>
        <w:ind w:left="360"/>
        <w:jc w:val="both"/>
        <w:rPr>
          <w:rFonts w:ascii="Arial" w:hAnsi="Arial" w:cs="Arial"/>
          <w:noProof/>
        </w:rPr>
      </w:pPr>
    </w:p>
    <w:p w14:paraId="51553196" w14:textId="77777777" w:rsidR="00BF4055" w:rsidRDefault="00BF4055" w:rsidP="00653B75">
      <w:pPr>
        <w:spacing w:line="360" w:lineRule="auto"/>
        <w:ind w:left="360"/>
        <w:jc w:val="both"/>
        <w:rPr>
          <w:rFonts w:ascii="Arial" w:hAnsi="Arial" w:cs="Arial"/>
          <w:noProof/>
        </w:rPr>
      </w:pPr>
    </w:p>
    <w:p w14:paraId="04A2D520" w14:textId="77777777" w:rsidR="00BF4055" w:rsidRPr="00C45C01" w:rsidRDefault="00BF4055" w:rsidP="00653B75">
      <w:pPr>
        <w:spacing w:line="360" w:lineRule="auto"/>
        <w:ind w:left="360"/>
        <w:jc w:val="both"/>
        <w:rPr>
          <w:rFonts w:ascii="Arial" w:hAnsi="Arial" w:cs="Arial"/>
          <w:noProof/>
        </w:rPr>
      </w:pPr>
    </w:p>
    <w:p w14:paraId="4F041B41" w14:textId="77777777" w:rsidR="00BF4055" w:rsidRDefault="00BF4055" w:rsidP="00653B75">
      <w:pPr>
        <w:spacing w:line="360" w:lineRule="auto"/>
        <w:ind w:left="360"/>
        <w:jc w:val="both"/>
        <w:rPr>
          <w:rFonts w:ascii="Arial" w:hAnsi="Arial" w:cs="Arial"/>
          <w:noProof/>
        </w:rPr>
      </w:pPr>
    </w:p>
    <w:p w14:paraId="065DA55D" w14:textId="77777777" w:rsidR="00BF4055" w:rsidRDefault="00BF4055" w:rsidP="00653B75">
      <w:pPr>
        <w:spacing w:line="360" w:lineRule="auto"/>
        <w:ind w:left="360"/>
        <w:jc w:val="both"/>
        <w:rPr>
          <w:rFonts w:ascii="Arial" w:hAnsi="Arial" w:cs="Arial"/>
          <w:noProof/>
        </w:rPr>
      </w:pPr>
    </w:p>
    <w:p w14:paraId="275E8838" w14:textId="77777777" w:rsidR="00BF4055" w:rsidRDefault="00BF4055" w:rsidP="00653B75">
      <w:pPr>
        <w:spacing w:line="360" w:lineRule="auto"/>
        <w:ind w:left="360"/>
        <w:jc w:val="both"/>
        <w:rPr>
          <w:rFonts w:ascii="Arial" w:hAnsi="Arial" w:cs="Arial"/>
          <w:noProof/>
        </w:rPr>
      </w:pPr>
    </w:p>
    <w:p w14:paraId="7D5C3906" w14:textId="77777777" w:rsidR="00BF4055" w:rsidRDefault="00BF4055" w:rsidP="00653B75">
      <w:pPr>
        <w:spacing w:line="360" w:lineRule="auto"/>
        <w:ind w:left="360"/>
        <w:jc w:val="both"/>
        <w:rPr>
          <w:rFonts w:ascii="Arial" w:hAnsi="Arial" w:cs="Arial"/>
          <w:noProof/>
        </w:rPr>
      </w:pPr>
    </w:p>
    <w:p w14:paraId="06C49337" w14:textId="77777777" w:rsidR="00BF4055" w:rsidRDefault="00BF4055" w:rsidP="00653B75">
      <w:pPr>
        <w:spacing w:line="360" w:lineRule="auto"/>
        <w:ind w:left="360"/>
        <w:jc w:val="both"/>
        <w:rPr>
          <w:rFonts w:ascii="Arial" w:hAnsi="Arial" w:cs="Arial"/>
          <w:noProof/>
        </w:rPr>
      </w:pPr>
    </w:p>
    <w:p w14:paraId="2CCB61C1" w14:textId="77777777" w:rsidR="00BF4055" w:rsidRDefault="00BF4055" w:rsidP="00653B75">
      <w:pPr>
        <w:spacing w:line="360" w:lineRule="auto"/>
        <w:ind w:left="360"/>
        <w:jc w:val="both"/>
        <w:rPr>
          <w:rFonts w:ascii="Arial" w:hAnsi="Arial" w:cs="Arial"/>
          <w:noProof/>
        </w:rPr>
      </w:pPr>
    </w:p>
    <w:p w14:paraId="5A2527A3" w14:textId="77777777" w:rsidR="00BF4055" w:rsidRDefault="00BF4055" w:rsidP="00653B75">
      <w:pPr>
        <w:spacing w:line="360" w:lineRule="auto"/>
        <w:ind w:left="360"/>
        <w:jc w:val="both"/>
        <w:rPr>
          <w:rFonts w:ascii="Arial" w:hAnsi="Arial" w:cs="Arial"/>
          <w:noProof/>
        </w:rPr>
      </w:pPr>
    </w:p>
    <w:p w14:paraId="4DF4F670" w14:textId="77777777" w:rsidR="00BF4055" w:rsidRDefault="00BF4055" w:rsidP="00653B75">
      <w:pPr>
        <w:spacing w:line="360" w:lineRule="auto"/>
        <w:ind w:left="360"/>
        <w:jc w:val="both"/>
        <w:rPr>
          <w:rFonts w:ascii="Arial" w:hAnsi="Arial" w:cs="Arial"/>
          <w:noProof/>
        </w:rPr>
      </w:pPr>
    </w:p>
    <w:p w14:paraId="761A533C" w14:textId="77777777" w:rsidR="00BF4055" w:rsidRDefault="00BF4055" w:rsidP="00653B75">
      <w:pPr>
        <w:spacing w:line="360" w:lineRule="auto"/>
        <w:ind w:left="360"/>
        <w:jc w:val="both"/>
        <w:rPr>
          <w:rFonts w:ascii="Arial" w:hAnsi="Arial" w:cs="Arial"/>
          <w:noProof/>
        </w:rPr>
      </w:pPr>
    </w:p>
    <w:p w14:paraId="4BB06E55" w14:textId="77777777" w:rsidR="00BF4055" w:rsidRDefault="00BF4055" w:rsidP="00653B75">
      <w:pPr>
        <w:spacing w:line="360" w:lineRule="auto"/>
        <w:ind w:left="360"/>
        <w:jc w:val="both"/>
        <w:rPr>
          <w:rFonts w:ascii="Arial" w:hAnsi="Arial" w:cs="Arial"/>
          <w:noProof/>
        </w:rPr>
      </w:pPr>
    </w:p>
    <w:p w14:paraId="7FF5C634" w14:textId="77777777" w:rsidR="00BF4055" w:rsidRDefault="00BF4055" w:rsidP="00653B75">
      <w:pPr>
        <w:spacing w:line="360" w:lineRule="auto"/>
        <w:ind w:left="360"/>
        <w:jc w:val="both"/>
        <w:rPr>
          <w:rFonts w:ascii="Arial" w:hAnsi="Arial" w:cs="Arial"/>
          <w:noProof/>
        </w:rPr>
      </w:pPr>
    </w:p>
    <w:p w14:paraId="2B42F259" w14:textId="7DDCEB4A" w:rsidR="00BF4055" w:rsidRPr="00BF4055" w:rsidRDefault="00BF4055" w:rsidP="00653B75">
      <w:pPr>
        <w:spacing w:line="360" w:lineRule="auto"/>
        <w:ind w:left="360"/>
        <w:jc w:val="both"/>
        <w:rPr>
          <w:rFonts w:ascii="Arial" w:hAnsi="Arial" w:cs="Arial"/>
          <w:b/>
          <w:bCs/>
          <w:noProof/>
          <w:u w:val="single"/>
        </w:rPr>
      </w:pPr>
      <w:r w:rsidRPr="00BF4055">
        <w:rPr>
          <w:rFonts w:ascii="Arial" w:hAnsi="Arial" w:cs="Arial"/>
          <w:b/>
          <w:bCs/>
          <w:noProof/>
          <w:u w:val="single"/>
        </w:rPr>
        <w:t>Appendix:</w:t>
      </w:r>
    </w:p>
    <w:p w14:paraId="0010C5B1" w14:textId="68B78F0E" w:rsidR="00DD0B93" w:rsidRDefault="002533F3" w:rsidP="00653B75">
      <w:pPr>
        <w:spacing w:line="360" w:lineRule="auto"/>
        <w:ind w:left="360"/>
        <w:jc w:val="both"/>
        <w:rPr>
          <w:rFonts w:ascii="Arial" w:hAnsi="Arial" w:cs="Arial"/>
          <w:noProof/>
        </w:rPr>
      </w:pPr>
      <w:r w:rsidRPr="0062280B">
        <w:rPr>
          <w:rFonts w:ascii="Arial" w:hAnsi="Arial" w:cs="Arial"/>
          <w:b/>
          <w:bCs/>
          <w:noProof/>
        </w:rPr>
        <w:drawing>
          <wp:inline distT="0" distB="0" distL="0" distR="0" wp14:anchorId="0B247FBC" wp14:editId="206ABAB5">
            <wp:extent cx="4791565" cy="6921385"/>
            <wp:effectExtent l="0" t="0" r="0" b="635"/>
            <wp:docPr id="1281894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189435" name=""/>
                    <pic:cNvPicPr/>
                  </pic:nvPicPr>
                  <pic:blipFill>
                    <a:blip r:embed="rId18"/>
                    <a:stretch>
                      <a:fillRect/>
                    </a:stretch>
                  </pic:blipFill>
                  <pic:spPr>
                    <a:xfrm>
                      <a:off x="0" y="0"/>
                      <a:ext cx="4796357" cy="6928308"/>
                    </a:xfrm>
                    <a:prstGeom prst="rect">
                      <a:avLst/>
                    </a:prstGeom>
                  </pic:spPr>
                </pic:pic>
              </a:graphicData>
            </a:graphic>
          </wp:inline>
        </w:drawing>
      </w:r>
    </w:p>
    <w:bookmarkEnd w:id="0"/>
    <w:bookmarkEnd w:id="1"/>
    <w:p w14:paraId="548EDB2F" w14:textId="77777777" w:rsidR="002533F3" w:rsidRDefault="002533F3" w:rsidP="00653B75">
      <w:pPr>
        <w:spacing w:line="360" w:lineRule="auto"/>
        <w:jc w:val="both"/>
        <w:rPr>
          <w:rFonts w:ascii="Arial" w:hAnsi="Arial" w:cs="Arial"/>
          <w:noProof/>
        </w:rPr>
      </w:pPr>
    </w:p>
    <w:sectPr w:rsidR="002533F3" w:rsidSect="00440954">
      <w:footerReference w:type="even" r:id="rId19"/>
      <w:foot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FDEB39F" w14:textId="77777777" w:rsidR="00380C2B" w:rsidRDefault="00380C2B" w:rsidP="003B5AE8">
      <w:r>
        <w:separator/>
      </w:r>
    </w:p>
  </w:endnote>
  <w:endnote w:type="continuationSeparator" w:id="0">
    <w:p w14:paraId="494229EE" w14:textId="77777777" w:rsidR="00380C2B" w:rsidRDefault="00380C2B" w:rsidP="003B5AE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00002FF" w:usb1="4000ACFF" w:usb2="00000001" w:usb3="00000000" w:csb0="0000019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768355091"/>
      <w:docPartObj>
        <w:docPartGallery w:val="Page Numbers (Bottom of Page)"/>
        <w:docPartUnique/>
      </w:docPartObj>
    </w:sdtPr>
    <w:sdtEndPr>
      <w:rPr>
        <w:rStyle w:val="PageNumber"/>
      </w:rPr>
    </w:sdtEndPr>
    <w:sdtContent>
      <w:p w14:paraId="50A9FBD1" w14:textId="215CE2E1" w:rsidR="003B5AE8" w:rsidRDefault="003B5AE8" w:rsidP="003968D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94BEC02" w14:textId="77777777" w:rsidR="003B5AE8" w:rsidRDefault="003B5AE8" w:rsidP="003B5AE8">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765043809"/>
      <w:docPartObj>
        <w:docPartGallery w:val="Page Numbers (Bottom of Page)"/>
        <w:docPartUnique/>
      </w:docPartObj>
    </w:sdtPr>
    <w:sdtEndPr>
      <w:rPr>
        <w:rStyle w:val="PageNumber"/>
      </w:rPr>
    </w:sdtEndPr>
    <w:sdtContent>
      <w:p w14:paraId="42C5CBFF" w14:textId="426BB797" w:rsidR="003B5AE8" w:rsidRDefault="003B5AE8" w:rsidP="003968D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4</w:t>
        </w:r>
        <w:r>
          <w:rPr>
            <w:rStyle w:val="PageNumber"/>
          </w:rPr>
          <w:fldChar w:fldCharType="end"/>
        </w:r>
      </w:p>
    </w:sdtContent>
  </w:sdt>
  <w:p w14:paraId="0AD5AFCC" w14:textId="77777777" w:rsidR="003B5AE8" w:rsidRDefault="003B5AE8" w:rsidP="003B5AE8">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A8ECC0D" w14:textId="77777777" w:rsidR="00380C2B" w:rsidRDefault="00380C2B" w:rsidP="003B5AE8">
      <w:r>
        <w:separator/>
      </w:r>
    </w:p>
  </w:footnote>
  <w:footnote w:type="continuationSeparator" w:id="0">
    <w:p w14:paraId="003F0321" w14:textId="77777777" w:rsidR="00380C2B" w:rsidRDefault="00380C2B" w:rsidP="003B5AE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5633FE"/>
    <w:multiLevelType w:val="hybridMultilevel"/>
    <w:tmpl w:val="970420EC"/>
    <w:lvl w:ilvl="0" w:tplc="3B940F7C">
      <w:numFmt w:val="bullet"/>
      <w:lvlText w:val="•"/>
      <w:lvlJc w:val="left"/>
      <w:pPr>
        <w:ind w:left="1080" w:hanging="72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70E22F6"/>
    <w:multiLevelType w:val="hybridMultilevel"/>
    <w:tmpl w:val="04FECF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DA75926"/>
    <w:multiLevelType w:val="hybridMultilevel"/>
    <w:tmpl w:val="B128D5A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228E6180"/>
    <w:multiLevelType w:val="hybridMultilevel"/>
    <w:tmpl w:val="843C5EC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2BB91999"/>
    <w:multiLevelType w:val="hybridMultilevel"/>
    <w:tmpl w:val="76CCF34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F510410"/>
    <w:multiLevelType w:val="hybridMultilevel"/>
    <w:tmpl w:val="0F9089EC"/>
    <w:lvl w:ilvl="0" w:tplc="3B940F7C">
      <w:numFmt w:val="bullet"/>
      <w:lvlText w:val="•"/>
      <w:lvlJc w:val="left"/>
      <w:pPr>
        <w:ind w:left="1080" w:hanging="72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53A39DB"/>
    <w:multiLevelType w:val="hybridMultilevel"/>
    <w:tmpl w:val="35A8FADC"/>
    <w:lvl w:ilvl="0" w:tplc="5B38E00E">
      <w:numFmt w:val="bullet"/>
      <w:lvlText w:val="•"/>
      <w:lvlJc w:val="left"/>
      <w:pPr>
        <w:ind w:left="1080" w:hanging="72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72B295A"/>
    <w:multiLevelType w:val="multilevel"/>
    <w:tmpl w:val="52448D90"/>
    <w:lvl w:ilvl="0">
      <w:start w:val="1"/>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8" w15:restartNumberingAfterBreak="0">
    <w:nsid w:val="3BA452DF"/>
    <w:multiLevelType w:val="multilevel"/>
    <w:tmpl w:val="F23CA9DE"/>
    <w:lvl w:ilvl="0">
      <w:start w:val="1"/>
      <w:numFmt w:val="decimal"/>
      <w:lvlText w:val="%1"/>
      <w:lvlJc w:val="left"/>
      <w:pPr>
        <w:ind w:left="400" w:hanging="400"/>
      </w:pPr>
      <w:rPr>
        <w:rFonts w:hint="default"/>
      </w:rPr>
    </w:lvl>
    <w:lvl w:ilvl="1">
      <w:start w:val="1"/>
      <w:numFmt w:val="decimal"/>
      <w:lvlText w:val="%1.%2"/>
      <w:lvlJc w:val="left"/>
      <w:pPr>
        <w:ind w:left="400" w:hanging="4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9" w15:restartNumberingAfterBreak="0">
    <w:nsid w:val="44A47F58"/>
    <w:multiLevelType w:val="hybridMultilevel"/>
    <w:tmpl w:val="4DCAAE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1D34C9F"/>
    <w:multiLevelType w:val="hybridMultilevel"/>
    <w:tmpl w:val="4620C8B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1" w15:restartNumberingAfterBreak="0">
    <w:nsid w:val="585169BD"/>
    <w:multiLevelType w:val="hybridMultilevel"/>
    <w:tmpl w:val="57F0F838"/>
    <w:lvl w:ilvl="0" w:tplc="3B940F7C">
      <w:numFmt w:val="bullet"/>
      <w:lvlText w:val="•"/>
      <w:lvlJc w:val="left"/>
      <w:pPr>
        <w:ind w:left="1080" w:hanging="72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0FB4911"/>
    <w:multiLevelType w:val="hybridMultilevel"/>
    <w:tmpl w:val="994C673A"/>
    <w:lvl w:ilvl="0" w:tplc="3B940F7C">
      <w:numFmt w:val="bullet"/>
      <w:lvlText w:val="•"/>
      <w:lvlJc w:val="left"/>
      <w:pPr>
        <w:ind w:left="1080" w:hanging="72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B5D2701"/>
    <w:multiLevelType w:val="hybridMultilevel"/>
    <w:tmpl w:val="3340A834"/>
    <w:lvl w:ilvl="0" w:tplc="5B38E00E">
      <w:numFmt w:val="bullet"/>
      <w:lvlText w:val="•"/>
      <w:lvlJc w:val="left"/>
      <w:pPr>
        <w:ind w:left="1080" w:hanging="72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BF86294"/>
    <w:multiLevelType w:val="hybridMultilevel"/>
    <w:tmpl w:val="465C94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7E906F2"/>
    <w:multiLevelType w:val="hybridMultilevel"/>
    <w:tmpl w:val="AA8C3630"/>
    <w:lvl w:ilvl="0" w:tplc="5060030E">
      <w:start w:val="1"/>
      <w:numFmt w:val="decimal"/>
      <w:lvlText w:val="%1."/>
      <w:lvlJc w:val="left"/>
      <w:pPr>
        <w:ind w:left="1080" w:hanging="360"/>
      </w:pPr>
      <w:rPr>
        <w:b/>
        <w:bCs/>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6" w15:restartNumberingAfterBreak="0">
    <w:nsid w:val="799E0461"/>
    <w:multiLevelType w:val="hybridMultilevel"/>
    <w:tmpl w:val="3BC07D2C"/>
    <w:lvl w:ilvl="0" w:tplc="3B940F7C">
      <w:numFmt w:val="bullet"/>
      <w:lvlText w:val="•"/>
      <w:lvlJc w:val="left"/>
      <w:pPr>
        <w:ind w:left="1080" w:hanging="72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75120116">
    <w:abstractNumId w:val="9"/>
  </w:num>
  <w:num w:numId="2" w16cid:durableId="550116124">
    <w:abstractNumId w:val="6"/>
  </w:num>
  <w:num w:numId="3" w16cid:durableId="2094083765">
    <w:abstractNumId w:val="13"/>
  </w:num>
  <w:num w:numId="4" w16cid:durableId="1786805632">
    <w:abstractNumId w:val="11"/>
  </w:num>
  <w:num w:numId="5" w16cid:durableId="1687902006">
    <w:abstractNumId w:val="4"/>
  </w:num>
  <w:num w:numId="6" w16cid:durableId="884875171">
    <w:abstractNumId w:val="0"/>
  </w:num>
  <w:num w:numId="7" w16cid:durableId="449665475">
    <w:abstractNumId w:val="1"/>
  </w:num>
  <w:num w:numId="8" w16cid:durableId="11153701">
    <w:abstractNumId w:val="16"/>
  </w:num>
  <w:num w:numId="9" w16cid:durableId="306469888">
    <w:abstractNumId w:val="5"/>
  </w:num>
  <w:num w:numId="10" w16cid:durableId="1383671106">
    <w:abstractNumId w:val="12"/>
  </w:num>
  <w:num w:numId="11" w16cid:durableId="1164584181">
    <w:abstractNumId w:val="15"/>
  </w:num>
  <w:num w:numId="12" w16cid:durableId="15275026">
    <w:abstractNumId w:val="2"/>
  </w:num>
  <w:num w:numId="13" w16cid:durableId="1957909832">
    <w:abstractNumId w:val="10"/>
  </w:num>
  <w:num w:numId="14" w16cid:durableId="1106578856">
    <w:abstractNumId w:val="3"/>
  </w:num>
  <w:num w:numId="15" w16cid:durableId="2010673351">
    <w:abstractNumId w:val="14"/>
  </w:num>
  <w:num w:numId="16" w16cid:durableId="1760365051">
    <w:abstractNumId w:val="8"/>
  </w:num>
  <w:num w:numId="17" w16cid:durableId="2009479125">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3"/>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0E5E"/>
    <w:rsid w:val="000221C5"/>
    <w:rsid w:val="00066130"/>
    <w:rsid w:val="00070E5E"/>
    <w:rsid w:val="000714A1"/>
    <w:rsid w:val="000B1DCD"/>
    <w:rsid w:val="000D03FA"/>
    <w:rsid w:val="0015136E"/>
    <w:rsid w:val="00196310"/>
    <w:rsid w:val="001A60D0"/>
    <w:rsid w:val="001C6E8D"/>
    <w:rsid w:val="001C76B0"/>
    <w:rsid w:val="001F265A"/>
    <w:rsid w:val="002235BF"/>
    <w:rsid w:val="002533F3"/>
    <w:rsid w:val="00264EE3"/>
    <w:rsid w:val="00290345"/>
    <w:rsid w:val="002A7B4C"/>
    <w:rsid w:val="00346F12"/>
    <w:rsid w:val="00380C2B"/>
    <w:rsid w:val="003B5AE8"/>
    <w:rsid w:val="003F4B4B"/>
    <w:rsid w:val="00440954"/>
    <w:rsid w:val="004409D6"/>
    <w:rsid w:val="00450E75"/>
    <w:rsid w:val="0048459D"/>
    <w:rsid w:val="00517E8F"/>
    <w:rsid w:val="00531576"/>
    <w:rsid w:val="0055413B"/>
    <w:rsid w:val="005900B4"/>
    <w:rsid w:val="006011A6"/>
    <w:rsid w:val="0062280B"/>
    <w:rsid w:val="00653B75"/>
    <w:rsid w:val="0065654A"/>
    <w:rsid w:val="00720378"/>
    <w:rsid w:val="00741407"/>
    <w:rsid w:val="00775F66"/>
    <w:rsid w:val="00790399"/>
    <w:rsid w:val="007E3DB3"/>
    <w:rsid w:val="007F753F"/>
    <w:rsid w:val="00806E52"/>
    <w:rsid w:val="008D35C9"/>
    <w:rsid w:val="0093105F"/>
    <w:rsid w:val="00941B3C"/>
    <w:rsid w:val="00994E4D"/>
    <w:rsid w:val="00BE1EC0"/>
    <w:rsid w:val="00BF4055"/>
    <w:rsid w:val="00C06F8F"/>
    <w:rsid w:val="00C3609B"/>
    <w:rsid w:val="00C45C01"/>
    <w:rsid w:val="00C53345"/>
    <w:rsid w:val="00C71D17"/>
    <w:rsid w:val="00C82D25"/>
    <w:rsid w:val="00C952D0"/>
    <w:rsid w:val="00CB2412"/>
    <w:rsid w:val="00D11BE7"/>
    <w:rsid w:val="00D347E2"/>
    <w:rsid w:val="00D9371D"/>
    <w:rsid w:val="00D94FAB"/>
    <w:rsid w:val="00DD0B93"/>
    <w:rsid w:val="00E4040B"/>
    <w:rsid w:val="00E56D7C"/>
    <w:rsid w:val="00E60E91"/>
    <w:rsid w:val="00E75519"/>
    <w:rsid w:val="00EA2250"/>
    <w:rsid w:val="00EA6151"/>
    <w:rsid w:val="00F1169A"/>
    <w:rsid w:val="00F2744B"/>
    <w:rsid w:val="00F633B3"/>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243333"/>
  <w15:chartTrackingRefBased/>
  <w15:docId w15:val="{AA66A9DC-F1F4-1149-805B-73CD6AB1E1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IN"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70E5E"/>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070E5E"/>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070E5E"/>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070E5E"/>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070E5E"/>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070E5E"/>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70E5E"/>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70E5E"/>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70E5E"/>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70E5E"/>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070E5E"/>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070E5E"/>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070E5E"/>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070E5E"/>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070E5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70E5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70E5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70E5E"/>
    <w:rPr>
      <w:rFonts w:eastAsiaTheme="majorEastAsia" w:cstheme="majorBidi"/>
      <w:color w:val="272727" w:themeColor="text1" w:themeTint="D8"/>
    </w:rPr>
  </w:style>
  <w:style w:type="paragraph" w:styleId="Title">
    <w:name w:val="Title"/>
    <w:basedOn w:val="Normal"/>
    <w:next w:val="Normal"/>
    <w:link w:val="TitleChar"/>
    <w:uiPriority w:val="10"/>
    <w:qFormat/>
    <w:rsid w:val="00070E5E"/>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70E5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70E5E"/>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70E5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70E5E"/>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070E5E"/>
    <w:rPr>
      <w:i/>
      <w:iCs/>
      <w:color w:val="404040" w:themeColor="text1" w:themeTint="BF"/>
    </w:rPr>
  </w:style>
  <w:style w:type="paragraph" w:styleId="ListParagraph">
    <w:name w:val="List Paragraph"/>
    <w:basedOn w:val="Normal"/>
    <w:uiPriority w:val="34"/>
    <w:qFormat/>
    <w:rsid w:val="00070E5E"/>
    <w:pPr>
      <w:ind w:left="720"/>
      <w:contextualSpacing/>
    </w:pPr>
  </w:style>
  <w:style w:type="character" w:styleId="IntenseEmphasis">
    <w:name w:val="Intense Emphasis"/>
    <w:basedOn w:val="DefaultParagraphFont"/>
    <w:uiPriority w:val="21"/>
    <w:qFormat/>
    <w:rsid w:val="00070E5E"/>
    <w:rPr>
      <w:i/>
      <w:iCs/>
      <w:color w:val="2F5496" w:themeColor="accent1" w:themeShade="BF"/>
    </w:rPr>
  </w:style>
  <w:style w:type="paragraph" w:styleId="IntenseQuote">
    <w:name w:val="Intense Quote"/>
    <w:basedOn w:val="Normal"/>
    <w:next w:val="Normal"/>
    <w:link w:val="IntenseQuoteChar"/>
    <w:uiPriority w:val="30"/>
    <w:qFormat/>
    <w:rsid w:val="00070E5E"/>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070E5E"/>
    <w:rPr>
      <w:i/>
      <w:iCs/>
      <w:color w:val="2F5496" w:themeColor="accent1" w:themeShade="BF"/>
    </w:rPr>
  </w:style>
  <w:style w:type="character" w:styleId="IntenseReference">
    <w:name w:val="Intense Reference"/>
    <w:basedOn w:val="DefaultParagraphFont"/>
    <w:uiPriority w:val="32"/>
    <w:qFormat/>
    <w:rsid w:val="00070E5E"/>
    <w:rPr>
      <w:b/>
      <w:bCs/>
      <w:smallCaps/>
      <w:color w:val="2F5496" w:themeColor="accent1" w:themeShade="BF"/>
      <w:spacing w:val="5"/>
    </w:rPr>
  </w:style>
  <w:style w:type="table" w:styleId="TableGrid">
    <w:name w:val="Table Grid"/>
    <w:basedOn w:val="TableNormal"/>
    <w:uiPriority w:val="39"/>
    <w:rsid w:val="00290345"/>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290345"/>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PlainTable3">
    <w:name w:val="Plain Table 3"/>
    <w:basedOn w:val="TableNormal"/>
    <w:uiPriority w:val="43"/>
    <w:rsid w:val="00290345"/>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4">
    <w:name w:val="Plain Table 4"/>
    <w:basedOn w:val="TableNormal"/>
    <w:uiPriority w:val="44"/>
    <w:rsid w:val="00290345"/>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5">
    <w:name w:val="Plain Table 5"/>
    <w:basedOn w:val="TableNormal"/>
    <w:uiPriority w:val="45"/>
    <w:rsid w:val="00290345"/>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GridTable1Light">
    <w:name w:val="Grid Table 1 Light"/>
    <w:basedOn w:val="TableNormal"/>
    <w:uiPriority w:val="46"/>
    <w:rsid w:val="00290345"/>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table" w:styleId="GridTable2-Accent5">
    <w:name w:val="Grid Table 2 Accent 5"/>
    <w:basedOn w:val="TableNormal"/>
    <w:uiPriority w:val="47"/>
    <w:rsid w:val="00290345"/>
    <w:tblPr>
      <w:tblStyleRowBandSize w:val="1"/>
      <w:tblStyleColBandSize w:val="1"/>
      <w:tblBorders>
        <w:top w:val="single" w:sz="2" w:space="0" w:color="9CC2E5" w:themeColor="accent5" w:themeTint="99"/>
        <w:bottom w:val="single" w:sz="2" w:space="0" w:color="9CC2E5" w:themeColor="accent5" w:themeTint="99"/>
        <w:insideH w:val="single" w:sz="2" w:space="0" w:color="9CC2E5" w:themeColor="accent5" w:themeTint="99"/>
        <w:insideV w:val="single" w:sz="2" w:space="0" w:color="9CC2E5" w:themeColor="accent5" w:themeTint="99"/>
      </w:tblBorders>
    </w:tblPr>
    <w:tblStylePr w:type="firstRow">
      <w:rPr>
        <w:b/>
        <w:bCs/>
      </w:rPr>
      <w:tblPr/>
      <w:tcPr>
        <w:tcBorders>
          <w:top w:val="nil"/>
          <w:bottom w:val="single" w:sz="12" w:space="0" w:color="9CC2E5" w:themeColor="accent5" w:themeTint="99"/>
          <w:insideH w:val="nil"/>
          <w:insideV w:val="nil"/>
        </w:tcBorders>
        <w:shd w:val="clear" w:color="auto" w:fill="FFFFFF" w:themeFill="background1"/>
      </w:tcPr>
    </w:tblStylePr>
    <w:tblStylePr w:type="lastRow">
      <w:rPr>
        <w:b/>
        <w:bCs/>
      </w:rPr>
      <w:tblPr/>
      <w:tcPr>
        <w:tcBorders>
          <w:top w:val="double" w:sz="2" w:space="0" w:color="9CC2E5" w:themeColor="accent5"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styleId="GridTable2-Accent3">
    <w:name w:val="Grid Table 2 Accent 3"/>
    <w:basedOn w:val="TableNormal"/>
    <w:uiPriority w:val="47"/>
    <w:rsid w:val="00290345"/>
    <w:tblPr>
      <w:tblStyleRowBandSize w:val="1"/>
      <w:tblStyleColBandSize w:val="1"/>
      <w:tblBorders>
        <w:top w:val="single" w:sz="2" w:space="0" w:color="C9C9C9" w:themeColor="accent3" w:themeTint="99"/>
        <w:bottom w:val="single" w:sz="2" w:space="0" w:color="C9C9C9" w:themeColor="accent3" w:themeTint="99"/>
        <w:insideH w:val="single" w:sz="2" w:space="0" w:color="C9C9C9" w:themeColor="accent3" w:themeTint="99"/>
        <w:insideV w:val="single" w:sz="2" w:space="0" w:color="C9C9C9" w:themeColor="accent3" w:themeTint="99"/>
      </w:tblBorders>
    </w:tblPr>
    <w:tblStylePr w:type="firstRow">
      <w:rPr>
        <w:b/>
        <w:bCs/>
      </w:rPr>
      <w:tblPr/>
      <w:tcPr>
        <w:tcBorders>
          <w:top w:val="nil"/>
          <w:bottom w:val="single" w:sz="12" w:space="0" w:color="C9C9C9" w:themeColor="accent3" w:themeTint="99"/>
          <w:insideH w:val="nil"/>
          <w:insideV w:val="nil"/>
        </w:tcBorders>
        <w:shd w:val="clear" w:color="auto" w:fill="FFFFFF" w:themeFill="background1"/>
      </w:tcPr>
    </w:tblStylePr>
    <w:tblStylePr w:type="lastRow">
      <w:rPr>
        <w:b/>
        <w:bCs/>
      </w:rPr>
      <w:tblPr/>
      <w:tcPr>
        <w:tcBorders>
          <w:top w:val="double" w:sz="2" w:space="0" w:color="C9C9C9" w:themeColor="accent3"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table" w:styleId="GridTable2">
    <w:name w:val="Grid Table 2"/>
    <w:basedOn w:val="TableNormal"/>
    <w:uiPriority w:val="47"/>
    <w:rsid w:val="00290345"/>
    <w:tblPr>
      <w:tblStyleRowBandSize w:val="1"/>
      <w:tblStyleColBandSize w:val="1"/>
      <w:tblBorders>
        <w:top w:val="single" w:sz="2" w:space="0" w:color="666666" w:themeColor="text1" w:themeTint="99"/>
        <w:bottom w:val="single" w:sz="2" w:space="0" w:color="666666" w:themeColor="text1" w:themeTint="99"/>
        <w:insideH w:val="single" w:sz="2" w:space="0" w:color="666666" w:themeColor="text1" w:themeTint="99"/>
        <w:insideV w:val="single" w:sz="2" w:space="0" w:color="666666" w:themeColor="text1" w:themeTint="99"/>
      </w:tblBorders>
    </w:tblPr>
    <w:tblStylePr w:type="firstRow">
      <w:rPr>
        <w:b/>
        <w:bCs/>
      </w:rPr>
      <w:tblPr/>
      <w:tcPr>
        <w:tcBorders>
          <w:top w:val="nil"/>
          <w:bottom w:val="single" w:sz="12" w:space="0" w:color="666666" w:themeColor="text1" w:themeTint="99"/>
          <w:insideH w:val="nil"/>
          <w:insideV w:val="nil"/>
        </w:tcBorders>
        <w:shd w:val="clear" w:color="auto" w:fill="FFFFFF" w:themeFill="background1"/>
      </w:tcPr>
    </w:tblStylePr>
    <w:tblStylePr w:type="lastRow">
      <w:rPr>
        <w:b/>
        <w:bCs/>
      </w:rPr>
      <w:tblPr/>
      <w:tcPr>
        <w:tcBorders>
          <w:top w:val="double" w:sz="2" w:space="0" w:color="666666" w:themeColor="tex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1Light-Accent1">
    <w:name w:val="Grid Table 1 Light Accent 1"/>
    <w:basedOn w:val="TableNormal"/>
    <w:uiPriority w:val="46"/>
    <w:rsid w:val="00290345"/>
    <w:tblPr>
      <w:tblStyleRowBandSize w:val="1"/>
      <w:tblStyleColBandSize w:val="1"/>
      <w:tblBorders>
        <w:top w:val="single" w:sz="4" w:space="0" w:color="B4C6E7" w:themeColor="accent1" w:themeTint="66"/>
        <w:left w:val="single" w:sz="4" w:space="0" w:color="B4C6E7" w:themeColor="accent1" w:themeTint="66"/>
        <w:bottom w:val="single" w:sz="4" w:space="0" w:color="B4C6E7" w:themeColor="accent1" w:themeTint="66"/>
        <w:right w:val="single" w:sz="4" w:space="0" w:color="B4C6E7" w:themeColor="accent1" w:themeTint="66"/>
        <w:insideH w:val="single" w:sz="4" w:space="0" w:color="B4C6E7" w:themeColor="accent1" w:themeTint="66"/>
        <w:insideV w:val="single" w:sz="4" w:space="0" w:color="B4C6E7" w:themeColor="accent1" w:themeTint="66"/>
      </w:tblBorders>
    </w:tblPr>
    <w:tblStylePr w:type="firstRow">
      <w:rPr>
        <w:b/>
        <w:bCs/>
      </w:rPr>
      <w:tblPr/>
      <w:tcPr>
        <w:tcBorders>
          <w:bottom w:val="single" w:sz="12" w:space="0" w:color="8EAADB" w:themeColor="accent1" w:themeTint="99"/>
        </w:tcBorders>
      </w:tcPr>
    </w:tblStylePr>
    <w:tblStylePr w:type="lastRow">
      <w:rPr>
        <w:b/>
        <w:bCs/>
      </w:rPr>
      <w:tblPr/>
      <w:tcPr>
        <w:tcBorders>
          <w:top w:val="double" w:sz="2" w:space="0" w:color="8EAADB" w:themeColor="accent1" w:themeTint="99"/>
        </w:tcBorders>
      </w:tcPr>
    </w:tblStylePr>
    <w:tblStylePr w:type="firstCol">
      <w:rPr>
        <w:b/>
        <w:bCs/>
      </w:rPr>
    </w:tblStylePr>
    <w:tblStylePr w:type="lastCol">
      <w:rPr>
        <w:b/>
        <w:bCs/>
      </w:rPr>
    </w:tblStylePr>
  </w:style>
  <w:style w:type="paragraph" w:styleId="Footer">
    <w:name w:val="footer"/>
    <w:basedOn w:val="Normal"/>
    <w:link w:val="FooterChar"/>
    <w:uiPriority w:val="99"/>
    <w:unhideWhenUsed/>
    <w:rsid w:val="003B5AE8"/>
    <w:pPr>
      <w:tabs>
        <w:tab w:val="center" w:pos="4513"/>
        <w:tab w:val="right" w:pos="9026"/>
      </w:tabs>
    </w:pPr>
  </w:style>
  <w:style w:type="character" w:customStyle="1" w:styleId="FooterChar">
    <w:name w:val="Footer Char"/>
    <w:basedOn w:val="DefaultParagraphFont"/>
    <w:link w:val="Footer"/>
    <w:uiPriority w:val="99"/>
    <w:rsid w:val="003B5AE8"/>
  </w:style>
  <w:style w:type="character" w:styleId="PageNumber">
    <w:name w:val="page number"/>
    <w:basedOn w:val="DefaultParagraphFont"/>
    <w:uiPriority w:val="99"/>
    <w:semiHidden/>
    <w:unhideWhenUsed/>
    <w:rsid w:val="003B5AE8"/>
  </w:style>
  <w:style w:type="paragraph" w:styleId="NormalWeb">
    <w:name w:val="Normal (Web)"/>
    <w:basedOn w:val="Normal"/>
    <w:uiPriority w:val="99"/>
    <w:semiHidden/>
    <w:unhideWhenUsed/>
    <w:rsid w:val="00C06F8F"/>
    <w:pPr>
      <w:spacing w:before="100" w:beforeAutospacing="1" w:after="100" w:afterAutospacing="1"/>
    </w:pPr>
    <w:rPr>
      <w:rFonts w:ascii="Times New Roman" w:eastAsia="Times New Roman" w:hAnsi="Times New Roman" w:cs="Times New Roman"/>
      <w:kern w:val="0"/>
      <w:lang w:eastAsia="en-GB"/>
      <w14:ligatures w14:val="none"/>
    </w:rPr>
  </w:style>
  <w:style w:type="paragraph" w:styleId="Header">
    <w:name w:val="header"/>
    <w:basedOn w:val="Normal"/>
    <w:link w:val="HeaderChar"/>
    <w:uiPriority w:val="99"/>
    <w:unhideWhenUsed/>
    <w:rsid w:val="001C6E8D"/>
    <w:pPr>
      <w:tabs>
        <w:tab w:val="center" w:pos="4513"/>
        <w:tab w:val="right" w:pos="9026"/>
      </w:tabs>
    </w:pPr>
  </w:style>
  <w:style w:type="character" w:customStyle="1" w:styleId="HeaderChar">
    <w:name w:val="Header Char"/>
    <w:basedOn w:val="DefaultParagraphFont"/>
    <w:link w:val="Header"/>
    <w:uiPriority w:val="99"/>
    <w:rsid w:val="001C6E8D"/>
  </w:style>
  <w:style w:type="character" w:styleId="Hyperlink">
    <w:name w:val="Hyperlink"/>
    <w:basedOn w:val="DefaultParagraphFont"/>
    <w:uiPriority w:val="99"/>
    <w:unhideWhenUsed/>
    <w:rsid w:val="00C45C01"/>
    <w:rPr>
      <w:color w:val="0563C1" w:themeColor="hyperlink"/>
      <w:u w:val="single"/>
    </w:rPr>
  </w:style>
  <w:style w:type="character" w:styleId="UnresolvedMention">
    <w:name w:val="Unresolved Mention"/>
    <w:basedOn w:val="DefaultParagraphFont"/>
    <w:uiPriority w:val="99"/>
    <w:semiHidden/>
    <w:unhideWhenUsed/>
    <w:rsid w:val="00C45C0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97251842">
      <w:bodyDiv w:val="1"/>
      <w:marLeft w:val="0"/>
      <w:marRight w:val="0"/>
      <w:marTop w:val="0"/>
      <w:marBottom w:val="0"/>
      <w:divBdr>
        <w:top w:val="none" w:sz="0" w:space="0" w:color="auto"/>
        <w:left w:val="none" w:sz="0" w:space="0" w:color="auto"/>
        <w:bottom w:val="none" w:sz="0" w:space="0" w:color="auto"/>
        <w:right w:val="none" w:sz="0" w:space="0" w:color="auto"/>
      </w:divBdr>
    </w:div>
    <w:div w:id="784271303">
      <w:bodyDiv w:val="1"/>
      <w:marLeft w:val="0"/>
      <w:marRight w:val="0"/>
      <w:marTop w:val="0"/>
      <w:marBottom w:val="0"/>
      <w:divBdr>
        <w:top w:val="none" w:sz="0" w:space="0" w:color="auto"/>
        <w:left w:val="none" w:sz="0" w:space="0" w:color="auto"/>
        <w:bottom w:val="none" w:sz="0" w:space="0" w:color="auto"/>
        <w:right w:val="none" w:sz="0" w:space="0" w:color="auto"/>
      </w:divBdr>
    </w:div>
    <w:div w:id="1495490442">
      <w:bodyDiv w:val="1"/>
      <w:marLeft w:val="0"/>
      <w:marRight w:val="0"/>
      <w:marTop w:val="0"/>
      <w:marBottom w:val="0"/>
      <w:divBdr>
        <w:top w:val="none" w:sz="0" w:space="0" w:color="auto"/>
        <w:left w:val="none" w:sz="0" w:space="0" w:color="auto"/>
        <w:bottom w:val="none" w:sz="0" w:space="0" w:color="auto"/>
        <w:right w:val="none" w:sz="0" w:space="0" w:color="auto"/>
      </w:divBdr>
    </w:div>
    <w:div w:id="1858689702">
      <w:bodyDiv w:val="1"/>
      <w:marLeft w:val="0"/>
      <w:marRight w:val="0"/>
      <w:marTop w:val="0"/>
      <w:marBottom w:val="0"/>
      <w:divBdr>
        <w:top w:val="none" w:sz="0" w:space="0" w:color="auto"/>
        <w:left w:val="none" w:sz="0" w:space="0" w:color="auto"/>
        <w:bottom w:val="none" w:sz="0" w:space="0" w:color="auto"/>
        <w:right w:val="none" w:sz="0" w:space="0" w:color="auto"/>
      </w:divBdr>
    </w:div>
    <w:div w:id="19680039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chart" Target="charts/chart5.xml"/><Relationship Id="rId18" Type="http://schemas.openxmlformats.org/officeDocument/2006/relationships/image" Target="media/image2.emf"/><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chart" Target="charts/chart4.xml"/><Relationship Id="rId17" Type="http://schemas.openxmlformats.org/officeDocument/2006/relationships/hyperlink" Target="http://www.mckinsey.com/healthcare" TargetMode="External"/><Relationship Id="rId2" Type="http://schemas.openxmlformats.org/officeDocument/2006/relationships/numbering" Target="numbering.xml"/><Relationship Id="rId16" Type="http://schemas.openxmlformats.org/officeDocument/2006/relationships/hyperlink" Target="http://www.idc.com/wearables" TargetMode="External"/><Relationship Id="rId20"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3.xml"/><Relationship Id="rId5" Type="http://schemas.openxmlformats.org/officeDocument/2006/relationships/webSettings" Target="webSettings.xml"/><Relationship Id="rId15" Type="http://schemas.openxmlformats.org/officeDocument/2006/relationships/hyperlink" Target="http://www.deloitte.com/insights" TargetMode="External"/><Relationship Id="rId10" Type="http://schemas.openxmlformats.org/officeDocument/2006/relationships/chart" Target="charts/chart2.xml"/><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chart" Target="charts/chart1.xml"/><Relationship Id="rId14" Type="http://schemas.openxmlformats.org/officeDocument/2006/relationships/chart" Target="charts/chart6.xml"/><Relationship Id="rId22"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oleObject" Target="Chart%20in%20Microsoft%20Word"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Book6"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Book6"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Book2"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Book2" TargetMode="External"/><Relationship Id="rId2" Type="http://schemas.microsoft.com/office/2011/relationships/chartColorStyle" Target="colors6.xml"/><Relationship Id="rId1" Type="http://schemas.microsoft.com/office/2011/relationships/chartStyle" Target="style6.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tx>
            <c:strRef>
              <c:f>'[Chart in Microsoft Word]Sheet1'!$B$1</c:f>
              <c:strCache>
                <c:ptCount val="1"/>
                <c:pt idx="0">
                  <c:v>percentage</c:v>
                </c:pt>
              </c:strCache>
            </c:strRef>
          </c:tx>
          <c:spPr>
            <a:gradFill flip="none" rotWithShape="1">
              <a:gsLst>
                <a:gs pos="0">
                  <a:schemeClr val="accent1"/>
                </a:gs>
                <a:gs pos="75000">
                  <a:schemeClr val="accent1">
                    <a:lumMod val="60000"/>
                    <a:lumOff val="40000"/>
                  </a:schemeClr>
                </a:gs>
                <a:gs pos="51000">
                  <a:schemeClr val="accent1">
                    <a:alpha val="75000"/>
                  </a:schemeClr>
                </a:gs>
                <a:gs pos="100000">
                  <a:schemeClr val="accent1">
                    <a:lumMod val="20000"/>
                    <a:lumOff val="80000"/>
                    <a:alpha val="15000"/>
                  </a:schemeClr>
                </a:gs>
              </a:gsLst>
              <a:lin ang="5400000" scaled="0"/>
            </a:gra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'[Chart in Microsoft Word]Sheet1'!$A$2:$A$5</c:f>
              <c:strCache>
                <c:ptCount val="4"/>
                <c:pt idx="0">
                  <c:v>25-30</c:v>
                </c:pt>
                <c:pt idx="1">
                  <c:v>31-35</c:v>
                </c:pt>
                <c:pt idx="2">
                  <c:v>36-40</c:v>
                </c:pt>
                <c:pt idx="3">
                  <c:v>41-45</c:v>
                </c:pt>
              </c:strCache>
            </c:strRef>
          </c:cat>
          <c:val>
            <c:numRef>
              <c:f>'[Chart in Microsoft Word]Sheet1'!$B$2:$B$5</c:f>
              <c:numCache>
                <c:formatCode>0%</c:formatCode>
                <c:ptCount val="4"/>
                <c:pt idx="0">
                  <c:v>0.22</c:v>
                </c:pt>
                <c:pt idx="1">
                  <c:v>0.28000000000000003</c:v>
                </c:pt>
                <c:pt idx="2">
                  <c:v>0.26</c:v>
                </c:pt>
                <c:pt idx="3">
                  <c:v>0.24</c:v>
                </c:pt>
              </c:numCache>
            </c:numRef>
          </c:val>
          <c:extLst>
            <c:ext xmlns:c16="http://schemas.microsoft.com/office/drawing/2014/chart" uri="{C3380CC4-5D6E-409C-BE32-E72D297353CC}">
              <c16:uniqueId val="{00000000-9DDD-8843-A0CF-2DC09EA4B3B7}"/>
            </c:ext>
          </c:extLst>
        </c:ser>
        <c:dLbls>
          <c:showLegendKey val="0"/>
          <c:showVal val="1"/>
          <c:showCatName val="0"/>
          <c:showSerName val="0"/>
          <c:showPercent val="0"/>
          <c:showBubbleSize val="0"/>
        </c:dLbls>
        <c:gapWidth val="75"/>
        <c:axId val="1185986416"/>
        <c:axId val="1186248240"/>
      </c:barChart>
      <c:catAx>
        <c:axId val="1185986416"/>
        <c:scaling>
          <c:orientation val="minMax"/>
        </c:scaling>
        <c:delete val="0"/>
        <c:axPos val="b"/>
        <c:title>
          <c:tx>
            <c:rich>
              <a:bodyPr rot="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GB"/>
                  <a:t>AGE GROUP</a:t>
                </a:r>
              </a:p>
            </c:rich>
          </c:tx>
          <c:overlay val="0"/>
          <c:spPr>
            <a:noFill/>
            <a:ln>
              <a:noFill/>
            </a:ln>
            <a:effectLst/>
          </c:spPr>
          <c:txPr>
            <a:bodyPr rot="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86248240"/>
        <c:crosses val="autoZero"/>
        <c:auto val="1"/>
        <c:lblAlgn val="ctr"/>
        <c:lblOffset val="100"/>
        <c:noMultiLvlLbl val="0"/>
      </c:catAx>
      <c:valAx>
        <c:axId val="1186248240"/>
        <c:scaling>
          <c:orientation val="minMax"/>
        </c:scaling>
        <c:delete val="0"/>
        <c:axPos val="l"/>
        <c:title>
          <c:tx>
            <c:rich>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GB"/>
                  <a:t>TARGET SEGMENT</a:t>
                </a:r>
              </a:p>
            </c:rich>
          </c:tx>
          <c:overlay val="0"/>
          <c:spPr>
            <a:noFill/>
            <a:ln>
              <a:noFill/>
            </a:ln>
            <a:effectLst/>
          </c:spPr>
          <c:txPr>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endParaRPr lang="en-US"/>
            </a:p>
          </c:txPr>
        </c:title>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85986416"/>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lgn="just">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tx>
            <c:strRef>
              <c:f>Sheet1!$B$1</c:f>
              <c:strCache>
                <c:ptCount val="1"/>
                <c:pt idx="0">
                  <c:v>percentage</c:v>
                </c:pt>
              </c:strCache>
            </c:strRef>
          </c:tx>
          <c:spPr>
            <a:gradFill flip="none" rotWithShape="1">
              <a:gsLst>
                <a:gs pos="0">
                  <a:schemeClr val="accent1"/>
                </a:gs>
                <a:gs pos="75000">
                  <a:schemeClr val="accent1">
                    <a:lumMod val="60000"/>
                    <a:lumOff val="40000"/>
                  </a:schemeClr>
                </a:gs>
                <a:gs pos="51000">
                  <a:schemeClr val="accent1">
                    <a:alpha val="75000"/>
                  </a:schemeClr>
                </a:gs>
                <a:gs pos="100000">
                  <a:schemeClr val="accent1">
                    <a:lumMod val="20000"/>
                    <a:lumOff val="80000"/>
                    <a:alpha val="15000"/>
                  </a:schemeClr>
                </a:gs>
              </a:gsLst>
              <a:lin ang="5400000" scaled="0"/>
            </a:gra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Sheet1!$A$2:$A$5</c:f>
              <c:strCache>
                <c:ptCount val="4"/>
                <c:pt idx="0">
                  <c:v>£35-50k</c:v>
                </c:pt>
                <c:pt idx="1">
                  <c:v>£50-75k</c:v>
                </c:pt>
                <c:pt idx="2">
                  <c:v>£75-100k</c:v>
                </c:pt>
                <c:pt idx="3">
                  <c:v>£100+</c:v>
                </c:pt>
              </c:strCache>
            </c:strRef>
          </c:cat>
          <c:val>
            <c:numRef>
              <c:f>Sheet1!$B$2:$B$5</c:f>
              <c:numCache>
                <c:formatCode>0%</c:formatCode>
                <c:ptCount val="4"/>
                <c:pt idx="0">
                  <c:v>0.18</c:v>
                </c:pt>
                <c:pt idx="1">
                  <c:v>0.32</c:v>
                </c:pt>
                <c:pt idx="2">
                  <c:v>0.28000000000000003</c:v>
                </c:pt>
                <c:pt idx="3">
                  <c:v>0.22</c:v>
                </c:pt>
              </c:numCache>
            </c:numRef>
          </c:val>
          <c:extLst>
            <c:ext xmlns:c16="http://schemas.microsoft.com/office/drawing/2014/chart" uri="{C3380CC4-5D6E-409C-BE32-E72D297353CC}">
              <c16:uniqueId val="{00000000-8AA5-A54F-8B33-E1B7246B3174}"/>
            </c:ext>
          </c:extLst>
        </c:ser>
        <c:dLbls>
          <c:dLblPos val="outEnd"/>
          <c:showLegendKey val="0"/>
          <c:showVal val="1"/>
          <c:showCatName val="0"/>
          <c:showSerName val="0"/>
          <c:showPercent val="0"/>
          <c:showBubbleSize val="0"/>
        </c:dLbls>
        <c:gapWidth val="0"/>
        <c:axId val="1198759424"/>
        <c:axId val="1198842240"/>
      </c:barChart>
      <c:catAx>
        <c:axId val="1198759424"/>
        <c:scaling>
          <c:orientation val="minMax"/>
        </c:scaling>
        <c:delete val="0"/>
        <c:axPos val="b"/>
        <c:title>
          <c:tx>
            <c:rich>
              <a:bodyPr rot="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GB"/>
                  <a:t>annual income </a:t>
                </a:r>
              </a:p>
              <a:p>
                <a:pPr>
                  <a:defRPr/>
                </a:pPr>
                <a:endParaRPr lang="en-GB"/>
              </a:p>
            </c:rich>
          </c:tx>
          <c:overlay val="0"/>
          <c:spPr>
            <a:noFill/>
            <a:ln>
              <a:noFill/>
            </a:ln>
            <a:effectLst/>
          </c:spPr>
          <c:txPr>
            <a:bodyPr rot="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98842240"/>
        <c:crosses val="autoZero"/>
        <c:auto val="1"/>
        <c:lblAlgn val="ctr"/>
        <c:lblOffset val="100"/>
        <c:noMultiLvlLbl val="0"/>
      </c:catAx>
      <c:valAx>
        <c:axId val="1198842240"/>
        <c:scaling>
          <c:orientation val="minMax"/>
        </c:scaling>
        <c:delete val="0"/>
        <c:axPos val="l"/>
        <c:title>
          <c:tx>
            <c:rich>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GB"/>
                  <a:t>target segment </a:t>
                </a:r>
              </a:p>
            </c:rich>
          </c:tx>
          <c:overlay val="0"/>
          <c:spPr>
            <a:noFill/>
            <a:ln>
              <a:noFill/>
            </a:ln>
            <a:effectLst/>
          </c:spPr>
          <c:txPr>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endParaRPr lang="en-US"/>
            </a:p>
          </c:txPr>
        </c:title>
        <c:numFmt formatCode="0%"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98759424"/>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lineChart>
        <c:grouping val="standard"/>
        <c:varyColors val="0"/>
        <c:ser>
          <c:idx val="0"/>
          <c:order val="0"/>
          <c:tx>
            <c:strRef>
              <c:f>Sheet1!$B$7</c:f>
              <c:strCache>
                <c:ptCount val="1"/>
                <c:pt idx="0">
                  <c:v>total market size (£bn)</c:v>
                </c:pt>
              </c:strCache>
            </c:strRef>
          </c:tx>
          <c:spPr>
            <a:ln w="31750" cap="rnd">
              <a:solidFill>
                <a:schemeClr val="accent1"/>
              </a:solidFill>
              <a:round/>
            </a:ln>
            <a:effectLst/>
          </c:spPr>
          <c:marker>
            <c:symbol val="circle"/>
            <c:size val="17"/>
            <c:spPr>
              <a:solidFill>
                <a:schemeClr val="accent1"/>
              </a:solidFill>
              <a:ln>
                <a:noFill/>
              </a:ln>
              <a:effectLst/>
            </c:spPr>
          </c:marker>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numRef>
              <c:f>Sheet1!$A$8:$A$14</c:f>
              <c:numCache>
                <c:formatCode>General</c:formatCode>
                <c:ptCount val="7"/>
                <c:pt idx="0">
                  <c:v>2022</c:v>
                </c:pt>
                <c:pt idx="1">
                  <c:v>2023</c:v>
                </c:pt>
                <c:pt idx="2">
                  <c:v>2024</c:v>
                </c:pt>
                <c:pt idx="3">
                  <c:v>2025</c:v>
                </c:pt>
                <c:pt idx="4">
                  <c:v>2026</c:v>
                </c:pt>
                <c:pt idx="5">
                  <c:v>2027</c:v>
                </c:pt>
                <c:pt idx="6">
                  <c:v>2028</c:v>
                </c:pt>
              </c:numCache>
            </c:numRef>
          </c:cat>
          <c:val>
            <c:numRef>
              <c:f>Sheet1!$B$8:$B$14</c:f>
              <c:numCache>
                <c:formatCode>General</c:formatCode>
                <c:ptCount val="7"/>
                <c:pt idx="0">
                  <c:v>1.8</c:v>
                </c:pt>
                <c:pt idx="1">
                  <c:v>1.95</c:v>
                </c:pt>
                <c:pt idx="2">
                  <c:v>2.1</c:v>
                </c:pt>
                <c:pt idx="3">
                  <c:v>2.2999999999999998</c:v>
                </c:pt>
                <c:pt idx="4">
                  <c:v>2.5</c:v>
                </c:pt>
                <c:pt idx="5">
                  <c:v>2.7</c:v>
                </c:pt>
                <c:pt idx="6">
                  <c:v>3</c:v>
                </c:pt>
              </c:numCache>
            </c:numRef>
          </c:val>
          <c:smooth val="0"/>
          <c:extLst>
            <c:ext xmlns:c16="http://schemas.microsoft.com/office/drawing/2014/chart" uri="{C3380CC4-5D6E-409C-BE32-E72D297353CC}">
              <c16:uniqueId val="{00000000-EA49-A844-806D-2C56906170AF}"/>
            </c:ext>
          </c:extLst>
        </c:ser>
        <c:ser>
          <c:idx val="1"/>
          <c:order val="1"/>
          <c:tx>
            <c:strRef>
              <c:f>Sheet1!$C$7</c:f>
              <c:strCache>
                <c:ptCount val="1"/>
                <c:pt idx="0">
                  <c:v>digital health insurance (£bn)</c:v>
                </c:pt>
              </c:strCache>
            </c:strRef>
          </c:tx>
          <c:spPr>
            <a:ln w="31750" cap="rnd">
              <a:solidFill>
                <a:schemeClr val="accent2"/>
              </a:solidFill>
              <a:round/>
            </a:ln>
            <a:effectLst/>
          </c:spPr>
          <c:marker>
            <c:symbol val="circle"/>
            <c:size val="17"/>
            <c:spPr>
              <a:solidFill>
                <a:schemeClr val="accent2"/>
              </a:solidFill>
              <a:ln>
                <a:noFill/>
              </a:ln>
              <a:effectLst/>
            </c:spPr>
          </c:marker>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numRef>
              <c:f>Sheet1!$A$8:$A$14</c:f>
              <c:numCache>
                <c:formatCode>General</c:formatCode>
                <c:ptCount val="7"/>
                <c:pt idx="0">
                  <c:v>2022</c:v>
                </c:pt>
                <c:pt idx="1">
                  <c:v>2023</c:v>
                </c:pt>
                <c:pt idx="2">
                  <c:v>2024</c:v>
                </c:pt>
                <c:pt idx="3">
                  <c:v>2025</c:v>
                </c:pt>
                <c:pt idx="4">
                  <c:v>2026</c:v>
                </c:pt>
                <c:pt idx="5">
                  <c:v>2027</c:v>
                </c:pt>
                <c:pt idx="6">
                  <c:v>2028</c:v>
                </c:pt>
              </c:numCache>
            </c:numRef>
          </c:cat>
          <c:val>
            <c:numRef>
              <c:f>Sheet1!$C$8:$C$14</c:f>
              <c:numCache>
                <c:formatCode>General</c:formatCode>
                <c:ptCount val="7"/>
                <c:pt idx="0">
                  <c:v>0.1</c:v>
                </c:pt>
                <c:pt idx="1">
                  <c:v>0.12</c:v>
                </c:pt>
                <c:pt idx="2">
                  <c:v>0.2</c:v>
                </c:pt>
                <c:pt idx="3">
                  <c:v>0.35</c:v>
                </c:pt>
                <c:pt idx="4">
                  <c:v>0.55000000000000004</c:v>
                </c:pt>
                <c:pt idx="5">
                  <c:v>0.85</c:v>
                </c:pt>
                <c:pt idx="6">
                  <c:v>1.3</c:v>
                </c:pt>
              </c:numCache>
            </c:numRef>
          </c:val>
          <c:smooth val="0"/>
          <c:extLst>
            <c:ext xmlns:c16="http://schemas.microsoft.com/office/drawing/2014/chart" uri="{C3380CC4-5D6E-409C-BE32-E72D297353CC}">
              <c16:uniqueId val="{00000001-EA49-A844-806D-2C56906170AF}"/>
            </c:ext>
          </c:extLst>
        </c:ser>
        <c:dLbls>
          <c:dLblPos val="ctr"/>
          <c:showLegendKey val="0"/>
          <c:showVal val="1"/>
          <c:showCatName val="0"/>
          <c:showSerName val="0"/>
          <c:showPercent val="0"/>
          <c:showBubbleSize val="0"/>
        </c:dLbls>
        <c:marker val="1"/>
        <c:smooth val="0"/>
        <c:axId val="1249058320"/>
        <c:axId val="1249749392"/>
      </c:lineChart>
      <c:catAx>
        <c:axId val="1249058320"/>
        <c:scaling>
          <c:orientation val="minMax"/>
        </c:scaling>
        <c:delete val="0"/>
        <c:axPos val="b"/>
        <c:title>
          <c:tx>
            <c:rich>
              <a:bodyPr rot="0" spcFirstLastPara="1" vertOverflow="ellipsis" vert="horz" wrap="square" anchor="ctr" anchorCtr="1"/>
              <a:lstStyle/>
              <a:p>
                <a:pPr>
                  <a:defRPr sz="900" b="1" i="0" u="none" strike="noStrike" kern="1200" baseline="0">
                    <a:solidFill>
                      <a:schemeClr val="dk1">
                        <a:lumMod val="75000"/>
                        <a:lumOff val="25000"/>
                      </a:schemeClr>
                    </a:solidFill>
                    <a:latin typeface="+mn-lt"/>
                    <a:ea typeface="+mn-ea"/>
                    <a:cs typeface="+mn-cs"/>
                  </a:defRPr>
                </a:pPr>
                <a:r>
                  <a:rPr lang="en-GB"/>
                  <a:t>year</a:t>
                </a:r>
              </a:p>
            </c:rich>
          </c:tx>
          <c:overlay val="0"/>
          <c:spPr>
            <a:noFill/>
            <a:ln>
              <a:noFill/>
            </a:ln>
            <a:effectLst/>
          </c:spPr>
          <c:txPr>
            <a:bodyPr rot="0" spcFirstLastPara="1" vertOverflow="ellipsis" vert="horz" wrap="square" anchor="ctr" anchorCtr="1"/>
            <a:lstStyle/>
            <a:p>
              <a:pPr>
                <a:defRPr sz="900" b="1" i="0" u="none" strike="noStrike" kern="1200" baseline="0">
                  <a:solidFill>
                    <a:schemeClr val="dk1">
                      <a:lumMod val="75000"/>
                      <a:lumOff val="25000"/>
                    </a:schemeClr>
                  </a:solidFill>
                  <a:latin typeface="+mn-lt"/>
                  <a:ea typeface="+mn-ea"/>
                  <a:cs typeface="+mn-cs"/>
                </a:defRPr>
              </a:pPr>
              <a:endParaRPr lang="en-US"/>
            </a:p>
          </c:txPr>
        </c:title>
        <c:numFmt formatCode="General" sourceLinked="1"/>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dk1">
                    <a:lumMod val="75000"/>
                    <a:lumOff val="25000"/>
                  </a:schemeClr>
                </a:solidFill>
                <a:latin typeface="+mn-lt"/>
                <a:ea typeface="+mn-ea"/>
                <a:cs typeface="+mn-cs"/>
              </a:defRPr>
            </a:pPr>
            <a:endParaRPr lang="en-US"/>
          </a:p>
        </c:txPr>
        <c:crossAx val="1249749392"/>
        <c:crosses val="autoZero"/>
        <c:auto val="1"/>
        <c:lblAlgn val="ctr"/>
        <c:lblOffset val="100"/>
        <c:noMultiLvlLbl val="0"/>
      </c:catAx>
      <c:valAx>
        <c:axId val="1249749392"/>
        <c:scaling>
          <c:orientation val="minMax"/>
        </c:scaling>
        <c:delete val="0"/>
        <c:axPos val="l"/>
        <c:majorGridlines>
          <c:spPr>
            <a:ln w="9525" cap="flat" cmpd="sng" algn="ctr">
              <a:gradFill>
                <a:gsLst>
                  <a:gs pos="100000">
                    <a:schemeClr val="dk1">
                      <a:lumMod val="95000"/>
                      <a:lumOff val="5000"/>
                      <a:alpha val="42000"/>
                    </a:schemeClr>
                  </a:gs>
                  <a:gs pos="0">
                    <a:schemeClr val="lt1">
                      <a:lumMod val="75000"/>
                      <a:alpha val="36000"/>
                    </a:schemeClr>
                  </a:gs>
                </a:gsLst>
                <a:lin ang="5400000" scaled="0"/>
              </a:gradFill>
              <a:round/>
            </a:ln>
            <a:effectLst/>
          </c:spPr>
        </c:majorGridlines>
        <c:title>
          <c:tx>
            <c:rich>
              <a:bodyPr rot="-5400000" spcFirstLastPara="1" vertOverflow="ellipsis" vert="horz" wrap="square" anchor="ctr" anchorCtr="1"/>
              <a:lstStyle/>
              <a:p>
                <a:pPr>
                  <a:defRPr sz="900" b="1" i="0" u="none" strike="noStrike" kern="1200" baseline="0">
                    <a:solidFill>
                      <a:schemeClr val="dk1">
                        <a:lumMod val="75000"/>
                        <a:lumOff val="25000"/>
                      </a:schemeClr>
                    </a:solidFill>
                    <a:latin typeface="+mn-lt"/>
                    <a:ea typeface="+mn-ea"/>
                    <a:cs typeface="+mn-cs"/>
                  </a:defRPr>
                </a:pPr>
                <a:r>
                  <a:rPr lang="en-GB"/>
                  <a:t>market</a:t>
                </a:r>
                <a:r>
                  <a:rPr lang="en-GB" baseline="0"/>
                  <a:t> size (£bn)</a:t>
                </a:r>
              </a:p>
              <a:p>
                <a:pPr>
                  <a:defRPr/>
                </a:pPr>
                <a:endParaRPr lang="en-GB"/>
              </a:p>
            </c:rich>
          </c:tx>
          <c:overlay val="0"/>
          <c:spPr>
            <a:noFill/>
            <a:ln>
              <a:noFill/>
            </a:ln>
            <a:effectLst/>
          </c:spPr>
          <c:txPr>
            <a:bodyPr rot="-5400000" spcFirstLastPara="1" vertOverflow="ellipsis" vert="horz" wrap="square" anchor="ctr" anchorCtr="1"/>
            <a:lstStyle/>
            <a:p>
              <a:pPr>
                <a:defRPr sz="900" b="1" i="0" u="none" strike="noStrike" kern="1200" baseline="0">
                  <a:solidFill>
                    <a:schemeClr val="dk1">
                      <a:lumMod val="75000"/>
                      <a:lumOff val="25000"/>
                    </a:schemeClr>
                  </a:solidFill>
                  <a:latin typeface="+mn-lt"/>
                  <a:ea typeface="+mn-ea"/>
                  <a:cs typeface="+mn-cs"/>
                </a:defRPr>
              </a:pPr>
              <a:endParaRPr lang="en-US"/>
            </a:p>
          </c:txPr>
        </c:title>
        <c:numFmt formatCode="General"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crossAx val="1249058320"/>
        <c:crosses val="autoZero"/>
        <c:crossBetween val="between"/>
      </c:valAx>
      <c:spPr>
        <a:noFill/>
        <a:ln>
          <a:noFill/>
        </a:ln>
        <a:effectLst/>
      </c:spPr>
    </c:plotArea>
    <c:legend>
      <c:legendPos val="b"/>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scatterChart>
        <c:scatterStyle val="lineMarker"/>
        <c:varyColors val="0"/>
        <c:ser>
          <c:idx val="0"/>
          <c:order val="0"/>
          <c:tx>
            <c:strRef>
              <c:f>Sheet1!$C$1</c:f>
              <c:strCache>
                <c:ptCount val="1"/>
                <c:pt idx="0">
                  <c:v>personalisation</c:v>
                </c:pt>
              </c:strCache>
            </c:strRef>
          </c:tx>
          <c:spPr>
            <a:ln w="9525" cap="flat" cmpd="sng" algn="ctr">
              <a:solidFill>
                <a:schemeClr val="accent1">
                  <a:alpha val="70000"/>
                </a:schemeClr>
              </a:solidFill>
              <a:prstDash val="sysDot"/>
              <a:round/>
            </a:ln>
            <a:effectLst/>
          </c:spPr>
          <c:marker>
            <c:symbol val="circle"/>
            <c:size val="5"/>
            <c:spPr>
              <a:gradFill rotWithShape="1">
                <a:gsLst>
                  <a:gs pos="0">
                    <a:schemeClr val="accent1">
                      <a:lumMod val="110000"/>
                      <a:satMod val="105000"/>
                      <a:tint val="67000"/>
                    </a:schemeClr>
                  </a:gs>
                  <a:gs pos="50000">
                    <a:schemeClr val="accent1">
                      <a:lumMod val="105000"/>
                      <a:satMod val="103000"/>
                      <a:tint val="73000"/>
                    </a:schemeClr>
                  </a:gs>
                  <a:gs pos="100000">
                    <a:schemeClr val="accent1">
                      <a:lumMod val="105000"/>
                      <a:satMod val="109000"/>
                      <a:tint val="81000"/>
                    </a:schemeClr>
                  </a:gs>
                </a:gsLst>
                <a:lin ang="5400000" scaled="0"/>
              </a:gradFill>
              <a:ln w="9525" cap="flat" cmpd="sng" algn="ctr">
                <a:solidFill>
                  <a:schemeClr val="accent1">
                    <a:shade val="95000"/>
                  </a:schemeClr>
                </a:solidFill>
                <a:round/>
              </a:ln>
              <a:effectLst/>
            </c:spPr>
          </c:marker>
          <c:dLbls>
            <c:dLbl>
              <c:idx val="0"/>
              <c:tx>
                <c:rich>
                  <a:bodyPr/>
                  <a:lstStyle/>
                  <a:p>
                    <a:r>
                      <a:rPr lang="en-US" b="1"/>
                      <a:t>NHS</a:t>
                    </a:r>
                  </a:p>
                </c:rich>
              </c:tx>
              <c:dLblPos val="t"/>
              <c:showLegendKey val="0"/>
              <c:showVal val="1"/>
              <c:showCatName val="0"/>
              <c:showSerName val="0"/>
              <c:showPercent val="0"/>
              <c:showBubbleSize val="0"/>
              <c:extLst>
                <c:ext xmlns:c15="http://schemas.microsoft.com/office/drawing/2012/chart" uri="{CE6537A1-D6FC-4f65-9D91-7224C49458BB}">
                  <c15:showDataLabelsRange val="0"/>
                </c:ext>
                <c:ext xmlns:c16="http://schemas.microsoft.com/office/drawing/2014/chart" uri="{C3380CC4-5D6E-409C-BE32-E72D297353CC}">
                  <c16:uniqueId val="{00000000-D89F-6945-8AE5-65A83A5DEF42}"/>
                </c:ext>
              </c:extLst>
            </c:dLbl>
            <c:dLbl>
              <c:idx val="1"/>
              <c:tx>
                <c:rich>
                  <a:bodyPr/>
                  <a:lstStyle/>
                  <a:p>
                    <a:r>
                      <a:rPr lang="en-US" b="1"/>
                      <a:t>Bupa</a:t>
                    </a:r>
                  </a:p>
                </c:rich>
              </c:tx>
              <c:dLblPos val="t"/>
              <c:showLegendKey val="0"/>
              <c:showVal val="1"/>
              <c:showCatName val="0"/>
              <c:showSerName val="0"/>
              <c:showPercent val="0"/>
              <c:showBubbleSize val="0"/>
              <c:extLst>
                <c:ext xmlns:c15="http://schemas.microsoft.com/office/drawing/2012/chart" uri="{CE6537A1-D6FC-4f65-9D91-7224C49458BB}">
                  <c15:showDataLabelsRange val="0"/>
                </c:ext>
                <c:ext xmlns:c16="http://schemas.microsoft.com/office/drawing/2014/chart" uri="{C3380CC4-5D6E-409C-BE32-E72D297353CC}">
                  <c16:uniqueId val="{00000001-D89F-6945-8AE5-65A83A5DEF42}"/>
                </c:ext>
              </c:extLst>
            </c:dLbl>
            <c:dLbl>
              <c:idx val="2"/>
              <c:tx>
                <c:rich>
                  <a:bodyPr/>
                  <a:lstStyle/>
                  <a:p>
                    <a:r>
                      <a:rPr lang="en-US" b="1"/>
                      <a:t>AXA</a:t>
                    </a:r>
                  </a:p>
                </c:rich>
              </c:tx>
              <c:dLblPos val="t"/>
              <c:showLegendKey val="0"/>
              <c:showVal val="1"/>
              <c:showCatName val="0"/>
              <c:showSerName val="0"/>
              <c:showPercent val="0"/>
              <c:showBubbleSize val="0"/>
              <c:extLst>
                <c:ext xmlns:c15="http://schemas.microsoft.com/office/drawing/2012/chart" uri="{CE6537A1-D6FC-4f65-9D91-7224C49458BB}">
                  <c15:showDataLabelsRange val="0"/>
                </c:ext>
                <c:ext xmlns:c16="http://schemas.microsoft.com/office/drawing/2014/chart" uri="{C3380CC4-5D6E-409C-BE32-E72D297353CC}">
                  <c16:uniqueId val="{00000002-D89F-6945-8AE5-65A83A5DEF42}"/>
                </c:ext>
              </c:extLst>
            </c:dLbl>
            <c:dLbl>
              <c:idx val="3"/>
              <c:tx>
                <c:rich>
                  <a:bodyPr/>
                  <a:lstStyle/>
                  <a:p>
                    <a:r>
                      <a:rPr lang="en-US" b="1"/>
                      <a:t>vitality</a:t>
                    </a:r>
                  </a:p>
                </c:rich>
              </c:tx>
              <c:dLblPos val="t"/>
              <c:showLegendKey val="0"/>
              <c:showVal val="1"/>
              <c:showCatName val="0"/>
              <c:showSerName val="0"/>
              <c:showPercent val="0"/>
              <c:showBubbleSize val="0"/>
              <c:extLst>
                <c:ext xmlns:c15="http://schemas.microsoft.com/office/drawing/2012/chart" uri="{CE6537A1-D6FC-4f65-9D91-7224C49458BB}">
                  <c15:showDataLabelsRange val="0"/>
                </c:ext>
                <c:ext xmlns:c16="http://schemas.microsoft.com/office/drawing/2014/chart" uri="{C3380CC4-5D6E-409C-BE32-E72D297353CC}">
                  <c16:uniqueId val="{00000003-D89F-6945-8AE5-65A83A5DEF42}"/>
                </c:ext>
              </c:extLst>
            </c:dLbl>
            <c:dLbl>
              <c:idx val="4"/>
              <c:tx>
                <c:rich>
                  <a:bodyPr/>
                  <a:lstStyle/>
                  <a:p>
                    <a:r>
                      <a:rPr lang="en-US" b="1"/>
                      <a:t>Oscar</a:t>
                    </a:r>
                    <a:r>
                      <a:rPr lang="en-US" b="1" baseline="0"/>
                      <a:t> health</a:t>
                    </a:r>
                  </a:p>
                </c:rich>
              </c:tx>
              <c:dLblPos val="t"/>
              <c:showLegendKey val="0"/>
              <c:showVal val="1"/>
              <c:showCatName val="0"/>
              <c:showSerName val="0"/>
              <c:showPercent val="0"/>
              <c:showBubbleSize val="0"/>
              <c:extLst>
                <c:ext xmlns:c15="http://schemas.microsoft.com/office/drawing/2012/chart" uri="{CE6537A1-D6FC-4f65-9D91-7224C49458BB}">
                  <c15:showDataLabelsRange val="0"/>
                </c:ext>
                <c:ext xmlns:c16="http://schemas.microsoft.com/office/drawing/2014/chart" uri="{C3380CC4-5D6E-409C-BE32-E72D297353CC}">
                  <c16:uniqueId val="{00000004-D89F-6945-8AE5-65A83A5DEF42}"/>
                </c:ext>
              </c:extLst>
            </c:dLbl>
            <c:dLbl>
              <c:idx val="5"/>
              <c:tx>
                <c:rich>
                  <a:bodyPr/>
                  <a:lstStyle/>
                  <a:p>
                    <a:r>
                      <a:rPr lang="en-US" b="1"/>
                      <a:t>Apple</a:t>
                    </a:r>
                    <a:r>
                      <a:rPr lang="en-US" b="1" baseline="0"/>
                      <a:t> HealthGuard</a:t>
                    </a:r>
                    <a:endParaRPr lang="en-US" b="1"/>
                  </a:p>
                </c:rich>
              </c:tx>
              <c:dLblPos val="t"/>
              <c:showLegendKey val="0"/>
              <c:showVal val="1"/>
              <c:showCatName val="0"/>
              <c:showSerName val="0"/>
              <c:showPercent val="0"/>
              <c:showBubbleSize val="0"/>
              <c:extLst>
                <c:ext xmlns:c15="http://schemas.microsoft.com/office/drawing/2012/chart" uri="{CE6537A1-D6FC-4f65-9D91-7224C49458BB}">
                  <c15:showDataLabelsRange val="0"/>
                </c:ext>
                <c:ext xmlns:c16="http://schemas.microsoft.com/office/drawing/2014/chart" uri="{C3380CC4-5D6E-409C-BE32-E72D297353CC}">
                  <c16:uniqueId val="{00000005-D89F-6945-8AE5-65A83A5DEF42}"/>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65000"/>
                        <a:lumOff val="35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rnd">
                      <a:solidFill>
                        <a:schemeClr val="dk1">
                          <a:lumMod val="35000"/>
                          <a:lumOff val="65000"/>
                        </a:schemeClr>
                      </a:solidFill>
                      <a:round/>
                    </a:ln>
                    <a:effectLst/>
                  </c:spPr>
                </c15:leaderLines>
              </c:ext>
            </c:extLst>
          </c:dLbls>
          <c:xVal>
            <c:numRef>
              <c:f>Sheet1!$B$2:$B$7</c:f>
              <c:numCache>
                <c:formatCode>General</c:formatCode>
                <c:ptCount val="6"/>
                <c:pt idx="0">
                  <c:v>0.2</c:v>
                </c:pt>
                <c:pt idx="1">
                  <c:v>0.35</c:v>
                </c:pt>
                <c:pt idx="2">
                  <c:v>0.4</c:v>
                </c:pt>
                <c:pt idx="3">
                  <c:v>0.65</c:v>
                </c:pt>
                <c:pt idx="4">
                  <c:v>0.7</c:v>
                </c:pt>
                <c:pt idx="5">
                  <c:v>0.85</c:v>
                </c:pt>
              </c:numCache>
            </c:numRef>
          </c:xVal>
          <c:yVal>
            <c:numRef>
              <c:f>Sheet1!$C$2:$C$7</c:f>
              <c:numCache>
                <c:formatCode>General</c:formatCode>
                <c:ptCount val="6"/>
                <c:pt idx="0">
                  <c:v>0.3</c:v>
                </c:pt>
                <c:pt idx="1">
                  <c:v>0.4</c:v>
                </c:pt>
                <c:pt idx="2">
                  <c:v>0.45</c:v>
                </c:pt>
                <c:pt idx="3">
                  <c:v>0.55000000000000004</c:v>
                </c:pt>
                <c:pt idx="4">
                  <c:v>0.6</c:v>
                </c:pt>
                <c:pt idx="5">
                  <c:v>0.8</c:v>
                </c:pt>
              </c:numCache>
            </c:numRef>
          </c:yVal>
          <c:smooth val="0"/>
          <c:extLst>
            <c:ext xmlns:c16="http://schemas.microsoft.com/office/drawing/2014/chart" uri="{C3380CC4-5D6E-409C-BE32-E72D297353CC}">
              <c16:uniqueId val="{00000006-D89F-6945-8AE5-65A83A5DEF42}"/>
            </c:ext>
          </c:extLst>
        </c:ser>
        <c:dLbls>
          <c:dLblPos val="t"/>
          <c:showLegendKey val="0"/>
          <c:showVal val="1"/>
          <c:showCatName val="0"/>
          <c:showSerName val="0"/>
          <c:showPercent val="0"/>
          <c:showBubbleSize val="0"/>
        </c:dLbls>
        <c:axId val="556235536"/>
        <c:axId val="581401840"/>
      </c:scatterChart>
      <c:valAx>
        <c:axId val="556235536"/>
        <c:scaling>
          <c:orientation val="minMax"/>
        </c:scaling>
        <c:delete val="0"/>
        <c:axPos val="b"/>
        <c:majorGridlines>
          <c:spPr>
            <a:ln w="9525" cap="flat" cmpd="sng" algn="ctr">
              <a:solidFill>
                <a:schemeClr val="dk1">
                  <a:lumMod val="15000"/>
                  <a:lumOff val="85000"/>
                </a:schemeClr>
              </a:solidFill>
              <a:round/>
            </a:ln>
            <a:effectLst/>
          </c:spPr>
        </c:majorGridlines>
        <c:title>
          <c:tx>
            <c:rich>
              <a:bodyPr rot="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r>
                  <a:rPr lang="en-GB" b="1"/>
                  <a:t>technology</a:t>
                </a:r>
                <a:r>
                  <a:rPr lang="en-GB" b="1" baseline="0"/>
                  <a:t> integration</a:t>
                </a:r>
                <a:endParaRPr lang="en-GB" b="1"/>
              </a:p>
            </c:rich>
          </c:tx>
          <c:overlay val="0"/>
          <c:spPr>
            <a:noFill/>
            <a:ln>
              <a:noFill/>
            </a:ln>
            <a:effectLst/>
          </c:spPr>
          <c:txPr>
            <a:bodyPr rot="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GB"/>
            </a:p>
          </c:txPr>
        </c:title>
        <c:numFmt formatCode="General" sourceLinked="1"/>
        <c:majorTickMark val="none"/>
        <c:minorTickMark val="none"/>
        <c:tickLblPos val="nextTo"/>
        <c:spPr>
          <a:noFill/>
          <a:ln w="9525" cap="rnd">
            <a:solidFill>
              <a:schemeClr val="dk1">
                <a:lumMod val="20000"/>
                <a:lumOff val="80000"/>
              </a:schemeClr>
            </a:solidFill>
            <a:round/>
          </a:ln>
          <a:effectLst/>
        </c:spPr>
        <c:txPr>
          <a:bodyPr rot="-60000000" spcFirstLastPara="1" vertOverflow="ellipsis" vert="horz" wrap="square" anchor="ctr" anchorCtr="1"/>
          <a:lstStyle/>
          <a:p>
            <a:pPr>
              <a:defRPr sz="900" b="0" i="0" u="none" strike="noStrike" kern="1200" spc="0" baseline="0">
                <a:solidFill>
                  <a:schemeClr val="dk1">
                    <a:lumMod val="65000"/>
                    <a:lumOff val="35000"/>
                  </a:schemeClr>
                </a:solidFill>
                <a:latin typeface="+mn-lt"/>
                <a:ea typeface="+mn-ea"/>
                <a:cs typeface="+mn-cs"/>
              </a:defRPr>
            </a:pPr>
            <a:endParaRPr lang="en-US"/>
          </a:p>
        </c:txPr>
        <c:crossAx val="581401840"/>
        <c:crosses val="autoZero"/>
        <c:crossBetween val="midCat"/>
      </c:valAx>
      <c:valAx>
        <c:axId val="581401840"/>
        <c:scaling>
          <c:orientation val="minMax"/>
        </c:scaling>
        <c:delete val="0"/>
        <c:axPos val="l"/>
        <c:majorGridlines>
          <c:spPr>
            <a:ln w="9525" cap="flat" cmpd="sng" algn="ctr">
              <a:solidFill>
                <a:schemeClr val="dk1">
                  <a:lumMod val="15000"/>
                  <a:lumOff val="85000"/>
                </a:schemeClr>
              </a:solidFill>
              <a:round/>
            </a:ln>
            <a:effectLst/>
          </c:spPr>
        </c:majorGridlines>
        <c:title>
          <c:tx>
            <c:rich>
              <a:bodyPr rot="-540000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r>
                  <a:rPr lang="en-GB" b="1"/>
                  <a:t>personalisation</a:t>
                </a:r>
              </a:p>
            </c:rich>
          </c:tx>
          <c:overlay val="0"/>
          <c:spPr>
            <a:noFill/>
            <a:ln>
              <a:noFill/>
            </a:ln>
            <a:effectLst/>
          </c:spPr>
          <c:txPr>
            <a:bodyPr rot="-540000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rnd">
            <a:solidFill>
              <a:schemeClr val="dk1">
                <a:lumMod val="25000"/>
                <a:lumOff val="75000"/>
              </a:schemeClr>
            </a:solidFill>
            <a:round/>
          </a:ln>
          <a:effectLst/>
        </c:spPr>
        <c:txPr>
          <a:bodyPr rot="-60000000" spcFirstLastPara="1" vertOverflow="ellipsis" vert="horz" wrap="square" anchor="ctr" anchorCtr="1"/>
          <a:lstStyle/>
          <a:p>
            <a:pPr>
              <a:defRPr sz="900" b="0" i="0" u="none" strike="noStrike" kern="1200" spc="0" baseline="0">
                <a:solidFill>
                  <a:schemeClr val="dk1">
                    <a:lumMod val="65000"/>
                    <a:lumOff val="35000"/>
                  </a:schemeClr>
                </a:solidFill>
                <a:latin typeface="+mn-lt"/>
                <a:ea typeface="+mn-ea"/>
                <a:cs typeface="+mn-cs"/>
              </a:defRPr>
            </a:pPr>
            <a:endParaRPr lang="en-US"/>
          </a:p>
        </c:txPr>
        <c:crossAx val="556235536"/>
        <c:crosses val="autoZero"/>
        <c:crossBetween val="midCat"/>
      </c:valAx>
      <c:spPr>
        <a:gradFill>
          <a:gsLst>
            <a:gs pos="100000">
              <a:schemeClr val="lt1">
                <a:lumMod val="95000"/>
              </a:schemeClr>
            </a:gs>
            <a:gs pos="0">
              <a:schemeClr val="lt1">
                <a:alpha val="0"/>
              </a:schemeClr>
            </a:gs>
          </a:gsLst>
          <a:lin ang="5400000" scaled="0"/>
        </a:gradFill>
        <a:ln>
          <a:noFill/>
        </a:ln>
        <a:effectLst/>
      </c:spPr>
    </c:plotArea>
    <c:plotVisOnly val="1"/>
    <c:dispBlanksAs val="gap"/>
    <c:showDLblsOverMax val="0"/>
  </c:chart>
  <c:spPr>
    <a:solidFill>
      <a:schemeClr val="lt1"/>
    </a:solid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pieChart>
        <c:varyColors val="1"/>
        <c:ser>
          <c:idx val="0"/>
          <c:order val="0"/>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AB3A-FA48-B2C4-E4EA1F34C68E}"/>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AB3A-FA48-B2C4-E4EA1F34C68E}"/>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AB3A-FA48-B2C4-E4EA1F34C68E}"/>
              </c:ext>
            </c:extLst>
          </c:dPt>
          <c:dPt>
            <c:idx val="3"/>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AB3A-FA48-B2C4-E4EA1F34C68E}"/>
              </c:ext>
            </c:extLst>
          </c:dPt>
          <c:dPt>
            <c:idx val="4"/>
            <c:bubble3D val="0"/>
            <c:spPr>
              <a:solidFill>
                <a:schemeClr val="accent5"/>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9-AB3A-FA48-B2C4-E4EA1F34C68E}"/>
              </c:ext>
            </c:extLst>
          </c:dPt>
          <c:dPt>
            <c:idx val="5"/>
            <c:bubble3D val="0"/>
            <c:spPr>
              <a:solidFill>
                <a:schemeClr val="accent6"/>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B-AB3A-FA48-B2C4-E4EA1F34C68E}"/>
              </c:ext>
            </c:extLst>
          </c:dPt>
          <c:dPt>
            <c:idx val="6"/>
            <c:bubble3D val="0"/>
            <c:spPr>
              <a:solidFill>
                <a:schemeClr val="accent1">
                  <a:lumMod val="60000"/>
                </a:schemeClr>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D-AB3A-FA48-B2C4-E4EA1F34C68E}"/>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Sheet1!$A$1:$A$7</c:f>
              <c:strCache>
                <c:ptCount val="7"/>
                <c:pt idx="0">
                  <c:v>physical evidence </c:v>
                </c:pt>
                <c:pt idx="1">
                  <c:v>process</c:v>
                </c:pt>
                <c:pt idx="2">
                  <c:v>people</c:v>
                </c:pt>
                <c:pt idx="3">
                  <c:v>promotion</c:v>
                </c:pt>
                <c:pt idx="4">
                  <c:v>place</c:v>
                </c:pt>
                <c:pt idx="5">
                  <c:v>price</c:v>
                </c:pt>
                <c:pt idx="6">
                  <c:v>product</c:v>
                </c:pt>
              </c:strCache>
            </c:strRef>
          </c:cat>
          <c:val>
            <c:numRef>
              <c:f>Sheet1!$B$1:$B$7</c:f>
              <c:numCache>
                <c:formatCode>0%</c:formatCode>
                <c:ptCount val="7"/>
                <c:pt idx="0">
                  <c:v>0.1</c:v>
                </c:pt>
                <c:pt idx="1">
                  <c:v>0.12</c:v>
                </c:pt>
                <c:pt idx="2">
                  <c:v>0.11</c:v>
                </c:pt>
                <c:pt idx="3">
                  <c:v>0.17</c:v>
                </c:pt>
                <c:pt idx="4">
                  <c:v>0.13</c:v>
                </c:pt>
                <c:pt idx="5">
                  <c:v>0.17</c:v>
                </c:pt>
                <c:pt idx="6">
                  <c:v>0.2</c:v>
                </c:pt>
              </c:numCache>
            </c:numRef>
          </c:val>
          <c:extLst>
            <c:ext xmlns:c16="http://schemas.microsoft.com/office/drawing/2014/chart" uri="{C3380CC4-5D6E-409C-BE32-E72D297353CC}">
              <c16:uniqueId val="{0000000E-AB3A-FA48-B2C4-E4EA1F34C68E}"/>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stacked"/>
        <c:varyColors val="0"/>
        <c:ser>
          <c:idx val="0"/>
          <c:order val="0"/>
          <c:tx>
            <c:strRef>
              <c:f>Sheet1!$B$9</c:f>
              <c:strCache>
                <c:ptCount val="1"/>
                <c:pt idx="0">
                  <c:v>traditional (£)</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Sheet1!$A$10:$A$13</c:f>
              <c:strCache>
                <c:ptCount val="4"/>
                <c:pt idx="0">
                  <c:v>Sendentary (&lt;3k steps/day)</c:v>
                </c:pt>
                <c:pt idx="1">
                  <c:v>Moderate (5k-7k steps)</c:v>
                </c:pt>
                <c:pt idx="2">
                  <c:v>Active (8k-10k steps)</c:v>
                </c:pt>
                <c:pt idx="3">
                  <c:v>Highly Active(10k+steps)</c:v>
                </c:pt>
              </c:strCache>
            </c:strRef>
          </c:cat>
          <c:val>
            <c:numRef>
              <c:f>Sheet1!$B$10:$B$13</c:f>
              <c:numCache>
                <c:formatCode>General</c:formatCode>
                <c:ptCount val="4"/>
                <c:pt idx="0">
                  <c:v>120</c:v>
                </c:pt>
                <c:pt idx="1">
                  <c:v>120</c:v>
                </c:pt>
                <c:pt idx="2">
                  <c:v>120</c:v>
                </c:pt>
                <c:pt idx="3">
                  <c:v>120</c:v>
                </c:pt>
              </c:numCache>
            </c:numRef>
          </c:val>
          <c:extLst>
            <c:ext xmlns:c16="http://schemas.microsoft.com/office/drawing/2014/chart" uri="{C3380CC4-5D6E-409C-BE32-E72D297353CC}">
              <c16:uniqueId val="{00000000-05D6-3A4D-8211-236107EB5123}"/>
            </c:ext>
          </c:extLst>
        </c:ser>
        <c:ser>
          <c:idx val="1"/>
          <c:order val="1"/>
          <c:tx>
            <c:strRef>
              <c:f>Sheet1!$C$9</c:f>
              <c:strCache>
                <c:ptCount val="1"/>
                <c:pt idx="0">
                  <c:v>HealthGuard (£)</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Sheet1!$A$10:$A$13</c:f>
              <c:strCache>
                <c:ptCount val="4"/>
                <c:pt idx="0">
                  <c:v>Sendentary (&lt;3k steps/day)</c:v>
                </c:pt>
                <c:pt idx="1">
                  <c:v>Moderate (5k-7k steps)</c:v>
                </c:pt>
                <c:pt idx="2">
                  <c:v>Active (8k-10k steps)</c:v>
                </c:pt>
                <c:pt idx="3">
                  <c:v>Highly Active(10k+steps)</c:v>
                </c:pt>
              </c:strCache>
            </c:strRef>
          </c:cat>
          <c:val>
            <c:numRef>
              <c:f>Sheet1!$C$10:$C$13</c:f>
              <c:numCache>
                <c:formatCode>General</c:formatCode>
                <c:ptCount val="4"/>
                <c:pt idx="0">
                  <c:v>118</c:v>
                </c:pt>
                <c:pt idx="1">
                  <c:v>105</c:v>
                </c:pt>
                <c:pt idx="2">
                  <c:v>92</c:v>
                </c:pt>
                <c:pt idx="3">
                  <c:v>84</c:v>
                </c:pt>
              </c:numCache>
            </c:numRef>
          </c:val>
          <c:extLst>
            <c:ext xmlns:c16="http://schemas.microsoft.com/office/drawing/2014/chart" uri="{C3380CC4-5D6E-409C-BE32-E72D297353CC}">
              <c16:uniqueId val="{00000001-05D6-3A4D-8211-236107EB5123}"/>
            </c:ext>
          </c:extLst>
        </c:ser>
        <c:dLbls>
          <c:showLegendKey val="0"/>
          <c:showVal val="1"/>
          <c:showCatName val="0"/>
          <c:showSerName val="0"/>
          <c:showPercent val="0"/>
          <c:showBubbleSize val="0"/>
        </c:dLbls>
        <c:gapWidth val="75"/>
        <c:overlap val="100"/>
        <c:axId val="567977984"/>
        <c:axId val="568085856"/>
      </c:barChart>
      <c:catAx>
        <c:axId val="56797798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68085856"/>
        <c:crosses val="autoZero"/>
        <c:auto val="1"/>
        <c:lblAlgn val="ctr"/>
        <c:lblOffset val="100"/>
        <c:noMultiLvlLbl val="0"/>
      </c:catAx>
      <c:valAx>
        <c:axId val="568085856"/>
        <c:scaling>
          <c:orientation val="minMax"/>
        </c:scaling>
        <c:delete val="0"/>
        <c:axPos val="l"/>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67977984"/>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10">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bg1"/>
    </cs:fontRef>
    <cs:spPr>
      <a:solidFill>
        <a:schemeClr val="tx1">
          <a:lumMod val="50000"/>
          <a:lumOff val="50000"/>
        </a:schemeClr>
      </a:solidFill>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gradFill flip="none" rotWithShape="1">
        <a:gsLst>
          <a:gs pos="0">
            <a:schemeClr val="phClr"/>
          </a:gs>
          <a:gs pos="75000">
            <a:schemeClr val="phClr">
              <a:lumMod val="60000"/>
              <a:lumOff val="40000"/>
            </a:schemeClr>
          </a:gs>
          <a:gs pos="51000">
            <a:schemeClr val="phClr">
              <a:alpha val="75000"/>
            </a:schemeClr>
          </a:gs>
          <a:gs pos="100000">
            <a:schemeClr val="phClr">
              <a:lumMod val="20000"/>
              <a:lumOff val="80000"/>
              <a:alpha val="15000"/>
            </a:schemeClr>
          </a:gs>
        </a:gsLst>
        <a:lin ang="5400000" scaled="0"/>
      </a:gradFill>
    </cs:spPr>
  </cs:dataPoint>
  <cs:dataPoint3D>
    <cs:lnRef idx="0"/>
    <cs:fillRef idx="0">
      <cs:styleClr val="auto"/>
    </cs:fillRef>
    <cs:effectRef idx="0"/>
    <cs:fontRef idx="minor">
      <a:schemeClr val="dk1"/>
    </cs:fontRef>
    <cs:spPr>
      <a:gradFill flip="none" rotWithShape="1">
        <a:gsLst>
          <a:gs pos="0">
            <a:schemeClr val="phClr"/>
          </a:gs>
          <a:gs pos="75000">
            <a:schemeClr val="phClr">
              <a:lumMod val="60000"/>
              <a:lumOff val="40000"/>
            </a:schemeClr>
          </a:gs>
          <a:gs pos="51000">
            <a:schemeClr val="phClr">
              <a:alpha val="75000"/>
            </a:schemeClr>
          </a:gs>
          <a:gs pos="100000">
            <a:schemeClr val="phClr">
              <a:lumMod val="20000"/>
              <a:lumOff val="80000"/>
              <a:alpha val="15000"/>
            </a:schemeClr>
          </a:gs>
        </a:gsLst>
        <a:lin ang="5400000" scaled="0"/>
      </a:gradFill>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styleClr val="auto"/>
    </cs:lnRef>
    <cs:fillRef idx="0">
      <cs:styleClr val="auto"/>
    </cs:fillRef>
    <cs:effectRef idx="0"/>
    <cs:fontRef idx="minor">
      <a:schemeClr val="dk1"/>
    </cs:fontRef>
    <cs:spPr>
      <a:gradFill flip="none" rotWithShape="1">
        <a:gsLst>
          <a:gs pos="0">
            <a:schemeClr val="phClr"/>
          </a:gs>
          <a:gs pos="75000">
            <a:schemeClr val="phClr">
              <a:lumMod val="60000"/>
              <a:lumOff val="40000"/>
            </a:schemeClr>
          </a:gs>
          <a:gs pos="51000">
            <a:schemeClr val="phClr">
              <a:alpha val="75000"/>
            </a:schemeClr>
          </a:gs>
          <a:gs pos="100000">
            <a:schemeClr val="phClr">
              <a:lumMod val="20000"/>
              <a:lumOff val="80000"/>
              <a:alpha val="15000"/>
            </a:schemeClr>
          </a:gs>
        </a:gsLst>
        <a:lin ang="5400000" scaled="0"/>
      </a:gradFill>
      <a:ln w="9525" cap="flat" cmpd="sng" algn="ctr">
        <a:solidFill>
          <a:schemeClr val="phClr">
            <a:shade val="95000"/>
          </a:schemeClr>
        </a:solidFill>
        <a:round/>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65000"/>
            <a:lumOff val="3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cap="flat" cmpd="sng" algn="ctr">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tx1">
                <a:lumMod val="5000"/>
                <a:lumOff val="95000"/>
              </a:schemeClr>
            </a:gs>
            <a:gs pos="0">
              <a:schemeClr val="tx1">
                <a:lumMod val="25000"/>
                <a:lumOff val="75000"/>
              </a:schemeClr>
            </a:gs>
          </a:gsLst>
          <a:lin ang="5400000" scaled="0"/>
        </a:gradFill>
        <a:round/>
      </a:ln>
    </cs:spPr>
  </cs:gridlineMajor>
  <cs:gridlineMinor>
    <cs:lnRef idx="0"/>
    <cs:fillRef idx="0"/>
    <cs:effectRef idx="0"/>
    <cs:fontRef idx="minor">
      <a:schemeClr val="dk1"/>
    </cs:fontRef>
    <cs:spPr>
      <a:ln w="9525" cap="flat" cmpd="sng" algn="ctr">
        <a:gradFill>
          <a:gsLst>
            <a:gs pos="100000">
              <a:schemeClr val="tx1">
                <a:lumMod val="5000"/>
                <a:lumOff val="95000"/>
              </a:schemeClr>
            </a:gs>
            <a:gs pos="0">
              <a:schemeClr val="tx1">
                <a:lumMod val="25000"/>
                <a:lumOff val="75000"/>
              </a:schemeClr>
            </a:gs>
          </a:gsLst>
          <a:lin ang="5400000" scaled="0"/>
        </a:gradFill>
        <a:round/>
      </a:ln>
    </cs:spPr>
  </cs:gridlineMinor>
  <cs:hiLoLine>
    <cs:lnRef idx="0"/>
    <cs:fillRef idx="0"/>
    <cs:effectRef idx="0"/>
    <cs:fontRef idx="minor">
      <a:schemeClr val="dk1"/>
    </cs:fontRef>
    <cs:spPr>
      <a:ln w="9525">
        <a:solidFill>
          <a:schemeClr val="tx1">
            <a:lumMod val="50000"/>
            <a:lumOff val="50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headEnd type="none" w="sm" len="sm"/>
        <a:tailEnd type="none" w="sm" len="sm"/>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800" b="1" kern="1200" cap="all" spc="50" baseline="0"/>
  </cs:title>
  <cs:trendline>
    <cs:lnRef idx="0">
      <cs:styleClr val="auto"/>
    </cs:lnRef>
    <cs:fillRef idx="0"/>
    <cs:effectRef idx="0"/>
    <cs:fontRef idx="minor">
      <a:schemeClr val="dk1"/>
    </cs:fontRef>
    <cs:spPr>
      <a:ln w="9525"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10">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bg1"/>
    </cs:fontRef>
    <cs:spPr>
      <a:solidFill>
        <a:schemeClr val="tx1">
          <a:lumMod val="50000"/>
          <a:lumOff val="50000"/>
        </a:schemeClr>
      </a:solidFill>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gradFill flip="none" rotWithShape="1">
        <a:gsLst>
          <a:gs pos="0">
            <a:schemeClr val="phClr"/>
          </a:gs>
          <a:gs pos="75000">
            <a:schemeClr val="phClr">
              <a:lumMod val="60000"/>
              <a:lumOff val="40000"/>
            </a:schemeClr>
          </a:gs>
          <a:gs pos="51000">
            <a:schemeClr val="phClr">
              <a:alpha val="75000"/>
            </a:schemeClr>
          </a:gs>
          <a:gs pos="100000">
            <a:schemeClr val="phClr">
              <a:lumMod val="20000"/>
              <a:lumOff val="80000"/>
              <a:alpha val="15000"/>
            </a:schemeClr>
          </a:gs>
        </a:gsLst>
        <a:lin ang="5400000" scaled="0"/>
      </a:gradFill>
    </cs:spPr>
  </cs:dataPoint>
  <cs:dataPoint3D>
    <cs:lnRef idx="0"/>
    <cs:fillRef idx="0">
      <cs:styleClr val="auto"/>
    </cs:fillRef>
    <cs:effectRef idx="0"/>
    <cs:fontRef idx="minor">
      <a:schemeClr val="dk1"/>
    </cs:fontRef>
    <cs:spPr>
      <a:gradFill flip="none" rotWithShape="1">
        <a:gsLst>
          <a:gs pos="0">
            <a:schemeClr val="phClr"/>
          </a:gs>
          <a:gs pos="75000">
            <a:schemeClr val="phClr">
              <a:lumMod val="60000"/>
              <a:lumOff val="40000"/>
            </a:schemeClr>
          </a:gs>
          <a:gs pos="51000">
            <a:schemeClr val="phClr">
              <a:alpha val="75000"/>
            </a:schemeClr>
          </a:gs>
          <a:gs pos="100000">
            <a:schemeClr val="phClr">
              <a:lumMod val="20000"/>
              <a:lumOff val="80000"/>
              <a:alpha val="15000"/>
            </a:schemeClr>
          </a:gs>
        </a:gsLst>
        <a:lin ang="5400000" scaled="0"/>
      </a:gradFill>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styleClr val="auto"/>
    </cs:lnRef>
    <cs:fillRef idx="0">
      <cs:styleClr val="auto"/>
    </cs:fillRef>
    <cs:effectRef idx="0"/>
    <cs:fontRef idx="minor">
      <a:schemeClr val="dk1"/>
    </cs:fontRef>
    <cs:spPr>
      <a:gradFill flip="none" rotWithShape="1">
        <a:gsLst>
          <a:gs pos="0">
            <a:schemeClr val="phClr"/>
          </a:gs>
          <a:gs pos="75000">
            <a:schemeClr val="phClr">
              <a:lumMod val="60000"/>
              <a:lumOff val="40000"/>
            </a:schemeClr>
          </a:gs>
          <a:gs pos="51000">
            <a:schemeClr val="phClr">
              <a:alpha val="75000"/>
            </a:schemeClr>
          </a:gs>
          <a:gs pos="100000">
            <a:schemeClr val="phClr">
              <a:lumMod val="20000"/>
              <a:lumOff val="80000"/>
              <a:alpha val="15000"/>
            </a:schemeClr>
          </a:gs>
        </a:gsLst>
        <a:lin ang="5400000" scaled="0"/>
      </a:gradFill>
      <a:ln w="9525" cap="flat" cmpd="sng" algn="ctr">
        <a:solidFill>
          <a:schemeClr val="phClr">
            <a:shade val="95000"/>
          </a:schemeClr>
        </a:solidFill>
        <a:round/>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65000"/>
            <a:lumOff val="3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cap="flat" cmpd="sng" algn="ctr">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tx1">
                <a:lumMod val="5000"/>
                <a:lumOff val="95000"/>
              </a:schemeClr>
            </a:gs>
            <a:gs pos="0">
              <a:schemeClr val="tx1">
                <a:lumMod val="25000"/>
                <a:lumOff val="75000"/>
              </a:schemeClr>
            </a:gs>
          </a:gsLst>
          <a:lin ang="5400000" scaled="0"/>
        </a:gradFill>
        <a:round/>
      </a:ln>
    </cs:spPr>
  </cs:gridlineMajor>
  <cs:gridlineMinor>
    <cs:lnRef idx="0"/>
    <cs:fillRef idx="0"/>
    <cs:effectRef idx="0"/>
    <cs:fontRef idx="minor">
      <a:schemeClr val="dk1"/>
    </cs:fontRef>
    <cs:spPr>
      <a:ln w="9525" cap="flat" cmpd="sng" algn="ctr">
        <a:gradFill>
          <a:gsLst>
            <a:gs pos="100000">
              <a:schemeClr val="tx1">
                <a:lumMod val="5000"/>
                <a:lumOff val="95000"/>
              </a:schemeClr>
            </a:gs>
            <a:gs pos="0">
              <a:schemeClr val="tx1">
                <a:lumMod val="25000"/>
                <a:lumOff val="75000"/>
              </a:schemeClr>
            </a:gs>
          </a:gsLst>
          <a:lin ang="5400000" scaled="0"/>
        </a:gradFill>
        <a:round/>
      </a:ln>
    </cs:spPr>
  </cs:gridlineMinor>
  <cs:hiLoLine>
    <cs:lnRef idx="0"/>
    <cs:fillRef idx="0"/>
    <cs:effectRef idx="0"/>
    <cs:fontRef idx="minor">
      <a:schemeClr val="dk1"/>
    </cs:fontRef>
    <cs:spPr>
      <a:ln w="9525">
        <a:solidFill>
          <a:schemeClr val="tx1">
            <a:lumMod val="50000"/>
            <a:lumOff val="50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headEnd type="none" w="sm" len="sm"/>
        <a:tailEnd type="none" w="sm" len="sm"/>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800" b="1" kern="1200" cap="all" spc="50" baseline="0"/>
  </cs:title>
  <cs:trendline>
    <cs:lnRef idx="0">
      <cs:styleClr val="auto"/>
    </cs:lnRef>
    <cs:fillRef idx="0"/>
    <cs:effectRef idx="0"/>
    <cs:fontRef idx="minor">
      <a:schemeClr val="dk1"/>
    </cs:fontRef>
    <cs:spPr>
      <a:ln w="9525"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dk1"/>
    </cs:fontRef>
  </cs:wall>
</cs:chartStyle>
</file>

<file path=word/charts/style3.xml><?xml version="1.0" encoding="utf-8"?>
<cs:chartStyle xmlns:cs="http://schemas.microsoft.com/office/drawing/2012/chartStyle" xmlns:a="http://schemas.openxmlformats.org/drawingml/2006/main" id="228">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styleClr val="auto"/>
    </cs:fillRef>
    <cs:effectRef idx="0"/>
    <cs:fontRef idx="minor">
      <a:schemeClr val="lt1"/>
    </cs:fontRef>
    <cs:defRPr sz="9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
  <cs:dataPoint3D>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3D>
  <cs:dataPointLine>
    <cs:lnRef idx="0">
      <cs:styleClr val="auto"/>
    </cs:lnRef>
    <cs:fillRef idx="0"/>
    <cs:effectRef idx="0"/>
    <cs:fontRef idx="minor">
      <a:schemeClr val="dk1"/>
    </cs:fontRef>
    <cs:spPr>
      <a:ln w="31750" cap="rnd">
        <a:solidFill>
          <a:schemeClr val="phClr"/>
        </a:solidFill>
        <a:round/>
      </a:ln>
    </cs:spPr>
  </cs:dataPointLine>
  <cs:dataPointMarker>
    <cs:lnRef idx="0"/>
    <cs:fillRef idx="0">
      <cs:styleClr val="auto"/>
    </cs:fillRef>
    <cs:effectRef idx="0"/>
    <cs:fontRef idx="minor">
      <a:schemeClr val="dk1"/>
    </cs:fontRef>
    <cs:spPr>
      <a:solidFill>
        <a:schemeClr val="phClr"/>
      </a:solidFill>
    </cs:spPr>
  </cs:dataPointMarker>
  <cs:dataPointMarkerLayout symbol="circle" size="17"/>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4.xml><?xml version="1.0" encoding="utf-8"?>
<cs:chartStyle xmlns:cs="http://schemas.microsoft.com/office/drawing/2012/chartStyle" xmlns:a="http://schemas.openxmlformats.org/drawingml/2006/main" id="246">
  <cs:axisTitle>
    <cs:lnRef idx="0"/>
    <cs:fillRef idx="0"/>
    <cs:effectRef idx="0"/>
    <cs:fontRef idx="minor">
      <a:schemeClr val="dk1">
        <a:lumMod val="65000"/>
        <a:lumOff val="35000"/>
      </a:schemeClr>
    </cs:fontRef>
    <cs:defRPr sz="900" kern="1200"/>
  </cs:axisTitle>
  <cs:categoryAxis>
    <cs:lnRef idx="0"/>
    <cs:fillRef idx="0"/>
    <cs:effectRef idx="0"/>
    <cs:fontRef idx="minor">
      <a:schemeClr val="dk1">
        <a:lumMod val="65000"/>
        <a:lumOff val="35000"/>
      </a:schemeClr>
    </cs:fontRef>
    <cs:spPr>
      <a:ln w="9525" cap="rnd">
        <a:solidFill>
          <a:schemeClr val="dk1">
            <a:lumMod val="20000"/>
            <a:lumOff val="80000"/>
          </a:schemeClr>
        </a:solidFill>
        <a:round/>
      </a:ln>
    </cs:spPr>
    <cs:defRPr sz="900" kern="1200"/>
  </cs:categoryAxis>
  <cs:chartArea mods="allowNoLineOverride">
    <cs:lnRef idx="0"/>
    <cs:fillRef idx="0"/>
    <cs:effectRef idx="0"/>
    <cs:fontRef idx="minor">
      <a:schemeClr val="dk1"/>
    </cs:fontRef>
    <cs:spPr>
      <a:solidFill>
        <a:schemeClr val="lt1"/>
      </a:solidFill>
      <a:ln w="9525" cap="flat" cmpd="sng" algn="ctr">
        <a:solidFill>
          <a:schemeClr val="dk1">
            <a:lumMod val="15000"/>
            <a:lumOff val="85000"/>
          </a:schemeClr>
        </a:solidFill>
        <a:round/>
      </a:ln>
    </cs:spPr>
    <cs:defRPr sz="900" kern="1200"/>
  </cs:chartArea>
  <cs:dataLabel>
    <cs:lnRef idx="0"/>
    <cs:fillRef idx="0"/>
    <cs:effectRef idx="0"/>
    <cs:fontRef idx="minor">
      <a:schemeClr val="dk1">
        <a:lumMod val="65000"/>
        <a:lumOff val="3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
  <cs:dataPoint3D>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3D>
  <cs:dataPointLine>
    <cs:lnRef idx="0">
      <cs:styleClr val="auto"/>
    </cs:lnRef>
    <cs:fillRef idx="2"/>
    <cs:effectRef idx="1"/>
    <cs:fontRef idx="minor">
      <a:schemeClr val="dk1"/>
    </cs:fontRef>
    <cs:spPr>
      <a:ln w="9525" cap="flat" cmpd="sng" algn="ctr">
        <a:solidFill>
          <a:schemeClr val="phClr">
            <a:alpha val="70000"/>
          </a:schemeClr>
        </a:solidFill>
        <a:prstDash val="sysDot"/>
        <a:round/>
      </a:ln>
    </cs:spPr>
  </cs:dataPointLine>
  <cs:dataPointMarker>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cap="rnd">
        <a:solidFill>
          <a:schemeClr val="dk1">
            <a:lumMod val="15000"/>
            <a:lumOff val="85000"/>
          </a:schemeClr>
        </a:solidFill>
        <a:round/>
      </a:ln>
    </cs:spPr>
    <cs:defRPr sz="900" kern="1200"/>
  </cs:dataTable>
  <cs:downBar>
    <cs:lnRef idx="0"/>
    <cs:fillRef idx="0"/>
    <cs:effectRef idx="0"/>
    <cs:fontRef idx="minor">
      <a:schemeClr val="dk1"/>
    </cs:fontRef>
    <cs:spPr>
      <a:solidFill>
        <a:schemeClr val="dk1">
          <a:lumMod val="75000"/>
          <a:lumOff val="25000"/>
        </a:schemeClr>
      </a:solidFill>
      <a:ln w="9525" cap="rnd">
        <a:solidFill>
          <a:schemeClr val="dk1">
            <a:lumMod val="65000"/>
            <a:lumOff val="35000"/>
          </a:schemeClr>
        </a:solidFill>
        <a:round/>
      </a:ln>
    </cs:spPr>
  </cs:downBar>
  <cs:dropLine>
    <cs:lnRef idx="0"/>
    <cs:fillRef idx="0"/>
    <cs:effectRef idx="0"/>
    <cs:fontRef idx="minor">
      <a:schemeClr val="dk1"/>
    </cs:fontRef>
    <cs:spPr>
      <a:ln w="9525" cap="rnd">
        <a:solidFill>
          <a:schemeClr val="dk1">
            <a:lumMod val="35000"/>
            <a:lumOff val="65000"/>
          </a:schemeClr>
        </a:solidFill>
        <a:round/>
      </a:ln>
    </cs:spPr>
  </cs:dropLine>
  <cs:errorBar>
    <cs:lnRef idx="0"/>
    <cs:fillRef idx="0"/>
    <cs:effectRef idx="0"/>
    <cs:fontRef idx="minor">
      <a:schemeClr val="dk1"/>
    </cs:fontRef>
    <cs:spPr>
      <a:ln w="9525" cap="rnd">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cap="rnd">
        <a:solidFill>
          <a:schemeClr val="dk1">
            <a:lumMod val="35000"/>
            <a:lumOff val="65000"/>
          </a:schemeClr>
        </a:solidFill>
        <a:round/>
      </a:ln>
    </cs:spPr>
  </cs:hiLoLine>
  <cs:leaderLine>
    <cs:lnRef idx="0"/>
    <cs:fillRef idx="0"/>
    <cs:effectRef idx="0"/>
    <cs:fontRef idx="minor">
      <a:schemeClr val="dk1"/>
    </cs:fontRef>
    <cs:spPr>
      <a:ln w="9525" cap="rnd">
        <a:solidFill>
          <a:schemeClr val="dk1">
            <a:lumMod val="35000"/>
            <a:lumOff val="65000"/>
          </a:schemeClr>
        </a:solidFill>
        <a:round/>
      </a:ln>
    </cs:spPr>
  </cs:leaderLine>
  <cs:legend>
    <cs:lnRef idx="0"/>
    <cs:fillRef idx="0"/>
    <cs:effectRef idx="0"/>
    <cs:fontRef idx="minor">
      <a:schemeClr val="dk1">
        <a:lumMod val="65000"/>
        <a:lumOff val="35000"/>
      </a:schemeClr>
    </cs:fontRef>
    <cs:defRPr sz="900" kern="1200" spc="0" baseline="0"/>
  </cs:legend>
  <cs:plotArea>
    <cs:lnRef idx="0"/>
    <cs:fillRef idx="0"/>
    <cs:effectRef idx="0"/>
    <cs:fontRef idx="minor">
      <a:schemeClr val="dk1"/>
    </cs:fontRef>
    <cs:spPr>
      <a:gradFill>
        <a:gsLst>
          <a:gs pos="100000">
            <a:schemeClr val="lt1">
              <a:lumMod val="95000"/>
            </a:schemeClr>
          </a:gs>
          <a:gs pos="0">
            <a:schemeClr val="lt1">
              <a:alpha val="0"/>
            </a:schemeClr>
          </a:gs>
        </a:gsLst>
        <a:lin ang="5400000" scaled="0"/>
      </a:gradFill>
    </cs:spPr>
  </cs:plotArea>
  <cs:plotArea3D>
    <cs:lnRef idx="0"/>
    <cs:fillRef idx="0"/>
    <cs:effectRef idx="0"/>
    <cs:fontRef idx="minor">
      <a:schemeClr val="dk1"/>
    </cs:fontRef>
  </cs:plotArea3D>
  <cs:seriesAxis>
    <cs:lnRef idx="0"/>
    <cs:fillRef idx="0"/>
    <cs:effectRef idx="0"/>
    <cs:fontRef idx="minor">
      <a:schemeClr val="dk1">
        <a:lumMod val="65000"/>
        <a:lumOff val="35000"/>
      </a:schemeClr>
    </cs:fontRef>
    <cs:spPr>
      <a:ln w="9525" cap="rnd">
        <a:solidFill>
          <a:schemeClr val="dk1">
            <a:lumMod val="20000"/>
            <a:lumOff val="80000"/>
          </a:schemeClr>
        </a:solidFill>
        <a:round/>
      </a:ln>
    </cs:spPr>
    <cs:defRPr sz="900" kern="1200"/>
  </cs:seriesAxis>
  <cs:seriesLine>
    <cs:lnRef idx="0"/>
    <cs:fillRef idx="0"/>
    <cs:effectRef idx="0"/>
    <cs:fontRef idx="minor">
      <a:schemeClr val="dk1"/>
    </cs:fontRef>
    <cs:spPr>
      <a:ln w="9525" cap="rnd">
        <a:solidFill>
          <a:schemeClr val="dk1">
            <a:lumMod val="35000"/>
            <a:lumOff val="65000"/>
          </a:schemeClr>
        </a:solidFill>
        <a:round/>
      </a:ln>
    </cs:spPr>
  </cs:seriesLine>
  <cs:title>
    <cs:lnRef idx="0"/>
    <cs:fillRef idx="0"/>
    <cs:effectRef idx="0"/>
    <cs:fontRef idx="minor">
      <a:schemeClr val="dk1">
        <a:lumMod val="50000"/>
        <a:lumOff val="50000"/>
      </a:schemeClr>
    </cs:fontRef>
    <cs:defRPr sz="1400" kern="1200" cap="none" spc="20" baseline="0"/>
  </cs:title>
  <cs:trendline>
    <cs:lnRef idx="0">
      <cs:styleClr val="auto"/>
    </cs:lnRef>
    <cs:fillRef idx="0"/>
    <cs:effectRef idx="0"/>
    <cs:fontRef idx="minor">
      <a:schemeClr val="dk1"/>
    </cs:fontRef>
    <cs:spPr>
      <a:ln w="9525" cap="rnd">
        <a:solidFill>
          <a:schemeClr val="phClr"/>
        </a:solidFill>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cs:spPr>
  </cs:upBar>
  <cs:valueAxis>
    <cs:lnRef idx="0"/>
    <cs:fillRef idx="0"/>
    <cs:effectRef idx="0"/>
    <cs:fontRef idx="minor">
      <a:schemeClr val="dk1">
        <a:lumMod val="65000"/>
        <a:lumOff val="35000"/>
      </a:schemeClr>
    </cs:fontRef>
    <cs:spPr>
      <a:ln w="9525" cap="rnd">
        <a:solidFill>
          <a:schemeClr val="dk1">
            <a:lumMod val="25000"/>
            <a:lumOff val="75000"/>
          </a:schemeClr>
        </a:solidFill>
        <a:round/>
      </a:ln>
    </cs:spPr>
    <cs:defRPr sz="900" kern="1200" spc="0" baseline="0"/>
  </cs:valueAxis>
  <cs:wall>
    <cs:lnRef idx="0"/>
    <cs:fillRef idx="0"/>
    <cs:effectRef idx="0"/>
    <cs:fontRef idx="minor">
      <a:schemeClr val="dk1"/>
    </cs:fontRef>
  </cs:wall>
</cs:chartStyle>
</file>

<file path=word/charts/style5.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6.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7C24DBF-0798-4AE4-B39F-337D7A964093}">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3058</Words>
  <Characters>17434</Characters>
  <Application>Microsoft Office Word</Application>
  <DocSecurity>0</DocSecurity>
  <Lines>145</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20452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Shubham Rakeshkumar Patel (2531460)</cp:lastModifiedBy>
  <cp:revision>2</cp:revision>
  <dcterms:created xsi:type="dcterms:W3CDTF">2026-05-01T12:47:00Z</dcterms:created>
  <dcterms:modified xsi:type="dcterms:W3CDTF">2026-05-01T12:47:00Z</dcterms:modified>
</cp:coreProperties>
</file>