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GoBack"/>
    <w:p w14:paraId="1B4BA587" w14:textId="3D0CD9E6" w:rsidR="00671674" w:rsidRDefault="00671674">
      <w:pPr>
        <w:rPr>
          <w:rFonts w:ascii="Arial" w:hAnsi="Arial" w:cs="Arial"/>
          <w:sz w:val="24"/>
        </w:rPr>
      </w:pPr>
      <w:r>
        <w:rPr>
          <w:rFonts w:ascii="Arial" w:hAnsi="Arial" w:cs="Arial"/>
          <w:sz w:val="24"/>
        </w:rPr>
        <w:fldChar w:fldCharType="begin"/>
      </w:r>
      <w:r>
        <w:rPr>
          <w:rFonts w:ascii="Arial" w:hAnsi="Arial" w:cs="Arial"/>
          <w:sz w:val="24"/>
        </w:rPr>
        <w:instrText xml:space="preserve"> HYPERLINK "</w:instrText>
      </w:r>
      <w:r w:rsidRPr="00671674">
        <w:rPr>
          <w:rFonts w:ascii="Arial" w:hAnsi="Arial" w:cs="Arial"/>
          <w:sz w:val="24"/>
        </w:rPr>
        <w:instrText>https://youtu.be/XNdKT_6touc</w:instrText>
      </w:r>
      <w:r>
        <w:rPr>
          <w:rFonts w:ascii="Arial" w:hAnsi="Arial" w:cs="Arial"/>
          <w:sz w:val="24"/>
        </w:rPr>
        <w:instrText xml:space="preserve">" </w:instrText>
      </w:r>
      <w:r>
        <w:rPr>
          <w:rFonts w:ascii="Arial" w:hAnsi="Arial" w:cs="Arial"/>
          <w:sz w:val="24"/>
        </w:rPr>
        <w:fldChar w:fldCharType="separate"/>
      </w:r>
      <w:r w:rsidRPr="00767AC0">
        <w:rPr>
          <w:rStyle w:val="Hyperlink"/>
          <w:rFonts w:ascii="Arial" w:hAnsi="Arial" w:cs="Arial"/>
          <w:sz w:val="24"/>
        </w:rPr>
        <w:t>https://youtu.be/XNdKT_6touc</w:t>
      </w:r>
      <w:r>
        <w:rPr>
          <w:rFonts w:ascii="Arial" w:hAnsi="Arial" w:cs="Arial"/>
          <w:sz w:val="24"/>
        </w:rPr>
        <w:fldChar w:fldCharType="end"/>
      </w:r>
    </w:p>
    <w:bookmarkEnd w:id="0"/>
    <w:p w14:paraId="06930015" w14:textId="77777777" w:rsidR="00671674" w:rsidRDefault="00671674">
      <w:pPr>
        <w:rPr>
          <w:rFonts w:ascii="Arial" w:hAnsi="Arial" w:cs="Arial"/>
          <w:sz w:val="24"/>
        </w:rPr>
      </w:pPr>
    </w:p>
    <w:p w14:paraId="3C3D6BF1" w14:textId="77777777" w:rsidR="00671674" w:rsidRDefault="00671674">
      <w:pPr>
        <w:rPr>
          <w:rFonts w:ascii="Arial" w:hAnsi="Arial" w:cs="Arial"/>
          <w:sz w:val="24"/>
        </w:rPr>
      </w:pPr>
    </w:p>
    <w:p w14:paraId="6D5E10ED" w14:textId="4019E39A" w:rsidR="00C9462F" w:rsidRPr="00F91892" w:rsidRDefault="00370DDF">
      <w:pPr>
        <w:rPr>
          <w:rFonts w:ascii="Arial" w:hAnsi="Arial" w:cs="Arial"/>
          <w:sz w:val="24"/>
        </w:rPr>
      </w:pPr>
      <w:r w:rsidRPr="00F91892">
        <w:rPr>
          <w:rFonts w:ascii="Arial" w:hAnsi="Arial" w:cs="Arial"/>
          <w:sz w:val="24"/>
        </w:rPr>
        <w:t xml:space="preserve">Creativity is an important aspect of human development. It is needed in the early development of the mind of an individual. Schools are one of the most important places to nourish the creative talents and abilities of students </w:t>
      </w:r>
      <w:proofErr w:type="gramStart"/>
      <w:r w:rsidRPr="00F91892">
        <w:rPr>
          <w:rFonts w:ascii="Arial" w:hAnsi="Arial" w:cs="Arial"/>
          <w:sz w:val="24"/>
        </w:rPr>
        <w:t>and also</w:t>
      </w:r>
      <w:proofErr w:type="gramEnd"/>
      <w:r w:rsidRPr="00F91892">
        <w:rPr>
          <w:rFonts w:ascii="Arial" w:hAnsi="Arial" w:cs="Arial"/>
          <w:sz w:val="24"/>
        </w:rPr>
        <w:t xml:space="preserve"> as important medium in the generation of creative mind of the structure.</w:t>
      </w:r>
    </w:p>
    <w:p w14:paraId="4CBC3E6C" w14:textId="77777777" w:rsidR="00F91892" w:rsidRPr="00F91892" w:rsidRDefault="00F91892" w:rsidP="00F91892">
      <w:pPr>
        <w:rPr>
          <w:rFonts w:ascii="Arial" w:hAnsi="Arial" w:cs="Arial"/>
          <w:sz w:val="24"/>
        </w:rPr>
      </w:pPr>
      <w:r w:rsidRPr="00F91892">
        <w:rPr>
          <w:rFonts w:ascii="Arial" w:hAnsi="Arial" w:cs="Arial"/>
          <w:sz w:val="24"/>
        </w:rPr>
        <w:t>The video proposes the use of STEM within the classroom to encourage creative approaches to curriculum planning and discovering innovative methods of communication through science.</w:t>
      </w:r>
    </w:p>
    <w:p w14:paraId="6CB3857B" w14:textId="3640AA70" w:rsidR="00370DDF" w:rsidRDefault="00F91892" w:rsidP="00F91892">
      <w:pPr>
        <w:rPr>
          <w:rFonts w:ascii="Arial" w:hAnsi="Arial" w:cs="Arial"/>
          <w:sz w:val="24"/>
        </w:rPr>
      </w:pPr>
      <w:r w:rsidRPr="00F91892">
        <w:rPr>
          <w:rFonts w:ascii="Arial" w:hAnsi="Arial" w:cs="Arial"/>
          <w:sz w:val="24"/>
        </w:rPr>
        <w:t xml:space="preserve">Using STEM in the classroom will allow teachers to explore an innovative range of cross-curricular strategies and creative art forms with science as a central theme. It will help to discover exciting ways of communicating science, bringing a sense of fun and discovery to pupils learning and by motivating young children and capturing their imagination. The educator will be encouraged to develop creative, cross-curricular approaches to the curriculum planning and delivery in schools. They will also consider partnerships beyond the classroom intended to raise both the pupils and </w:t>
      </w:r>
      <w:r w:rsidR="00FB63D6" w:rsidRPr="00F91892">
        <w:rPr>
          <w:rFonts w:ascii="Arial" w:hAnsi="Arial" w:cs="Arial"/>
          <w:sz w:val="24"/>
        </w:rPr>
        <w:t>teachers’</w:t>
      </w:r>
      <w:r w:rsidRPr="00F91892">
        <w:rPr>
          <w:rFonts w:ascii="Arial" w:hAnsi="Arial" w:cs="Arial"/>
          <w:sz w:val="24"/>
        </w:rPr>
        <w:t xml:space="preserve"> aspirations and achievements.</w:t>
      </w:r>
    </w:p>
    <w:p w14:paraId="325FD9A4" w14:textId="77777777" w:rsidR="009706AE" w:rsidRDefault="009321FD" w:rsidP="009706AE">
      <w:pPr>
        <w:rPr>
          <w:rFonts w:ascii="Arial" w:hAnsi="Arial" w:cs="Arial"/>
          <w:sz w:val="24"/>
        </w:rPr>
      </w:pPr>
      <w:r>
        <w:rPr>
          <w:rFonts w:ascii="Arial" w:hAnsi="Arial" w:cs="Arial"/>
          <w:sz w:val="24"/>
        </w:rPr>
        <w:t xml:space="preserve">The strategy that is looked at is the </w:t>
      </w:r>
      <w:r w:rsidR="00FD274C">
        <w:rPr>
          <w:rFonts w:ascii="Arial" w:hAnsi="Arial" w:cs="Arial"/>
          <w:sz w:val="24"/>
        </w:rPr>
        <w:t xml:space="preserve">open-ended projects, </w:t>
      </w:r>
      <w:r>
        <w:rPr>
          <w:rFonts w:ascii="Arial" w:hAnsi="Arial" w:cs="Arial"/>
          <w:sz w:val="24"/>
        </w:rPr>
        <w:t xml:space="preserve">which will promote and encourage creativity, it has a lot of potential for advancing teaching practices in creativity. </w:t>
      </w:r>
      <w:r w:rsidRPr="009321FD">
        <w:rPr>
          <w:rFonts w:ascii="Arial" w:hAnsi="Arial" w:cs="Arial"/>
          <w:sz w:val="24"/>
        </w:rPr>
        <w:t xml:space="preserve">Using </w:t>
      </w:r>
      <w:r w:rsidR="00FD274C">
        <w:rPr>
          <w:rFonts w:ascii="Arial" w:hAnsi="Arial" w:cs="Arial"/>
          <w:sz w:val="24"/>
        </w:rPr>
        <w:t>this strategy</w:t>
      </w:r>
      <w:r w:rsidRPr="009321FD">
        <w:rPr>
          <w:rFonts w:ascii="Arial" w:hAnsi="Arial" w:cs="Arial"/>
          <w:sz w:val="24"/>
        </w:rPr>
        <w:t xml:space="preserve"> has shown to improve pupils understanding of science as well as their problem solving and collaboration skills </w:t>
      </w:r>
      <w:proofErr w:type="gramStart"/>
      <w:r w:rsidRPr="009321FD">
        <w:rPr>
          <w:rFonts w:ascii="Arial" w:hAnsi="Arial" w:cs="Arial"/>
          <w:sz w:val="24"/>
        </w:rPr>
        <w:t>to a greater extent than</w:t>
      </w:r>
      <w:proofErr w:type="gramEnd"/>
      <w:r w:rsidRPr="009321FD">
        <w:rPr>
          <w:rFonts w:ascii="Arial" w:hAnsi="Arial" w:cs="Arial"/>
          <w:sz w:val="24"/>
        </w:rPr>
        <w:t xml:space="preserve"> traditional methods. Pupils who learn science through </w:t>
      </w:r>
      <w:r w:rsidR="00FD274C">
        <w:rPr>
          <w:rFonts w:ascii="Arial" w:hAnsi="Arial" w:cs="Arial"/>
          <w:sz w:val="24"/>
        </w:rPr>
        <w:t>open-ended projects</w:t>
      </w:r>
      <w:r w:rsidRPr="009321FD">
        <w:rPr>
          <w:rFonts w:ascii="Arial" w:hAnsi="Arial" w:cs="Arial"/>
          <w:sz w:val="24"/>
        </w:rPr>
        <w:t xml:space="preserve"> also report that they find it more engaging than traditional techniques. </w:t>
      </w:r>
      <w:r w:rsidR="009706AE" w:rsidRPr="009706AE">
        <w:rPr>
          <w:rFonts w:ascii="Arial" w:hAnsi="Arial" w:cs="Arial"/>
          <w:sz w:val="24"/>
        </w:rPr>
        <w:t>The outcomes of using this strategy is that the pupils will devise experiments in small groups and learn to negotiate, share, build on and challenge each other’s ideas. Science activities have been better linked to and contextualised in real-life topics, science discovery centres and historical museums. Pupils will also generate some excellent questions and they will know the scientific language with greater understanding.</w:t>
      </w:r>
    </w:p>
    <w:p w14:paraId="2C85970C" w14:textId="222D23D9" w:rsidR="009706AE" w:rsidRPr="009706AE" w:rsidRDefault="009706AE" w:rsidP="009706AE">
      <w:pPr>
        <w:rPr>
          <w:rFonts w:ascii="Arial" w:hAnsi="Arial" w:cs="Arial"/>
          <w:sz w:val="24"/>
        </w:rPr>
      </w:pPr>
      <w:r>
        <w:rPr>
          <w:rFonts w:ascii="Arial" w:hAnsi="Arial" w:cs="Arial"/>
          <w:sz w:val="24"/>
        </w:rPr>
        <w:t>Teachers find that using this strategy gives a deeper understanding of the need for hard evidence to prove/disprove hypotheses and the need to repeat tests to be sure they can justify views. Pupils realise that vague answers are not acceptable they have to prove it.</w:t>
      </w:r>
    </w:p>
    <w:p w14:paraId="6F961B4D" w14:textId="77777777" w:rsidR="009706AE" w:rsidRPr="009706AE" w:rsidRDefault="009706AE" w:rsidP="009706AE">
      <w:pPr>
        <w:rPr>
          <w:rFonts w:ascii="Arial" w:hAnsi="Arial" w:cs="Arial"/>
          <w:sz w:val="24"/>
        </w:rPr>
      </w:pPr>
      <w:r w:rsidRPr="009706AE">
        <w:rPr>
          <w:rFonts w:ascii="Arial" w:hAnsi="Arial" w:cs="Arial"/>
          <w:sz w:val="24"/>
        </w:rPr>
        <w:lastRenderedPageBreak/>
        <w:t xml:space="preserve">Furlong says that the teachers of tomorrow will have to respond to the changing nature of knowledge in society. Using the open-ended project within science the role of the educator will be to provide small guidelines for the pupils to follow. Giving them a topic to research. the educator will then work with the pupils to create learning objectives and criteria. </w:t>
      </w:r>
    </w:p>
    <w:p w14:paraId="2786B03D" w14:textId="72440282" w:rsidR="009706AE" w:rsidRPr="009706AE" w:rsidRDefault="009706AE" w:rsidP="009706AE">
      <w:pPr>
        <w:rPr>
          <w:rFonts w:ascii="Arial" w:hAnsi="Arial" w:cs="Arial"/>
          <w:sz w:val="24"/>
        </w:rPr>
      </w:pPr>
      <w:r w:rsidRPr="009706AE">
        <w:rPr>
          <w:rFonts w:ascii="Arial" w:hAnsi="Arial" w:cs="Arial"/>
          <w:sz w:val="24"/>
        </w:rPr>
        <w:t xml:space="preserve">This strategy requires teachers to transfer responsibility for decision making to pupils during the open-ended investigation and to review the quality of questioning necessary to elicit pupils creative </w:t>
      </w:r>
      <w:r>
        <w:rPr>
          <w:rFonts w:ascii="Arial" w:hAnsi="Arial" w:cs="Arial"/>
          <w:sz w:val="24"/>
        </w:rPr>
        <w:t xml:space="preserve">thinking. </w:t>
      </w:r>
    </w:p>
    <w:p w14:paraId="3A68F7F0" w14:textId="49F13F38" w:rsidR="009321FD" w:rsidRDefault="009706AE" w:rsidP="00F91892">
      <w:pPr>
        <w:rPr>
          <w:rFonts w:ascii="Arial" w:hAnsi="Arial" w:cs="Arial"/>
          <w:sz w:val="24"/>
        </w:rPr>
      </w:pPr>
      <w:r w:rsidRPr="009706AE">
        <w:rPr>
          <w:rFonts w:ascii="Arial" w:hAnsi="Arial" w:cs="Arial"/>
          <w:sz w:val="24"/>
        </w:rPr>
        <w:t>Recently the fields of early childhood and creativity research have undergone considerable development and change in terms of the ways in which we understand young children’s development and learning and how we conceptualise creativity. These changes have proved to be particularly relevant to the ways in which we explore children’s creative thinking in schools. For instance, creativity one seen as an ability that is possessed only by exceptional individuals is now seen as inherently present in all of us including young children. Creative thinking is increasingly seen as permeating our everyday life through the ways in which we confront difficulties think of new possibilities and engage with our physical and social environments.</w:t>
      </w:r>
    </w:p>
    <w:p w14:paraId="4713145F" w14:textId="42014FDC" w:rsidR="009706AE" w:rsidRDefault="009706AE" w:rsidP="00F91892">
      <w:pPr>
        <w:rPr>
          <w:rFonts w:ascii="Arial" w:hAnsi="Arial" w:cs="Arial"/>
          <w:sz w:val="28"/>
        </w:rPr>
      </w:pPr>
    </w:p>
    <w:p w14:paraId="47619279" w14:textId="5C54005A" w:rsidR="009706AE" w:rsidRPr="003224AD" w:rsidRDefault="009706AE" w:rsidP="00F91892">
      <w:pPr>
        <w:rPr>
          <w:rFonts w:ascii="Arial" w:hAnsi="Arial" w:cs="Arial"/>
          <w:b/>
          <w:sz w:val="24"/>
          <w:szCs w:val="24"/>
          <w:u w:val="single"/>
        </w:rPr>
      </w:pPr>
      <w:r w:rsidRPr="003224AD">
        <w:rPr>
          <w:rFonts w:ascii="Arial" w:hAnsi="Arial" w:cs="Arial"/>
          <w:b/>
          <w:sz w:val="24"/>
          <w:szCs w:val="24"/>
          <w:u w:val="single"/>
        </w:rPr>
        <w:t xml:space="preserve">References </w:t>
      </w:r>
    </w:p>
    <w:p w14:paraId="6DD59485" w14:textId="77777777" w:rsidR="003224AD" w:rsidRPr="003224AD" w:rsidRDefault="003224AD" w:rsidP="003224AD">
      <w:pPr>
        <w:pStyle w:val="ListParagraph"/>
        <w:numPr>
          <w:ilvl w:val="0"/>
          <w:numId w:val="1"/>
        </w:numPr>
        <w:rPr>
          <w:rFonts w:ascii="Arial" w:hAnsi="Arial" w:cs="Arial"/>
          <w:sz w:val="24"/>
          <w:szCs w:val="24"/>
        </w:rPr>
      </w:pPr>
      <w:r w:rsidRPr="003224AD">
        <w:rPr>
          <w:rFonts w:ascii="Arial" w:hAnsi="Arial" w:cs="Arial"/>
          <w:sz w:val="24"/>
          <w:szCs w:val="24"/>
        </w:rPr>
        <w:t xml:space="preserve">Costa, A., </w:t>
      </w:r>
      <w:proofErr w:type="spellStart"/>
      <w:r w:rsidRPr="003224AD">
        <w:rPr>
          <w:rFonts w:ascii="Arial" w:hAnsi="Arial" w:cs="Arial"/>
          <w:sz w:val="24"/>
          <w:szCs w:val="24"/>
        </w:rPr>
        <w:t>Kallick</w:t>
      </w:r>
      <w:proofErr w:type="spellEnd"/>
      <w:r w:rsidRPr="003224AD">
        <w:rPr>
          <w:rFonts w:ascii="Arial" w:hAnsi="Arial" w:cs="Arial"/>
          <w:sz w:val="24"/>
          <w:szCs w:val="24"/>
        </w:rPr>
        <w:t xml:space="preserve">, B. (2008) </w:t>
      </w:r>
      <w:r w:rsidRPr="003224AD">
        <w:rPr>
          <w:rFonts w:ascii="Arial" w:hAnsi="Arial" w:cs="Arial"/>
          <w:i/>
          <w:sz w:val="24"/>
          <w:szCs w:val="24"/>
        </w:rPr>
        <w:t>Learning and Leading with Habits of Mind,</w:t>
      </w:r>
      <w:r w:rsidRPr="003224AD">
        <w:rPr>
          <w:rFonts w:ascii="Arial" w:hAnsi="Arial" w:cs="Arial"/>
          <w:sz w:val="24"/>
          <w:szCs w:val="24"/>
        </w:rPr>
        <w:t xml:space="preserve"> Virginia: ASCD.</w:t>
      </w:r>
    </w:p>
    <w:p w14:paraId="49B5FA86" w14:textId="77777777" w:rsidR="003224AD" w:rsidRPr="003224AD" w:rsidRDefault="003224AD" w:rsidP="003224AD">
      <w:pPr>
        <w:pStyle w:val="ListParagraph"/>
        <w:numPr>
          <w:ilvl w:val="0"/>
          <w:numId w:val="1"/>
        </w:numPr>
        <w:rPr>
          <w:rFonts w:ascii="Arial" w:hAnsi="Arial" w:cs="Arial"/>
          <w:sz w:val="24"/>
          <w:szCs w:val="24"/>
        </w:rPr>
      </w:pPr>
      <w:proofErr w:type="spellStart"/>
      <w:r w:rsidRPr="003224AD">
        <w:rPr>
          <w:rFonts w:ascii="Arial" w:hAnsi="Arial" w:cs="Arial"/>
          <w:sz w:val="24"/>
          <w:szCs w:val="24"/>
        </w:rPr>
        <w:t>Cowley</w:t>
      </w:r>
      <w:proofErr w:type="spellEnd"/>
      <w:r w:rsidRPr="003224AD">
        <w:rPr>
          <w:rFonts w:ascii="Arial" w:hAnsi="Arial" w:cs="Arial"/>
          <w:sz w:val="24"/>
          <w:szCs w:val="24"/>
        </w:rPr>
        <w:t xml:space="preserve">, S. (2005) </w:t>
      </w:r>
      <w:r w:rsidRPr="003224AD">
        <w:rPr>
          <w:rFonts w:ascii="Arial" w:hAnsi="Arial" w:cs="Arial"/>
          <w:i/>
          <w:sz w:val="24"/>
          <w:szCs w:val="24"/>
        </w:rPr>
        <w:t>Letting the Buggers Be Creative,</w:t>
      </w:r>
      <w:r w:rsidRPr="003224AD">
        <w:rPr>
          <w:rFonts w:ascii="Arial" w:hAnsi="Arial" w:cs="Arial"/>
          <w:sz w:val="24"/>
          <w:szCs w:val="24"/>
        </w:rPr>
        <w:t xml:space="preserve"> London: Continuum.</w:t>
      </w:r>
    </w:p>
    <w:p w14:paraId="4338FD79" w14:textId="77777777" w:rsidR="003224AD" w:rsidRPr="003224AD" w:rsidRDefault="003224AD" w:rsidP="003224AD">
      <w:pPr>
        <w:pStyle w:val="ListParagraph"/>
        <w:numPr>
          <w:ilvl w:val="0"/>
          <w:numId w:val="1"/>
        </w:numPr>
        <w:rPr>
          <w:rFonts w:ascii="Arial" w:hAnsi="Arial" w:cs="Arial"/>
          <w:sz w:val="24"/>
          <w:szCs w:val="24"/>
        </w:rPr>
      </w:pPr>
      <w:r w:rsidRPr="003224AD">
        <w:rPr>
          <w:rFonts w:ascii="Arial" w:hAnsi="Arial" w:cs="Arial"/>
          <w:sz w:val="24"/>
          <w:szCs w:val="24"/>
        </w:rPr>
        <w:t xml:space="preserve">Craft, A., </w:t>
      </w:r>
      <w:proofErr w:type="spellStart"/>
      <w:r w:rsidRPr="003224AD">
        <w:rPr>
          <w:rFonts w:ascii="Arial" w:hAnsi="Arial" w:cs="Arial"/>
          <w:sz w:val="24"/>
          <w:szCs w:val="24"/>
        </w:rPr>
        <w:t>Cremin</w:t>
      </w:r>
      <w:proofErr w:type="spellEnd"/>
      <w:r w:rsidRPr="003224AD">
        <w:rPr>
          <w:rFonts w:ascii="Arial" w:hAnsi="Arial" w:cs="Arial"/>
          <w:sz w:val="24"/>
          <w:szCs w:val="24"/>
        </w:rPr>
        <w:t xml:space="preserve">, T. &amp; </w:t>
      </w:r>
      <w:proofErr w:type="spellStart"/>
      <w:r w:rsidRPr="003224AD">
        <w:rPr>
          <w:rFonts w:ascii="Arial" w:hAnsi="Arial" w:cs="Arial"/>
          <w:sz w:val="24"/>
          <w:szCs w:val="24"/>
        </w:rPr>
        <w:t>Burnard</w:t>
      </w:r>
      <w:proofErr w:type="spellEnd"/>
      <w:r w:rsidRPr="003224AD">
        <w:rPr>
          <w:rFonts w:ascii="Arial" w:hAnsi="Arial" w:cs="Arial"/>
          <w:sz w:val="24"/>
          <w:szCs w:val="24"/>
        </w:rPr>
        <w:t xml:space="preserve">, P. (2008) </w:t>
      </w:r>
      <w:r w:rsidRPr="003224AD">
        <w:rPr>
          <w:rFonts w:ascii="Arial" w:hAnsi="Arial" w:cs="Arial"/>
          <w:i/>
          <w:sz w:val="24"/>
          <w:szCs w:val="24"/>
        </w:rPr>
        <w:t>Creative Learning 3-11 and How We Document It,</w:t>
      </w:r>
      <w:r w:rsidRPr="003224AD">
        <w:rPr>
          <w:rFonts w:ascii="Arial" w:hAnsi="Arial" w:cs="Arial"/>
          <w:sz w:val="24"/>
          <w:szCs w:val="24"/>
        </w:rPr>
        <w:t xml:space="preserve"> Stoke-on-Trent: Trentham.</w:t>
      </w:r>
    </w:p>
    <w:p w14:paraId="4E3FF874" w14:textId="77777777" w:rsidR="003224AD" w:rsidRPr="003224AD" w:rsidRDefault="003224AD" w:rsidP="003224AD">
      <w:pPr>
        <w:pStyle w:val="ListParagraph"/>
        <w:numPr>
          <w:ilvl w:val="0"/>
          <w:numId w:val="1"/>
        </w:numPr>
        <w:rPr>
          <w:rFonts w:ascii="Arial" w:eastAsia="Times New Roman" w:hAnsi="Arial" w:cs="Arial"/>
          <w:sz w:val="24"/>
          <w:szCs w:val="24"/>
        </w:rPr>
      </w:pPr>
      <w:r w:rsidRPr="003224AD">
        <w:rPr>
          <w:rFonts w:ascii="Arial" w:eastAsia="Times New Roman" w:hAnsi="Arial" w:cs="Arial"/>
          <w:sz w:val="24"/>
          <w:szCs w:val="24"/>
        </w:rPr>
        <w:t xml:space="preserve">Craft, A., </w:t>
      </w:r>
      <w:proofErr w:type="spellStart"/>
      <w:r w:rsidRPr="003224AD">
        <w:rPr>
          <w:rFonts w:ascii="Arial" w:eastAsia="Times New Roman" w:hAnsi="Arial" w:cs="Arial"/>
          <w:sz w:val="24"/>
          <w:szCs w:val="24"/>
        </w:rPr>
        <w:t>Dugal</w:t>
      </w:r>
      <w:proofErr w:type="spellEnd"/>
      <w:r w:rsidRPr="003224AD">
        <w:rPr>
          <w:rFonts w:ascii="Arial" w:eastAsia="Times New Roman" w:hAnsi="Arial" w:cs="Arial"/>
          <w:sz w:val="24"/>
          <w:szCs w:val="24"/>
        </w:rPr>
        <w:t xml:space="preserve">, J, Dyer, G, Jeffrey, B, &amp; Lyons, T. (1997) </w:t>
      </w:r>
      <w:r w:rsidRPr="003224AD">
        <w:rPr>
          <w:rFonts w:ascii="Arial" w:eastAsia="Times New Roman" w:hAnsi="Arial" w:cs="Arial"/>
          <w:i/>
          <w:sz w:val="24"/>
          <w:szCs w:val="24"/>
        </w:rPr>
        <w:t xml:space="preserve">Can you teach </w:t>
      </w:r>
      <w:proofErr w:type="gramStart"/>
      <w:r w:rsidRPr="003224AD">
        <w:rPr>
          <w:rFonts w:ascii="Arial" w:eastAsia="Times New Roman" w:hAnsi="Arial" w:cs="Arial"/>
          <w:i/>
          <w:sz w:val="24"/>
          <w:szCs w:val="24"/>
        </w:rPr>
        <w:t>creativity</w:t>
      </w:r>
      <w:r w:rsidRPr="003224AD">
        <w:rPr>
          <w:rFonts w:ascii="Arial" w:eastAsia="Times New Roman" w:hAnsi="Arial" w:cs="Arial"/>
          <w:sz w:val="24"/>
          <w:szCs w:val="24"/>
        </w:rPr>
        <w:t>?,</w:t>
      </w:r>
      <w:proofErr w:type="gramEnd"/>
      <w:r w:rsidRPr="003224AD">
        <w:rPr>
          <w:rFonts w:ascii="Arial" w:eastAsia="Times New Roman" w:hAnsi="Arial" w:cs="Arial"/>
          <w:sz w:val="24"/>
          <w:szCs w:val="24"/>
        </w:rPr>
        <w:t xml:space="preserve"> Nottingham: Education Now.</w:t>
      </w:r>
    </w:p>
    <w:p w14:paraId="1A4331E4" w14:textId="77777777" w:rsidR="003224AD" w:rsidRPr="003224AD" w:rsidRDefault="003224AD" w:rsidP="003224AD">
      <w:pPr>
        <w:pStyle w:val="ListParagraph"/>
        <w:numPr>
          <w:ilvl w:val="0"/>
          <w:numId w:val="1"/>
        </w:numPr>
        <w:rPr>
          <w:rFonts w:ascii="Arial" w:hAnsi="Arial" w:cs="Arial"/>
          <w:sz w:val="24"/>
          <w:szCs w:val="24"/>
        </w:rPr>
      </w:pPr>
      <w:proofErr w:type="spellStart"/>
      <w:r w:rsidRPr="003224AD">
        <w:rPr>
          <w:rFonts w:ascii="Arial" w:hAnsi="Arial" w:cs="Arial"/>
          <w:sz w:val="24"/>
          <w:szCs w:val="24"/>
        </w:rPr>
        <w:t>Cropley</w:t>
      </w:r>
      <w:proofErr w:type="spellEnd"/>
      <w:r w:rsidRPr="003224AD">
        <w:rPr>
          <w:rFonts w:ascii="Arial" w:hAnsi="Arial" w:cs="Arial"/>
          <w:sz w:val="24"/>
          <w:szCs w:val="24"/>
        </w:rPr>
        <w:t xml:space="preserve">, A. (2001) </w:t>
      </w:r>
      <w:r w:rsidRPr="003224AD">
        <w:rPr>
          <w:rFonts w:ascii="Arial" w:hAnsi="Arial" w:cs="Arial"/>
          <w:i/>
          <w:sz w:val="24"/>
          <w:szCs w:val="24"/>
        </w:rPr>
        <w:t>Creativity in Education and Learning,</w:t>
      </w:r>
      <w:r w:rsidRPr="003224AD">
        <w:rPr>
          <w:rFonts w:ascii="Arial" w:hAnsi="Arial" w:cs="Arial"/>
          <w:sz w:val="24"/>
          <w:szCs w:val="24"/>
        </w:rPr>
        <w:t xml:space="preserve"> London: Kogan Page.</w:t>
      </w:r>
    </w:p>
    <w:p w14:paraId="1EDDB3FF" w14:textId="77777777" w:rsidR="003224AD" w:rsidRPr="003224AD" w:rsidRDefault="003224AD" w:rsidP="003224AD">
      <w:pPr>
        <w:pStyle w:val="ListParagraph"/>
        <w:numPr>
          <w:ilvl w:val="0"/>
          <w:numId w:val="1"/>
        </w:numPr>
        <w:rPr>
          <w:rFonts w:ascii="Arial" w:hAnsi="Arial" w:cs="Arial"/>
          <w:sz w:val="24"/>
          <w:szCs w:val="24"/>
        </w:rPr>
      </w:pPr>
      <w:r w:rsidRPr="003224AD">
        <w:rPr>
          <w:rFonts w:ascii="Arial" w:hAnsi="Arial" w:cs="Arial"/>
          <w:sz w:val="24"/>
          <w:szCs w:val="24"/>
        </w:rPr>
        <w:t xml:space="preserve">Csikszentmihalyi, M. (1999) </w:t>
      </w:r>
      <w:r w:rsidRPr="003224AD">
        <w:rPr>
          <w:rFonts w:ascii="Arial" w:hAnsi="Arial" w:cs="Arial"/>
          <w:i/>
          <w:sz w:val="24"/>
          <w:szCs w:val="24"/>
        </w:rPr>
        <w:t>Creativity: Flow and the Psychology of Discovery and Invention,</w:t>
      </w:r>
      <w:r w:rsidRPr="003224AD">
        <w:rPr>
          <w:rFonts w:ascii="Arial" w:hAnsi="Arial" w:cs="Arial"/>
          <w:sz w:val="24"/>
          <w:szCs w:val="24"/>
        </w:rPr>
        <w:t xml:space="preserve"> New York: HarperCollins.</w:t>
      </w:r>
    </w:p>
    <w:p w14:paraId="15749C24" w14:textId="77777777" w:rsidR="003224AD" w:rsidRPr="003224AD" w:rsidRDefault="003224AD" w:rsidP="003224AD">
      <w:pPr>
        <w:pStyle w:val="ListParagraph"/>
        <w:numPr>
          <w:ilvl w:val="0"/>
          <w:numId w:val="1"/>
        </w:numPr>
        <w:rPr>
          <w:rFonts w:ascii="Arial" w:eastAsia="Times New Roman" w:hAnsi="Arial" w:cs="Arial"/>
          <w:sz w:val="24"/>
          <w:szCs w:val="24"/>
        </w:rPr>
      </w:pPr>
      <w:r w:rsidRPr="003224AD">
        <w:rPr>
          <w:rFonts w:ascii="Arial" w:eastAsia="Times New Roman" w:hAnsi="Arial" w:cs="Arial"/>
          <w:sz w:val="24"/>
          <w:szCs w:val="24"/>
        </w:rPr>
        <w:t xml:space="preserve">Fryer, M. (1996) </w:t>
      </w:r>
      <w:r w:rsidRPr="003224AD">
        <w:rPr>
          <w:rFonts w:ascii="Arial" w:eastAsia="Times New Roman" w:hAnsi="Arial" w:cs="Arial"/>
          <w:i/>
          <w:sz w:val="24"/>
          <w:szCs w:val="24"/>
        </w:rPr>
        <w:t>Creative teaching and learning,</w:t>
      </w:r>
      <w:r w:rsidRPr="003224AD">
        <w:rPr>
          <w:rFonts w:ascii="Arial" w:eastAsia="Times New Roman" w:hAnsi="Arial" w:cs="Arial"/>
          <w:sz w:val="24"/>
          <w:szCs w:val="24"/>
        </w:rPr>
        <w:t xml:space="preserve"> London: Paul Chapman.</w:t>
      </w:r>
    </w:p>
    <w:p w14:paraId="1D51784E" w14:textId="77777777" w:rsidR="003224AD" w:rsidRPr="003224AD" w:rsidRDefault="003224AD" w:rsidP="003224AD">
      <w:pPr>
        <w:pStyle w:val="ListParagraph"/>
        <w:numPr>
          <w:ilvl w:val="0"/>
          <w:numId w:val="1"/>
        </w:numPr>
        <w:rPr>
          <w:rFonts w:ascii="Arial" w:eastAsia="Times New Roman" w:hAnsi="Arial" w:cs="Arial"/>
          <w:sz w:val="24"/>
          <w:szCs w:val="24"/>
        </w:rPr>
      </w:pPr>
      <w:r w:rsidRPr="003224AD">
        <w:rPr>
          <w:rFonts w:ascii="Arial" w:eastAsia="Times New Roman" w:hAnsi="Arial" w:cs="Arial"/>
          <w:sz w:val="24"/>
          <w:szCs w:val="24"/>
        </w:rPr>
        <w:t xml:space="preserve">Jeffrey, B. and Woods, P. (2003) </w:t>
      </w:r>
      <w:r w:rsidRPr="003224AD">
        <w:rPr>
          <w:rFonts w:ascii="Arial" w:eastAsia="Times New Roman" w:hAnsi="Arial" w:cs="Arial"/>
          <w:i/>
          <w:sz w:val="24"/>
          <w:szCs w:val="24"/>
        </w:rPr>
        <w:t>The creative school: A framework for success, quality and effectiveness,</w:t>
      </w:r>
      <w:r w:rsidRPr="003224AD">
        <w:rPr>
          <w:rFonts w:ascii="Arial" w:eastAsia="Times New Roman" w:hAnsi="Arial" w:cs="Arial"/>
          <w:sz w:val="24"/>
          <w:szCs w:val="24"/>
        </w:rPr>
        <w:t xml:space="preserve"> London: Routledge/Falmer.</w:t>
      </w:r>
    </w:p>
    <w:p w14:paraId="093F29B7" w14:textId="25946A12" w:rsidR="003224AD" w:rsidRPr="003224AD" w:rsidRDefault="003224AD" w:rsidP="003224AD">
      <w:pPr>
        <w:pStyle w:val="ListParagraph"/>
        <w:numPr>
          <w:ilvl w:val="0"/>
          <w:numId w:val="1"/>
        </w:numPr>
        <w:rPr>
          <w:rFonts w:ascii="Arial" w:hAnsi="Arial" w:cs="Arial"/>
          <w:sz w:val="24"/>
          <w:szCs w:val="24"/>
        </w:rPr>
      </w:pPr>
      <w:r w:rsidRPr="003224AD">
        <w:rPr>
          <w:rFonts w:ascii="Arial" w:hAnsi="Arial" w:cs="Arial"/>
          <w:sz w:val="24"/>
          <w:szCs w:val="24"/>
        </w:rPr>
        <w:lastRenderedPageBreak/>
        <w:t xml:space="preserve">Kinsella, V., Fautley, M. (2017) </w:t>
      </w:r>
      <w:r w:rsidRPr="003224AD">
        <w:rPr>
          <w:rFonts w:ascii="Arial" w:hAnsi="Arial" w:cs="Arial"/>
          <w:i/>
          <w:sz w:val="24"/>
          <w:szCs w:val="24"/>
        </w:rPr>
        <w:t>Creativity – Getting it right in a week</w:t>
      </w:r>
      <w:r w:rsidRPr="003224AD">
        <w:rPr>
          <w:rFonts w:ascii="Arial" w:hAnsi="Arial" w:cs="Arial"/>
          <w:sz w:val="24"/>
          <w:szCs w:val="24"/>
        </w:rPr>
        <w:t>, St Albans: Critical Publishing.</w:t>
      </w:r>
    </w:p>
    <w:p w14:paraId="7BDBBABC" w14:textId="77777777" w:rsidR="003224AD" w:rsidRPr="003224AD" w:rsidRDefault="003224AD" w:rsidP="003224AD">
      <w:pPr>
        <w:pStyle w:val="ListParagraph"/>
        <w:numPr>
          <w:ilvl w:val="0"/>
          <w:numId w:val="1"/>
        </w:numPr>
        <w:rPr>
          <w:rFonts w:ascii="Arial" w:hAnsi="Arial" w:cs="Arial"/>
          <w:iCs/>
          <w:sz w:val="24"/>
          <w:szCs w:val="24"/>
        </w:rPr>
      </w:pPr>
      <w:proofErr w:type="spellStart"/>
      <w:r w:rsidRPr="003224AD">
        <w:rPr>
          <w:rFonts w:ascii="Arial" w:hAnsi="Arial" w:cs="Arial"/>
          <w:sz w:val="24"/>
          <w:szCs w:val="24"/>
        </w:rPr>
        <w:t>Pacansky</w:t>
      </w:r>
      <w:proofErr w:type="spellEnd"/>
      <w:r w:rsidRPr="003224AD">
        <w:rPr>
          <w:rFonts w:ascii="Arial" w:hAnsi="Arial" w:cs="Arial"/>
          <w:sz w:val="24"/>
          <w:szCs w:val="24"/>
        </w:rPr>
        <w:t xml:space="preserve">-Brock, M. (2012) </w:t>
      </w:r>
      <w:r w:rsidRPr="003224AD">
        <w:rPr>
          <w:rFonts w:ascii="Arial" w:hAnsi="Arial" w:cs="Arial"/>
          <w:i/>
          <w:iCs/>
          <w:sz w:val="24"/>
          <w:szCs w:val="24"/>
        </w:rPr>
        <w:t xml:space="preserve">Best Practices for Teaching with Emerging Technologies, </w:t>
      </w:r>
      <w:r w:rsidRPr="003224AD">
        <w:rPr>
          <w:rFonts w:ascii="Arial" w:hAnsi="Arial" w:cs="Arial"/>
          <w:iCs/>
          <w:sz w:val="24"/>
          <w:szCs w:val="24"/>
        </w:rPr>
        <w:t xml:space="preserve">London: Routledge.  </w:t>
      </w:r>
    </w:p>
    <w:p w14:paraId="51502745" w14:textId="77777777" w:rsidR="003224AD" w:rsidRPr="003224AD" w:rsidRDefault="003224AD" w:rsidP="003224AD">
      <w:pPr>
        <w:pStyle w:val="ListParagraph"/>
        <w:numPr>
          <w:ilvl w:val="0"/>
          <w:numId w:val="1"/>
        </w:numPr>
        <w:rPr>
          <w:rFonts w:ascii="Arial" w:hAnsi="Arial" w:cs="Arial"/>
          <w:sz w:val="24"/>
          <w:szCs w:val="24"/>
        </w:rPr>
      </w:pPr>
      <w:r w:rsidRPr="003224AD">
        <w:rPr>
          <w:rFonts w:ascii="Arial" w:hAnsi="Arial" w:cs="Arial"/>
          <w:sz w:val="24"/>
          <w:szCs w:val="24"/>
        </w:rPr>
        <w:t xml:space="preserve">Thorne, K. (2007) </w:t>
      </w:r>
      <w:r w:rsidRPr="003224AD">
        <w:rPr>
          <w:rFonts w:ascii="Arial" w:hAnsi="Arial" w:cs="Arial"/>
          <w:i/>
          <w:sz w:val="24"/>
          <w:szCs w:val="24"/>
        </w:rPr>
        <w:t xml:space="preserve">Essential Creativity in the Classroom, </w:t>
      </w:r>
      <w:r w:rsidRPr="003224AD">
        <w:rPr>
          <w:rFonts w:ascii="Arial" w:hAnsi="Arial" w:cs="Arial"/>
          <w:sz w:val="24"/>
          <w:szCs w:val="24"/>
        </w:rPr>
        <w:t>Abingdon: Routledge.</w:t>
      </w:r>
    </w:p>
    <w:p w14:paraId="654921A1" w14:textId="77777777" w:rsidR="003224AD" w:rsidRPr="003224AD" w:rsidRDefault="003224AD" w:rsidP="003224AD">
      <w:pPr>
        <w:pStyle w:val="ListParagraph"/>
        <w:numPr>
          <w:ilvl w:val="0"/>
          <w:numId w:val="1"/>
        </w:numPr>
        <w:rPr>
          <w:rFonts w:ascii="Arial" w:eastAsia="Times New Roman" w:hAnsi="Arial" w:cs="Arial"/>
          <w:sz w:val="24"/>
        </w:rPr>
      </w:pPr>
      <w:r w:rsidRPr="003224AD">
        <w:rPr>
          <w:rFonts w:ascii="Arial" w:eastAsia="Times New Roman" w:hAnsi="Arial" w:cs="Arial"/>
          <w:sz w:val="24"/>
        </w:rPr>
        <w:t xml:space="preserve">Woods, P. (1995) </w:t>
      </w:r>
      <w:r w:rsidRPr="003224AD">
        <w:rPr>
          <w:rFonts w:ascii="Arial" w:eastAsia="Times New Roman" w:hAnsi="Arial" w:cs="Arial"/>
          <w:i/>
          <w:sz w:val="24"/>
        </w:rPr>
        <w:t>Creative Teachers in Primary Schools</w:t>
      </w:r>
      <w:r w:rsidRPr="003224AD">
        <w:rPr>
          <w:rFonts w:ascii="Arial" w:eastAsia="Times New Roman" w:hAnsi="Arial" w:cs="Arial"/>
          <w:sz w:val="24"/>
        </w:rPr>
        <w:t xml:space="preserve">, Buckingham: Open University Press. </w:t>
      </w:r>
    </w:p>
    <w:p w14:paraId="573015D0" w14:textId="77777777" w:rsidR="003224AD" w:rsidRDefault="003224AD" w:rsidP="003224AD"/>
    <w:p w14:paraId="25DF63A3" w14:textId="77777777" w:rsidR="003224AD" w:rsidRDefault="003224AD" w:rsidP="003224AD"/>
    <w:p w14:paraId="1D9E5843" w14:textId="77777777" w:rsidR="009706AE" w:rsidRPr="009706AE" w:rsidRDefault="009706AE" w:rsidP="00F91892">
      <w:pPr>
        <w:rPr>
          <w:rFonts w:ascii="Arial" w:hAnsi="Arial" w:cs="Arial"/>
          <w:sz w:val="28"/>
        </w:rPr>
      </w:pPr>
    </w:p>
    <w:sectPr w:rsidR="009706AE" w:rsidRPr="009706A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19B1D06"/>
    <w:multiLevelType w:val="hybridMultilevel"/>
    <w:tmpl w:val="DED2C9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70DDF"/>
    <w:rsid w:val="003224AD"/>
    <w:rsid w:val="00370DDF"/>
    <w:rsid w:val="00671674"/>
    <w:rsid w:val="009321FD"/>
    <w:rsid w:val="009706AE"/>
    <w:rsid w:val="00C9462F"/>
    <w:rsid w:val="00F91892"/>
    <w:rsid w:val="00FB63D6"/>
    <w:rsid w:val="00FD274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7DE6C2"/>
  <w15:chartTrackingRefBased/>
  <w15:docId w15:val="{994655C1-45D7-411A-9318-7F20B75DDB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before="30" w:after="30" w:line="36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224AD"/>
    <w:pPr>
      <w:ind w:left="720"/>
      <w:contextualSpacing/>
    </w:pPr>
  </w:style>
  <w:style w:type="character" w:styleId="Hyperlink">
    <w:name w:val="Hyperlink"/>
    <w:basedOn w:val="DefaultParagraphFont"/>
    <w:uiPriority w:val="99"/>
    <w:unhideWhenUsed/>
    <w:rsid w:val="00671674"/>
    <w:rPr>
      <w:color w:val="0563C1" w:themeColor="hyperlink"/>
      <w:u w:val="single"/>
    </w:rPr>
  </w:style>
  <w:style w:type="character" w:styleId="UnresolvedMention">
    <w:name w:val="Unresolved Mention"/>
    <w:basedOn w:val="DefaultParagraphFont"/>
    <w:uiPriority w:val="99"/>
    <w:semiHidden/>
    <w:unhideWhenUsed/>
    <w:rsid w:val="00671674"/>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3</Pages>
  <Words>725</Words>
  <Characters>4135</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lewis</dc:creator>
  <cp:keywords/>
  <dc:description/>
  <cp:lastModifiedBy>hannah lewis</cp:lastModifiedBy>
  <cp:revision>3</cp:revision>
  <dcterms:created xsi:type="dcterms:W3CDTF">2018-03-04T00:34:00Z</dcterms:created>
  <dcterms:modified xsi:type="dcterms:W3CDTF">2018-03-12T17:34:00Z</dcterms:modified>
</cp:coreProperties>
</file>