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605569463"/>
        <w:docPartObj>
          <w:docPartGallery w:val="Cover Pages"/>
          <w:docPartUnique/>
        </w:docPartObj>
      </w:sdtPr>
      <w:sdtEndPr>
        <w:rPr>
          <w:u w:val="single"/>
        </w:rPr>
      </w:sdtEndPr>
      <w:sdtContent>
        <w:p w14:paraId="0BD7AD1F" w14:textId="2D9F37A7" w:rsidR="00621B1C" w:rsidRPr="009F1B11" w:rsidRDefault="00621B1C">
          <w:r w:rsidRPr="009F1B11">
            <w:rPr>
              <w:noProof/>
            </w:rPr>
            <mc:AlternateContent>
              <mc:Choice Requires="wpg">
                <w:drawing>
                  <wp:anchor distT="0" distB="0" distL="114300" distR="114300" simplePos="0" relativeHeight="251659264" behindDoc="1" locked="0" layoutInCell="1" allowOverlap="1" wp14:anchorId="6C193688" wp14:editId="1E4DE90F">
                    <wp:simplePos x="0" y="0"/>
                    <wp:positionH relativeFrom="page">
                      <wp:align>center</wp:align>
                    </wp:positionH>
                    <wp:positionV relativeFrom="page">
                      <wp:align>center</wp:align>
                    </wp:positionV>
                    <wp:extent cx="6864824" cy="9123528"/>
                    <wp:effectExtent l="0" t="0" r="2540" b="635"/>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F1C5F4" w14:textId="23E2840E" w:rsidR="00621B1C" w:rsidRPr="009F1B11" w:rsidRDefault="00621B1C">
                                      <w:pPr>
                                        <w:pStyle w:val="NoSpacing"/>
                                        <w:spacing w:before="120"/>
                                        <w:jc w:val="center"/>
                                        <w:rPr>
                                          <w:color w:val="FFFFFF" w:themeColor="background1"/>
                                        </w:rPr>
                                      </w:pPr>
                                      <w:r w:rsidRPr="009F1B11">
                                        <w:rPr>
                                          <w:color w:val="FFFFFF" w:themeColor="background1"/>
                                        </w:rPr>
                                        <w:t>Ffion Jones</w:t>
                                      </w:r>
                                    </w:p>
                                  </w:sdtContent>
                                </w:sdt>
                                <w:p w14:paraId="34440A77" w14:textId="35ED95DF" w:rsidR="00621B1C" w:rsidRPr="009F1B1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21B1C" w:rsidRPr="009F1B11">
                                        <w:rPr>
                                          <w:caps/>
                                          <w:color w:val="FFFFFF" w:themeColor="background1"/>
                                        </w:rPr>
                                        <w:t xml:space="preserve">     </w:t>
                                      </w:r>
                                    </w:sdtContent>
                                  </w:sdt>
                                  <w:r w:rsidR="00621B1C" w:rsidRPr="009F1B1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21B1C" w:rsidRPr="009F1B11">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A96974" w14:textId="41127FB7" w:rsidR="00621B1C" w:rsidRPr="009F1B11" w:rsidRDefault="00621B1C">
                                      <w:pPr>
                                        <w:pStyle w:val="NoSpacing"/>
                                        <w:jc w:val="center"/>
                                        <w:rPr>
                                          <w:rFonts w:asciiTheme="majorHAnsi" w:eastAsiaTheme="majorEastAsia" w:hAnsiTheme="majorHAnsi" w:cstheme="majorBidi"/>
                                          <w:caps/>
                                          <w:color w:val="156082" w:themeColor="accent1"/>
                                          <w:sz w:val="72"/>
                                          <w:szCs w:val="72"/>
                                        </w:rPr>
                                      </w:pPr>
                                      <w:r w:rsidRPr="009F1B11">
                                        <w:rPr>
                                          <w:rFonts w:asciiTheme="majorHAnsi" w:eastAsiaTheme="majorEastAsia" w:hAnsiTheme="majorHAnsi" w:cstheme="majorBidi"/>
                                          <w:caps/>
                                          <w:color w:val="156082" w:themeColor="accent1"/>
                                          <w:sz w:val="72"/>
                                          <w:szCs w:val="72"/>
                                        </w:rPr>
                                        <w:t>Are prisons working? BMCP5009</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C193688"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76F1C5F4" w14:textId="23E2840E" w:rsidR="00621B1C" w:rsidRPr="009F1B11" w:rsidRDefault="00621B1C">
                                <w:pPr>
                                  <w:pStyle w:val="NoSpacing"/>
                                  <w:spacing w:before="120"/>
                                  <w:jc w:val="center"/>
                                  <w:rPr>
                                    <w:color w:val="FFFFFF" w:themeColor="background1"/>
                                  </w:rPr>
                                </w:pPr>
                                <w:r w:rsidRPr="009F1B11">
                                  <w:rPr>
                                    <w:color w:val="FFFFFF" w:themeColor="background1"/>
                                  </w:rPr>
                                  <w:t>Ffion Jones</w:t>
                                </w:r>
                              </w:p>
                            </w:sdtContent>
                          </w:sdt>
                          <w:p w14:paraId="34440A77" w14:textId="35ED95DF" w:rsidR="00621B1C" w:rsidRPr="009F1B11" w:rsidRDefault="00000000">
                            <w:pPr>
                              <w:pStyle w:val="NoSpacing"/>
                              <w:spacing w:before="120"/>
                              <w:jc w:val="center"/>
                              <w:rPr>
                                <w:color w:val="FFFFFF" w:themeColor="background1"/>
                              </w:rPr>
                            </w:pPr>
                            <w:sdt>
                              <w:sdtPr>
                                <w:rPr>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621B1C" w:rsidRPr="009F1B11">
                                  <w:rPr>
                                    <w:caps/>
                                    <w:color w:val="FFFFFF" w:themeColor="background1"/>
                                  </w:rPr>
                                  <w:t xml:space="preserve">     </w:t>
                                </w:r>
                              </w:sdtContent>
                            </w:sdt>
                            <w:r w:rsidR="00621B1C" w:rsidRPr="009F1B11">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21B1C" w:rsidRPr="009F1B11">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3EA96974" w14:textId="41127FB7" w:rsidR="00621B1C" w:rsidRPr="009F1B11" w:rsidRDefault="00621B1C">
                                <w:pPr>
                                  <w:pStyle w:val="NoSpacing"/>
                                  <w:jc w:val="center"/>
                                  <w:rPr>
                                    <w:rFonts w:asciiTheme="majorHAnsi" w:eastAsiaTheme="majorEastAsia" w:hAnsiTheme="majorHAnsi" w:cstheme="majorBidi"/>
                                    <w:caps/>
                                    <w:color w:val="156082" w:themeColor="accent1"/>
                                    <w:sz w:val="72"/>
                                    <w:szCs w:val="72"/>
                                  </w:rPr>
                                </w:pPr>
                                <w:r w:rsidRPr="009F1B11">
                                  <w:rPr>
                                    <w:rFonts w:asciiTheme="majorHAnsi" w:eastAsiaTheme="majorEastAsia" w:hAnsiTheme="majorHAnsi" w:cstheme="majorBidi"/>
                                    <w:caps/>
                                    <w:color w:val="156082" w:themeColor="accent1"/>
                                    <w:sz w:val="72"/>
                                    <w:szCs w:val="72"/>
                                  </w:rPr>
                                  <w:t>Are prisons working? BMCP5009</w:t>
                                </w:r>
                              </w:p>
                            </w:sdtContent>
                          </w:sdt>
                        </w:txbxContent>
                      </v:textbox>
                    </v:shape>
                    <w10:wrap anchorx="page" anchory="page"/>
                  </v:group>
                </w:pict>
              </mc:Fallback>
            </mc:AlternateContent>
          </w:r>
        </w:p>
        <w:p w14:paraId="2D40974A" w14:textId="77777777" w:rsidR="00D316A5" w:rsidRDefault="00621B1C" w:rsidP="00171843">
          <w:pPr>
            <w:rPr>
              <w:u w:val="single"/>
            </w:rPr>
          </w:pPr>
          <w:r w:rsidRPr="009F1B11">
            <w:rPr>
              <w:u w:val="single"/>
            </w:rPr>
            <w:br w:type="page"/>
          </w:r>
        </w:p>
        <w:p w14:paraId="6AD8C3C0" w14:textId="77777777" w:rsidR="001A58E3" w:rsidRDefault="00000000" w:rsidP="00171843">
          <w:pPr>
            <w:rPr>
              <w:u w:val="single"/>
            </w:rPr>
          </w:pPr>
        </w:p>
      </w:sdtContent>
    </w:sdt>
    <w:sdt>
      <w:sdtPr>
        <w:rPr>
          <w:rFonts w:asciiTheme="minorHAnsi" w:eastAsiaTheme="minorHAnsi" w:hAnsiTheme="minorHAnsi" w:cstheme="minorBidi"/>
          <w:color w:val="auto"/>
          <w:kern w:val="2"/>
          <w:sz w:val="22"/>
          <w:szCs w:val="22"/>
          <w:lang w:eastAsia="en-US"/>
          <w14:ligatures w14:val="standardContextual"/>
        </w:rPr>
        <w:id w:val="719947042"/>
        <w:docPartObj>
          <w:docPartGallery w:val="Table of Contents"/>
          <w:docPartUnique/>
        </w:docPartObj>
      </w:sdtPr>
      <w:sdtEndPr>
        <w:rPr>
          <w:b/>
          <w:bCs/>
        </w:rPr>
      </w:sdtEndPr>
      <w:sdtContent>
        <w:p w14:paraId="6E8A0F5A" w14:textId="50061C35" w:rsidR="00777904" w:rsidRPr="00777904" w:rsidRDefault="00777904">
          <w:pPr>
            <w:pStyle w:val="TOCHeading"/>
            <w:rPr>
              <w:sz w:val="52"/>
              <w:szCs w:val="52"/>
            </w:rPr>
          </w:pPr>
          <w:r w:rsidRPr="00777904">
            <w:rPr>
              <w:sz w:val="52"/>
              <w:szCs w:val="52"/>
            </w:rPr>
            <w:t>Contents</w:t>
          </w:r>
        </w:p>
        <w:p w14:paraId="26869EB7" w14:textId="53DAAD16" w:rsidR="00777904" w:rsidRPr="00777904" w:rsidRDefault="00777904">
          <w:pPr>
            <w:pStyle w:val="TOC1"/>
            <w:tabs>
              <w:tab w:val="right" w:leader="dot" w:pos="9016"/>
            </w:tabs>
            <w:rPr>
              <w:noProof/>
              <w:sz w:val="40"/>
              <w:szCs w:val="40"/>
            </w:rPr>
          </w:pPr>
          <w:r w:rsidRPr="00777904">
            <w:rPr>
              <w:sz w:val="40"/>
              <w:szCs w:val="40"/>
            </w:rPr>
            <w:fldChar w:fldCharType="begin"/>
          </w:r>
          <w:r w:rsidRPr="00777904">
            <w:rPr>
              <w:sz w:val="40"/>
              <w:szCs w:val="40"/>
            </w:rPr>
            <w:instrText xml:space="preserve"> TOC \o "1-3" \h \z \u </w:instrText>
          </w:r>
          <w:r w:rsidRPr="00777904">
            <w:rPr>
              <w:sz w:val="40"/>
              <w:szCs w:val="40"/>
            </w:rPr>
            <w:fldChar w:fldCharType="separate"/>
          </w:r>
          <w:hyperlink w:anchor="_Toc187953255" w:history="1">
            <w:r w:rsidRPr="00777904">
              <w:rPr>
                <w:rStyle w:val="Hyperlink"/>
                <w:noProof/>
                <w:sz w:val="40"/>
                <w:szCs w:val="40"/>
              </w:rPr>
              <w:t>Exclusive Summary</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_Toc187953255 \h </w:instrText>
            </w:r>
            <w:r w:rsidRPr="00777904">
              <w:rPr>
                <w:noProof/>
                <w:webHidden/>
                <w:sz w:val="40"/>
                <w:szCs w:val="40"/>
              </w:rPr>
            </w:r>
            <w:r w:rsidRPr="00777904">
              <w:rPr>
                <w:noProof/>
                <w:webHidden/>
                <w:sz w:val="40"/>
                <w:szCs w:val="40"/>
              </w:rPr>
              <w:fldChar w:fldCharType="separate"/>
            </w:r>
            <w:r w:rsidRPr="00777904">
              <w:rPr>
                <w:noProof/>
                <w:webHidden/>
                <w:sz w:val="40"/>
                <w:szCs w:val="40"/>
              </w:rPr>
              <w:t>2</w:t>
            </w:r>
            <w:r w:rsidRPr="00777904">
              <w:rPr>
                <w:noProof/>
                <w:webHidden/>
                <w:sz w:val="40"/>
                <w:szCs w:val="40"/>
              </w:rPr>
              <w:fldChar w:fldCharType="end"/>
            </w:r>
          </w:hyperlink>
        </w:p>
        <w:p w14:paraId="158392FF" w14:textId="4837B10A" w:rsidR="00777904" w:rsidRPr="00777904" w:rsidRDefault="00777904">
          <w:pPr>
            <w:pStyle w:val="TOC1"/>
            <w:tabs>
              <w:tab w:val="right" w:leader="dot" w:pos="9016"/>
            </w:tabs>
            <w:rPr>
              <w:noProof/>
              <w:sz w:val="40"/>
              <w:szCs w:val="40"/>
            </w:rPr>
          </w:pPr>
          <w:hyperlink w:anchor="_Toc187953256" w:history="1">
            <w:r w:rsidRPr="00777904">
              <w:rPr>
                <w:rStyle w:val="Hyperlink"/>
                <w:noProof/>
                <w:sz w:val="40"/>
                <w:szCs w:val="40"/>
              </w:rPr>
              <w:t>What role do prisons play in reoffending?</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_Toc187953256 \h </w:instrText>
            </w:r>
            <w:r w:rsidRPr="00777904">
              <w:rPr>
                <w:noProof/>
                <w:webHidden/>
                <w:sz w:val="40"/>
                <w:szCs w:val="40"/>
              </w:rPr>
            </w:r>
            <w:r w:rsidRPr="00777904">
              <w:rPr>
                <w:noProof/>
                <w:webHidden/>
                <w:sz w:val="40"/>
                <w:szCs w:val="40"/>
              </w:rPr>
              <w:fldChar w:fldCharType="separate"/>
            </w:r>
            <w:r w:rsidRPr="00777904">
              <w:rPr>
                <w:noProof/>
                <w:webHidden/>
                <w:sz w:val="40"/>
                <w:szCs w:val="40"/>
              </w:rPr>
              <w:t>3</w:t>
            </w:r>
            <w:r w:rsidRPr="00777904">
              <w:rPr>
                <w:noProof/>
                <w:webHidden/>
                <w:sz w:val="40"/>
                <w:szCs w:val="40"/>
              </w:rPr>
              <w:fldChar w:fldCharType="end"/>
            </w:r>
          </w:hyperlink>
        </w:p>
        <w:p w14:paraId="73AB032C" w14:textId="6380B771" w:rsidR="00777904" w:rsidRPr="00777904" w:rsidRDefault="00777904">
          <w:pPr>
            <w:pStyle w:val="TOC1"/>
            <w:tabs>
              <w:tab w:val="right" w:leader="dot" w:pos="9016"/>
            </w:tabs>
            <w:rPr>
              <w:noProof/>
              <w:sz w:val="40"/>
              <w:szCs w:val="40"/>
            </w:rPr>
          </w:pPr>
          <w:hyperlink w:anchor="_Toc187953257" w:history="1">
            <w:r w:rsidRPr="00777904">
              <w:rPr>
                <w:rStyle w:val="Hyperlink"/>
                <w:noProof/>
                <w:sz w:val="40"/>
                <w:szCs w:val="40"/>
              </w:rPr>
              <w:t>Which offenders are most at risk of reoffending and why?</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_Toc187953257 \h </w:instrText>
            </w:r>
            <w:r w:rsidRPr="00777904">
              <w:rPr>
                <w:noProof/>
                <w:webHidden/>
                <w:sz w:val="40"/>
                <w:szCs w:val="40"/>
              </w:rPr>
            </w:r>
            <w:r w:rsidRPr="00777904">
              <w:rPr>
                <w:noProof/>
                <w:webHidden/>
                <w:sz w:val="40"/>
                <w:szCs w:val="40"/>
              </w:rPr>
              <w:fldChar w:fldCharType="separate"/>
            </w:r>
            <w:r w:rsidRPr="00777904">
              <w:rPr>
                <w:noProof/>
                <w:webHidden/>
                <w:sz w:val="40"/>
                <w:szCs w:val="40"/>
              </w:rPr>
              <w:t>4</w:t>
            </w:r>
            <w:r w:rsidRPr="00777904">
              <w:rPr>
                <w:noProof/>
                <w:webHidden/>
                <w:sz w:val="40"/>
                <w:szCs w:val="40"/>
              </w:rPr>
              <w:fldChar w:fldCharType="end"/>
            </w:r>
          </w:hyperlink>
        </w:p>
        <w:p w14:paraId="02A59437" w14:textId="68481E8D" w:rsidR="00777904" w:rsidRPr="00777904" w:rsidRDefault="00777904">
          <w:pPr>
            <w:pStyle w:val="TOC1"/>
            <w:tabs>
              <w:tab w:val="right" w:leader="dot" w:pos="9016"/>
            </w:tabs>
            <w:rPr>
              <w:noProof/>
              <w:sz w:val="40"/>
              <w:szCs w:val="40"/>
            </w:rPr>
          </w:pPr>
          <w:hyperlink w:anchor="_Toc187953258" w:history="1">
            <w:r w:rsidRPr="00777904">
              <w:rPr>
                <w:rStyle w:val="Hyperlink"/>
                <w:noProof/>
                <w:sz w:val="40"/>
                <w:szCs w:val="40"/>
              </w:rPr>
              <w:t>Wales: Reducing Reoffending plan 2022-25</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_Toc187953258 \h </w:instrText>
            </w:r>
            <w:r w:rsidRPr="00777904">
              <w:rPr>
                <w:noProof/>
                <w:webHidden/>
                <w:sz w:val="40"/>
                <w:szCs w:val="40"/>
              </w:rPr>
            </w:r>
            <w:r w:rsidRPr="00777904">
              <w:rPr>
                <w:noProof/>
                <w:webHidden/>
                <w:sz w:val="40"/>
                <w:szCs w:val="40"/>
              </w:rPr>
              <w:fldChar w:fldCharType="separate"/>
            </w:r>
            <w:r w:rsidRPr="00777904">
              <w:rPr>
                <w:noProof/>
                <w:webHidden/>
                <w:sz w:val="40"/>
                <w:szCs w:val="40"/>
              </w:rPr>
              <w:t>4</w:t>
            </w:r>
            <w:r w:rsidRPr="00777904">
              <w:rPr>
                <w:noProof/>
                <w:webHidden/>
                <w:sz w:val="40"/>
                <w:szCs w:val="40"/>
              </w:rPr>
              <w:fldChar w:fldCharType="end"/>
            </w:r>
          </w:hyperlink>
        </w:p>
        <w:p w14:paraId="2533C4BE" w14:textId="3FFCDBAE" w:rsidR="00777904" w:rsidRPr="00777904" w:rsidRDefault="00777904">
          <w:pPr>
            <w:pStyle w:val="TOC1"/>
            <w:tabs>
              <w:tab w:val="right" w:leader="dot" w:pos="9016"/>
            </w:tabs>
            <w:rPr>
              <w:noProof/>
              <w:sz w:val="40"/>
              <w:szCs w:val="40"/>
            </w:rPr>
          </w:pPr>
          <w:hyperlink w:anchor="_Toc187953259" w:history="1">
            <w:r w:rsidRPr="00777904">
              <w:rPr>
                <w:rStyle w:val="Hyperlink"/>
                <w:noProof/>
                <w:sz w:val="40"/>
                <w:szCs w:val="40"/>
              </w:rPr>
              <w:t>Alternatives to imprisonment</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_Toc187953259 \h </w:instrText>
            </w:r>
            <w:r w:rsidRPr="00777904">
              <w:rPr>
                <w:noProof/>
                <w:webHidden/>
                <w:sz w:val="40"/>
                <w:szCs w:val="40"/>
              </w:rPr>
            </w:r>
            <w:r w:rsidRPr="00777904">
              <w:rPr>
                <w:noProof/>
                <w:webHidden/>
                <w:sz w:val="40"/>
                <w:szCs w:val="40"/>
              </w:rPr>
              <w:fldChar w:fldCharType="separate"/>
            </w:r>
            <w:r w:rsidRPr="00777904">
              <w:rPr>
                <w:noProof/>
                <w:webHidden/>
                <w:sz w:val="40"/>
                <w:szCs w:val="40"/>
              </w:rPr>
              <w:t>5</w:t>
            </w:r>
            <w:r w:rsidRPr="00777904">
              <w:rPr>
                <w:noProof/>
                <w:webHidden/>
                <w:sz w:val="40"/>
                <w:szCs w:val="40"/>
              </w:rPr>
              <w:fldChar w:fldCharType="end"/>
            </w:r>
          </w:hyperlink>
        </w:p>
        <w:p w14:paraId="4E0F80CC" w14:textId="77FE33CE" w:rsidR="00777904" w:rsidRPr="00777904" w:rsidRDefault="00777904">
          <w:pPr>
            <w:pStyle w:val="TOC1"/>
            <w:tabs>
              <w:tab w:val="right" w:leader="dot" w:pos="9016"/>
            </w:tabs>
            <w:rPr>
              <w:noProof/>
              <w:sz w:val="40"/>
              <w:szCs w:val="40"/>
            </w:rPr>
          </w:pPr>
          <w:hyperlink w:anchor="_Toc187953260" w:history="1">
            <w:r w:rsidRPr="00777904">
              <w:rPr>
                <w:rStyle w:val="Hyperlink"/>
                <w:noProof/>
                <w:sz w:val="40"/>
                <w:szCs w:val="40"/>
              </w:rPr>
              <w:t>Resettlement Support for Prison Leavers in the UK</w:t>
            </w:r>
            <w:r>
              <w:rPr>
                <w:noProof/>
                <w:webHidden/>
                <w:sz w:val="40"/>
                <w:szCs w:val="40"/>
              </w:rPr>
              <w:t xml:space="preserve"> </w:t>
            </w:r>
            <w:r w:rsidRPr="00777904">
              <w:rPr>
                <w:noProof/>
                <w:webHidden/>
                <w:sz w:val="40"/>
                <w:szCs w:val="40"/>
              </w:rPr>
              <w:fldChar w:fldCharType="begin"/>
            </w:r>
            <w:r w:rsidRPr="00777904">
              <w:rPr>
                <w:noProof/>
                <w:webHidden/>
                <w:sz w:val="40"/>
                <w:szCs w:val="40"/>
              </w:rPr>
              <w:instrText xml:space="preserve"> PAGEREF _Toc187953260 \h </w:instrText>
            </w:r>
            <w:r w:rsidRPr="00777904">
              <w:rPr>
                <w:noProof/>
                <w:webHidden/>
                <w:sz w:val="40"/>
                <w:szCs w:val="40"/>
              </w:rPr>
            </w:r>
            <w:r w:rsidRPr="00777904">
              <w:rPr>
                <w:noProof/>
                <w:webHidden/>
                <w:sz w:val="40"/>
                <w:szCs w:val="40"/>
              </w:rPr>
              <w:fldChar w:fldCharType="separate"/>
            </w:r>
            <w:r w:rsidRPr="00777904">
              <w:rPr>
                <w:noProof/>
                <w:webHidden/>
                <w:sz w:val="40"/>
                <w:szCs w:val="40"/>
              </w:rPr>
              <w:t>6</w:t>
            </w:r>
            <w:r w:rsidRPr="00777904">
              <w:rPr>
                <w:noProof/>
                <w:webHidden/>
                <w:sz w:val="40"/>
                <w:szCs w:val="40"/>
              </w:rPr>
              <w:fldChar w:fldCharType="end"/>
            </w:r>
          </w:hyperlink>
        </w:p>
        <w:p w14:paraId="43CCDF6F" w14:textId="7145E450" w:rsidR="00777904" w:rsidRPr="00777904" w:rsidRDefault="00777904">
          <w:pPr>
            <w:pStyle w:val="TOC1"/>
            <w:tabs>
              <w:tab w:val="right" w:leader="dot" w:pos="9016"/>
            </w:tabs>
            <w:rPr>
              <w:noProof/>
              <w:sz w:val="40"/>
              <w:szCs w:val="40"/>
            </w:rPr>
          </w:pPr>
          <w:hyperlink w:anchor="_Toc187953261" w:history="1">
            <w:r w:rsidRPr="00777904">
              <w:rPr>
                <w:rStyle w:val="Hyperlink"/>
                <w:noProof/>
                <w:sz w:val="40"/>
                <w:szCs w:val="40"/>
              </w:rPr>
              <w:t>Initiatives that have been successful elsewhere which could be implemented in South Wales.</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_Toc187953261 \h </w:instrText>
            </w:r>
            <w:r w:rsidRPr="00777904">
              <w:rPr>
                <w:noProof/>
                <w:webHidden/>
                <w:sz w:val="40"/>
                <w:szCs w:val="40"/>
              </w:rPr>
            </w:r>
            <w:r w:rsidRPr="00777904">
              <w:rPr>
                <w:noProof/>
                <w:webHidden/>
                <w:sz w:val="40"/>
                <w:szCs w:val="40"/>
              </w:rPr>
              <w:fldChar w:fldCharType="separate"/>
            </w:r>
            <w:r w:rsidRPr="00777904">
              <w:rPr>
                <w:noProof/>
                <w:webHidden/>
                <w:sz w:val="40"/>
                <w:szCs w:val="40"/>
              </w:rPr>
              <w:t>6</w:t>
            </w:r>
            <w:r w:rsidRPr="00777904">
              <w:rPr>
                <w:noProof/>
                <w:webHidden/>
                <w:sz w:val="40"/>
                <w:szCs w:val="40"/>
              </w:rPr>
              <w:fldChar w:fldCharType="end"/>
            </w:r>
          </w:hyperlink>
        </w:p>
        <w:p w14:paraId="25A4908C" w14:textId="50E9B4FA" w:rsidR="00777904" w:rsidRPr="00777904" w:rsidRDefault="00777904">
          <w:pPr>
            <w:pStyle w:val="TOC1"/>
            <w:tabs>
              <w:tab w:val="right" w:leader="dot" w:pos="9016"/>
            </w:tabs>
            <w:rPr>
              <w:noProof/>
              <w:sz w:val="40"/>
              <w:szCs w:val="40"/>
            </w:rPr>
          </w:pPr>
          <w:hyperlink w:anchor="_Toc187953262" w:history="1">
            <w:r w:rsidRPr="00777904">
              <w:rPr>
                <w:rStyle w:val="Hyperlink"/>
                <w:noProof/>
                <w:sz w:val="40"/>
                <w:szCs w:val="40"/>
              </w:rPr>
              <w:t>Conclusion</w:t>
            </w:r>
            <w:r w:rsidRPr="00777904">
              <w:rPr>
                <w:noProof/>
                <w:webHidden/>
                <w:sz w:val="40"/>
                <w:szCs w:val="40"/>
              </w:rPr>
              <w:tab/>
            </w:r>
            <w:r w:rsidRPr="00777904">
              <w:rPr>
                <w:noProof/>
                <w:webHidden/>
                <w:sz w:val="40"/>
                <w:szCs w:val="40"/>
              </w:rPr>
              <w:fldChar w:fldCharType="begin"/>
            </w:r>
            <w:r w:rsidRPr="00777904">
              <w:rPr>
                <w:noProof/>
                <w:webHidden/>
                <w:sz w:val="40"/>
                <w:szCs w:val="40"/>
              </w:rPr>
              <w:instrText xml:space="preserve"> PAGEREF _Toc187953262 \h </w:instrText>
            </w:r>
            <w:r w:rsidRPr="00777904">
              <w:rPr>
                <w:noProof/>
                <w:webHidden/>
                <w:sz w:val="40"/>
                <w:szCs w:val="40"/>
              </w:rPr>
            </w:r>
            <w:r w:rsidRPr="00777904">
              <w:rPr>
                <w:noProof/>
                <w:webHidden/>
                <w:sz w:val="40"/>
                <w:szCs w:val="40"/>
              </w:rPr>
              <w:fldChar w:fldCharType="separate"/>
            </w:r>
            <w:r w:rsidRPr="00777904">
              <w:rPr>
                <w:noProof/>
                <w:webHidden/>
                <w:sz w:val="40"/>
                <w:szCs w:val="40"/>
              </w:rPr>
              <w:t>7</w:t>
            </w:r>
            <w:r w:rsidRPr="00777904">
              <w:rPr>
                <w:noProof/>
                <w:webHidden/>
                <w:sz w:val="40"/>
                <w:szCs w:val="40"/>
              </w:rPr>
              <w:fldChar w:fldCharType="end"/>
            </w:r>
          </w:hyperlink>
        </w:p>
        <w:p w14:paraId="417BDE5D" w14:textId="30D0A992" w:rsidR="00777904" w:rsidRDefault="00777904">
          <w:r w:rsidRPr="00777904">
            <w:rPr>
              <w:b/>
              <w:bCs/>
              <w:sz w:val="40"/>
              <w:szCs w:val="40"/>
            </w:rPr>
            <w:fldChar w:fldCharType="end"/>
          </w:r>
        </w:p>
      </w:sdtContent>
    </w:sdt>
    <w:p w14:paraId="242623CE" w14:textId="77777777" w:rsidR="0020530E" w:rsidRDefault="0020530E" w:rsidP="00171843">
      <w:pPr>
        <w:rPr>
          <w:u w:val="single"/>
        </w:rPr>
      </w:pPr>
    </w:p>
    <w:p w14:paraId="1DF31397" w14:textId="77777777" w:rsidR="0020530E" w:rsidRDefault="0020530E" w:rsidP="00171843">
      <w:pPr>
        <w:rPr>
          <w:u w:val="single"/>
        </w:rPr>
      </w:pPr>
    </w:p>
    <w:p w14:paraId="5F588EBC" w14:textId="77777777" w:rsidR="0020530E" w:rsidRDefault="0020530E" w:rsidP="00171843">
      <w:pPr>
        <w:rPr>
          <w:u w:val="single"/>
        </w:rPr>
      </w:pPr>
    </w:p>
    <w:p w14:paraId="3FD035A9" w14:textId="77777777" w:rsidR="0020530E" w:rsidRDefault="0020530E" w:rsidP="00171843">
      <w:pPr>
        <w:rPr>
          <w:u w:val="single"/>
        </w:rPr>
      </w:pPr>
    </w:p>
    <w:p w14:paraId="018CEAD5" w14:textId="77777777" w:rsidR="0020530E" w:rsidRDefault="0020530E" w:rsidP="00171843">
      <w:pPr>
        <w:rPr>
          <w:u w:val="single"/>
        </w:rPr>
      </w:pPr>
    </w:p>
    <w:p w14:paraId="6F6DCC8A" w14:textId="77777777" w:rsidR="0020530E" w:rsidRDefault="0020530E" w:rsidP="00171843">
      <w:pPr>
        <w:rPr>
          <w:u w:val="single"/>
        </w:rPr>
      </w:pPr>
    </w:p>
    <w:p w14:paraId="371C258A" w14:textId="77777777" w:rsidR="0020530E" w:rsidRDefault="0020530E" w:rsidP="00171843">
      <w:pPr>
        <w:rPr>
          <w:u w:val="single"/>
        </w:rPr>
      </w:pPr>
    </w:p>
    <w:p w14:paraId="17F99873" w14:textId="77777777" w:rsidR="0020530E" w:rsidRDefault="0020530E" w:rsidP="00171843">
      <w:pPr>
        <w:rPr>
          <w:u w:val="single"/>
        </w:rPr>
      </w:pPr>
    </w:p>
    <w:p w14:paraId="6A07B319" w14:textId="77777777" w:rsidR="0020530E" w:rsidRDefault="0020530E" w:rsidP="00171843">
      <w:pPr>
        <w:rPr>
          <w:u w:val="single"/>
        </w:rPr>
      </w:pPr>
    </w:p>
    <w:p w14:paraId="6580B54E" w14:textId="77777777" w:rsidR="0020530E" w:rsidRDefault="0020530E" w:rsidP="00171843">
      <w:pPr>
        <w:rPr>
          <w:u w:val="single"/>
        </w:rPr>
      </w:pPr>
    </w:p>
    <w:p w14:paraId="5EDD38D5" w14:textId="77777777" w:rsidR="0020530E" w:rsidRDefault="0020530E" w:rsidP="00171843">
      <w:pPr>
        <w:rPr>
          <w:u w:val="single"/>
        </w:rPr>
      </w:pPr>
    </w:p>
    <w:p w14:paraId="3D486562" w14:textId="77777777" w:rsidR="00777904" w:rsidRDefault="00777904" w:rsidP="00EC58FD">
      <w:pPr>
        <w:pStyle w:val="Heading1"/>
      </w:pPr>
      <w:bookmarkStart w:id="0" w:name="_Toc187953255"/>
    </w:p>
    <w:p w14:paraId="3A30DB88" w14:textId="2F8931CE" w:rsidR="00CC1E38" w:rsidRPr="001A58E3" w:rsidRDefault="001A58E3" w:rsidP="00EC58FD">
      <w:pPr>
        <w:pStyle w:val="Heading1"/>
      </w:pPr>
      <w:r>
        <w:t>E</w:t>
      </w:r>
      <w:r w:rsidR="00CC1E38" w:rsidRPr="001A58E3">
        <w:t>xclusive Summary</w:t>
      </w:r>
      <w:bookmarkEnd w:id="0"/>
      <w:r w:rsidR="00CC1E38" w:rsidRPr="001A58E3">
        <w:t xml:space="preserve"> </w:t>
      </w:r>
    </w:p>
    <w:p w14:paraId="4137041C" w14:textId="77777777" w:rsidR="00D316A5" w:rsidRPr="001A58E3" w:rsidRDefault="00D316A5" w:rsidP="00171843">
      <w:pPr>
        <w:rPr>
          <w:u w:val="single"/>
        </w:rPr>
      </w:pPr>
    </w:p>
    <w:p w14:paraId="533F087D" w14:textId="1DC81BBE" w:rsidR="00D316A5" w:rsidRPr="00D316A5" w:rsidRDefault="00D316A5" w:rsidP="00D316A5">
      <w:r w:rsidRPr="001A58E3">
        <w:t xml:space="preserve">          </w:t>
      </w:r>
      <w:r w:rsidRPr="00D316A5">
        <w:t>This report addresses the critical issue of recidivism in South Wales, providing an analysis of the factors contributing to reoffending and strategies to reduce it. It highlights the role of prisons, the characteristics of high-risk offenders, and the challenges of reintegrating former prisoners into society. The findings reveal that the punitive nature of incarceration often exacerbates reoffending, while inadequate support for prisoner re-entry undermines rehabilitation efforts.</w:t>
      </w:r>
    </w:p>
    <w:p w14:paraId="34359574" w14:textId="3A938BA7" w:rsidR="00D316A5" w:rsidRPr="00D316A5" w:rsidRDefault="00D316A5" w:rsidP="00D316A5">
      <w:r w:rsidRPr="001A58E3">
        <w:t xml:space="preserve">          </w:t>
      </w:r>
      <w:r w:rsidRPr="00D316A5">
        <w:t>The report evaluates the Wales: Reducing Reoffending Plan 2022–25, which adopts a multi-agency approach to tackle underlying causes such as homelessness, mental health disorders, and substance misuse. It also examines alternatives to imprisonment, including community-based penalties and restorative justice, emphasizing their potential to address systemic challenges. Resettlement support is identified as critical for successful reintegration, though underfunding and limited political backing hinder its effectiveness.</w:t>
      </w:r>
    </w:p>
    <w:p w14:paraId="06B34827" w14:textId="22FE1C34" w:rsidR="00D316A5" w:rsidRPr="00D316A5" w:rsidRDefault="00D316A5" w:rsidP="00D316A5">
      <w:r w:rsidRPr="001A58E3">
        <w:t xml:space="preserve">          </w:t>
      </w:r>
      <w:r w:rsidRPr="00D316A5">
        <w:t>Finally, successful initiatives from other regions, such as community-based crime prevention and restorative policing, are explored as potential models for implementation in South Wales. The report concludes with recommendations to enhance rehabilitation, support resettlement, and adopt innovative strategies to reduce reoffending rates and promote community safety.</w:t>
      </w:r>
    </w:p>
    <w:p w14:paraId="6F5DC8BF" w14:textId="77777777" w:rsidR="00D316A5" w:rsidRPr="001A58E3" w:rsidRDefault="00D316A5" w:rsidP="00171843">
      <w:pPr>
        <w:rPr>
          <w:u w:val="single"/>
        </w:rPr>
      </w:pPr>
    </w:p>
    <w:p w14:paraId="39505952" w14:textId="202F87E7" w:rsidR="00171843" w:rsidRPr="001A58E3" w:rsidRDefault="008030EE" w:rsidP="000D4460">
      <w:r w:rsidRPr="001A58E3">
        <w:t xml:space="preserve">          </w:t>
      </w:r>
    </w:p>
    <w:p w14:paraId="6F451254" w14:textId="77777777" w:rsidR="00AD0900" w:rsidRPr="001A58E3" w:rsidRDefault="00AD0900" w:rsidP="00171843">
      <w:pPr>
        <w:rPr>
          <w:sz w:val="24"/>
          <w:szCs w:val="24"/>
        </w:rPr>
      </w:pPr>
    </w:p>
    <w:p w14:paraId="06F4405A" w14:textId="77777777" w:rsidR="008030EE" w:rsidRPr="001A58E3" w:rsidRDefault="008030EE" w:rsidP="00171843">
      <w:pPr>
        <w:rPr>
          <w:sz w:val="24"/>
          <w:szCs w:val="24"/>
        </w:rPr>
      </w:pPr>
    </w:p>
    <w:p w14:paraId="5D92529D" w14:textId="77777777" w:rsidR="008030EE" w:rsidRPr="001A58E3" w:rsidRDefault="008030EE" w:rsidP="00171843">
      <w:pPr>
        <w:rPr>
          <w:sz w:val="24"/>
          <w:szCs w:val="24"/>
        </w:rPr>
      </w:pPr>
    </w:p>
    <w:p w14:paraId="0E365554" w14:textId="77777777" w:rsidR="008030EE" w:rsidRPr="001A58E3" w:rsidRDefault="008030EE" w:rsidP="00171843">
      <w:pPr>
        <w:rPr>
          <w:sz w:val="24"/>
          <w:szCs w:val="24"/>
        </w:rPr>
      </w:pPr>
    </w:p>
    <w:p w14:paraId="66A4ACCB" w14:textId="77777777" w:rsidR="008030EE" w:rsidRPr="001A58E3" w:rsidRDefault="008030EE" w:rsidP="00171843">
      <w:pPr>
        <w:rPr>
          <w:sz w:val="24"/>
          <w:szCs w:val="24"/>
        </w:rPr>
      </w:pPr>
    </w:p>
    <w:p w14:paraId="68BE96DB" w14:textId="77777777" w:rsidR="008030EE" w:rsidRPr="001A58E3" w:rsidRDefault="008030EE" w:rsidP="00171843">
      <w:pPr>
        <w:rPr>
          <w:sz w:val="24"/>
          <w:szCs w:val="24"/>
        </w:rPr>
      </w:pPr>
    </w:p>
    <w:p w14:paraId="0A9E7BA4" w14:textId="77777777" w:rsidR="008030EE" w:rsidRPr="001A58E3" w:rsidRDefault="008030EE" w:rsidP="00621B1C">
      <w:pPr>
        <w:rPr>
          <w:sz w:val="24"/>
          <w:szCs w:val="24"/>
        </w:rPr>
      </w:pPr>
    </w:p>
    <w:p w14:paraId="1EE33A3C" w14:textId="77777777" w:rsidR="006E3ECD" w:rsidRPr="001A58E3" w:rsidRDefault="006E3ECD" w:rsidP="000679BA"/>
    <w:p w14:paraId="666DD4B7" w14:textId="77777777" w:rsidR="00FF4CBE" w:rsidRPr="001A58E3" w:rsidRDefault="00FF4CBE" w:rsidP="000679BA">
      <w:pPr>
        <w:rPr>
          <w:u w:val="single"/>
        </w:rPr>
      </w:pPr>
    </w:p>
    <w:p w14:paraId="22FA6526" w14:textId="77777777" w:rsidR="00FF4CBE" w:rsidRPr="001A58E3" w:rsidRDefault="00FF4CBE" w:rsidP="000679BA">
      <w:pPr>
        <w:rPr>
          <w:u w:val="single"/>
        </w:rPr>
      </w:pPr>
    </w:p>
    <w:p w14:paraId="5E7DA552" w14:textId="77777777" w:rsidR="00FF4CBE" w:rsidRPr="001A58E3" w:rsidRDefault="00FF4CBE" w:rsidP="000679BA">
      <w:pPr>
        <w:rPr>
          <w:u w:val="single"/>
        </w:rPr>
      </w:pPr>
    </w:p>
    <w:p w14:paraId="2EA8138A" w14:textId="77777777" w:rsidR="00D316A5" w:rsidRPr="001A58E3" w:rsidRDefault="00D316A5" w:rsidP="000679BA">
      <w:pPr>
        <w:rPr>
          <w:u w:val="single"/>
        </w:rPr>
      </w:pPr>
    </w:p>
    <w:p w14:paraId="432BEF91" w14:textId="22C9B16B" w:rsidR="008030EE" w:rsidRPr="001A58E3" w:rsidRDefault="008030EE" w:rsidP="00EC58FD">
      <w:pPr>
        <w:pStyle w:val="Heading1"/>
      </w:pPr>
      <w:bookmarkStart w:id="1" w:name="_Toc187953256"/>
      <w:r w:rsidRPr="001A58E3">
        <w:lastRenderedPageBreak/>
        <w:t>What role do prisons play in reoffending?</w:t>
      </w:r>
      <w:bookmarkEnd w:id="1"/>
    </w:p>
    <w:p w14:paraId="7D372C98" w14:textId="14A696C9" w:rsidR="00224EE4" w:rsidRPr="00224EE4" w:rsidRDefault="00C66E78" w:rsidP="00224EE4">
      <w:r w:rsidRPr="001A58E3">
        <w:t xml:space="preserve">          </w:t>
      </w:r>
      <w:r w:rsidR="00660137" w:rsidRPr="00660137">
        <w:t>Within the criminal justice system, prisons have several functions, such as rehabilitation, deterrence, punishment, and incapacitation. Prisons' role in reoffending is a complicated and multidimensional subject that is impacted by a number of variables, including the success of rehabilitation programs, the psychological effects of the prison environment, and the difficulties in reintegrating prisoners into society.</w:t>
      </w:r>
    </w:p>
    <w:p w14:paraId="48B6C43F" w14:textId="57F54D22" w:rsidR="00224EE4" w:rsidRPr="00224EE4" w:rsidRDefault="00C66E78" w:rsidP="00224EE4">
      <w:r w:rsidRPr="001A58E3">
        <w:t xml:space="preserve">          </w:t>
      </w:r>
      <w:r w:rsidR="00224EE4" w:rsidRPr="00224EE4">
        <w:t>The concept of rehabilitation within prisons has been a subject of significant debate. While some argue that prisons can contribute to the re-socialization of offenders through effective rehabilitation programs (Cornwell, 2009), others highlight the challenges of replicating real-life environments and providing comprehensive support within the prison setting (Decker et al., 2018). Research has emphasized the importance of social and human interaction in rehabilitation and the necessity of effective reintegration programs to address the inherent limitations of prison-based rehabilitation (Decker et al., 2018).</w:t>
      </w:r>
    </w:p>
    <w:p w14:paraId="269376A3" w14:textId="69BCC6A6" w:rsidR="00224EE4" w:rsidRPr="00224EE4" w:rsidRDefault="00C66E78" w:rsidP="00224EE4">
      <w:r w:rsidRPr="001A58E3">
        <w:t xml:space="preserve">          </w:t>
      </w:r>
      <w:r w:rsidR="00224EE4" w:rsidRPr="00224EE4">
        <w:t xml:space="preserve">The prison environment itself can have profound effects on individuals and their likelihood of reoffending. Factors such as the lack of social capital, disconnection from the world of work, and exposure to criminogenic networks contribute to a decrease in social and human capital, which in turn increases the probability of reoffending upon release (Osgood et al., 2008). Furthermore, the punitive nature of penal rhetoric prevalent within prisons often leads to negative responses from offenders, affecting their attitudes and </w:t>
      </w:r>
      <w:r w:rsidR="008F3FEA" w:rsidRPr="001A58E3">
        <w:t>behaviours</w:t>
      </w:r>
      <w:r w:rsidR="00224EE4" w:rsidRPr="00224EE4">
        <w:t xml:space="preserve"> (Cornwell, 2009). The prison environment may also perpetuate criminal </w:t>
      </w:r>
      <w:r w:rsidR="008F3FEA" w:rsidRPr="001A58E3">
        <w:t>behaviour</w:t>
      </w:r>
      <w:r w:rsidR="00224EE4" w:rsidRPr="00224EE4">
        <w:t xml:space="preserve"> by fostering networks and reinforcing antisocial tendencies, rather than mitigating them.</w:t>
      </w:r>
    </w:p>
    <w:p w14:paraId="023B0537" w14:textId="2DAF8730" w:rsidR="00224EE4" w:rsidRPr="00224EE4" w:rsidRDefault="00C66E78" w:rsidP="00224EE4">
      <w:r w:rsidRPr="001A58E3">
        <w:t xml:space="preserve">          </w:t>
      </w:r>
      <w:r w:rsidR="00224EE4" w:rsidRPr="00224EE4">
        <w:t xml:space="preserve">Challenges related to prisoner </w:t>
      </w:r>
      <w:r w:rsidR="008F3FEA" w:rsidRPr="001A58E3">
        <w:t>re-entry</w:t>
      </w:r>
      <w:r w:rsidR="00224EE4" w:rsidRPr="00224EE4">
        <w:t xml:space="preserve"> into society further exacerbate the problem of recidivism. Limited access to high-quality services, lack of information sharing between criminal justice and community agencies, and the absence of comprehensive post-release service plans hinder successful reintegration and contribute to persistently high rates of reoffending (Weimer et al., 2009). Moreover, the overpopulation of prisons and an overarching focus on punishment rather than rehabilitation create additional barriers to addressing the root causes of criminal </w:t>
      </w:r>
      <w:r w:rsidR="008F3FEA" w:rsidRPr="001A58E3">
        <w:t>behaviour</w:t>
      </w:r>
      <w:r w:rsidR="00224EE4" w:rsidRPr="00224EE4">
        <w:t xml:space="preserve"> (Vuuren, 2019). These systemic issues highlight the need for more holistic approaches to supporting former prisoners as they transition back into society.</w:t>
      </w:r>
    </w:p>
    <w:p w14:paraId="2D43B2B9" w14:textId="4DE523D3" w:rsidR="00224EE4" w:rsidRPr="001A58E3" w:rsidRDefault="00C66E78" w:rsidP="00224EE4">
      <w:r w:rsidRPr="001A58E3">
        <w:t xml:space="preserve">          </w:t>
      </w:r>
      <w:r w:rsidR="00224EE4" w:rsidRPr="00224EE4">
        <w:t xml:space="preserve">The perspective on rehabilitation within the criminal justice system has evolved considerably over time. Rehabilitation was once a widely accepted correctional goal, but shifts in sociopolitical priorities have led to a greater emphasis on retribution, deterrence, and incapacitation (Clear et al., 2016). This evolution has raised important questions about the effectiveness of traditional rehabilitation programs and the necessity of exploring alternative approaches to punishment and reintegration. While some studies argue for a continued focus on rehabilitation as a means of addressing the root causes of criminal </w:t>
      </w:r>
      <w:r w:rsidR="008F3FEA" w:rsidRPr="001A58E3">
        <w:t>behaviour</w:t>
      </w:r>
      <w:r w:rsidR="00224EE4" w:rsidRPr="00224EE4">
        <w:t xml:space="preserve"> (Cornwell, 2007), others suggest that broader systemic reforms are required to achieve meaningful reductions in recidivism rates.</w:t>
      </w:r>
    </w:p>
    <w:p w14:paraId="71A2A750" w14:textId="30FAE72D" w:rsidR="00C66E78" w:rsidRPr="001A58E3" w:rsidRDefault="00C66E78" w:rsidP="00224EE4">
      <w:r w:rsidRPr="001A58E3">
        <w:t xml:space="preserve">          In conclusion, prisons influence reoffending through factors such as rehabilitation effectiveness, the prison environment, and re-entry challenges. Addressing these requires </w:t>
      </w:r>
      <w:proofErr w:type="gramStart"/>
      <w:r w:rsidRPr="001A58E3">
        <w:t>a holistic approach</w:t>
      </w:r>
      <w:proofErr w:type="gramEnd"/>
      <w:r w:rsidRPr="001A58E3">
        <w:t xml:space="preserve"> that improves rehabilitation, mitigates the negative effects of imprisonment, and supports reintegration to reduce recidivism.</w:t>
      </w:r>
    </w:p>
    <w:p w14:paraId="0C13B47A" w14:textId="77777777" w:rsidR="00C038AA" w:rsidRPr="001A58E3" w:rsidRDefault="00C038AA" w:rsidP="00BB28FB"/>
    <w:p w14:paraId="147FCEB1" w14:textId="7A1B803E" w:rsidR="008030EE" w:rsidRPr="001A58E3" w:rsidRDefault="008030EE" w:rsidP="00EC58FD">
      <w:pPr>
        <w:pStyle w:val="Heading1"/>
      </w:pPr>
      <w:bookmarkStart w:id="2" w:name="_Toc187953257"/>
      <w:r w:rsidRPr="001A58E3">
        <w:lastRenderedPageBreak/>
        <w:t>Which offenders are most at risk of reoffending and why?</w:t>
      </w:r>
      <w:bookmarkEnd w:id="2"/>
    </w:p>
    <w:p w14:paraId="4F422155" w14:textId="77777777" w:rsidR="008F6706" w:rsidRPr="008F6706" w:rsidRDefault="008F6706" w:rsidP="008F6706">
      <w:r w:rsidRPr="008F6706">
        <w:t>Research has shown that older offenders tend to have lower rates of reoffending compared to</w:t>
      </w:r>
      <w:r w:rsidRPr="008F6706">
        <w:rPr>
          <w:u w:val="single"/>
        </w:rPr>
        <w:t xml:space="preserve"> </w:t>
      </w:r>
      <w:r w:rsidRPr="008F6706">
        <w:t>their younger counterparts. However, it is notable that few older offenders are first-time offenders, which raises questions about the applicability of factors predicting reoffending in younger individuals to older offenders (Gunn, Taylor, and Hutcheon, 2014). This complexity highlights the need for tailored approaches when addressing the risk of reoffending across different age groups.</w:t>
      </w:r>
    </w:p>
    <w:p w14:paraId="3705AB79" w14:textId="77777777" w:rsidR="008F6706" w:rsidRPr="008F6706" w:rsidRDefault="008F6706" w:rsidP="008F6706">
      <w:r w:rsidRPr="008F6706">
        <w:t>Mental health and trauma are also critical factors in understanding reoffending. Evidence suggests that a history of maltreatment and victimization, as well as specific symptoms of mental disorders, may increase the likelihood of reoffending. Chronic psychological trauma, in particular, has been identified as an important therapeutic target during rehabilitation efforts (Warburton and Stahl, 2021). Addressing these underlying issues through appropriate mental health interventions is essential for effective rehabilitation.</w:t>
      </w:r>
    </w:p>
    <w:p w14:paraId="6F900284" w14:textId="66CA8445" w:rsidR="008F6706" w:rsidRPr="008F6706" w:rsidRDefault="008F6706" w:rsidP="008F6706">
      <w:r w:rsidRPr="008F6706">
        <w:t xml:space="preserve">Social exclusion and family background further compound the risk of reoffending. Studies have identified predictors of persistent offending, including low family income, poor housing, lack of parental involvement, low socio-economic status, and delinquent siblings (Case and Haines, 2013). In addition, factors such as family criminality, family poverty, and poor parenting have been </w:t>
      </w:r>
      <w:proofErr w:type="gramStart"/>
      <w:r w:rsidRPr="008F6706">
        <w:t>closely associated</w:t>
      </w:r>
      <w:proofErr w:type="gramEnd"/>
      <w:r w:rsidRPr="008F6706">
        <w:t xml:space="preserve"> with an increased risk of reoffending. These findings </w:t>
      </w:r>
      <w:r w:rsidR="00344646" w:rsidRPr="008F6706">
        <w:t>highlight</w:t>
      </w:r>
      <w:r w:rsidRPr="008F6706">
        <w:t xml:space="preserve"> the </w:t>
      </w:r>
      <w:r w:rsidR="00344646" w:rsidRPr="008F6706">
        <w:t>value</w:t>
      </w:r>
      <w:r w:rsidRPr="008F6706">
        <w:t xml:space="preserve"> of addressing social and familial factors when designing interventions to reduce recidivism.</w:t>
      </w:r>
    </w:p>
    <w:p w14:paraId="02BD7FB0" w14:textId="3AC8F2C5" w:rsidR="008F6706" w:rsidRPr="008F6706" w:rsidRDefault="008F6706" w:rsidP="008F6706">
      <w:r w:rsidRPr="008F6706">
        <w:t>The period of incarceration itself has significant implications for recidivism. Research highlights the importance of prison experiences in influencing reoffending rates (Boros, Münnich, and Szegedi, 2011). Moreover, contemporary political environments and public attitudes toward offenders, particularly those convicted of sex offenses, often hinder successful re</w:t>
      </w:r>
      <w:r w:rsidR="00421E04" w:rsidRPr="001A58E3">
        <w:t>-</w:t>
      </w:r>
      <w:r w:rsidRPr="008F6706">
        <w:t>entry and reintegration into society (Stojkovic, 2017). These challenges demonstrate the need for comprehensive support systems to facilitate offenders’ transition back into the community.</w:t>
      </w:r>
    </w:p>
    <w:p w14:paraId="3AD82E9F" w14:textId="3089D6CC" w:rsidR="008F6706" w:rsidRPr="001A58E3" w:rsidRDefault="008F6706" w:rsidP="008F6706">
      <w:r w:rsidRPr="008F6706">
        <w:t xml:space="preserve">In conclusion, the risk of reoffending in England and Wales is shaped by a complex interplay of factors, including age, mental health, social exclusion, family background, and the impact of incarceration. Understanding these interconnected elements is </w:t>
      </w:r>
      <w:r w:rsidR="00CE7753" w:rsidRPr="008F6706">
        <w:t>essential</w:t>
      </w:r>
      <w:r w:rsidRPr="008F6706">
        <w:t xml:space="preserve"> for developing effective rehabilitation and </w:t>
      </w:r>
      <w:r w:rsidR="006B1F74" w:rsidRPr="008F6706">
        <w:t>recovery</w:t>
      </w:r>
      <w:r w:rsidRPr="008F6706">
        <w:t xml:space="preserve"> </w:t>
      </w:r>
      <w:r w:rsidR="006B1F74" w:rsidRPr="008F6706">
        <w:t>approaches</w:t>
      </w:r>
      <w:r w:rsidRPr="008F6706">
        <w:t xml:space="preserve"> that address the diverse needs of offenders.</w:t>
      </w:r>
    </w:p>
    <w:p w14:paraId="2EF658C5" w14:textId="77777777" w:rsidR="00816B23" w:rsidRPr="001A58E3" w:rsidRDefault="00816B23" w:rsidP="008F6706"/>
    <w:p w14:paraId="06291E3E" w14:textId="09641FC3" w:rsidR="008030EE" w:rsidRPr="001A58E3" w:rsidRDefault="008030EE" w:rsidP="00EC58FD">
      <w:pPr>
        <w:pStyle w:val="Heading1"/>
      </w:pPr>
      <w:bookmarkStart w:id="3" w:name="_Toc187953258"/>
      <w:r w:rsidRPr="001A58E3">
        <w:t>Wales: Reducing Reoffending plan 2022-25</w:t>
      </w:r>
      <w:bookmarkEnd w:id="3"/>
    </w:p>
    <w:p w14:paraId="2CDE6958" w14:textId="5A0BAE7E" w:rsidR="00C038AA" w:rsidRPr="001A58E3" w:rsidRDefault="001D45CE" w:rsidP="005B2DA4">
      <w:r w:rsidRPr="001A58E3">
        <w:t xml:space="preserve">          </w:t>
      </w:r>
      <w:r w:rsidR="00471474" w:rsidRPr="001A58E3">
        <w:t xml:space="preserve">A thorough plan to lower reoffending and enhance offender rehabilitation in Wales is laid out in the Wales: Reducing Reoffending Plan 2022–2025. The foundation of this plan is a multi-agency approach that acknowledges the significance of cooperation between statutory and non-statutory agencies in order to address the </w:t>
      </w:r>
      <w:r w:rsidR="000C106A" w:rsidRPr="001A58E3">
        <w:t>fundamental</w:t>
      </w:r>
      <w:r w:rsidR="00471474" w:rsidRPr="001A58E3">
        <w:t xml:space="preserve"> reasons of reoffending, which include homelessness, mental health disorders, and substance misuse (Welsh Government, 2022). Early intervention, prisoner resettlement assistance, and community-based alternatives to i</w:t>
      </w:r>
      <w:r w:rsidR="0025371F" w:rsidRPr="001A58E3">
        <w:t>mprisonment</w:t>
      </w:r>
      <w:r w:rsidR="00471474" w:rsidRPr="001A58E3">
        <w:t xml:space="preserve">, such as restorative justice techniques, are all emphasised in the approach (Welsh Government, 2022). In order to help offenders successfully reintegrate into society and lower their risk of reoffending, the strategy also emphasises the necessity of ongoing </w:t>
      </w:r>
      <w:r w:rsidR="00471474" w:rsidRPr="001A58E3">
        <w:lastRenderedPageBreak/>
        <w:t xml:space="preserve">investment in rehabilitation programs. </w:t>
      </w:r>
      <w:r w:rsidR="00D77E28" w:rsidRPr="00D77E28">
        <w:t xml:space="preserve">The </w:t>
      </w:r>
      <w:r w:rsidR="00D77E28" w:rsidRPr="00D77E28">
        <w:rPr>
          <w:i/>
          <w:iCs/>
        </w:rPr>
        <w:t>Reducing Reoffending Plan</w:t>
      </w:r>
      <w:r w:rsidR="00D77E28" w:rsidRPr="00D77E28">
        <w:t xml:space="preserve"> aligns with broader UK-wide criminal justice reform initiatives, but uniquely tailors </w:t>
      </w:r>
      <w:r w:rsidR="002034F2" w:rsidRPr="001A58E3">
        <w:t>it’s</w:t>
      </w:r>
      <w:r w:rsidR="00D77E28" w:rsidRPr="00D77E28">
        <w:t xml:space="preserve"> approach to the specific needs and challenges of Welsh </w:t>
      </w:r>
      <w:r w:rsidR="00C42197" w:rsidRPr="00D77E28">
        <w:t>communities.</w:t>
      </w:r>
    </w:p>
    <w:p w14:paraId="7BA57E67" w14:textId="77777777" w:rsidR="000F431F" w:rsidRPr="001A58E3" w:rsidRDefault="000F431F" w:rsidP="005B2DA4"/>
    <w:p w14:paraId="7279E981" w14:textId="69E90E81" w:rsidR="008030EE" w:rsidRPr="001A58E3" w:rsidRDefault="008030EE" w:rsidP="00EC58FD">
      <w:pPr>
        <w:pStyle w:val="Heading1"/>
      </w:pPr>
      <w:bookmarkStart w:id="4" w:name="_Toc187953259"/>
      <w:r w:rsidRPr="001A58E3">
        <w:t>Alternatives to imprisonment</w:t>
      </w:r>
      <w:bookmarkEnd w:id="4"/>
    </w:p>
    <w:p w14:paraId="20A7D8AE" w14:textId="51EFC9BB" w:rsidR="003619C3" w:rsidRPr="003619C3" w:rsidRDefault="003619C3" w:rsidP="003619C3">
      <w:r w:rsidRPr="001A58E3">
        <w:t xml:space="preserve">          </w:t>
      </w:r>
      <w:r w:rsidRPr="003619C3">
        <w:t>In recent years, the UK has placed greater emphasis on exploring alternatives to imprisonment due to concerns about the limitations of incarceration and the need for more humane, cost-effective, and rehabilitative strategies. These alternatives aim to reduce recidivism, address shortcomings in the criminal justice system, and promote restorative justice, which facilitates healing, reconciliation, and victim-offender relationships (Shelby, 2022).</w:t>
      </w:r>
    </w:p>
    <w:p w14:paraId="62305829" w14:textId="267A70CA" w:rsidR="003619C3" w:rsidRPr="003619C3" w:rsidRDefault="003619C3" w:rsidP="003619C3">
      <w:r w:rsidRPr="001A58E3">
        <w:t xml:space="preserve">          </w:t>
      </w:r>
      <w:r w:rsidRPr="003619C3">
        <w:t>The use of non-carceral penalties, such as community service and home confinement, has gained traction, though enforcement challenges often necessitate the threat of imprisonment to ensure compliance. Research demonstrates that alternatives incorporating educational programs, drug treatments, and sex offender interventions are significantly more effective in reducing recidivism and are more cost-efficient than traditional imprisonment (Sammons and Putwain, 2018). Efforts to expand such measures began in the 1950s and gained momentum during the penal reform debates of the 1970s, leading to initiatives like community service orders and victim-offender reconciliation schemes (McMahon, 2019).</w:t>
      </w:r>
    </w:p>
    <w:p w14:paraId="73B30BA3" w14:textId="38BA00D6" w:rsidR="003619C3" w:rsidRPr="003619C3" w:rsidRDefault="003619C3" w:rsidP="003619C3">
      <w:r w:rsidRPr="001A58E3">
        <w:t xml:space="preserve">          </w:t>
      </w:r>
      <w:r w:rsidRPr="003619C3">
        <w:t xml:space="preserve">Restorative justice measures focus on supporting victims, compensating for harm, and restoring relationships fractured by injustice. These approaches aim to achieve genuine reconciliation between victims and offenders. Programs like victim-offender mediation and community-based interventions have been implemented in various settings, including schools and police programs, to divert offenders from formal court processes, reduce reconviction rates, and foster positive </w:t>
      </w:r>
      <w:r w:rsidR="002B1078" w:rsidRPr="001A58E3">
        <w:t>behavioural</w:t>
      </w:r>
      <w:r w:rsidRPr="003619C3">
        <w:t xml:space="preserve"> changes (Siegel and Worrall, 2018).</w:t>
      </w:r>
    </w:p>
    <w:p w14:paraId="36D257E3" w14:textId="3A425512" w:rsidR="003619C3" w:rsidRPr="003619C3" w:rsidRDefault="003619C3" w:rsidP="003619C3">
      <w:r w:rsidRPr="001A58E3">
        <w:t xml:space="preserve">          </w:t>
      </w:r>
      <w:r w:rsidRPr="003619C3">
        <w:t xml:space="preserve">Despite the potential of these alternatives, challenges remain. The prison population continues to grow, and </w:t>
      </w:r>
      <w:r w:rsidR="002B1078" w:rsidRPr="001A58E3">
        <w:t>scepticism</w:t>
      </w:r>
      <w:r w:rsidRPr="003619C3">
        <w:t xml:space="preserve"> persists regarding the effectiveness of non-custodial measures. Critics argue that non-custodial approaches may be insufficiently punitive or effective compared to imprisonment, and there is limited evidence suggesting they consistently produce better outcomes (McConville, 2023). Nevertheless, ongoing efforts to refine and implement these alternatives reflect a commitment to more effective and humane responses to criminal </w:t>
      </w:r>
      <w:r w:rsidR="002B1078" w:rsidRPr="001A58E3">
        <w:t>behaviour</w:t>
      </w:r>
      <w:r w:rsidRPr="003619C3">
        <w:t>.</w:t>
      </w:r>
    </w:p>
    <w:p w14:paraId="3E827A0E" w14:textId="75A08DF8" w:rsidR="003619C3" w:rsidRPr="001A58E3" w:rsidRDefault="003619C3" w:rsidP="003619C3">
      <w:r w:rsidRPr="001A58E3">
        <w:t xml:space="preserve">          </w:t>
      </w:r>
      <w:r w:rsidRPr="003619C3">
        <w:t xml:space="preserve">In conclusion, the exploration of alternatives to imprisonment in the UK is influenced by concerns about </w:t>
      </w:r>
      <w:r w:rsidR="007D37F9" w:rsidRPr="001A58E3">
        <w:t>imprisonment</w:t>
      </w:r>
      <w:r w:rsidR="004D62DF" w:rsidRPr="001A58E3">
        <w:t xml:space="preserve">’s </w:t>
      </w:r>
      <w:r w:rsidRPr="003619C3">
        <w:t xml:space="preserve">limitations and the potential benefits of restorative justice. While challenges and </w:t>
      </w:r>
      <w:r w:rsidR="002B1078" w:rsidRPr="001A58E3">
        <w:t>scepticism</w:t>
      </w:r>
      <w:r w:rsidRPr="003619C3">
        <w:t xml:space="preserve"> remain, these initiatives represent a step toward addressing systemic issues and improving outcomes for offenders, victims, and society as a whole.</w:t>
      </w:r>
    </w:p>
    <w:p w14:paraId="41FC6981" w14:textId="77777777" w:rsidR="003619C3" w:rsidRPr="003619C3" w:rsidRDefault="003619C3" w:rsidP="003619C3"/>
    <w:p w14:paraId="511EBC36" w14:textId="77777777" w:rsidR="002876E0" w:rsidRPr="002876E0" w:rsidRDefault="002876E0" w:rsidP="00EC58FD">
      <w:pPr>
        <w:pStyle w:val="Heading1"/>
      </w:pPr>
      <w:bookmarkStart w:id="5" w:name="_Toc187953260"/>
      <w:r w:rsidRPr="002876E0">
        <w:t>Resettlement Support for Prison Leavers in the UK</w:t>
      </w:r>
      <w:bookmarkEnd w:id="5"/>
    </w:p>
    <w:p w14:paraId="23273AB0" w14:textId="49354F90" w:rsidR="002876E0" w:rsidRPr="002876E0" w:rsidRDefault="00013E32" w:rsidP="002876E0">
      <w:r w:rsidRPr="001A58E3">
        <w:t xml:space="preserve">          </w:t>
      </w:r>
      <w:r w:rsidR="002876E0" w:rsidRPr="002876E0">
        <w:t xml:space="preserve">Resettlement initiatives in the UK aim to reduce reoffending among prison leavers, particularly those serving short sentences. The voluntary sector and various projects provide </w:t>
      </w:r>
      <w:r w:rsidR="002876E0" w:rsidRPr="002876E0">
        <w:lastRenderedPageBreak/>
        <w:t>specialist support in areas such as accommodation, mental health, substance misuse, and employment reintegration. However, these initiatives face challenges due to underfunding in welfare support, housing, and pathway services (Burke et al., 2022). Wider political support for resettlement is limited, and the Probation Service often prioritises public protection over broader rehabilitation efforts (Burke et al., 2022).</w:t>
      </w:r>
    </w:p>
    <w:p w14:paraId="330327F6" w14:textId="7A6D0C34" w:rsidR="002876E0" w:rsidRPr="002876E0" w:rsidRDefault="00013E32" w:rsidP="002876E0">
      <w:r w:rsidRPr="001A58E3">
        <w:t xml:space="preserve">          </w:t>
      </w:r>
      <w:r w:rsidR="002876E0" w:rsidRPr="002876E0">
        <w:t xml:space="preserve">Employment is critical for reintegration, offering financial stability, social integration, and skills development. Recognising the unique needs of each individual, programmes must adopt personalised approaches (Ricciardelli et al., 2017). Stable housing is also vital for successful </w:t>
      </w:r>
      <w:r w:rsidR="002C63A7" w:rsidRPr="001A58E3">
        <w:t>re-entry yet</w:t>
      </w:r>
      <w:r w:rsidR="002876E0" w:rsidRPr="002876E0">
        <w:t xml:space="preserve"> remains a pressing issue for many offenders (Stojkovic, 2017).</w:t>
      </w:r>
    </w:p>
    <w:p w14:paraId="1B20E0C9" w14:textId="5DB21841" w:rsidR="002876E0" w:rsidRPr="002876E0" w:rsidRDefault="00013E32" w:rsidP="002876E0">
      <w:r w:rsidRPr="001A58E3">
        <w:t xml:space="preserve">          </w:t>
      </w:r>
      <w:r w:rsidR="002876E0" w:rsidRPr="002876E0">
        <w:t>Mentoring is a common feature of resettlement projects but lacks theoretical grounding and robust evidence of it</w:t>
      </w:r>
      <w:r w:rsidR="003005D7" w:rsidRPr="001A58E3">
        <w:t>’</w:t>
      </w:r>
      <w:r w:rsidR="002876E0" w:rsidRPr="002876E0">
        <w:t>s effectiveness (Hucklesby and Hagley-Dickinson, 2012). Support from family members post-release is especially important for successful reintegration (Osgood et al., 2008).</w:t>
      </w:r>
    </w:p>
    <w:p w14:paraId="575C3F62" w14:textId="630A0BFA" w:rsidR="002876E0" w:rsidRPr="002876E0" w:rsidRDefault="00013E32" w:rsidP="002876E0">
      <w:r w:rsidRPr="001A58E3">
        <w:t xml:space="preserve">          </w:t>
      </w:r>
      <w:r w:rsidR="002876E0" w:rsidRPr="002876E0">
        <w:t>Partnerships between prisons and organisations can help provide prisoners with training and accreditation prior to release, improving their chances of rehabilitation (Vipond, 2023). Additionally, accessing community training opportunities and reflecting on positive behaviours during release can discourage reoffending (Shingler and Stickney, 2023).</w:t>
      </w:r>
    </w:p>
    <w:p w14:paraId="08F86D91" w14:textId="11729F06" w:rsidR="002876E0" w:rsidRPr="002876E0" w:rsidRDefault="00013E32" w:rsidP="002876E0">
      <w:r w:rsidRPr="001A58E3">
        <w:t xml:space="preserve">          </w:t>
      </w:r>
      <w:r w:rsidR="002876E0" w:rsidRPr="002876E0">
        <w:t>In summary, resettlement support in the UK focuses on employment, housing, mentoring, and personalised approaches to meet the diverse needs of prison leavers. Challenges such as underfunding, limited political support, and the Probation Service’s focus on public protection hinder the broader adoption of good practices in resettlement.</w:t>
      </w:r>
    </w:p>
    <w:p w14:paraId="3D901AC9" w14:textId="41FA7CD1" w:rsidR="002876E0" w:rsidRPr="002876E0" w:rsidRDefault="002876E0" w:rsidP="002876E0"/>
    <w:p w14:paraId="7C5E0BCF" w14:textId="77777777" w:rsidR="001A58E3" w:rsidRDefault="001A58E3" w:rsidP="000A1382"/>
    <w:p w14:paraId="7A13F7DF" w14:textId="050A6F57" w:rsidR="008030EE" w:rsidRPr="001A58E3" w:rsidRDefault="008030EE" w:rsidP="00EC58FD">
      <w:pPr>
        <w:pStyle w:val="Heading1"/>
      </w:pPr>
      <w:bookmarkStart w:id="6" w:name="_Toc187953261"/>
      <w:r w:rsidRPr="001A58E3">
        <w:t>Initiatives that have been successful elsewhere which could be implemented in South Wales.</w:t>
      </w:r>
      <w:bookmarkEnd w:id="6"/>
      <w:r w:rsidRPr="001A58E3">
        <w:t xml:space="preserve"> </w:t>
      </w:r>
    </w:p>
    <w:p w14:paraId="6C6031ED" w14:textId="43A26CFE" w:rsidR="000A1382" w:rsidRPr="000A1382" w:rsidRDefault="000A1382" w:rsidP="000A1382">
      <w:r w:rsidRPr="001A58E3">
        <w:t xml:space="preserve">          </w:t>
      </w:r>
      <w:r w:rsidRPr="000A1382">
        <w:t>Several successful crime reduction initiatives from other regions could be considered for implementation in South Wales. These initiatives include community-based approaches, restorative policing, and specific crime prevention programs, each offering a unique focus and approach. Their successful implementation elsewhere suggests their potential effectiveness in addressing crime and promoting community safety in South Wales.</w:t>
      </w:r>
    </w:p>
    <w:p w14:paraId="41684F21" w14:textId="193C40C6" w:rsidR="000A1382" w:rsidRPr="000A1382" w:rsidRDefault="000A1382" w:rsidP="000A1382">
      <w:r w:rsidRPr="001A58E3">
        <w:t xml:space="preserve">          </w:t>
      </w:r>
      <w:r w:rsidRPr="000A1382">
        <w:t>Community-based approaches have proven effective in reducing crime by engaging the entire community in efforts to improve safety. These initiatives often involve physical and environmental changes, such as altering the layout of communities, increasing surveillance through technologies like CCTV, and addressing localized crime issues. Tailoring these approaches to the specific characteristics and needs of individual communities is crucial, as understanding local power structures and intervention strategies enhances their effectiveness (Joyce and Laverick, 2022; Barnes et al., 2006).</w:t>
      </w:r>
    </w:p>
    <w:p w14:paraId="59B06C8B" w14:textId="05A07EC6" w:rsidR="000A1382" w:rsidRPr="000A1382" w:rsidRDefault="000A1382" w:rsidP="000A1382">
      <w:r w:rsidRPr="001A58E3">
        <w:t xml:space="preserve">          </w:t>
      </w:r>
      <w:r w:rsidRPr="000A1382">
        <w:t xml:space="preserve">Restorative policing represents another promising avenue for reducing crime. This approach emphasizes collaboration among police, communities, and other agencies to address criminal </w:t>
      </w:r>
      <w:r w:rsidR="00466B78" w:rsidRPr="000A1382">
        <w:t>behaviour</w:t>
      </w:r>
      <w:r w:rsidRPr="000A1382">
        <w:t xml:space="preserve"> and promote resolution. Successful restorative justice initiatives </w:t>
      </w:r>
      <w:r w:rsidRPr="000A1382">
        <w:lastRenderedPageBreak/>
        <w:t>typically rely on clear communication strategies, well-defined eligibility criteria, and active consultation with stakeholders, including victims, to ensure informed participation (Clamp and Paterson, 2016).</w:t>
      </w:r>
    </w:p>
    <w:p w14:paraId="6040FC3E" w14:textId="11A582B0" w:rsidR="000A1382" w:rsidRPr="000A1382" w:rsidRDefault="000A1382" w:rsidP="000A1382">
      <w:r w:rsidRPr="001A58E3">
        <w:t xml:space="preserve">          </w:t>
      </w:r>
      <w:r w:rsidRPr="000A1382">
        <w:t xml:space="preserve">Specific crime prevention programs, such as those implemented by the National Institute for Crime Prevention and the Reintegration of Offenders (NICRO) in South Africa, also highlight the benefits of targeted interventions. Programs like the Perpetrator of Domestic Violence (PDV) initiative address specific risk factors contributing to criminal </w:t>
      </w:r>
      <w:r w:rsidR="00466B78" w:rsidRPr="000A1382">
        <w:t>behaviour</w:t>
      </w:r>
      <w:r w:rsidRPr="000A1382">
        <w:t xml:space="preserve"> and offer valuable lessons for developing similar initiatives in South Wales (Schoeman, 2013).</w:t>
      </w:r>
    </w:p>
    <w:p w14:paraId="3819B802" w14:textId="638A51C7" w:rsidR="000A1382" w:rsidRDefault="000A1382" w:rsidP="000A1382">
      <w:r w:rsidRPr="001A58E3">
        <w:t xml:space="preserve">          </w:t>
      </w:r>
      <w:r w:rsidRPr="000A1382">
        <w:t>When implementing these initiatives, several considerations are vital. Clear leadership, targeted funding, and a focus on high-crime areas are essential to ensuring their success. Community involvement, stakeholder collaboration, and an understanding of local dynamics further enhance their potential impact. Such tailored approaches, combined with strategies addressing specific crime problems, align with best practices observed in other regions (Kirby, 2013; Sutton et al., 2021).</w:t>
      </w:r>
    </w:p>
    <w:p w14:paraId="79A59FB7" w14:textId="77777777" w:rsidR="00191484" w:rsidRDefault="00191484" w:rsidP="000A1382"/>
    <w:p w14:paraId="60264288" w14:textId="77777777" w:rsidR="00191484" w:rsidRPr="000A1382" w:rsidRDefault="00191484" w:rsidP="000A1382"/>
    <w:p w14:paraId="5C6BFC5C" w14:textId="77777777" w:rsidR="00621B1C" w:rsidRPr="009F1B11" w:rsidRDefault="00621B1C" w:rsidP="00621B1C">
      <w:pPr>
        <w:rPr>
          <w:u w:val="single"/>
        </w:rPr>
      </w:pPr>
    </w:p>
    <w:p w14:paraId="2A955B3D" w14:textId="77777777" w:rsidR="00D316A5" w:rsidRDefault="00D316A5" w:rsidP="000D4460">
      <w:pPr>
        <w:rPr>
          <w:u w:val="single"/>
        </w:rPr>
      </w:pPr>
    </w:p>
    <w:p w14:paraId="01DB1DC1" w14:textId="77777777" w:rsidR="00A649A3" w:rsidRPr="00A649A3" w:rsidRDefault="00A649A3" w:rsidP="00777904">
      <w:pPr>
        <w:pStyle w:val="Heading1"/>
      </w:pPr>
      <w:bookmarkStart w:id="7" w:name="_Toc187953262"/>
      <w:r w:rsidRPr="00A649A3">
        <w:t>Conclusion</w:t>
      </w:r>
      <w:bookmarkEnd w:id="7"/>
    </w:p>
    <w:p w14:paraId="4E1130E8" w14:textId="607AF717" w:rsidR="00A649A3" w:rsidRPr="00A649A3" w:rsidRDefault="00A649A3" w:rsidP="00A649A3">
      <w:r>
        <w:t xml:space="preserve">          </w:t>
      </w:r>
      <w:r w:rsidRPr="00A649A3">
        <w:t xml:space="preserve">Reducing recidivism in South Wales requires a </w:t>
      </w:r>
      <w:r w:rsidR="00BD6E7D" w:rsidRPr="00A649A3">
        <w:t>complete</w:t>
      </w:r>
      <w:r w:rsidRPr="00A649A3">
        <w:t xml:space="preserve"> and collaborative </w:t>
      </w:r>
      <w:r w:rsidR="00B6543B" w:rsidRPr="00A649A3">
        <w:t>method</w:t>
      </w:r>
      <w:r w:rsidRPr="00A649A3">
        <w:t xml:space="preserve"> that addresses the </w:t>
      </w:r>
      <w:r w:rsidR="00B6543B" w:rsidRPr="00A649A3">
        <w:t>core</w:t>
      </w:r>
      <w:r w:rsidRPr="00A649A3">
        <w:t xml:space="preserve"> causes of criminal </w:t>
      </w:r>
      <w:r w:rsidR="00010E3E" w:rsidRPr="00A649A3">
        <w:t>behaviour</w:t>
      </w:r>
      <w:r w:rsidRPr="00A649A3">
        <w:t xml:space="preserve"> and supports </w:t>
      </w:r>
      <w:r w:rsidR="00BD6E7D" w:rsidRPr="00A649A3">
        <w:t>productive</w:t>
      </w:r>
      <w:r w:rsidRPr="00A649A3">
        <w:t xml:space="preserve"> reintegration. Prisons, while serving as tools for punishment and deterrence, often fail to rehabilitate offenders or mitigate reoffending risks. Key challenges include the adverse effects of incarceration, insufficient reintegration support, and a lack of emphasis on rehabilitation.</w:t>
      </w:r>
    </w:p>
    <w:p w14:paraId="048E0C2E" w14:textId="7917C3B1" w:rsidR="00A649A3" w:rsidRPr="00A649A3" w:rsidRDefault="00A649A3" w:rsidP="00A649A3">
      <w:r>
        <w:t xml:space="preserve">          </w:t>
      </w:r>
      <w:r w:rsidRPr="00A649A3">
        <w:t>The Wales: Reducing Reoffending Plan 2022–25 represents a promising framework for addressing these issues, but its success depends on sustained investment and coordination between agencies. Alternatives to imprisonment, such as restorative justice and community-based penalties, offer opportunities to reduce the prison population while fostering rehabilitation. Moreover, resettlement initiatives must prioritize employment, housing, and mental health support to effectively reintegrate former prisoners.</w:t>
      </w:r>
    </w:p>
    <w:p w14:paraId="5875E74C" w14:textId="3B952340" w:rsidR="00A649A3" w:rsidRPr="00A649A3" w:rsidRDefault="00A649A3" w:rsidP="00A649A3">
      <w:r>
        <w:t xml:space="preserve">         </w:t>
      </w:r>
      <w:r w:rsidRPr="00A649A3">
        <w:t>Adopting successful practices from other regions, tailored to the specific needs of South Wales, can further enhance efforts to reduce reoffending. By embracing holistic and evidence-based approaches, South Wales can improve outcomes for offenders, victims, and society, paving the way for safer communities and a more equitable justice system.</w:t>
      </w:r>
    </w:p>
    <w:p w14:paraId="6FA7F95F" w14:textId="77777777" w:rsidR="00A649A3" w:rsidRDefault="00A649A3" w:rsidP="00A649A3">
      <w:pPr>
        <w:rPr>
          <w:b/>
          <w:bCs/>
          <w:u w:val="single"/>
        </w:rPr>
      </w:pPr>
    </w:p>
    <w:p w14:paraId="35847529" w14:textId="77777777" w:rsidR="0075250A" w:rsidRDefault="0075250A" w:rsidP="002D6A9F">
      <w:pPr>
        <w:rPr>
          <w:b/>
          <w:bCs/>
          <w:u w:val="single"/>
        </w:rPr>
      </w:pPr>
    </w:p>
    <w:p w14:paraId="1F475975" w14:textId="3949AC61" w:rsidR="0061214E" w:rsidRDefault="004851AA" w:rsidP="002D6A9F">
      <w:pPr>
        <w:rPr>
          <w:b/>
          <w:bCs/>
          <w:u w:val="single"/>
        </w:rPr>
      </w:pPr>
      <w:r>
        <w:rPr>
          <w:b/>
          <w:bCs/>
          <w:u w:val="single"/>
        </w:rPr>
        <w:t xml:space="preserve"> </w:t>
      </w:r>
      <w:r w:rsidR="0061214E">
        <w:rPr>
          <w:b/>
          <w:bCs/>
          <w:u w:val="single"/>
        </w:rPr>
        <w:t xml:space="preserve">References </w:t>
      </w:r>
    </w:p>
    <w:p w14:paraId="14F19BA0" w14:textId="77777777" w:rsidR="0061214E" w:rsidRDefault="0061214E" w:rsidP="002D6A9F">
      <w:pPr>
        <w:rPr>
          <w:b/>
          <w:bCs/>
          <w:u w:val="single"/>
        </w:rPr>
      </w:pPr>
    </w:p>
    <w:p w14:paraId="407B73AB" w14:textId="74F4E7DA" w:rsidR="002D6A9F" w:rsidRPr="002D6A9F" w:rsidRDefault="002D6A9F" w:rsidP="002D6A9F">
      <w:r w:rsidRPr="002D6A9F">
        <w:lastRenderedPageBreak/>
        <w:t xml:space="preserve">Barnes, J., Katz, I., Korbin, J. and O’Brien, M. (2006) </w:t>
      </w:r>
      <w:r w:rsidRPr="002D6A9F">
        <w:rPr>
          <w:i/>
          <w:iCs/>
        </w:rPr>
        <w:t>Children and Families in Communities</w:t>
      </w:r>
      <w:r w:rsidRPr="002D6A9F">
        <w:t xml:space="preserve">. 1st edn. Wiley. Available at: </w:t>
      </w:r>
      <w:hyperlink r:id="rId6" w:tgtFrame="_new" w:history="1">
        <w:r w:rsidRPr="002D6A9F">
          <w:rPr>
            <w:rStyle w:val="Hyperlink"/>
          </w:rPr>
          <w:t>https://www.perlego.com/book/2754697</w:t>
        </w:r>
      </w:hyperlink>
      <w:r w:rsidRPr="002D6A9F">
        <w:t xml:space="preserve"> (Accessed: 16 January 2025).</w:t>
      </w:r>
    </w:p>
    <w:p w14:paraId="10E24B0A" w14:textId="54657FF8" w:rsidR="00C43D9D" w:rsidRDefault="002D6A9F" w:rsidP="002D6A9F">
      <w:r w:rsidRPr="002D6A9F">
        <w:br/>
        <w:t xml:space="preserve">Boros, J., Münnich, I. and Szegedi, M. (2011) </w:t>
      </w:r>
      <w:r w:rsidRPr="002D6A9F">
        <w:rPr>
          <w:i/>
          <w:iCs/>
        </w:rPr>
        <w:t>Psychology and Criminal Justice</w:t>
      </w:r>
      <w:r w:rsidRPr="002D6A9F">
        <w:t xml:space="preserve">. 1st edn. De Gruyter. Available at: </w:t>
      </w:r>
      <w:hyperlink r:id="rId7" w:tgtFrame="_new" w:history="1">
        <w:r w:rsidRPr="002D6A9F">
          <w:rPr>
            <w:rStyle w:val="Hyperlink"/>
          </w:rPr>
          <w:t>https://www.perlego.com/book/651553</w:t>
        </w:r>
      </w:hyperlink>
      <w:r w:rsidRPr="002D6A9F">
        <w:t xml:space="preserve"> (Accessed: 8 January 2025).</w:t>
      </w:r>
    </w:p>
    <w:p w14:paraId="5B1139C4" w14:textId="1D1A314E" w:rsidR="002D6A9F" w:rsidRPr="002D6A9F" w:rsidRDefault="002D6A9F" w:rsidP="002D6A9F">
      <w:r w:rsidRPr="002D6A9F">
        <w:br/>
        <w:t xml:space="preserve">Burke, L., Millings, M. and Robinson, G. (2022) </w:t>
      </w:r>
      <w:r w:rsidRPr="002D6A9F">
        <w:rPr>
          <w:i/>
          <w:iCs/>
        </w:rPr>
        <w:t>Reimagining Probation Practice</w:t>
      </w:r>
      <w:r w:rsidRPr="002D6A9F">
        <w:t xml:space="preserve">. 1st edn. Routledge. Available at: </w:t>
      </w:r>
      <w:hyperlink r:id="rId8" w:tgtFrame="_new" w:history="1">
        <w:r w:rsidRPr="002D6A9F">
          <w:rPr>
            <w:rStyle w:val="Hyperlink"/>
          </w:rPr>
          <w:t>https://www.perlego.com/book/3720565</w:t>
        </w:r>
      </w:hyperlink>
      <w:r w:rsidRPr="002D6A9F">
        <w:t xml:space="preserve"> (Accessed: 16 January 2025).</w:t>
      </w:r>
    </w:p>
    <w:p w14:paraId="69E242EE" w14:textId="282E8E6A" w:rsidR="00C43D9D" w:rsidRDefault="002D6A9F" w:rsidP="002D6A9F">
      <w:r w:rsidRPr="002D6A9F">
        <w:br/>
        <w:t xml:space="preserve">Case, S. and Haines, K. (2013) </w:t>
      </w:r>
      <w:r w:rsidRPr="002D6A9F">
        <w:rPr>
          <w:i/>
          <w:iCs/>
        </w:rPr>
        <w:t>Understanding Youth Offending</w:t>
      </w:r>
      <w:r w:rsidRPr="002D6A9F">
        <w:t xml:space="preserve">. 1st edn. Willan. Available at: </w:t>
      </w:r>
      <w:hyperlink r:id="rId9" w:tgtFrame="_new" w:history="1">
        <w:r w:rsidRPr="002D6A9F">
          <w:rPr>
            <w:rStyle w:val="Hyperlink"/>
          </w:rPr>
          <w:t>https://www.perlego.com/book/1547717</w:t>
        </w:r>
      </w:hyperlink>
      <w:r w:rsidRPr="002D6A9F">
        <w:t xml:space="preserve"> (Accessed: 8 January 2025).</w:t>
      </w:r>
    </w:p>
    <w:p w14:paraId="579D3113" w14:textId="01425C79" w:rsidR="002D6A9F" w:rsidRDefault="002D6A9F" w:rsidP="002D6A9F">
      <w:r w:rsidRPr="002D6A9F">
        <w:br/>
        <w:t xml:space="preserve">Clamp, K. and Paterson, C. (2016) </w:t>
      </w:r>
      <w:r w:rsidRPr="002D6A9F">
        <w:rPr>
          <w:i/>
          <w:iCs/>
        </w:rPr>
        <w:t>Restorative Policing</w:t>
      </w:r>
      <w:r w:rsidRPr="002D6A9F">
        <w:t xml:space="preserve">. 1st edn. Routledge. Available at: </w:t>
      </w:r>
      <w:hyperlink r:id="rId10" w:tgtFrame="_new" w:history="1">
        <w:r w:rsidRPr="002D6A9F">
          <w:rPr>
            <w:rStyle w:val="Hyperlink"/>
          </w:rPr>
          <w:t>https://www.perlego.com/book/1631546</w:t>
        </w:r>
      </w:hyperlink>
      <w:r w:rsidRPr="002D6A9F">
        <w:t xml:space="preserve"> (Accessed: 16 January 2025).</w:t>
      </w:r>
    </w:p>
    <w:p w14:paraId="43D2EB09" w14:textId="0D8F903D" w:rsidR="002D6A9F" w:rsidRDefault="002D6A9F" w:rsidP="002D6A9F">
      <w:r w:rsidRPr="002D6A9F">
        <w:br/>
        <w:t xml:space="preserve">Clear, T. et al. (2016) </w:t>
      </w:r>
      <w:r w:rsidRPr="002D6A9F">
        <w:rPr>
          <w:i/>
          <w:iCs/>
        </w:rPr>
        <w:t>3P-EBK: AMERICAN CORRECTIONS BRIEF</w:t>
      </w:r>
      <w:r w:rsidRPr="002D6A9F">
        <w:t xml:space="preserve">. Cengage Learning EMEA. Available at: </w:t>
      </w:r>
      <w:hyperlink r:id="rId11" w:tgtFrame="_new" w:history="1">
        <w:r w:rsidRPr="002D6A9F">
          <w:rPr>
            <w:rStyle w:val="Hyperlink"/>
          </w:rPr>
          <w:t>https://www.perlego.com/book/2741501</w:t>
        </w:r>
      </w:hyperlink>
      <w:r w:rsidRPr="002D6A9F">
        <w:t xml:space="preserve"> (Accessed: 8 January 2025).</w:t>
      </w:r>
    </w:p>
    <w:p w14:paraId="4DC0236B" w14:textId="5F1BAD44" w:rsidR="002D6A9F" w:rsidRDefault="002D6A9F" w:rsidP="002D6A9F">
      <w:r w:rsidRPr="002D6A9F">
        <w:br/>
        <w:t xml:space="preserve">Cornwell, D. (2007) </w:t>
      </w:r>
      <w:r w:rsidRPr="002D6A9F">
        <w:rPr>
          <w:i/>
          <w:iCs/>
        </w:rPr>
        <w:t>Doing Justice Better</w:t>
      </w:r>
      <w:r w:rsidRPr="002D6A9F">
        <w:t xml:space="preserve">. Waterside Press. Available at: </w:t>
      </w:r>
      <w:hyperlink r:id="rId12" w:tgtFrame="_new" w:history="1">
        <w:r w:rsidRPr="002D6A9F">
          <w:rPr>
            <w:rStyle w:val="Hyperlink"/>
          </w:rPr>
          <w:t>https://www.perlego.com/book/2957431</w:t>
        </w:r>
      </w:hyperlink>
      <w:r w:rsidRPr="002D6A9F">
        <w:t xml:space="preserve"> (Accessed: 8 January 2025).</w:t>
      </w:r>
    </w:p>
    <w:p w14:paraId="3EE1FB74" w14:textId="45CC680A" w:rsidR="002D6A9F" w:rsidRPr="002D6A9F" w:rsidRDefault="002D6A9F" w:rsidP="002D6A9F">
      <w:r w:rsidRPr="002D6A9F">
        <w:br/>
        <w:t xml:space="preserve">Cornwell, D. (2009) </w:t>
      </w:r>
      <w:r w:rsidRPr="002D6A9F">
        <w:rPr>
          <w:i/>
          <w:iCs/>
        </w:rPr>
        <w:t>The Penal Crisis and the Clapham Omnibus</w:t>
      </w:r>
      <w:r w:rsidRPr="002D6A9F">
        <w:t xml:space="preserve">. Waterside Press. Available at: </w:t>
      </w:r>
      <w:hyperlink r:id="rId13" w:tgtFrame="_new" w:history="1">
        <w:r w:rsidRPr="002D6A9F">
          <w:rPr>
            <w:rStyle w:val="Hyperlink"/>
          </w:rPr>
          <w:t>https://www.perlego.com/book/2957501</w:t>
        </w:r>
      </w:hyperlink>
      <w:r w:rsidRPr="002D6A9F">
        <w:t xml:space="preserve"> (Accessed: 8 January 2025).</w:t>
      </w:r>
    </w:p>
    <w:p w14:paraId="7E787684" w14:textId="56062BD5" w:rsidR="002D6A9F" w:rsidRPr="002D6A9F" w:rsidRDefault="002D6A9F" w:rsidP="002D6A9F">
      <w:r w:rsidRPr="002D6A9F">
        <w:br/>
        <w:t xml:space="preserve">Decker, S. et al. (2018) </w:t>
      </w:r>
      <w:r w:rsidRPr="002D6A9F">
        <w:rPr>
          <w:i/>
          <w:iCs/>
        </w:rPr>
        <w:t>Criminology and Public Policy</w:t>
      </w:r>
      <w:r w:rsidRPr="002D6A9F">
        <w:t xml:space="preserve">. Temple University Press. Available at: </w:t>
      </w:r>
      <w:hyperlink r:id="rId14" w:tgtFrame="_new" w:history="1">
        <w:r w:rsidRPr="002D6A9F">
          <w:rPr>
            <w:rStyle w:val="Hyperlink"/>
          </w:rPr>
          <w:t>https://www.perlego.com/book/2034588</w:t>
        </w:r>
      </w:hyperlink>
      <w:r w:rsidRPr="002D6A9F">
        <w:t xml:space="preserve"> (Accessed: 8 January 2025).</w:t>
      </w:r>
    </w:p>
    <w:p w14:paraId="6E679CF0" w14:textId="10D85373" w:rsidR="002D6A9F" w:rsidRPr="002D6A9F" w:rsidRDefault="002D6A9F" w:rsidP="002D6A9F">
      <w:r w:rsidRPr="002D6A9F">
        <w:br/>
        <w:t xml:space="preserve">Gunn, J., Taylor, P. and Hutcheon, I. (2014) </w:t>
      </w:r>
      <w:r w:rsidRPr="002D6A9F">
        <w:rPr>
          <w:i/>
          <w:iCs/>
        </w:rPr>
        <w:t>Forensic Psychiatry</w:t>
      </w:r>
      <w:r w:rsidRPr="002D6A9F">
        <w:t xml:space="preserve">. 2nd edn. Routledge. Available at: </w:t>
      </w:r>
      <w:hyperlink r:id="rId15" w:tgtFrame="_new" w:history="1">
        <w:r w:rsidRPr="002D6A9F">
          <w:rPr>
            <w:rStyle w:val="Hyperlink"/>
          </w:rPr>
          <w:t>https://www.perlego.com/book/1522769</w:t>
        </w:r>
      </w:hyperlink>
      <w:r w:rsidRPr="002D6A9F">
        <w:t xml:space="preserve"> (Accessed: 8 January 2025).</w:t>
      </w:r>
    </w:p>
    <w:p w14:paraId="17FC8E1D" w14:textId="0DFBD2F2" w:rsidR="002D6A9F" w:rsidRPr="002D6A9F" w:rsidRDefault="002D6A9F" w:rsidP="002D6A9F">
      <w:r w:rsidRPr="002D6A9F">
        <w:br/>
        <w:t xml:space="preserve">Hucklesby, A. and Hagley-Dickinson, L. (2012) </w:t>
      </w:r>
      <w:r w:rsidRPr="002D6A9F">
        <w:rPr>
          <w:i/>
          <w:iCs/>
        </w:rPr>
        <w:t>Prisoner Resettlement</w:t>
      </w:r>
      <w:r w:rsidRPr="002D6A9F">
        <w:t xml:space="preserve">. 1st edn. Willan. Available at: </w:t>
      </w:r>
      <w:hyperlink r:id="rId16" w:tgtFrame="_new" w:history="1">
        <w:r w:rsidRPr="002D6A9F">
          <w:rPr>
            <w:rStyle w:val="Hyperlink"/>
          </w:rPr>
          <w:t>https://www.perlego.com/book/1514981</w:t>
        </w:r>
      </w:hyperlink>
      <w:r w:rsidRPr="002D6A9F">
        <w:t xml:space="preserve"> (Accessed: 16 January 2025).</w:t>
      </w:r>
    </w:p>
    <w:p w14:paraId="4EE4A9CE" w14:textId="3CF13E9D" w:rsidR="002D6A9F" w:rsidRPr="002D6A9F" w:rsidRDefault="002D6A9F" w:rsidP="002D6A9F">
      <w:r w:rsidRPr="002D6A9F">
        <w:br/>
        <w:t xml:space="preserve">Joyce, P. and Laverick, W. (2022) </w:t>
      </w:r>
      <w:r w:rsidRPr="002D6A9F">
        <w:rPr>
          <w:i/>
          <w:iCs/>
        </w:rPr>
        <w:t>Criminal Justice</w:t>
      </w:r>
      <w:r w:rsidRPr="002D6A9F">
        <w:t xml:space="preserve">. 4th edn. Routledge. Available at: </w:t>
      </w:r>
      <w:hyperlink r:id="rId17" w:tgtFrame="_new" w:history="1">
        <w:r w:rsidRPr="002D6A9F">
          <w:rPr>
            <w:rStyle w:val="Hyperlink"/>
          </w:rPr>
          <w:t>https://www.perlego.com/book/3537528</w:t>
        </w:r>
      </w:hyperlink>
      <w:r w:rsidRPr="002D6A9F">
        <w:t xml:space="preserve"> (Accessed: 16 January 2025).</w:t>
      </w:r>
    </w:p>
    <w:p w14:paraId="35531150" w14:textId="02288BE6" w:rsidR="002D6A9F" w:rsidRPr="002D6A9F" w:rsidRDefault="002D6A9F" w:rsidP="002D6A9F">
      <w:r w:rsidRPr="002D6A9F">
        <w:br/>
        <w:t xml:space="preserve">Kirby, S. (2013) </w:t>
      </w:r>
      <w:r w:rsidRPr="002D6A9F">
        <w:rPr>
          <w:i/>
          <w:iCs/>
        </w:rPr>
        <w:t xml:space="preserve">Effective </w:t>
      </w:r>
      <w:r w:rsidR="00C42197" w:rsidRPr="002D6A9F">
        <w:rPr>
          <w:i/>
          <w:iCs/>
        </w:rPr>
        <w:t>Policing?</w:t>
      </w:r>
      <w:r w:rsidRPr="002D6A9F">
        <w:t xml:space="preserve"> Palgrave Macmillan. Available at: </w:t>
      </w:r>
      <w:hyperlink r:id="rId18" w:tgtFrame="_new" w:history="1">
        <w:r w:rsidRPr="002D6A9F">
          <w:rPr>
            <w:rStyle w:val="Hyperlink"/>
          </w:rPr>
          <w:t>https://www.perlego.com/book/3484753</w:t>
        </w:r>
      </w:hyperlink>
      <w:r w:rsidRPr="002D6A9F">
        <w:t xml:space="preserve"> (Accessed: 16 January 2025).</w:t>
      </w:r>
    </w:p>
    <w:p w14:paraId="4DD96820" w14:textId="287C82E5" w:rsidR="002D6A9F" w:rsidRDefault="002D6A9F" w:rsidP="002D6A9F">
      <w:r w:rsidRPr="002D6A9F">
        <w:br/>
        <w:t xml:space="preserve">McConville, S. (2023) </w:t>
      </w:r>
      <w:r w:rsidRPr="002D6A9F">
        <w:rPr>
          <w:i/>
          <w:iCs/>
        </w:rPr>
        <w:t>The Use of Imprisonment</w:t>
      </w:r>
      <w:r w:rsidRPr="002D6A9F">
        <w:t xml:space="preserve">. 1st edn. Routledge. Available at: </w:t>
      </w:r>
      <w:hyperlink r:id="rId19" w:tgtFrame="_new" w:history="1">
        <w:r w:rsidRPr="002D6A9F">
          <w:rPr>
            <w:rStyle w:val="Hyperlink"/>
          </w:rPr>
          <w:t>https://www.perlego.com/book/4214304</w:t>
        </w:r>
      </w:hyperlink>
      <w:r w:rsidRPr="002D6A9F">
        <w:t xml:space="preserve"> (Accessed: 16 January 2025).</w:t>
      </w:r>
    </w:p>
    <w:p w14:paraId="4ECBFCDC" w14:textId="2F78F19A" w:rsidR="002D6A9F" w:rsidRPr="002D6A9F" w:rsidRDefault="002D6A9F" w:rsidP="002D6A9F">
      <w:r w:rsidRPr="002D6A9F">
        <w:lastRenderedPageBreak/>
        <w:br/>
        <w:t xml:space="preserve">McMahon, M. (2019) </w:t>
      </w:r>
      <w:r w:rsidRPr="002D6A9F">
        <w:rPr>
          <w:i/>
          <w:iCs/>
        </w:rPr>
        <w:t>The Persistent Prison?</w:t>
      </w:r>
      <w:r w:rsidRPr="002D6A9F">
        <w:t xml:space="preserve"> 1st edn. University of Toronto Press. Available at: </w:t>
      </w:r>
      <w:hyperlink r:id="rId20" w:tgtFrame="_new" w:history="1">
        <w:r w:rsidRPr="002D6A9F">
          <w:rPr>
            <w:rStyle w:val="Hyperlink"/>
          </w:rPr>
          <w:t>https://www.perlego.com/book/972458</w:t>
        </w:r>
      </w:hyperlink>
      <w:r w:rsidRPr="002D6A9F">
        <w:t xml:space="preserve"> (Accessed: 16 January 2025).</w:t>
      </w:r>
    </w:p>
    <w:p w14:paraId="02B052C0" w14:textId="3C6951EE" w:rsidR="002D6A9F" w:rsidRPr="002D6A9F" w:rsidRDefault="002D6A9F" w:rsidP="002D6A9F">
      <w:r w:rsidRPr="002D6A9F">
        <w:br/>
        <w:t xml:space="preserve">Osgood, W., Foster, E.M. and Courtney, M.E. (2008) </w:t>
      </w:r>
      <w:r w:rsidRPr="002D6A9F">
        <w:rPr>
          <w:i/>
          <w:iCs/>
        </w:rPr>
        <w:t>On Your Own without a Net</w:t>
      </w:r>
      <w:r w:rsidRPr="002D6A9F">
        <w:t xml:space="preserve">. University of Chicago Press. Available at: </w:t>
      </w:r>
      <w:hyperlink r:id="rId21" w:tgtFrame="_new" w:history="1">
        <w:r w:rsidRPr="002D6A9F">
          <w:rPr>
            <w:rStyle w:val="Hyperlink"/>
          </w:rPr>
          <w:t>https://www.perlego.com/book/1852549</w:t>
        </w:r>
      </w:hyperlink>
      <w:r w:rsidRPr="002D6A9F">
        <w:t xml:space="preserve"> (Accessed: 16 January 2025).</w:t>
      </w:r>
    </w:p>
    <w:p w14:paraId="41634686" w14:textId="2D3AE80E" w:rsidR="002D6A9F" w:rsidRPr="002D6A9F" w:rsidRDefault="002D6A9F" w:rsidP="002D6A9F">
      <w:r w:rsidRPr="002D6A9F">
        <w:br/>
        <w:t xml:space="preserve">Ricciardelli, R., Memarpour, S. and Peters, J. (2017) </w:t>
      </w:r>
      <w:r w:rsidRPr="002D6A9F">
        <w:rPr>
          <w:i/>
          <w:iCs/>
        </w:rPr>
        <w:t>After Prison</w:t>
      </w:r>
      <w:r w:rsidRPr="002D6A9F">
        <w:t xml:space="preserve">. Wilfrid Laurier University Press. Available at: </w:t>
      </w:r>
      <w:hyperlink r:id="rId22" w:tgtFrame="_new" w:history="1">
        <w:r w:rsidRPr="002D6A9F">
          <w:rPr>
            <w:rStyle w:val="Hyperlink"/>
          </w:rPr>
          <w:t>https://www.perlego.com/book/1706932</w:t>
        </w:r>
      </w:hyperlink>
      <w:r w:rsidRPr="002D6A9F">
        <w:t xml:space="preserve"> (Accessed: 16 January 2025).</w:t>
      </w:r>
    </w:p>
    <w:p w14:paraId="5F7335D3" w14:textId="0844F1D3" w:rsidR="002D6A9F" w:rsidRDefault="002D6A9F" w:rsidP="002D6A9F">
      <w:r w:rsidRPr="002D6A9F">
        <w:br/>
        <w:t xml:space="preserve">Sammons, A. and Putwain, D. (2018) </w:t>
      </w:r>
      <w:r w:rsidRPr="002D6A9F">
        <w:rPr>
          <w:i/>
          <w:iCs/>
        </w:rPr>
        <w:t>Psychology and Crime</w:t>
      </w:r>
      <w:r w:rsidRPr="002D6A9F">
        <w:t xml:space="preserve">. 2nd edn. Routledge. Available at: </w:t>
      </w:r>
      <w:hyperlink r:id="rId23" w:tgtFrame="_new" w:history="1">
        <w:r w:rsidRPr="002D6A9F">
          <w:rPr>
            <w:rStyle w:val="Hyperlink"/>
          </w:rPr>
          <w:t>https://www.perlego.com/book/1323809</w:t>
        </w:r>
      </w:hyperlink>
      <w:r w:rsidRPr="002D6A9F">
        <w:t xml:space="preserve"> (Accessed: 16 January 2025).</w:t>
      </w:r>
    </w:p>
    <w:p w14:paraId="407984FE" w14:textId="61E4BC56" w:rsidR="002D6A9F" w:rsidRDefault="002D6A9F" w:rsidP="002D6A9F">
      <w:r w:rsidRPr="002D6A9F">
        <w:br/>
        <w:t xml:space="preserve">Schoeman, M. (2013) </w:t>
      </w:r>
      <w:r w:rsidRPr="002D6A9F">
        <w:rPr>
          <w:i/>
          <w:iCs/>
        </w:rPr>
        <w:t>Criminology NQF3 SB</w:t>
      </w:r>
      <w:r w:rsidRPr="002D6A9F">
        <w:t xml:space="preserve">. Macmillan. Available at: </w:t>
      </w:r>
      <w:hyperlink r:id="rId24" w:tgtFrame="_new" w:history="1">
        <w:r w:rsidRPr="002D6A9F">
          <w:rPr>
            <w:rStyle w:val="Hyperlink"/>
          </w:rPr>
          <w:t>https://www.perlego.com/book/2306176</w:t>
        </w:r>
      </w:hyperlink>
      <w:r w:rsidRPr="002D6A9F">
        <w:t xml:space="preserve"> (Accessed: 16 January 2025).</w:t>
      </w:r>
    </w:p>
    <w:p w14:paraId="04953411" w14:textId="1F1A2389" w:rsidR="002D6A9F" w:rsidRDefault="002D6A9F" w:rsidP="002D6A9F">
      <w:r w:rsidRPr="002D6A9F">
        <w:br/>
        <w:t xml:space="preserve">Shelby, T. (2022) </w:t>
      </w:r>
      <w:r w:rsidRPr="002D6A9F">
        <w:rPr>
          <w:i/>
          <w:iCs/>
        </w:rPr>
        <w:t>The Idea of Prison Abolition</w:t>
      </w:r>
      <w:r w:rsidRPr="002D6A9F">
        <w:t xml:space="preserve">. Princeton University Press. Available at: </w:t>
      </w:r>
      <w:hyperlink r:id="rId25" w:tgtFrame="_new" w:history="1">
        <w:r w:rsidRPr="002D6A9F">
          <w:rPr>
            <w:rStyle w:val="Hyperlink"/>
          </w:rPr>
          <w:t>https://www.perlego.com/book/3522569</w:t>
        </w:r>
      </w:hyperlink>
      <w:r w:rsidRPr="002D6A9F">
        <w:t xml:space="preserve"> (Accessed: 16 January 2025).</w:t>
      </w:r>
    </w:p>
    <w:p w14:paraId="61722139" w14:textId="72716DFB" w:rsidR="002D6A9F" w:rsidRDefault="002D6A9F" w:rsidP="002D6A9F">
      <w:r w:rsidRPr="002D6A9F">
        <w:br/>
        <w:t xml:space="preserve">Shingler, J. and Stickney, J. (2023) </w:t>
      </w:r>
      <w:r w:rsidRPr="002D6A9F">
        <w:rPr>
          <w:i/>
          <w:iCs/>
        </w:rPr>
        <w:t>The Journey from Prison to Community</w:t>
      </w:r>
      <w:r w:rsidRPr="002D6A9F">
        <w:t xml:space="preserve">. 1st edn. Routledge. Available at: </w:t>
      </w:r>
      <w:hyperlink r:id="rId26" w:tgtFrame="_new" w:history="1">
        <w:r w:rsidRPr="002D6A9F">
          <w:rPr>
            <w:rStyle w:val="Hyperlink"/>
          </w:rPr>
          <w:t>https://www.perlego.com/book/3852644</w:t>
        </w:r>
      </w:hyperlink>
      <w:r w:rsidRPr="002D6A9F">
        <w:t xml:space="preserve"> (Accessed: 16 January 2025).</w:t>
      </w:r>
    </w:p>
    <w:p w14:paraId="171B8B53" w14:textId="48D1EEA6" w:rsidR="002D6A9F" w:rsidRDefault="002D6A9F" w:rsidP="002D6A9F">
      <w:r w:rsidRPr="002D6A9F">
        <w:br/>
        <w:t xml:space="preserve">Siegel, L. and Worrall, J. (2018) </w:t>
      </w:r>
      <w:r w:rsidRPr="002D6A9F">
        <w:rPr>
          <w:i/>
          <w:iCs/>
        </w:rPr>
        <w:t>3P-EBK:ESSENTIALS CRIMINAL JUSTICE</w:t>
      </w:r>
      <w:r w:rsidRPr="002D6A9F">
        <w:t xml:space="preserve">. Cengage Learning EMEA. Available at: </w:t>
      </w:r>
      <w:hyperlink r:id="rId27" w:tgtFrame="_new" w:history="1">
        <w:r w:rsidRPr="002D6A9F">
          <w:rPr>
            <w:rStyle w:val="Hyperlink"/>
          </w:rPr>
          <w:t>https://www.perlego.com/book/2928139</w:t>
        </w:r>
      </w:hyperlink>
      <w:r w:rsidRPr="002D6A9F">
        <w:t xml:space="preserve"> (Accessed: 16 January 2025).</w:t>
      </w:r>
    </w:p>
    <w:p w14:paraId="281577CF" w14:textId="5159D7DA" w:rsidR="002D6A9F" w:rsidRDefault="002D6A9F" w:rsidP="002D6A9F">
      <w:r w:rsidRPr="002D6A9F">
        <w:br/>
        <w:t xml:space="preserve">Stojkovic, S. (2017) </w:t>
      </w:r>
      <w:r w:rsidRPr="002D6A9F">
        <w:rPr>
          <w:i/>
          <w:iCs/>
        </w:rPr>
        <w:t xml:space="preserve">Prisoner </w:t>
      </w:r>
      <w:r w:rsidR="00C42197" w:rsidRPr="002D6A9F">
        <w:rPr>
          <w:i/>
          <w:iCs/>
        </w:rPr>
        <w:t>Re-entry</w:t>
      </w:r>
      <w:r w:rsidRPr="002D6A9F">
        <w:t xml:space="preserve">. Palgrave Macmillan. Available at: </w:t>
      </w:r>
      <w:hyperlink r:id="rId28" w:tgtFrame="_new" w:history="1">
        <w:r w:rsidRPr="002D6A9F">
          <w:rPr>
            <w:rStyle w:val="Hyperlink"/>
          </w:rPr>
          <w:t>https://www.perlego.com/book/3499501</w:t>
        </w:r>
      </w:hyperlink>
      <w:r w:rsidRPr="002D6A9F">
        <w:t xml:space="preserve"> (Accessed: 16 January 2025).</w:t>
      </w:r>
    </w:p>
    <w:p w14:paraId="1895540F" w14:textId="1D498239" w:rsidR="002D6A9F" w:rsidRPr="002D6A9F" w:rsidRDefault="002D6A9F" w:rsidP="002D6A9F">
      <w:r w:rsidRPr="002D6A9F">
        <w:br/>
        <w:t xml:space="preserve">Sutton, A., Cherney, A. and White, R. (2021) </w:t>
      </w:r>
      <w:r w:rsidRPr="002D6A9F">
        <w:rPr>
          <w:i/>
          <w:iCs/>
        </w:rPr>
        <w:t>Crime Prevention</w:t>
      </w:r>
      <w:r w:rsidRPr="002D6A9F">
        <w:t xml:space="preserve">. 3rd edn. Cambridge University Press. Available at: </w:t>
      </w:r>
      <w:hyperlink r:id="rId29" w:tgtFrame="_new" w:history="1">
        <w:r w:rsidRPr="002D6A9F">
          <w:rPr>
            <w:rStyle w:val="Hyperlink"/>
          </w:rPr>
          <w:t>https://www.perlego.com/book/4229521</w:t>
        </w:r>
      </w:hyperlink>
      <w:r w:rsidRPr="002D6A9F">
        <w:t xml:space="preserve"> (Accessed: 16 January 2025).</w:t>
      </w:r>
    </w:p>
    <w:p w14:paraId="64A1FED4" w14:textId="3AB3C2EB" w:rsidR="002D6A9F" w:rsidRDefault="002D6A9F" w:rsidP="002D6A9F">
      <w:r w:rsidRPr="002D6A9F">
        <w:br/>
        <w:t xml:space="preserve">Vipond, R. (2023) </w:t>
      </w:r>
      <w:r w:rsidRPr="002D6A9F">
        <w:rPr>
          <w:i/>
          <w:iCs/>
        </w:rPr>
        <w:t>A Guide to Prisons and Penal Policy</w:t>
      </w:r>
      <w:r w:rsidRPr="002D6A9F">
        <w:t xml:space="preserve">. 1st edn. Policy Press. Available at: </w:t>
      </w:r>
      <w:hyperlink r:id="rId30" w:tgtFrame="_new" w:history="1">
        <w:r w:rsidRPr="002D6A9F">
          <w:rPr>
            <w:rStyle w:val="Hyperlink"/>
          </w:rPr>
          <w:t>https://www.perlego.com/book/3906443</w:t>
        </w:r>
      </w:hyperlink>
      <w:r w:rsidRPr="002D6A9F">
        <w:t xml:space="preserve"> (Accessed: 16 January 2025).</w:t>
      </w:r>
    </w:p>
    <w:p w14:paraId="33C6719B" w14:textId="20B1EB71" w:rsidR="002D6A9F" w:rsidRPr="002D6A9F" w:rsidRDefault="002D6A9F" w:rsidP="002D6A9F">
      <w:r w:rsidRPr="002D6A9F">
        <w:br/>
        <w:t xml:space="preserve">Vuuren, J. van (2019) </w:t>
      </w:r>
      <w:r w:rsidRPr="002D6A9F">
        <w:rPr>
          <w:i/>
          <w:iCs/>
        </w:rPr>
        <w:t>Criminal Justice Structures &amp; Mandates NQF3 SB</w:t>
      </w:r>
      <w:r w:rsidRPr="002D6A9F">
        <w:t xml:space="preserve">. Macmillan. Available at: </w:t>
      </w:r>
      <w:hyperlink r:id="rId31" w:tgtFrame="_new" w:history="1">
        <w:r w:rsidRPr="002D6A9F">
          <w:rPr>
            <w:rStyle w:val="Hyperlink"/>
          </w:rPr>
          <w:t>https://www.perlego.com/book/2306250</w:t>
        </w:r>
      </w:hyperlink>
      <w:r w:rsidRPr="002D6A9F">
        <w:t xml:space="preserve"> (Accessed: 8 January 2025).</w:t>
      </w:r>
    </w:p>
    <w:p w14:paraId="0099A094" w14:textId="4D516896" w:rsidR="002D6A9F" w:rsidRDefault="002D6A9F" w:rsidP="002D6A9F">
      <w:r w:rsidRPr="002D6A9F">
        <w:br/>
        <w:t xml:space="preserve">Warburton, K. and Stahl, S. (2021) </w:t>
      </w:r>
      <w:r w:rsidRPr="002D6A9F">
        <w:rPr>
          <w:i/>
          <w:iCs/>
        </w:rPr>
        <w:t>Decriminalizing Mental Illness</w:t>
      </w:r>
      <w:r w:rsidRPr="002D6A9F">
        <w:t xml:space="preserve">. Cambridge University Press. Available at: </w:t>
      </w:r>
      <w:hyperlink r:id="rId32" w:tgtFrame="_new" w:history="1">
        <w:r w:rsidRPr="002D6A9F">
          <w:rPr>
            <w:rStyle w:val="Hyperlink"/>
          </w:rPr>
          <w:t>https://www.perlego.com/book/4230154</w:t>
        </w:r>
      </w:hyperlink>
      <w:r w:rsidRPr="002D6A9F">
        <w:t xml:space="preserve"> (Accessed: 8 January 2025).</w:t>
      </w:r>
    </w:p>
    <w:p w14:paraId="1D6A0B6C" w14:textId="77777777" w:rsidR="002D6A9F" w:rsidRDefault="002D6A9F" w:rsidP="002D6A9F">
      <w:r w:rsidRPr="002D6A9F">
        <w:lastRenderedPageBreak/>
        <w:br/>
        <w:t xml:space="preserve">Welsh Government. (2022). </w:t>
      </w:r>
      <w:r w:rsidRPr="002D6A9F">
        <w:rPr>
          <w:i/>
          <w:iCs/>
        </w:rPr>
        <w:t>Wales: Reducing Reoffending Plan 2022–25</w:t>
      </w:r>
      <w:r w:rsidRPr="002D6A9F">
        <w:t>. Available at: Reducing Reoffending Plan 2022-25 for Wales (Accessed: 8 January 2025).</w:t>
      </w:r>
    </w:p>
    <w:p w14:paraId="5F011CF3" w14:textId="47262519" w:rsidR="002D6A9F" w:rsidRPr="002D6A9F" w:rsidRDefault="002D6A9F" w:rsidP="002D6A9F">
      <w:r w:rsidRPr="002D6A9F">
        <w:br/>
        <w:t xml:space="preserve">Weimer, D. et al. (2009) </w:t>
      </w:r>
      <w:r w:rsidRPr="002D6A9F">
        <w:rPr>
          <w:i/>
          <w:iCs/>
        </w:rPr>
        <w:t>Investing in the Disadvantaged</w:t>
      </w:r>
      <w:r w:rsidRPr="002D6A9F">
        <w:t xml:space="preserve">. Georgetown University Press. Available at: </w:t>
      </w:r>
      <w:hyperlink r:id="rId33" w:tgtFrame="_new" w:history="1">
        <w:r w:rsidRPr="002D6A9F">
          <w:rPr>
            <w:rStyle w:val="Hyperlink"/>
          </w:rPr>
          <w:t>https://www.perlego.com/book/949315</w:t>
        </w:r>
      </w:hyperlink>
      <w:r w:rsidRPr="002D6A9F">
        <w:t xml:space="preserve"> (Accessed: 8 January 2025).</w:t>
      </w:r>
    </w:p>
    <w:p w14:paraId="2ADD480F" w14:textId="77777777" w:rsidR="002D6A9F" w:rsidRPr="00191484" w:rsidRDefault="002D6A9F" w:rsidP="004837B1"/>
    <w:p w14:paraId="3FA7869F" w14:textId="77777777" w:rsidR="004837B1" w:rsidRPr="002876E0" w:rsidRDefault="004837B1" w:rsidP="005817E0"/>
    <w:p w14:paraId="6D2809F8" w14:textId="77777777" w:rsidR="005817E0" w:rsidRDefault="005817E0"/>
    <w:sectPr w:rsidR="005817E0" w:rsidSect="00621B1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E2009B"/>
    <w:multiLevelType w:val="hybridMultilevel"/>
    <w:tmpl w:val="C486012C"/>
    <w:lvl w:ilvl="0" w:tplc="C30AEE48">
      <w:numFmt w:val="bullet"/>
      <w:lvlText w:val="-"/>
      <w:lvlJc w:val="left"/>
      <w:pPr>
        <w:ind w:left="1080" w:hanging="360"/>
      </w:pPr>
      <w:rPr>
        <w:rFonts w:ascii="Arial" w:eastAsia="Times New Roman" w:hAnsi="Arial" w:cs="Aria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199822B5"/>
    <w:multiLevelType w:val="multilevel"/>
    <w:tmpl w:val="717C0C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14F439B"/>
    <w:multiLevelType w:val="hybridMultilevel"/>
    <w:tmpl w:val="088C4602"/>
    <w:lvl w:ilvl="0" w:tplc="0809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start w:val="1"/>
      <w:numFmt w:val="bullet"/>
      <w:lvlText w:val="o"/>
      <w:lvlJc w:val="left"/>
      <w:pPr>
        <w:ind w:left="3960" w:hanging="360"/>
      </w:pPr>
      <w:rPr>
        <w:rFonts w:ascii="Courier New" w:hAnsi="Courier New" w:cs="Courier New" w:hint="default"/>
      </w:rPr>
    </w:lvl>
    <w:lvl w:ilvl="5" w:tplc="FFFFFFFF">
      <w:start w:val="1"/>
      <w:numFmt w:val="bullet"/>
      <w:lvlText w:val=""/>
      <w:lvlJc w:val="left"/>
      <w:pPr>
        <w:ind w:left="4680" w:hanging="360"/>
      </w:pPr>
      <w:rPr>
        <w:rFonts w:ascii="Wingdings" w:hAnsi="Wingdings" w:hint="default"/>
      </w:rPr>
    </w:lvl>
    <w:lvl w:ilvl="6" w:tplc="FFFFFFFF">
      <w:start w:val="1"/>
      <w:numFmt w:val="bullet"/>
      <w:lvlText w:val=""/>
      <w:lvlJc w:val="left"/>
      <w:pPr>
        <w:ind w:left="5400" w:hanging="360"/>
      </w:pPr>
      <w:rPr>
        <w:rFonts w:ascii="Symbol" w:hAnsi="Symbol" w:hint="default"/>
      </w:rPr>
    </w:lvl>
    <w:lvl w:ilvl="7" w:tplc="FFFFFFFF">
      <w:start w:val="1"/>
      <w:numFmt w:val="bullet"/>
      <w:lvlText w:val="o"/>
      <w:lvlJc w:val="left"/>
      <w:pPr>
        <w:ind w:left="6120" w:hanging="360"/>
      </w:pPr>
      <w:rPr>
        <w:rFonts w:ascii="Courier New" w:hAnsi="Courier New" w:cs="Courier New" w:hint="default"/>
      </w:rPr>
    </w:lvl>
    <w:lvl w:ilvl="8" w:tplc="FFFFFFFF">
      <w:start w:val="1"/>
      <w:numFmt w:val="bullet"/>
      <w:lvlText w:val=""/>
      <w:lvlJc w:val="left"/>
      <w:pPr>
        <w:ind w:left="6840" w:hanging="360"/>
      </w:pPr>
      <w:rPr>
        <w:rFonts w:ascii="Wingdings" w:hAnsi="Wingdings" w:hint="default"/>
      </w:rPr>
    </w:lvl>
  </w:abstractNum>
  <w:abstractNum w:abstractNumId="3" w15:restartNumberingAfterBreak="0">
    <w:nsid w:val="483D1350"/>
    <w:multiLevelType w:val="multilevel"/>
    <w:tmpl w:val="1DF82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E12807"/>
    <w:multiLevelType w:val="multilevel"/>
    <w:tmpl w:val="8ED8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1904237">
    <w:abstractNumId w:val="3"/>
  </w:num>
  <w:num w:numId="2" w16cid:durableId="1077824243">
    <w:abstractNumId w:val="0"/>
  </w:num>
  <w:num w:numId="3" w16cid:durableId="1973831059">
    <w:abstractNumId w:val="0"/>
  </w:num>
  <w:num w:numId="4" w16cid:durableId="1311669509">
    <w:abstractNumId w:val="2"/>
  </w:num>
  <w:num w:numId="5" w16cid:durableId="134683375">
    <w:abstractNumId w:val="1"/>
  </w:num>
  <w:num w:numId="6" w16cid:durableId="23103883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843"/>
    <w:rsid w:val="00010E3E"/>
    <w:rsid w:val="00013E32"/>
    <w:rsid w:val="000679BA"/>
    <w:rsid w:val="000A0222"/>
    <w:rsid w:val="000A1382"/>
    <w:rsid w:val="000C106A"/>
    <w:rsid w:val="000D4460"/>
    <w:rsid w:val="000F431F"/>
    <w:rsid w:val="00171843"/>
    <w:rsid w:val="00191484"/>
    <w:rsid w:val="001A58E3"/>
    <w:rsid w:val="001D45CE"/>
    <w:rsid w:val="001E05ED"/>
    <w:rsid w:val="001F739B"/>
    <w:rsid w:val="002034F2"/>
    <w:rsid w:val="0020530E"/>
    <w:rsid w:val="00220839"/>
    <w:rsid w:val="00224EE4"/>
    <w:rsid w:val="0022542C"/>
    <w:rsid w:val="00245565"/>
    <w:rsid w:val="0025371F"/>
    <w:rsid w:val="002876E0"/>
    <w:rsid w:val="002963BF"/>
    <w:rsid w:val="002A549F"/>
    <w:rsid w:val="002B1078"/>
    <w:rsid w:val="002C63A7"/>
    <w:rsid w:val="002D6A9F"/>
    <w:rsid w:val="003005D7"/>
    <w:rsid w:val="0032427C"/>
    <w:rsid w:val="003338B6"/>
    <w:rsid w:val="0033661E"/>
    <w:rsid w:val="00344646"/>
    <w:rsid w:val="003605BA"/>
    <w:rsid w:val="003619C3"/>
    <w:rsid w:val="00396F4C"/>
    <w:rsid w:val="003D778A"/>
    <w:rsid w:val="00421E04"/>
    <w:rsid w:val="004377E7"/>
    <w:rsid w:val="004601DD"/>
    <w:rsid w:val="00466B78"/>
    <w:rsid w:val="00471474"/>
    <w:rsid w:val="004837B1"/>
    <w:rsid w:val="004851AA"/>
    <w:rsid w:val="004D62DF"/>
    <w:rsid w:val="00580E47"/>
    <w:rsid w:val="005817E0"/>
    <w:rsid w:val="00586E50"/>
    <w:rsid w:val="005B2DA4"/>
    <w:rsid w:val="005B2FA8"/>
    <w:rsid w:val="005C3089"/>
    <w:rsid w:val="005F624A"/>
    <w:rsid w:val="0061214E"/>
    <w:rsid w:val="00621B1C"/>
    <w:rsid w:val="00660137"/>
    <w:rsid w:val="00672E7E"/>
    <w:rsid w:val="006A1D19"/>
    <w:rsid w:val="006B1F74"/>
    <w:rsid w:val="006B4353"/>
    <w:rsid w:val="006E3ECD"/>
    <w:rsid w:val="0075250A"/>
    <w:rsid w:val="007746F0"/>
    <w:rsid w:val="00777904"/>
    <w:rsid w:val="007B41B4"/>
    <w:rsid w:val="007D37F9"/>
    <w:rsid w:val="008030EE"/>
    <w:rsid w:val="00816B23"/>
    <w:rsid w:val="00897458"/>
    <w:rsid w:val="0089782D"/>
    <w:rsid w:val="008A78D3"/>
    <w:rsid w:val="008D2750"/>
    <w:rsid w:val="008F3FEA"/>
    <w:rsid w:val="008F4217"/>
    <w:rsid w:val="008F6706"/>
    <w:rsid w:val="0094624C"/>
    <w:rsid w:val="0099539E"/>
    <w:rsid w:val="009E15F5"/>
    <w:rsid w:val="009F1B11"/>
    <w:rsid w:val="00A37164"/>
    <w:rsid w:val="00A649A3"/>
    <w:rsid w:val="00AD0900"/>
    <w:rsid w:val="00AE0C6B"/>
    <w:rsid w:val="00B0505D"/>
    <w:rsid w:val="00B6543B"/>
    <w:rsid w:val="00BB2016"/>
    <w:rsid w:val="00BB28FB"/>
    <w:rsid w:val="00BD6E7D"/>
    <w:rsid w:val="00BE0E6B"/>
    <w:rsid w:val="00C038AA"/>
    <w:rsid w:val="00C42197"/>
    <w:rsid w:val="00C43D9D"/>
    <w:rsid w:val="00C66E78"/>
    <w:rsid w:val="00CC1E38"/>
    <w:rsid w:val="00CD79AE"/>
    <w:rsid w:val="00CE7753"/>
    <w:rsid w:val="00D316A5"/>
    <w:rsid w:val="00D46E3E"/>
    <w:rsid w:val="00D77E28"/>
    <w:rsid w:val="00DF30CE"/>
    <w:rsid w:val="00E07EF1"/>
    <w:rsid w:val="00E80459"/>
    <w:rsid w:val="00EC58FD"/>
    <w:rsid w:val="00EF7E95"/>
    <w:rsid w:val="00F43675"/>
    <w:rsid w:val="00F87601"/>
    <w:rsid w:val="00FB3B56"/>
    <w:rsid w:val="00FF4C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FE3512"/>
  <w15:chartTrackingRefBased/>
  <w15:docId w15:val="{9FAD9225-661E-4121-A501-A3DD878F9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18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18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18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18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18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18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18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18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18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18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18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18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18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18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18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18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18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1843"/>
    <w:rPr>
      <w:rFonts w:eastAsiaTheme="majorEastAsia" w:cstheme="majorBidi"/>
      <w:color w:val="272727" w:themeColor="text1" w:themeTint="D8"/>
    </w:rPr>
  </w:style>
  <w:style w:type="paragraph" w:styleId="Title">
    <w:name w:val="Title"/>
    <w:basedOn w:val="Normal"/>
    <w:next w:val="Normal"/>
    <w:link w:val="TitleChar"/>
    <w:uiPriority w:val="10"/>
    <w:qFormat/>
    <w:rsid w:val="001718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18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18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18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1843"/>
    <w:pPr>
      <w:spacing w:before="160"/>
      <w:jc w:val="center"/>
    </w:pPr>
    <w:rPr>
      <w:i/>
      <w:iCs/>
      <w:color w:val="404040" w:themeColor="text1" w:themeTint="BF"/>
    </w:rPr>
  </w:style>
  <w:style w:type="character" w:customStyle="1" w:styleId="QuoteChar">
    <w:name w:val="Quote Char"/>
    <w:basedOn w:val="DefaultParagraphFont"/>
    <w:link w:val="Quote"/>
    <w:uiPriority w:val="29"/>
    <w:rsid w:val="00171843"/>
    <w:rPr>
      <w:i/>
      <w:iCs/>
      <w:color w:val="404040" w:themeColor="text1" w:themeTint="BF"/>
    </w:rPr>
  </w:style>
  <w:style w:type="paragraph" w:styleId="ListParagraph">
    <w:name w:val="List Paragraph"/>
    <w:basedOn w:val="Normal"/>
    <w:uiPriority w:val="34"/>
    <w:qFormat/>
    <w:rsid w:val="00171843"/>
    <w:pPr>
      <w:ind w:left="720"/>
      <w:contextualSpacing/>
    </w:pPr>
  </w:style>
  <w:style w:type="character" w:styleId="IntenseEmphasis">
    <w:name w:val="Intense Emphasis"/>
    <w:basedOn w:val="DefaultParagraphFont"/>
    <w:uiPriority w:val="21"/>
    <w:qFormat/>
    <w:rsid w:val="00171843"/>
    <w:rPr>
      <w:i/>
      <w:iCs/>
      <w:color w:val="0F4761" w:themeColor="accent1" w:themeShade="BF"/>
    </w:rPr>
  </w:style>
  <w:style w:type="paragraph" w:styleId="IntenseQuote">
    <w:name w:val="Intense Quote"/>
    <w:basedOn w:val="Normal"/>
    <w:next w:val="Normal"/>
    <w:link w:val="IntenseQuoteChar"/>
    <w:uiPriority w:val="30"/>
    <w:qFormat/>
    <w:rsid w:val="001718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1843"/>
    <w:rPr>
      <w:i/>
      <w:iCs/>
      <w:color w:val="0F4761" w:themeColor="accent1" w:themeShade="BF"/>
    </w:rPr>
  </w:style>
  <w:style w:type="character" w:styleId="IntenseReference">
    <w:name w:val="Intense Reference"/>
    <w:basedOn w:val="DefaultParagraphFont"/>
    <w:uiPriority w:val="32"/>
    <w:qFormat/>
    <w:rsid w:val="00171843"/>
    <w:rPr>
      <w:b/>
      <w:bCs/>
      <w:smallCaps/>
      <w:color w:val="0F4761" w:themeColor="accent1" w:themeShade="BF"/>
      <w:spacing w:val="5"/>
    </w:rPr>
  </w:style>
  <w:style w:type="paragraph" w:styleId="NoSpacing">
    <w:name w:val="No Spacing"/>
    <w:link w:val="NoSpacingChar"/>
    <w:uiPriority w:val="1"/>
    <w:qFormat/>
    <w:rsid w:val="00621B1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21B1C"/>
    <w:rPr>
      <w:rFonts w:eastAsiaTheme="minorEastAsia"/>
      <w:kern w:val="0"/>
      <w:lang w:eastAsia="en-GB"/>
      <w14:ligatures w14:val="none"/>
    </w:rPr>
  </w:style>
  <w:style w:type="character" w:styleId="CommentReference">
    <w:name w:val="annotation reference"/>
    <w:basedOn w:val="DefaultParagraphFont"/>
    <w:uiPriority w:val="99"/>
    <w:semiHidden/>
    <w:unhideWhenUsed/>
    <w:rsid w:val="001E05ED"/>
    <w:rPr>
      <w:sz w:val="16"/>
      <w:szCs w:val="16"/>
    </w:rPr>
  </w:style>
  <w:style w:type="paragraph" w:styleId="CommentText">
    <w:name w:val="annotation text"/>
    <w:basedOn w:val="Normal"/>
    <w:link w:val="CommentTextChar"/>
    <w:uiPriority w:val="99"/>
    <w:unhideWhenUsed/>
    <w:rsid w:val="001E05ED"/>
    <w:pPr>
      <w:spacing w:line="240" w:lineRule="auto"/>
    </w:pPr>
    <w:rPr>
      <w:sz w:val="20"/>
      <w:szCs w:val="20"/>
    </w:rPr>
  </w:style>
  <w:style w:type="character" w:customStyle="1" w:styleId="CommentTextChar">
    <w:name w:val="Comment Text Char"/>
    <w:basedOn w:val="DefaultParagraphFont"/>
    <w:link w:val="CommentText"/>
    <w:uiPriority w:val="99"/>
    <w:rsid w:val="001E05ED"/>
    <w:rPr>
      <w:sz w:val="20"/>
      <w:szCs w:val="20"/>
    </w:rPr>
  </w:style>
  <w:style w:type="paragraph" w:styleId="CommentSubject">
    <w:name w:val="annotation subject"/>
    <w:basedOn w:val="CommentText"/>
    <w:next w:val="CommentText"/>
    <w:link w:val="CommentSubjectChar"/>
    <w:uiPriority w:val="99"/>
    <w:semiHidden/>
    <w:unhideWhenUsed/>
    <w:rsid w:val="001E05ED"/>
    <w:rPr>
      <w:b/>
      <w:bCs/>
    </w:rPr>
  </w:style>
  <w:style w:type="character" w:customStyle="1" w:styleId="CommentSubjectChar">
    <w:name w:val="Comment Subject Char"/>
    <w:basedOn w:val="CommentTextChar"/>
    <w:link w:val="CommentSubject"/>
    <w:uiPriority w:val="99"/>
    <w:semiHidden/>
    <w:rsid w:val="001E05ED"/>
    <w:rPr>
      <w:b/>
      <w:bCs/>
      <w:sz w:val="20"/>
      <w:szCs w:val="20"/>
    </w:rPr>
  </w:style>
  <w:style w:type="character" w:styleId="Hyperlink">
    <w:name w:val="Hyperlink"/>
    <w:basedOn w:val="DefaultParagraphFont"/>
    <w:uiPriority w:val="99"/>
    <w:unhideWhenUsed/>
    <w:rsid w:val="00AD0900"/>
    <w:rPr>
      <w:color w:val="467886" w:themeColor="hyperlink"/>
      <w:u w:val="single"/>
    </w:rPr>
  </w:style>
  <w:style w:type="character" w:styleId="UnresolvedMention">
    <w:name w:val="Unresolved Mention"/>
    <w:basedOn w:val="DefaultParagraphFont"/>
    <w:uiPriority w:val="99"/>
    <w:semiHidden/>
    <w:unhideWhenUsed/>
    <w:rsid w:val="00AD0900"/>
    <w:rPr>
      <w:color w:val="605E5C"/>
      <w:shd w:val="clear" w:color="auto" w:fill="E1DFDD"/>
    </w:rPr>
  </w:style>
  <w:style w:type="paragraph" w:styleId="TOCHeading">
    <w:name w:val="TOC Heading"/>
    <w:basedOn w:val="Heading1"/>
    <w:next w:val="Normal"/>
    <w:uiPriority w:val="39"/>
    <w:unhideWhenUsed/>
    <w:qFormat/>
    <w:rsid w:val="00BB201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777904"/>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526116">
      <w:bodyDiv w:val="1"/>
      <w:marLeft w:val="0"/>
      <w:marRight w:val="0"/>
      <w:marTop w:val="0"/>
      <w:marBottom w:val="0"/>
      <w:divBdr>
        <w:top w:val="none" w:sz="0" w:space="0" w:color="auto"/>
        <w:left w:val="none" w:sz="0" w:space="0" w:color="auto"/>
        <w:bottom w:val="none" w:sz="0" w:space="0" w:color="auto"/>
        <w:right w:val="none" w:sz="0" w:space="0" w:color="auto"/>
      </w:divBdr>
    </w:div>
    <w:div w:id="175929702">
      <w:bodyDiv w:val="1"/>
      <w:marLeft w:val="0"/>
      <w:marRight w:val="0"/>
      <w:marTop w:val="0"/>
      <w:marBottom w:val="0"/>
      <w:divBdr>
        <w:top w:val="none" w:sz="0" w:space="0" w:color="auto"/>
        <w:left w:val="none" w:sz="0" w:space="0" w:color="auto"/>
        <w:bottom w:val="none" w:sz="0" w:space="0" w:color="auto"/>
        <w:right w:val="none" w:sz="0" w:space="0" w:color="auto"/>
      </w:divBdr>
    </w:div>
    <w:div w:id="192034835">
      <w:bodyDiv w:val="1"/>
      <w:marLeft w:val="0"/>
      <w:marRight w:val="0"/>
      <w:marTop w:val="0"/>
      <w:marBottom w:val="0"/>
      <w:divBdr>
        <w:top w:val="none" w:sz="0" w:space="0" w:color="auto"/>
        <w:left w:val="none" w:sz="0" w:space="0" w:color="auto"/>
        <w:bottom w:val="none" w:sz="0" w:space="0" w:color="auto"/>
        <w:right w:val="none" w:sz="0" w:space="0" w:color="auto"/>
      </w:divBdr>
    </w:div>
    <w:div w:id="198049956">
      <w:bodyDiv w:val="1"/>
      <w:marLeft w:val="0"/>
      <w:marRight w:val="0"/>
      <w:marTop w:val="0"/>
      <w:marBottom w:val="0"/>
      <w:divBdr>
        <w:top w:val="none" w:sz="0" w:space="0" w:color="auto"/>
        <w:left w:val="none" w:sz="0" w:space="0" w:color="auto"/>
        <w:bottom w:val="none" w:sz="0" w:space="0" w:color="auto"/>
        <w:right w:val="none" w:sz="0" w:space="0" w:color="auto"/>
      </w:divBdr>
    </w:div>
    <w:div w:id="212428042">
      <w:bodyDiv w:val="1"/>
      <w:marLeft w:val="0"/>
      <w:marRight w:val="0"/>
      <w:marTop w:val="0"/>
      <w:marBottom w:val="0"/>
      <w:divBdr>
        <w:top w:val="none" w:sz="0" w:space="0" w:color="auto"/>
        <w:left w:val="none" w:sz="0" w:space="0" w:color="auto"/>
        <w:bottom w:val="none" w:sz="0" w:space="0" w:color="auto"/>
        <w:right w:val="none" w:sz="0" w:space="0" w:color="auto"/>
      </w:divBdr>
    </w:div>
    <w:div w:id="247540945">
      <w:bodyDiv w:val="1"/>
      <w:marLeft w:val="0"/>
      <w:marRight w:val="0"/>
      <w:marTop w:val="0"/>
      <w:marBottom w:val="0"/>
      <w:divBdr>
        <w:top w:val="none" w:sz="0" w:space="0" w:color="auto"/>
        <w:left w:val="none" w:sz="0" w:space="0" w:color="auto"/>
        <w:bottom w:val="none" w:sz="0" w:space="0" w:color="auto"/>
        <w:right w:val="none" w:sz="0" w:space="0" w:color="auto"/>
      </w:divBdr>
    </w:div>
    <w:div w:id="286742668">
      <w:bodyDiv w:val="1"/>
      <w:marLeft w:val="0"/>
      <w:marRight w:val="0"/>
      <w:marTop w:val="0"/>
      <w:marBottom w:val="0"/>
      <w:divBdr>
        <w:top w:val="none" w:sz="0" w:space="0" w:color="auto"/>
        <w:left w:val="none" w:sz="0" w:space="0" w:color="auto"/>
        <w:bottom w:val="none" w:sz="0" w:space="0" w:color="auto"/>
        <w:right w:val="none" w:sz="0" w:space="0" w:color="auto"/>
      </w:divBdr>
    </w:div>
    <w:div w:id="327712296">
      <w:bodyDiv w:val="1"/>
      <w:marLeft w:val="0"/>
      <w:marRight w:val="0"/>
      <w:marTop w:val="0"/>
      <w:marBottom w:val="0"/>
      <w:divBdr>
        <w:top w:val="none" w:sz="0" w:space="0" w:color="auto"/>
        <w:left w:val="none" w:sz="0" w:space="0" w:color="auto"/>
        <w:bottom w:val="none" w:sz="0" w:space="0" w:color="auto"/>
        <w:right w:val="none" w:sz="0" w:space="0" w:color="auto"/>
      </w:divBdr>
    </w:div>
    <w:div w:id="359741330">
      <w:bodyDiv w:val="1"/>
      <w:marLeft w:val="0"/>
      <w:marRight w:val="0"/>
      <w:marTop w:val="0"/>
      <w:marBottom w:val="0"/>
      <w:divBdr>
        <w:top w:val="none" w:sz="0" w:space="0" w:color="auto"/>
        <w:left w:val="none" w:sz="0" w:space="0" w:color="auto"/>
        <w:bottom w:val="none" w:sz="0" w:space="0" w:color="auto"/>
        <w:right w:val="none" w:sz="0" w:space="0" w:color="auto"/>
      </w:divBdr>
    </w:div>
    <w:div w:id="427427841">
      <w:bodyDiv w:val="1"/>
      <w:marLeft w:val="0"/>
      <w:marRight w:val="0"/>
      <w:marTop w:val="0"/>
      <w:marBottom w:val="0"/>
      <w:divBdr>
        <w:top w:val="none" w:sz="0" w:space="0" w:color="auto"/>
        <w:left w:val="none" w:sz="0" w:space="0" w:color="auto"/>
        <w:bottom w:val="none" w:sz="0" w:space="0" w:color="auto"/>
        <w:right w:val="none" w:sz="0" w:space="0" w:color="auto"/>
      </w:divBdr>
    </w:div>
    <w:div w:id="511451891">
      <w:bodyDiv w:val="1"/>
      <w:marLeft w:val="0"/>
      <w:marRight w:val="0"/>
      <w:marTop w:val="0"/>
      <w:marBottom w:val="0"/>
      <w:divBdr>
        <w:top w:val="none" w:sz="0" w:space="0" w:color="auto"/>
        <w:left w:val="none" w:sz="0" w:space="0" w:color="auto"/>
        <w:bottom w:val="none" w:sz="0" w:space="0" w:color="auto"/>
        <w:right w:val="none" w:sz="0" w:space="0" w:color="auto"/>
      </w:divBdr>
    </w:div>
    <w:div w:id="566260711">
      <w:bodyDiv w:val="1"/>
      <w:marLeft w:val="0"/>
      <w:marRight w:val="0"/>
      <w:marTop w:val="0"/>
      <w:marBottom w:val="0"/>
      <w:divBdr>
        <w:top w:val="none" w:sz="0" w:space="0" w:color="auto"/>
        <w:left w:val="none" w:sz="0" w:space="0" w:color="auto"/>
        <w:bottom w:val="none" w:sz="0" w:space="0" w:color="auto"/>
        <w:right w:val="none" w:sz="0" w:space="0" w:color="auto"/>
      </w:divBdr>
    </w:div>
    <w:div w:id="584534771">
      <w:bodyDiv w:val="1"/>
      <w:marLeft w:val="0"/>
      <w:marRight w:val="0"/>
      <w:marTop w:val="0"/>
      <w:marBottom w:val="0"/>
      <w:divBdr>
        <w:top w:val="none" w:sz="0" w:space="0" w:color="auto"/>
        <w:left w:val="none" w:sz="0" w:space="0" w:color="auto"/>
        <w:bottom w:val="none" w:sz="0" w:space="0" w:color="auto"/>
        <w:right w:val="none" w:sz="0" w:space="0" w:color="auto"/>
      </w:divBdr>
    </w:div>
    <w:div w:id="591664406">
      <w:bodyDiv w:val="1"/>
      <w:marLeft w:val="0"/>
      <w:marRight w:val="0"/>
      <w:marTop w:val="0"/>
      <w:marBottom w:val="0"/>
      <w:divBdr>
        <w:top w:val="none" w:sz="0" w:space="0" w:color="auto"/>
        <w:left w:val="none" w:sz="0" w:space="0" w:color="auto"/>
        <w:bottom w:val="none" w:sz="0" w:space="0" w:color="auto"/>
        <w:right w:val="none" w:sz="0" w:space="0" w:color="auto"/>
      </w:divBdr>
    </w:div>
    <w:div w:id="708536133">
      <w:bodyDiv w:val="1"/>
      <w:marLeft w:val="0"/>
      <w:marRight w:val="0"/>
      <w:marTop w:val="0"/>
      <w:marBottom w:val="0"/>
      <w:divBdr>
        <w:top w:val="none" w:sz="0" w:space="0" w:color="auto"/>
        <w:left w:val="none" w:sz="0" w:space="0" w:color="auto"/>
        <w:bottom w:val="none" w:sz="0" w:space="0" w:color="auto"/>
        <w:right w:val="none" w:sz="0" w:space="0" w:color="auto"/>
      </w:divBdr>
    </w:div>
    <w:div w:id="733964743">
      <w:bodyDiv w:val="1"/>
      <w:marLeft w:val="0"/>
      <w:marRight w:val="0"/>
      <w:marTop w:val="0"/>
      <w:marBottom w:val="0"/>
      <w:divBdr>
        <w:top w:val="none" w:sz="0" w:space="0" w:color="auto"/>
        <w:left w:val="none" w:sz="0" w:space="0" w:color="auto"/>
        <w:bottom w:val="none" w:sz="0" w:space="0" w:color="auto"/>
        <w:right w:val="none" w:sz="0" w:space="0" w:color="auto"/>
      </w:divBdr>
    </w:div>
    <w:div w:id="775490927">
      <w:bodyDiv w:val="1"/>
      <w:marLeft w:val="0"/>
      <w:marRight w:val="0"/>
      <w:marTop w:val="0"/>
      <w:marBottom w:val="0"/>
      <w:divBdr>
        <w:top w:val="none" w:sz="0" w:space="0" w:color="auto"/>
        <w:left w:val="none" w:sz="0" w:space="0" w:color="auto"/>
        <w:bottom w:val="none" w:sz="0" w:space="0" w:color="auto"/>
        <w:right w:val="none" w:sz="0" w:space="0" w:color="auto"/>
      </w:divBdr>
    </w:div>
    <w:div w:id="798451585">
      <w:bodyDiv w:val="1"/>
      <w:marLeft w:val="0"/>
      <w:marRight w:val="0"/>
      <w:marTop w:val="0"/>
      <w:marBottom w:val="0"/>
      <w:divBdr>
        <w:top w:val="none" w:sz="0" w:space="0" w:color="auto"/>
        <w:left w:val="none" w:sz="0" w:space="0" w:color="auto"/>
        <w:bottom w:val="none" w:sz="0" w:space="0" w:color="auto"/>
        <w:right w:val="none" w:sz="0" w:space="0" w:color="auto"/>
      </w:divBdr>
    </w:div>
    <w:div w:id="826868403">
      <w:bodyDiv w:val="1"/>
      <w:marLeft w:val="0"/>
      <w:marRight w:val="0"/>
      <w:marTop w:val="0"/>
      <w:marBottom w:val="0"/>
      <w:divBdr>
        <w:top w:val="none" w:sz="0" w:space="0" w:color="auto"/>
        <w:left w:val="none" w:sz="0" w:space="0" w:color="auto"/>
        <w:bottom w:val="none" w:sz="0" w:space="0" w:color="auto"/>
        <w:right w:val="none" w:sz="0" w:space="0" w:color="auto"/>
      </w:divBdr>
      <w:divsChild>
        <w:div w:id="1296987903">
          <w:marLeft w:val="0"/>
          <w:marRight w:val="0"/>
          <w:marTop w:val="0"/>
          <w:marBottom w:val="0"/>
          <w:divBdr>
            <w:top w:val="single" w:sz="2" w:space="0" w:color="E5E7EB"/>
            <w:left w:val="single" w:sz="2" w:space="0" w:color="E5E7EB"/>
            <w:bottom w:val="single" w:sz="2" w:space="0" w:color="E5E7EB"/>
            <w:right w:val="single" w:sz="2" w:space="0" w:color="E5E7EB"/>
          </w:divBdr>
          <w:divsChild>
            <w:div w:id="173199500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448165994">
          <w:marLeft w:val="0"/>
          <w:marRight w:val="0"/>
          <w:marTop w:val="0"/>
          <w:marBottom w:val="0"/>
          <w:divBdr>
            <w:top w:val="single" w:sz="2" w:space="0" w:color="E5E7EB"/>
            <w:left w:val="single" w:sz="2" w:space="0" w:color="E5E7EB"/>
            <w:bottom w:val="single" w:sz="2" w:space="0" w:color="E5E7EB"/>
            <w:right w:val="single" w:sz="2" w:space="0" w:color="E5E7EB"/>
          </w:divBdr>
          <w:divsChild>
            <w:div w:id="1094395307">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31998322">
          <w:marLeft w:val="0"/>
          <w:marRight w:val="0"/>
          <w:marTop w:val="0"/>
          <w:marBottom w:val="0"/>
          <w:divBdr>
            <w:top w:val="single" w:sz="2" w:space="0" w:color="E5E7EB"/>
            <w:left w:val="single" w:sz="2" w:space="0" w:color="E5E7EB"/>
            <w:bottom w:val="single" w:sz="2" w:space="0" w:color="E5E7EB"/>
            <w:right w:val="single" w:sz="2" w:space="0" w:color="E5E7EB"/>
          </w:divBdr>
          <w:divsChild>
            <w:div w:id="52973097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848835586">
      <w:bodyDiv w:val="1"/>
      <w:marLeft w:val="0"/>
      <w:marRight w:val="0"/>
      <w:marTop w:val="0"/>
      <w:marBottom w:val="0"/>
      <w:divBdr>
        <w:top w:val="none" w:sz="0" w:space="0" w:color="auto"/>
        <w:left w:val="none" w:sz="0" w:space="0" w:color="auto"/>
        <w:bottom w:val="none" w:sz="0" w:space="0" w:color="auto"/>
        <w:right w:val="none" w:sz="0" w:space="0" w:color="auto"/>
      </w:divBdr>
    </w:div>
    <w:div w:id="910309062">
      <w:bodyDiv w:val="1"/>
      <w:marLeft w:val="0"/>
      <w:marRight w:val="0"/>
      <w:marTop w:val="0"/>
      <w:marBottom w:val="0"/>
      <w:divBdr>
        <w:top w:val="none" w:sz="0" w:space="0" w:color="auto"/>
        <w:left w:val="none" w:sz="0" w:space="0" w:color="auto"/>
        <w:bottom w:val="none" w:sz="0" w:space="0" w:color="auto"/>
        <w:right w:val="none" w:sz="0" w:space="0" w:color="auto"/>
      </w:divBdr>
    </w:div>
    <w:div w:id="1002506486">
      <w:bodyDiv w:val="1"/>
      <w:marLeft w:val="0"/>
      <w:marRight w:val="0"/>
      <w:marTop w:val="0"/>
      <w:marBottom w:val="0"/>
      <w:divBdr>
        <w:top w:val="none" w:sz="0" w:space="0" w:color="auto"/>
        <w:left w:val="none" w:sz="0" w:space="0" w:color="auto"/>
        <w:bottom w:val="none" w:sz="0" w:space="0" w:color="auto"/>
        <w:right w:val="none" w:sz="0" w:space="0" w:color="auto"/>
      </w:divBdr>
    </w:div>
    <w:div w:id="1014722477">
      <w:bodyDiv w:val="1"/>
      <w:marLeft w:val="0"/>
      <w:marRight w:val="0"/>
      <w:marTop w:val="0"/>
      <w:marBottom w:val="0"/>
      <w:divBdr>
        <w:top w:val="none" w:sz="0" w:space="0" w:color="auto"/>
        <w:left w:val="none" w:sz="0" w:space="0" w:color="auto"/>
        <w:bottom w:val="none" w:sz="0" w:space="0" w:color="auto"/>
        <w:right w:val="none" w:sz="0" w:space="0" w:color="auto"/>
      </w:divBdr>
      <w:divsChild>
        <w:div w:id="960110613">
          <w:marLeft w:val="0"/>
          <w:marRight w:val="0"/>
          <w:marTop w:val="0"/>
          <w:marBottom w:val="0"/>
          <w:divBdr>
            <w:top w:val="single" w:sz="2" w:space="0" w:color="E5E7EB"/>
            <w:left w:val="single" w:sz="2" w:space="0" w:color="E5E7EB"/>
            <w:bottom w:val="single" w:sz="2" w:space="0" w:color="E5E7EB"/>
            <w:right w:val="single" w:sz="2" w:space="0" w:color="E5E7EB"/>
          </w:divBdr>
          <w:divsChild>
            <w:div w:id="61145430">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029836512">
          <w:marLeft w:val="0"/>
          <w:marRight w:val="0"/>
          <w:marTop w:val="0"/>
          <w:marBottom w:val="0"/>
          <w:divBdr>
            <w:top w:val="single" w:sz="2" w:space="0" w:color="E5E7EB"/>
            <w:left w:val="single" w:sz="2" w:space="0" w:color="E5E7EB"/>
            <w:bottom w:val="single" w:sz="2" w:space="0" w:color="E5E7EB"/>
            <w:right w:val="single" w:sz="2" w:space="0" w:color="E5E7EB"/>
          </w:divBdr>
          <w:divsChild>
            <w:div w:id="1461146268">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608852070">
          <w:marLeft w:val="0"/>
          <w:marRight w:val="0"/>
          <w:marTop w:val="0"/>
          <w:marBottom w:val="0"/>
          <w:divBdr>
            <w:top w:val="single" w:sz="2" w:space="0" w:color="E5E7EB"/>
            <w:left w:val="single" w:sz="2" w:space="0" w:color="E5E7EB"/>
            <w:bottom w:val="single" w:sz="2" w:space="0" w:color="E5E7EB"/>
            <w:right w:val="single" w:sz="2" w:space="0" w:color="E5E7EB"/>
          </w:divBdr>
          <w:divsChild>
            <w:div w:id="1042369387">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025404044">
      <w:bodyDiv w:val="1"/>
      <w:marLeft w:val="0"/>
      <w:marRight w:val="0"/>
      <w:marTop w:val="0"/>
      <w:marBottom w:val="0"/>
      <w:divBdr>
        <w:top w:val="none" w:sz="0" w:space="0" w:color="auto"/>
        <w:left w:val="none" w:sz="0" w:space="0" w:color="auto"/>
        <w:bottom w:val="none" w:sz="0" w:space="0" w:color="auto"/>
        <w:right w:val="none" w:sz="0" w:space="0" w:color="auto"/>
      </w:divBdr>
    </w:div>
    <w:div w:id="1112940461">
      <w:bodyDiv w:val="1"/>
      <w:marLeft w:val="0"/>
      <w:marRight w:val="0"/>
      <w:marTop w:val="0"/>
      <w:marBottom w:val="0"/>
      <w:divBdr>
        <w:top w:val="none" w:sz="0" w:space="0" w:color="auto"/>
        <w:left w:val="none" w:sz="0" w:space="0" w:color="auto"/>
        <w:bottom w:val="none" w:sz="0" w:space="0" w:color="auto"/>
        <w:right w:val="none" w:sz="0" w:space="0" w:color="auto"/>
      </w:divBdr>
    </w:div>
    <w:div w:id="1180584463">
      <w:bodyDiv w:val="1"/>
      <w:marLeft w:val="0"/>
      <w:marRight w:val="0"/>
      <w:marTop w:val="0"/>
      <w:marBottom w:val="0"/>
      <w:divBdr>
        <w:top w:val="none" w:sz="0" w:space="0" w:color="auto"/>
        <w:left w:val="none" w:sz="0" w:space="0" w:color="auto"/>
        <w:bottom w:val="none" w:sz="0" w:space="0" w:color="auto"/>
        <w:right w:val="none" w:sz="0" w:space="0" w:color="auto"/>
      </w:divBdr>
    </w:div>
    <w:div w:id="1344746519">
      <w:bodyDiv w:val="1"/>
      <w:marLeft w:val="0"/>
      <w:marRight w:val="0"/>
      <w:marTop w:val="0"/>
      <w:marBottom w:val="0"/>
      <w:divBdr>
        <w:top w:val="none" w:sz="0" w:space="0" w:color="auto"/>
        <w:left w:val="none" w:sz="0" w:space="0" w:color="auto"/>
        <w:bottom w:val="none" w:sz="0" w:space="0" w:color="auto"/>
        <w:right w:val="none" w:sz="0" w:space="0" w:color="auto"/>
      </w:divBdr>
    </w:div>
    <w:div w:id="1478064495">
      <w:bodyDiv w:val="1"/>
      <w:marLeft w:val="0"/>
      <w:marRight w:val="0"/>
      <w:marTop w:val="0"/>
      <w:marBottom w:val="0"/>
      <w:divBdr>
        <w:top w:val="none" w:sz="0" w:space="0" w:color="auto"/>
        <w:left w:val="none" w:sz="0" w:space="0" w:color="auto"/>
        <w:bottom w:val="none" w:sz="0" w:space="0" w:color="auto"/>
        <w:right w:val="none" w:sz="0" w:space="0" w:color="auto"/>
      </w:divBdr>
    </w:div>
    <w:div w:id="1495216247">
      <w:bodyDiv w:val="1"/>
      <w:marLeft w:val="0"/>
      <w:marRight w:val="0"/>
      <w:marTop w:val="0"/>
      <w:marBottom w:val="0"/>
      <w:divBdr>
        <w:top w:val="none" w:sz="0" w:space="0" w:color="auto"/>
        <w:left w:val="none" w:sz="0" w:space="0" w:color="auto"/>
        <w:bottom w:val="none" w:sz="0" w:space="0" w:color="auto"/>
        <w:right w:val="none" w:sz="0" w:space="0" w:color="auto"/>
      </w:divBdr>
    </w:div>
    <w:div w:id="1595702901">
      <w:bodyDiv w:val="1"/>
      <w:marLeft w:val="0"/>
      <w:marRight w:val="0"/>
      <w:marTop w:val="0"/>
      <w:marBottom w:val="0"/>
      <w:divBdr>
        <w:top w:val="none" w:sz="0" w:space="0" w:color="auto"/>
        <w:left w:val="none" w:sz="0" w:space="0" w:color="auto"/>
        <w:bottom w:val="none" w:sz="0" w:space="0" w:color="auto"/>
        <w:right w:val="none" w:sz="0" w:space="0" w:color="auto"/>
      </w:divBdr>
    </w:div>
    <w:div w:id="1656883560">
      <w:bodyDiv w:val="1"/>
      <w:marLeft w:val="0"/>
      <w:marRight w:val="0"/>
      <w:marTop w:val="0"/>
      <w:marBottom w:val="0"/>
      <w:divBdr>
        <w:top w:val="none" w:sz="0" w:space="0" w:color="auto"/>
        <w:left w:val="none" w:sz="0" w:space="0" w:color="auto"/>
        <w:bottom w:val="none" w:sz="0" w:space="0" w:color="auto"/>
        <w:right w:val="none" w:sz="0" w:space="0" w:color="auto"/>
      </w:divBdr>
    </w:div>
    <w:div w:id="1673022398">
      <w:bodyDiv w:val="1"/>
      <w:marLeft w:val="0"/>
      <w:marRight w:val="0"/>
      <w:marTop w:val="0"/>
      <w:marBottom w:val="0"/>
      <w:divBdr>
        <w:top w:val="none" w:sz="0" w:space="0" w:color="auto"/>
        <w:left w:val="none" w:sz="0" w:space="0" w:color="auto"/>
        <w:bottom w:val="none" w:sz="0" w:space="0" w:color="auto"/>
        <w:right w:val="none" w:sz="0" w:space="0" w:color="auto"/>
      </w:divBdr>
    </w:div>
    <w:div w:id="1701393628">
      <w:bodyDiv w:val="1"/>
      <w:marLeft w:val="0"/>
      <w:marRight w:val="0"/>
      <w:marTop w:val="0"/>
      <w:marBottom w:val="0"/>
      <w:divBdr>
        <w:top w:val="none" w:sz="0" w:space="0" w:color="auto"/>
        <w:left w:val="none" w:sz="0" w:space="0" w:color="auto"/>
        <w:bottom w:val="none" w:sz="0" w:space="0" w:color="auto"/>
        <w:right w:val="none" w:sz="0" w:space="0" w:color="auto"/>
      </w:divBdr>
    </w:div>
    <w:div w:id="1777823602">
      <w:bodyDiv w:val="1"/>
      <w:marLeft w:val="0"/>
      <w:marRight w:val="0"/>
      <w:marTop w:val="0"/>
      <w:marBottom w:val="0"/>
      <w:divBdr>
        <w:top w:val="none" w:sz="0" w:space="0" w:color="auto"/>
        <w:left w:val="none" w:sz="0" w:space="0" w:color="auto"/>
        <w:bottom w:val="none" w:sz="0" w:space="0" w:color="auto"/>
        <w:right w:val="none" w:sz="0" w:space="0" w:color="auto"/>
      </w:divBdr>
    </w:div>
    <w:div w:id="1862351499">
      <w:bodyDiv w:val="1"/>
      <w:marLeft w:val="0"/>
      <w:marRight w:val="0"/>
      <w:marTop w:val="0"/>
      <w:marBottom w:val="0"/>
      <w:divBdr>
        <w:top w:val="none" w:sz="0" w:space="0" w:color="auto"/>
        <w:left w:val="none" w:sz="0" w:space="0" w:color="auto"/>
        <w:bottom w:val="none" w:sz="0" w:space="0" w:color="auto"/>
        <w:right w:val="none" w:sz="0" w:space="0" w:color="auto"/>
      </w:divBdr>
    </w:div>
    <w:div w:id="1891065118">
      <w:bodyDiv w:val="1"/>
      <w:marLeft w:val="0"/>
      <w:marRight w:val="0"/>
      <w:marTop w:val="0"/>
      <w:marBottom w:val="0"/>
      <w:divBdr>
        <w:top w:val="none" w:sz="0" w:space="0" w:color="auto"/>
        <w:left w:val="none" w:sz="0" w:space="0" w:color="auto"/>
        <w:bottom w:val="none" w:sz="0" w:space="0" w:color="auto"/>
        <w:right w:val="none" w:sz="0" w:space="0" w:color="auto"/>
      </w:divBdr>
    </w:div>
    <w:div w:id="1933657245">
      <w:bodyDiv w:val="1"/>
      <w:marLeft w:val="0"/>
      <w:marRight w:val="0"/>
      <w:marTop w:val="0"/>
      <w:marBottom w:val="0"/>
      <w:divBdr>
        <w:top w:val="none" w:sz="0" w:space="0" w:color="auto"/>
        <w:left w:val="none" w:sz="0" w:space="0" w:color="auto"/>
        <w:bottom w:val="none" w:sz="0" w:space="0" w:color="auto"/>
        <w:right w:val="none" w:sz="0" w:space="0" w:color="auto"/>
      </w:divBdr>
    </w:div>
    <w:div w:id="2045207471">
      <w:bodyDiv w:val="1"/>
      <w:marLeft w:val="0"/>
      <w:marRight w:val="0"/>
      <w:marTop w:val="0"/>
      <w:marBottom w:val="0"/>
      <w:divBdr>
        <w:top w:val="none" w:sz="0" w:space="0" w:color="auto"/>
        <w:left w:val="none" w:sz="0" w:space="0" w:color="auto"/>
        <w:bottom w:val="none" w:sz="0" w:space="0" w:color="auto"/>
        <w:right w:val="none" w:sz="0" w:space="0" w:color="auto"/>
      </w:divBdr>
    </w:div>
    <w:div w:id="2049723626">
      <w:bodyDiv w:val="1"/>
      <w:marLeft w:val="0"/>
      <w:marRight w:val="0"/>
      <w:marTop w:val="0"/>
      <w:marBottom w:val="0"/>
      <w:divBdr>
        <w:top w:val="none" w:sz="0" w:space="0" w:color="auto"/>
        <w:left w:val="none" w:sz="0" w:space="0" w:color="auto"/>
        <w:bottom w:val="none" w:sz="0" w:space="0" w:color="auto"/>
        <w:right w:val="none" w:sz="0" w:space="0" w:color="auto"/>
      </w:divBdr>
    </w:div>
    <w:div w:id="206617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erlego.com/book/2957501" TargetMode="External"/><Relationship Id="rId18" Type="http://schemas.openxmlformats.org/officeDocument/2006/relationships/hyperlink" Target="https://www.perlego.com/book/3484753" TargetMode="External"/><Relationship Id="rId26" Type="http://schemas.openxmlformats.org/officeDocument/2006/relationships/hyperlink" Target="https://www.perlego.com/book/3852644" TargetMode="External"/><Relationship Id="rId3" Type="http://schemas.openxmlformats.org/officeDocument/2006/relationships/styles" Target="styles.xml"/><Relationship Id="rId21" Type="http://schemas.openxmlformats.org/officeDocument/2006/relationships/hyperlink" Target="https://www.perlego.com/book/1852549" TargetMode="External"/><Relationship Id="rId34" Type="http://schemas.openxmlformats.org/officeDocument/2006/relationships/fontTable" Target="fontTable.xml"/><Relationship Id="rId7" Type="http://schemas.openxmlformats.org/officeDocument/2006/relationships/hyperlink" Target="https://www.perlego.com/book/651553" TargetMode="External"/><Relationship Id="rId12" Type="http://schemas.openxmlformats.org/officeDocument/2006/relationships/hyperlink" Target="https://www.perlego.com/book/2957431" TargetMode="External"/><Relationship Id="rId17" Type="http://schemas.openxmlformats.org/officeDocument/2006/relationships/hyperlink" Target="https://www.perlego.com/book/3537528" TargetMode="External"/><Relationship Id="rId25" Type="http://schemas.openxmlformats.org/officeDocument/2006/relationships/hyperlink" Target="https://www.perlego.com/book/3522569" TargetMode="External"/><Relationship Id="rId33" Type="http://schemas.openxmlformats.org/officeDocument/2006/relationships/hyperlink" Target="https://www.perlego.com/book/949315" TargetMode="External"/><Relationship Id="rId2" Type="http://schemas.openxmlformats.org/officeDocument/2006/relationships/numbering" Target="numbering.xml"/><Relationship Id="rId16" Type="http://schemas.openxmlformats.org/officeDocument/2006/relationships/hyperlink" Target="https://www.perlego.com/book/1514981" TargetMode="External"/><Relationship Id="rId20" Type="http://schemas.openxmlformats.org/officeDocument/2006/relationships/hyperlink" Target="https://www.perlego.com/book/972458" TargetMode="External"/><Relationship Id="rId29" Type="http://schemas.openxmlformats.org/officeDocument/2006/relationships/hyperlink" Target="https://www.perlego.com/book/4229521" TargetMode="External"/><Relationship Id="rId1" Type="http://schemas.openxmlformats.org/officeDocument/2006/relationships/customXml" Target="../customXml/item1.xml"/><Relationship Id="rId6" Type="http://schemas.openxmlformats.org/officeDocument/2006/relationships/hyperlink" Target="https://www.perlego.com/book/2754697" TargetMode="External"/><Relationship Id="rId11" Type="http://schemas.openxmlformats.org/officeDocument/2006/relationships/hyperlink" Target="https://www.perlego.com/book/2741501" TargetMode="External"/><Relationship Id="rId24" Type="http://schemas.openxmlformats.org/officeDocument/2006/relationships/hyperlink" Target="https://www.perlego.com/book/2306176" TargetMode="External"/><Relationship Id="rId32" Type="http://schemas.openxmlformats.org/officeDocument/2006/relationships/hyperlink" Target="https://www.perlego.com/book/4230154" TargetMode="External"/><Relationship Id="rId5" Type="http://schemas.openxmlformats.org/officeDocument/2006/relationships/webSettings" Target="webSettings.xml"/><Relationship Id="rId15" Type="http://schemas.openxmlformats.org/officeDocument/2006/relationships/hyperlink" Target="https://www.perlego.com/book/1522769" TargetMode="External"/><Relationship Id="rId23" Type="http://schemas.openxmlformats.org/officeDocument/2006/relationships/hyperlink" Target="https://www.perlego.com/book/1323809" TargetMode="External"/><Relationship Id="rId28" Type="http://schemas.openxmlformats.org/officeDocument/2006/relationships/hyperlink" Target="https://www.perlego.com/book/3499501" TargetMode="External"/><Relationship Id="rId10" Type="http://schemas.openxmlformats.org/officeDocument/2006/relationships/hyperlink" Target="https://www.perlego.com/book/1631546" TargetMode="External"/><Relationship Id="rId19" Type="http://schemas.openxmlformats.org/officeDocument/2006/relationships/hyperlink" Target="https://www.perlego.com/book/4214304" TargetMode="External"/><Relationship Id="rId31" Type="http://schemas.openxmlformats.org/officeDocument/2006/relationships/hyperlink" Target="https://www.perlego.com/book/2306250" TargetMode="External"/><Relationship Id="rId4" Type="http://schemas.openxmlformats.org/officeDocument/2006/relationships/settings" Target="settings.xml"/><Relationship Id="rId9" Type="http://schemas.openxmlformats.org/officeDocument/2006/relationships/hyperlink" Target="https://www.perlego.com/book/1547717" TargetMode="External"/><Relationship Id="rId14" Type="http://schemas.openxmlformats.org/officeDocument/2006/relationships/hyperlink" Target="https://www.perlego.com/book/2034588" TargetMode="External"/><Relationship Id="rId22" Type="http://schemas.openxmlformats.org/officeDocument/2006/relationships/hyperlink" Target="https://www.perlego.com/book/1706932" TargetMode="External"/><Relationship Id="rId27" Type="http://schemas.openxmlformats.org/officeDocument/2006/relationships/hyperlink" Target="https://www.perlego.com/book/2928139" TargetMode="External"/><Relationship Id="rId30" Type="http://schemas.openxmlformats.org/officeDocument/2006/relationships/hyperlink" Target="https://www.perlego.com/book/3906443" TargetMode="External"/><Relationship Id="rId35" Type="http://schemas.openxmlformats.org/officeDocument/2006/relationships/theme" Target="theme/theme1.xml"/><Relationship Id="rId8" Type="http://schemas.openxmlformats.org/officeDocument/2006/relationships/hyperlink" Target="https://www.perlego.com/book/37205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9BA7A-F0EA-4544-9C52-860B2570B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12215</TotalTime>
  <Pages>11</Pages>
  <Words>3694</Words>
  <Characters>21061</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Are prisons working? BMCP5009</dc:title>
  <dc:subject/>
  <dc:creator>Ffion Jones</dc:creator>
  <cp:keywords/>
  <dc:description/>
  <cp:lastModifiedBy>Ffion Jones</cp:lastModifiedBy>
  <cp:revision>92</cp:revision>
  <dcterms:created xsi:type="dcterms:W3CDTF">2024-11-25T10:20:00Z</dcterms:created>
  <dcterms:modified xsi:type="dcterms:W3CDTF">2025-01-16T21:36:00Z</dcterms:modified>
</cp:coreProperties>
</file>